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cs="宋体"/>
          <w:b/>
          <w:bCs/>
          <w:color w:val="auto"/>
          <w:sz w:val="48"/>
          <w:szCs w:val="48"/>
          <w:highlight w:val="none"/>
          <w:lang w:val="zh-CN"/>
        </w:rPr>
      </w:pPr>
    </w:p>
    <w:p>
      <w:pPr>
        <w:pStyle w:val="64"/>
        <w:rPr>
          <w:rFonts w:hAnsi="宋体" w:cs="宋体"/>
          <w:color w:val="auto"/>
          <w:highlight w:val="none"/>
          <w:lang w:val="zh-CN"/>
        </w:rPr>
      </w:pPr>
    </w:p>
    <w:p>
      <w:pPr>
        <w:jc w:val="center"/>
        <w:rPr>
          <w:rFonts w:hAnsi="宋体" w:cs="宋体"/>
          <w:color w:val="auto"/>
          <w:sz w:val="18"/>
          <w:szCs w:val="18"/>
          <w:highlight w:val="none"/>
          <w:lang w:val="zh-CN"/>
        </w:rPr>
      </w:pPr>
      <w:r>
        <w:rPr>
          <w:rFonts w:hint="eastAsia" w:hAnsi="宋体" w:cs="宋体"/>
          <w:b/>
          <w:bCs/>
          <w:color w:val="auto"/>
          <w:sz w:val="48"/>
          <w:szCs w:val="48"/>
          <w:highlight w:val="none"/>
          <w:lang w:val="zh-CN"/>
        </w:rPr>
        <w:t>财政深化应用平台信创改造项目</w:t>
      </w:r>
    </w:p>
    <w:p>
      <w:pPr>
        <w:rPr>
          <w:rFonts w:hAnsi="宋体" w:cs="宋体"/>
          <w:color w:val="auto"/>
          <w:sz w:val="18"/>
          <w:szCs w:val="18"/>
          <w:highlight w:val="none"/>
          <w:lang w:val="zh-CN"/>
        </w:rPr>
      </w:pPr>
    </w:p>
    <w:p>
      <w:pPr>
        <w:rPr>
          <w:rFonts w:hAnsi="宋体" w:cs="宋体"/>
          <w:color w:val="auto"/>
          <w:sz w:val="18"/>
          <w:szCs w:val="18"/>
          <w:highlight w:val="none"/>
          <w:lang w:val="zh-CN"/>
        </w:rPr>
      </w:pPr>
    </w:p>
    <w:p>
      <w:pPr>
        <w:pStyle w:val="18"/>
        <w:ind w:firstLine="280"/>
        <w:rPr>
          <w:rFonts w:hAnsi="宋体" w:cs="宋体"/>
          <w:color w:val="auto"/>
          <w:highlight w:val="none"/>
          <w:lang w:val="zh-CN"/>
        </w:rPr>
      </w:pPr>
    </w:p>
    <w:p>
      <w:pPr>
        <w:pStyle w:val="18"/>
        <w:ind w:firstLine="0" w:firstLineChars="0"/>
        <w:rPr>
          <w:rFonts w:hAnsi="宋体" w:cs="宋体"/>
          <w:color w:val="auto"/>
          <w:highlight w:val="none"/>
          <w:lang w:val="zh-CN"/>
        </w:rPr>
      </w:pPr>
    </w:p>
    <w:p>
      <w:pPr>
        <w:rPr>
          <w:rFonts w:hAnsi="宋体" w:cs="宋体"/>
          <w:color w:val="auto"/>
          <w:highlight w:val="none"/>
          <w:lang w:val="zh-CN"/>
        </w:rPr>
      </w:pPr>
    </w:p>
    <w:p>
      <w:pPr>
        <w:pStyle w:val="18"/>
        <w:ind w:firstLine="280"/>
        <w:rPr>
          <w:rFonts w:hAnsi="宋体" w:cs="宋体"/>
          <w:color w:val="auto"/>
          <w:highlight w:val="none"/>
          <w:lang w:val="zh-CN"/>
        </w:rPr>
      </w:pPr>
    </w:p>
    <w:p>
      <w:pPr>
        <w:pStyle w:val="19"/>
        <w:numPr>
          <w:ilvl w:val="255"/>
          <w:numId w:val="0"/>
        </w:numPr>
        <w:rPr>
          <w:color w:val="auto"/>
          <w:highlight w:val="none"/>
          <w:lang w:val="zh-CN"/>
        </w:rPr>
      </w:pPr>
    </w:p>
    <w:p>
      <w:pPr>
        <w:pStyle w:val="18"/>
        <w:ind w:firstLine="280"/>
        <w:rPr>
          <w:rFonts w:hAnsi="宋体" w:cs="宋体"/>
          <w:color w:val="auto"/>
          <w:highlight w:val="none"/>
          <w:lang w:val="zh-CN"/>
        </w:rPr>
      </w:pPr>
    </w:p>
    <w:p>
      <w:pPr>
        <w:jc w:val="center"/>
        <w:rPr>
          <w:rFonts w:hAnsi="宋体" w:cs="宋体"/>
          <w:b/>
          <w:bCs/>
          <w:color w:val="auto"/>
          <w:sz w:val="48"/>
          <w:szCs w:val="48"/>
          <w:highlight w:val="none"/>
          <w:lang w:val="zh-CN"/>
        </w:rPr>
      </w:pPr>
      <w:r>
        <w:rPr>
          <w:rFonts w:hint="eastAsia" w:hAnsi="宋体" w:cs="宋体"/>
          <w:b/>
          <w:bCs/>
          <w:color w:val="auto"/>
          <w:sz w:val="48"/>
          <w:szCs w:val="48"/>
          <w:highlight w:val="none"/>
          <w:lang w:val="zh-CN"/>
        </w:rPr>
        <w:t>竞争性磋商文件</w:t>
      </w:r>
    </w:p>
    <w:p>
      <w:pPr>
        <w:rPr>
          <w:rFonts w:hAnsi="宋体" w:cs="宋体"/>
          <w:color w:val="auto"/>
          <w:sz w:val="18"/>
          <w:szCs w:val="18"/>
          <w:highlight w:val="none"/>
          <w:lang w:val="zh-CN"/>
        </w:rPr>
      </w:pPr>
    </w:p>
    <w:p>
      <w:pPr>
        <w:pStyle w:val="44"/>
        <w:ind w:left="680"/>
        <w:rPr>
          <w:rFonts w:ascii="宋体" w:hAnsi="宋体"/>
          <w:color w:val="auto"/>
          <w:highlight w:val="none"/>
          <w:lang w:val="zh-CN"/>
        </w:rPr>
      </w:pPr>
    </w:p>
    <w:p>
      <w:pPr>
        <w:rPr>
          <w:rFonts w:hAnsi="宋体" w:cs="宋体"/>
          <w:color w:val="auto"/>
          <w:sz w:val="18"/>
          <w:szCs w:val="18"/>
          <w:highlight w:val="none"/>
          <w:lang w:val="zh-CN"/>
        </w:rPr>
      </w:pPr>
    </w:p>
    <w:p>
      <w:pPr>
        <w:pStyle w:val="18"/>
        <w:ind w:firstLine="281"/>
        <w:rPr>
          <w:rFonts w:hAnsi="宋体" w:cs="宋体"/>
          <w:b/>
          <w:bCs/>
          <w:color w:val="auto"/>
          <w:szCs w:val="21"/>
          <w:highlight w:val="none"/>
          <w:lang w:val="zh-CN"/>
        </w:rPr>
      </w:pPr>
    </w:p>
    <w:p>
      <w:pPr>
        <w:pStyle w:val="18"/>
        <w:ind w:firstLine="281"/>
        <w:rPr>
          <w:rFonts w:hAnsi="宋体" w:cs="宋体"/>
          <w:b/>
          <w:bCs/>
          <w:color w:val="auto"/>
          <w:szCs w:val="21"/>
          <w:highlight w:val="none"/>
          <w:lang w:val="zh-CN"/>
        </w:rPr>
      </w:pPr>
    </w:p>
    <w:p>
      <w:pPr>
        <w:rPr>
          <w:rFonts w:hAnsi="宋体" w:cs="宋体"/>
          <w:b/>
          <w:bCs/>
          <w:color w:val="auto"/>
          <w:sz w:val="28"/>
          <w:szCs w:val="28"/>
          <w:highlight w:val="none"/>
          <w:lang w:val="zh-CN"/>
        </w:rPr>
      </w:pPr>
    </w:p>
    <w:p>
      <w:pPr>
        <w:pStyle w:val="3"/>
        <w:rPr>
          <w:rFonts w:ascii="宋体" w:hAnsi="宋体" w:eastAsia="宋体" w:cs="宋体"/>
          <w:color w:val="auto"/>
          <w:highlight w:val="none"/>
          <w:lang w:val="zh-CN"/>
        </w:rPr>
      </w:pPr>
    </w:p>
    <w:p>
      <w:pPr>
        <w:pStyle w:val="24"/>
        <w:snapToGrid w:val="0"/>
        <w:spacing w:before="120" w:after="120" w:line="360" w:lineRule="auto"/>
        <w:ind w:firstLine="602" w:firstLineChars="200"/>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 xml:space="preserve">项目编号:  </w:t>
      </w:r>
      <w:r>
        <w:rPr>
          <w:rFonts w:hint="eastAsia" w:hAnsi="宋体" w:cs="宋体"/>
          <w:b/>
          <w:bCs/>
          <w:color w:val="auto"/>
          <w:sz w:val="30"/>
          <w:szCs w:val="30"/>
          <w:highlight w:val="none"/>
          <w:lang w:eastAsia="zh-CN"/>
        </w:rPr>
        <w:t>TY2024-FW107-ZFCG107</w:t>
      </w:r>
    </w:p>
    <w:p>
      <w:pPr>
        <w:pStyle w:val="24"/>
        <w:snapToGrid w:val="0"/>
        <w:spacing w:before="120" w:after="120" w:line="360" w:lineRule="auto"/>
        <w:ind w:firstLine="602" w:firstLineChars="200"/>
        <w:rPr>
          <w:rFonts w:hAnsi="宋体" w:cs="宋体"/>
          <w:b/>
          <w:bCs/>
          <w:color w:val="auto"/>
          <w:sz w:val="30"/>
          <w:szCs w:val="30"/>
          <w:highlight w:val="none"/>
        </w:rPr>
      </w:pPr>
      <w:r>
        <w:rPr>
          <w:rFonts w:hint="eastAsia" w:hAnsi="宋体" w:cs="宋体"/>
          <w:b/>
          <w:bCs/>
          <w:color w:val="auto"/>
          <w:sz w:val="30"/>
          <w:szCs w:val="30"/>
          <w:highlight w:val="none"/>
        </w:rPr>
        <w:t>采购单位： 金华市财政局</w:t>
      </w:r>
    </w:p>
    <w:p>
      <w:pPr>
        <w:pStyle w:val="24"/>
        <w:snapToGrid w:val="0"/>
        <w:spacing w:before="120" w:after="120" w:line="360" w:lineRule="auto"/>
        <w:ind w:firstLine="602" w:firstLineChars="200"/>
        <w:rPr>
          <w:rFonts w:hAnsi="宋体" w:cs="宋体"/>
          <w:b/>
          <w:bCs/>
          <w:color w:val="auto"/>
          <w:sz w:val="30"/>
          <w:szCs w:val="30"/>
          <w:highlight w:val="none"/>
        </w:rPr>
      </w:pPr>
      <w:r>
        <w:rPr>
          <w:rFonts w:hint="eastAsia" w:hAnsi="宋体" w:cs="宋体"/>
          <w:b/>
          <w:bCs/>
          <w:color w:val="auto"/>
          <w:sz w:val="30"/>
          <w:szCs w:val="30"/>
          <w:highlight w:val="none"/>
        </w:rPr>
        <w:t>代理机构:  金华市天盈招标代理有限公司</w:t>
      </w:r>
    </w:p>
    <w:p>
      <w:pPr>
        <w:pStyle w:val="24"/>
        <w:snapToGrid w:val="0"/>
        <w:spacing w:before="120" w:after="120" w:line="360" w:lineRule="auto"/>
        <w:ind w:firstLine="602" w:firstLineChars="200"/>
        <w:rPr>
          <w:rFonts w:hAnsi="宋体" w:cs="宋体"/>
          <w:b/>
          <w:color w:val="auto"/>
          <w:sz w:val="30"/>
          <w:szCs w:val="48"/>
          <w:highlight w:val="none"/>
        </w:rPr>
      </w:pPr>
      <w:r>
        <w:rPr>
          <w:rFonts w:hint="eastAsia" w:hAnsi="宋体" w:cs="宋体"/>
          <w:b/>
          <w:bCs/>
          <w:color w:val="auto"/>
          <w:sz w:val="30"/>
          <w:szCs w:val="30"/>
          <w:highlight w:val="none"/>
        </w:rPr>
        <w:t xml:space="preserve">监管单位： </w:t>
      </w:r>
      <w:r>
        <w:rPr>
          <w:rFonts w:hint="eastAsia" w:hAnsi="宋体" w:cs="宋体"/>
          <w:b/>
          <w:color w:val="auto"/>
          <w:sz w:val="30"/>
          <w:szCs w:val="48"/>
          <w:highlight w:val="none"/>
        </w:rPr>
        <w:t>金华市财政局政府采购监管处</w:t>
      </w:r>
    </w:p>
    <w:p>
      <w:pPr>
        <w:spacing w:line="480" w:lineRule="exact"/>
        <w:jc w:val="center"/>
        <w:rPr>
          <w:rFonts w:hAnsi="宋体" w:cs="宋体"/>
          <w:color w:val="auto"/>
          <w:highlight w:val="none"/>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r>
        <w:rPr>
          <w:rFonts w:hint="eastAsia" w:hAnsi="宋体" w:cs="宋体"/>
          <w:b/>
          <w:bCs/>
          <w:color w:val="auto"/>
          <w:sz w:val="32"/>
          <w:szCs w:val="32"/>
          <w:highlight w:val="none"/>
          <w:lang w:val="zh-CN"/>
        </w:rPr>
        <w:t xml:space="preserve">2 0 2 </w:t>
      </w:r>
      <w:r>
        <w:rPr>
          <w:rFonts w:hint="eastAsia" w:hAnsi="宋体" w:cs="宋体"/>
          <w:b/>
          <w:bCs/>
          <w:color w:val="auto"/>
          <w:sz w:val="32"/>
          <w:szCs w:val="32"/>
          <w:highlight w:val="none"/>
        </w:rPr>
        <w:t xml:space="preserve">4 </w:t>
      </w:r>
      <w:r>
        <w:rPr>
          <w:rFonts w:hint="eastAsia" w:hAnsi="宋体" w:cs="宋体"/>
          <w:b/>
          <w:bCs/>
          <w:color w:val="auto"/>
          <w:sz w:val="32"/>
          <w:szCs w:val="32"/>
          <w:highlight w:val="none"/>
          <w:lang w:val="zh-CN"/>
        </w:rPr>
        <w:t xml:space="preserve">年 </w:t>
      </w:r>
      <w:r>
        <w:rPr>
          <w:rFonts w:hint="eastAsia" w:hAnsi="宋体" w:cs="宋体"/>
          <w:b/>
          <w:bCs/>
          <w:color w:val="auto"/>
          <w:sz w:val="32"/>
          <w:szCs w:val="32"/>
          <w:highlight w:val="none"/>
        </w:rPr>
        <w:t xml:space="preserve">5 </w:t>
      </w:r>
      <w:bookmarkStart w:id="0" w:name="_Toc237182500"/>
    </w:p>
    <w:p>
      <w:pPr>
        <w:jc w:val="center"/>
        <w:rPr>
          <w:rFonts w:hAnsi="宋体" w:cs="宋体"/>
          <w:b/>
          <w:color w:val="auto"/>
          <w:highlight w:val="none"/>
        </w:rPr>
      </w:pPr>
      <w:bookmarkStart w:id="755" w:name="_GoBack"/>
      <w:r>
        <w:rPr>
          <w:rFonts w:hint="eastAsia" w:hAnsi="宋体" w:cs="宋体"/>
          <w:b/>
          <w:color w:val="auto"/>
          <w:highlight w:val="none"/>
        </w:rPr>
        <w:t>目        录</w:t>
      </w:r>
    </w:p>
    <w:bookmarkEnd w:id="755"/>
    <w:p>
      <w:pPr>
        <w:pStyle w:val="44"/>
        <w:ind w:left="680"/>
        <w:rPr>
          <w:rFonts w:ascii="宋体" w:hAnsi="宋体"/>
          <w:color w:val="auto"/>
          <w:highlight w:val="none"/>
        </w:rPr>
      </w:pPr>
    </w:p>
    <w:p>
      <w:pPr>
        <w:pStyle w:val="32"/>
        <w:tabs>
          <w:tab w:val="right" w:leader="dot" w:pos="9638"/>
        </w:tabs>
        <w:snapToGrid w:val="0"/>
        <w:spacing w:before="0" w:after="0" w:line="480" w:lineRule="auto"/>
        <w:rPr>
          <w:rFonts w:hint="eastAsia" w:ascii="宋体" w:hAnsi="宋体" w:eastAsia="宋体" w:cs="宋体"/>
          <w:color w:val="auto"/>
          <w:sz w:val="21"/>
          <w:szCs w:val="21"/>
          <w:highlight w:val="none"/>
          <w:lang w:eastAsia="zh-CN"/>
        </w:rPr>
      </w:pPr>
      <w:r>
        <w:rPr>
          <w:rStyle w:val="55"/>
          <w:rFonts w:hint="eastAsia" w:cs="宋体"/>
          <w:color w:val="auto"/>
          <w:highlight w:val="none"/>
        </w:rPr>
        <w:fldChar w:fldCharType="begin"/>
      </w:r>
      <w:r>
        <w:rPr>
          <w:rStyle w:val="55"/>
          <w:rFonts w:hint="eastAsia" w:ascii="宋体" w:hAnsi="宋体" w:cs="宋体"/>
          <w:color w:val="auto"/>
          <w:sz w:val="21"/>
          <w:szCs w:val="21"/>
          <w:highlight w:val="none"/>
        </w:rPr>
        <w:instrText xml:space="preserve">TOC \o "1-3" \h \z \u</w:instrText>
      </w:r>
      <w:r>
        <w:rPr>
          <w:rStyle w:val="55"/>
          <w:rFonts w:hint="eastAsia" w:cs="宋体"/>
          <w:color w:val="auto"/>
          <w:highlight w:val="none"/>
        </w:rPr>
        <w:fldChar w:fldCharType="separate"/>
      </w:r>
      <w:r>
        <w:rPr>
          <w:color w:val="auto"/>
          <w:highlight w:val="none"/>
        </w:rPr>
        <w:fldChar w:fldCharType="begin"/>
      </w:r>
      <w:r>
        <w:rPr>
          <w:color w:val="auto"/>
          <w:highlight w:val="none"/>
        </w:rPr>
        <w:instrText xml:space="preserve"> HYPERLINK \l "_Toc30124" </w:instrText>
      </w:r>
      <w:r>
        <w:rPr>
          <w:color w:val="auto"/>
          <w:highlight w:val="none"/>
        </w:rPr>
        <w:fldChar w:fldCharType="separate"/>
      </w:r>
      <w:r>
        <w:rPr>
          <w:rFonts w:hint="eastAsia" w:ascii="宋体" w:hAnsi="宋体" w:cs="宋体"/>
          <w:color w:val="auto"/>
          <w:sz w:val="21"/>
          <w:szCs w:val="21"/>
          <w:highlight w:val="none"/>
        </w:rPr>
        <w:t>第一部分  竞争性磋商公告</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lang w:val="en-US" w:eastAsia="zh-CN"/>
        </w:rPr>
        <w:t>1</w:t>
      </w:r>
    </w:p>
    <w:p>
      <w:pPr>
        <w:pStyle w:val="32"/>
        <w:tabs>
          <w:tab w:val="right" w:leader="dot" w:pos="9638"/>
        </w:tabs>
        <w:snapToGrid w:val="0"/>
        <w:spacing w:before="0" w:after="0" w:line="480" w:lineRule="auto"/>
        <w:rPr>
          <w:rFonts w:hint="eastAsia" w:ascii="宋体" w:hAnsi="宋体" w:eastAsia="宋体" w:cs="宋体"/>
          <w:color w:val="auto"/>
          <w:sz w:val="21"/>
          <w:szCs w:val="21"/>
          <w:highlight w:val="none"/>
          <w:lang w:eastAsia="zh-CN"/>
        </w:rPr>
      </w:pPr>
      <w:r>
        <w:rPr>
          <w:color w:val="auto"/>
          <w:highlight w:val="none"/>
        </w:rPr>
        <w:fldChar w:fldCharType="begin"/>
      </w:r>
      <w:r>
        <w:rPr>
          <w:color w:val="auto"/>
          <w:highlight w:val="none"/>
        </w:rPr>
        <w:instrText xml:space="preserve"> HYPERLINK \l "_Toc30797" </w:instrText>
      </w:r>
      <w:r>
        <w:rPr>
          <w:color w:val="auto"/>
          <w:highlight w:val="none"/>
        </w:rPr>
        <w:fldChar w:fldCharType="separate"/>
      </w:r>
      <w:r>
        <w:rPr>
          <w:rFonts w:hint="eastAsia" w:ascii="宋体" w:hAnsi="宋体" w:cs="宋体"/>
          <w:color w:val="auto"/>
          <w:sz w:val="21"/>
          <w:szCs w:val="21"/>
          <w:highlight w:val="none"/>
        </w:rPr>
        <w:t>第二部分  采购需求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lang w:val="en-US" w:eastAsia="zh-CN"/>
        </w:rPr>
        <w:t>7</w:t>
      </w:r>
    </w:p>
    <w:p>
      <w:pPr>
        <w:pStyle w:val="32"/>
        <w:tabs>
          <w:tab w:val="right" w:leader="dot" w:pos="9638"/>
        </w:tabs>
        <w:snapToGrid w:val="0"/>
        <w:spacing w:before="0" w:after="0" w:line="480" w:lineRule="auto"/>
        <w:rPr>
          <w:rFonts w:hint="default" w:ascii="宋体" w:hAnsi="宋体" w:eastAsia="宋体" w:cs="宋体"/>
          <w:color w:val="auto"/>
          <w:sz w:val="21"/>
          <w:szCs w:val="21"/>
          <w:highlight w:val="none"/>
          <w:lang w:val="en-US" w:eastAsia="zh-CN"/>
        </w:rPr>
      </w:pPr>
      <w:r>
        <w:rPr>
          <w:color w:val="auto"/>
          <w:highlight w:val="none"/>
        </w:rPr>
        <w:fldChar w:fldCharType="begin"/>
      </w:r>
      <w:r>
        <w:rPr>
          <w:color w:val="auto"/>
          <w:highlight w:val="none"/>
        </w:rPr>
        <w:instrText xml:space="preserve"> HYPERLINK \l "_Toc5905" </w:instrText>
      </w:r>
      <w:r>
        <w:rPr>
          <w:color w:val="auto"/>
          <w:highlight w:val="none"/>
        </w:rPr>
        <w:fldChar w:fldCharType="separate"/>
      </w:r>
      <w:r>
        <w:rPr>
          <w:rFonts w:hint="eastAsia" w:ascii="宋体" w:hAnsi="宋体" w:cs="宋体"/>
          <w:color w:val="auto"/>
          <w:sz w:val="21"/>
          <w:szCs w:val="21"/>
          <w:highlight w:val="none"/>
        </w:rPr>
        <w:t>第三部分  响应供应商须知</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lang w:val="en-US" w:eastAsia="zh-CN"/>
        </w:rPr>
        <w:t>37</w:t>
      </w:r>
    </w:p>
    <w:p>
      <w:pPr>
        <w:pStyle w:val="32"/>
        <w:tabs>
          <w:tab w:val="right" w:leader="dot" w:pos="9638"/>
        </w:tabs>
        <w:snapToGrid w:val="0"/>
        <w:spacing w:before="0" w:after="0" w:line="480" w:lineRule="auto"/>
        <w:rPr>
          <w:rFonts w:hint="default" w:ascii="宋体" w:hAnsi="宋体" w:eastAsia="宋体" w:cs="宋体"/>
          <w:color w:val="auto"/>
          <w:sz w:val="21"/>
          <w:szCs w:val="21"/>
          <w:highlight w:val="none"/>
          <w:lang w:val="en-US" w:eastAsia="zh-CN"/>
        </w:rPr>
      </w:pPr>
      <w:r>
        <w:rPr>
          <w:color w:val="auto"/>
          <w:highlight w:val="none"/>
        </w:rPr>
        <w:fldChar w:fldCharType="begin"/>
      </w:r>
      <w:r>
        <w:rPr>
          <w:color w:val="auto"/>
          <w:highlight w:val="none"/>
        </w:rPr>
        <w:instrText xml:space="preserve"> HYPERLINK \l "_Toc14625" </w:instrText>
      </w:r>
      <w:r>
        <w:rPr>
          <w:color w:val="auto"/>
          <w:highlight w:val="none"/>
        </w:rPr>
        <w:fldChar w:fldCharType="separate"/>
      </w:r>
      <w:r>
        <w:rPr>
          <w:rFonts w:hint="eastAsia" w:ascii="宋体" w:hAnsi="宋体" w:cs="宋体"/>
          <w:color w:val="auto"/>
          <w:sz w:val="21"/>
          <w:szCs w:val="21"/>
          <w:highlight w:val="none"/>
        </w:rPr>
        <w:t>第四部分  磋商办法及评分标准</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lang w:val="en-US" w:eastAsia="zh-CN"/>
        </w:rPr>
        <w:t>55</w:t>
      </w:r>
    </w:p>
    <w:p>
      <w:pPr>
        <w:pStyle w:val="32"/>
        <w:tabs>
          <w:tab w:val="right" w:leader="dot" w:pos="9638"/>
        </w:tabs>
        <w:snapToGrid w:val="0"/>
        <w:spacing w:before="0" w:after="0" w:line="480" w:lineRule="auto"/>
        <w:rPr>
          <w:rFonts w:hint="default" w:ascii="宋体" w:hAnsi="宋体" w:eastAsia="宋体" w:cs="宋体"/>
          <w:color w:val="auto"/>
          <w:sz w:val="21"/>
          <w:szCs w:val="21"/>
          <w:highlight w:val="none"/>
          <w:lang w:val="en-US" w:eastAsia="zh-CN"/>
        </w:rPr>
      </w:pPr>
      <w:r>
        <w:rPr>
          <w:color w:val="auto"/>
          <w:highlight w:val="none"/>
        </w:rPr>
        <w:fldChar w:fldCharType="begin"/>
      </w:r>
      <w:r>
        <w:rPr>
          <w:color w:val="auto"/>
          <w:highlight w:val="none"/>
        </w:rPr>
        <w:instrText xml:space="preserve"> HYPERLINK \l "_Toc19020" </w:instrText>
      </w:r>
      <w:r>
        <w:rPr>
          <w:color w:val="auto"/>
          <w:highlight w:val="none"/>
        </w:rPr>
        <w:fldChar w:fldCharType="separate"/>
      </w:r>
      <w:r>
        <w:rPr>
          <w:rFonts w:hint="eastAsia" w:ascii="宋体" w:hAnsi="宋体" w:cs="宋体"/>
          <w:color w:val="auto"/>
          <w:sz w:val="21"/>
          <w:szCs w:val="21"/>
          <w:highlight w:val="none"/>
        </w:rPr>
        <w:t>第五部分  合同主要条款</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lang w:val="en-US" w:eastAsia="zh-CN"/>
        </w:rPr>
        <w:t>63</w:t>
      </w:r>
    </w:p>
    <w:p>
      <w:pPr>
        <w:pStyle w:val="32"/>
        <w:tabs>
          <w:tab w:val="right" w:leader="dot" w:pos="9638"/>
        </w:tabs>
        <w:snapToGrid w:val="0"/>
        <w:spacing w:before="0" w:after="0" w:line="480" w:lineRule="auto"/>
        <w:rPr>
          <w:rFonts w:hint="default" w:ascii="宋体" w:hAnsi="宋体" w:eastAsia="宋体" w:cs="宋体"/>
          <w:color w:val="auto"/>
          <w:sz w:val="21"/>
          <w:szCs w:val="21"/>
          <w:highlight w:val="none"/>
          <w:lang w:val="en-US" w:eastAsia="zh-CN"/>
        </w:rPr>
      </w:pPr>
      <w:r>
        <w:rPr>
          <w:color w:val="auto"/>
          <w:highlight w:val="none"/>
        </w:rPr>
        <w:fldChar w:fldCharType="begin"/>
      </w:r>
      <w:r>
        <w:rPr>
          <w:color w:val="auto"/>
          <w:highlight w:val="none"/>
        </w:rPr>
        <w:instrText xml:space="preserve"> HYPERLINK \l "_Toc28934" </w:instrText>
      </w:r>
      <w:r>
        <w:rPr>
          <w:color w:val="auto"/>
          <w:highlight w:val="none"/>
        </w:rPr>
        <w:fldChar w:fldCharType="separate"/>
      </w:r>
      <w:r>
        <w:rPr>
          <w:rFonts w:hint="eastAsia" w:ascii="宋体" w:hAnsi="宋体" w:cs="宋体"/>
          <w:color w:val="auto"/>
          <w:sz w:val="21"/>
          <w:szCs w:val="21"/>
          <w:highlight w:val="none"/>
        </w:rPr>
        <w:t>第六部分  应递交的响应文件格式范例</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lang w:val="en-US" w:eastAsia="zh-CN"/>
        </w:rPr>
        <w:t>66</w:t>
      </w:r>
    </w:p>
    <w:p>
      <w:pPr>
        <w:snapToGrid w:val="0"/>
        <w:spacing w:line="480" w:lineRule="auto"/>
        <w:jc w:val="both"/>
        <w:rPr>
          <w:rFonts w:hAnsi="宋体" w:cs="宋体"/>
          <w:color w:val="auto"/>
          <w:sz w:val="21"/>
          <w:szCs w:val="21"/>
          <w:highlight w:val="none"/>
        </w:rPr>
      </w:pPr>
      <w:r>
        <w:rPr>
          <w:rFonts w:hint="eastAsia" w:hAnsi="宋体" w:cs="宋体"/>
          <w:color w:val="auto"/>
          <w:sz w:val="21"/>
          <w:szCs w:val="21"/>
          <w:highlight w:val="none"/>
        </w:rPr>
        <w:fldChar w:fldCharType="end"/>
      </w:r>
    </w:p>
    <w:p>
      <w:pPr>
        <w:snapToGrid w:val="0"/>
        <w:spacing w:line="480" w:lineRule="auto"/>
        <w:jc w:val="both"/>
        <w:rPr>
          <w:rFonts w:hAnsi="宋体" w:cs="宋体"/>
          <w:b/>
          <w:color w:val="auto"/>
          <w:sz w:val="21"/>
          <w:highlight w:val="none"/>
        </w:rPr>
      </w:pPr>
      <w:r>
        <w:rPr>
          <w:rFonts w:hint="eastAsia" w:hAnsi="宋体" w:cs="宋体"/>
          <w:b/>
          <w:color w:val="auto"/>
          <w:sz w:val="21"/>
          <w:highlight w:val="none"/>
        </w:rPr>
        <w:t>为确保招投标活动的公开、公平、公正，切实维护各方合法权益，凡在招标投标、开标评标过程中，受到敲诈、勒索或发现围标串标、虚假投标、恶意竞标等涉黑涉恶线索者，请及时保留相关证据并向有关部门举报！</w:t>
      </w:r>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Ansi="宋体" w:cs="宋体"/>
          <w:b/>
          <w:color w:val="auto"/>
          <w:sz w:val="21"/>
          <w:highlight w:val="none"/>
        </w:rPr>
      </w:pPr>
      <w:r>
        <w:rPr>
          <w:rFonts w:hint="eastAsia" w:hAnsi="宋体" w:cs="宋体"/>
          <w:b/>
          <w:color w:val="auto"/>
          <w:sz w:val="21"/>
          <w:highlight w:val="none"/>
        </w:rPr>
        <w:t>举报电话：</w:t>
      </w:r>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Ansi="宋体" w:cs="宋体"/>
          <w:b/>
          <w:color w:val="auto"/>
          <w:sz w:val="21"/>
          <w:highlight w:val="none"/>
        </w:rPr>
      </w:pPr>
      <w:r>
        <w:rPr>
          <w:rFonts w:hint="eastAsia" w:hAnsi="宋体" w:cs="宋体"/>
          <w:b/>
          <w:color w:val="auto"/>
          <w:sz w:val="21"/>
          <w:highlight w:val="none"/>
        </w:rPr>
        <w:t>市扫黑办  0579-82495227</w:t>
      </w:r>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Ansi="宋体" w:cs="宋体"/>
          <w:b/>
          <w:color w:val="auto"/>
          <w:sz w:val="21"/>
          <w:highlight w:val="none"/>
        </w:rPr>
      </w:pPr>
      <w:r>
        <w:rPr>
          <w:rFonts w:hint="eastAsia" w:hAnsi="宋体" w:cs="宋体"/>
          <w:b/>
          <w:color w:val="auto"/>
          <w:sz w:val="21"/>
          <w:highlight w:val="none"/>
        </w:rPr>
        <w:t>市公安局  110、0579-82512110</w:t>
      </w:r>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Ansi="宋体" w:cs="宋体"/>
          <w:b/>
          <w:color w:val="auto"/>
          <w:sz w:val="21"/>
          <w:highlight w:val="none"/>
        </w:rPr>
      </w:pPr>
      <w:r>
        <w:rPr>
          <w:rFonts w:hint="eastAsia" w:hAnsi="宋体" w:cs="宋体"/>
          <w:b/>
          <w:color w:val="auto"/>
          <w:sz w:val="21"/>
          <w:highlight w:val="none"/>
        </w:rPr>
        <w:t>市检察院  0579-82537082</w:t>
      </w:r>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Ansi="宋体" w:cs="宋体"/>
          <w:b/>
          <w:color w:val="auto"/>
          <w:sz w:val="21"/>
          <w:highlight w:val="none"/>
        </w:rPr>
      </w:pPr>
      <w:r>
        <w:rPr>
          <w:rFonts w:hint="eastAsia" w:hAnsi="宋体" w:cs="宋体"/>
          <w:b/>
          <w:color w:val="auto"/>
          <w:sz w:val="21"/>
          <w:highlight w:val="none"/>
        </w:rPr>
        <w:t>市 法 院  0579-82688725</w:t>
      </w:r>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Ansi="宋体" w:cs="宋体"/>
          <w:b/>
          <w:color w:val="auto"/>
          <w:sz w:val="21"/>
          <w:highlight w:val="none"/>
        </w:rPr>
      </w:pPr>
      <w:r>
        <w:rPr>
          <w:rFonts w:hint="eastAsia" w:hAnsi="宋体" w:cs="宋体"/>
          <w:b/>
          <w:color w:val="auto"/>
          <w:sz w:val="21"/>
          <w:highlight w:val="none"/>
        </w:rPr>
        <w:t>市公共资源交易管理办公室  0579-82469285</w:t>
      </w:r>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Ansi="宋体" w:cs="宋体"/>
          <w:b/>
          <w:color w:val="auto"/>
          <w:sz w:val="21"/>
          <w:highlight w:val="none"/>
        </w:rPr>
      </w:pPr>
      <w:r>
        <w:rPr>
          <w:rFonts w:hint="eastAsia" w:hAnsi="宋体" w:cs="宋体"/>
          <w:b/>
          <w:color w:val="auto"/>
          <w:sz w:val="21"/>
          <w:highlight w:val="none"/>
        </w:rPr>
        <w:t>市公共资源交易中心  0579-83187211</w:t>
      </w:r>
    </w:p>
    <w:p>
      <w:pPr>
        <w:spacing w:line="480" w:lineRule="auto"/>
        <w:ind w:firstLine="211" w:firstLineChars="100"/>
        <w:jc w:val="both"/>
        <w:rPr>
          <w:rFonts w:hAnsi="宋体" w:cs="宋体"/>
          <w:b/>
          <w:bCs/>
          <w:color w:val="auto"/>
          <w:sz w:val="21"/>
          <w:szCs w:val="21"/>
          <w:highlight w:val="none"/>
        </w:rPr>
      </w:pPr>
      <w:bookmarkStart w:id="1" w:name="_Toc237193452"/>
      <w:bookmarkStart w:id="2" w:name="_Toc237414001"/>
      <w:bookmarkStart w:id="3" w:name="_Toc237413905"/>
      <w:bookmarkStart w:id="4" w:name="_Toc237189781"/>
      <w:bookmarkStart w:id="5" w:name="_Toc237340100"/>
      <w:r>
        <w:rPr>
          <w:rFonts w:hint="eastAsia" w:hAnsi="宋体" w:cs="宋体"/>
          <w:b/>
          <w:bCs/>
          <w:color w:val="auto"/>
          <w:sz w:val="21"/>
          <w:szCs w:val="21"/>
          <w:highlight w:val="none"/>
        </w:rPr>
        <w:t>温馨提示：</w:t>
      </w:r>
    </w:p>
    <w:p>
      <w:pPr>
        <w:numPr>
          <w:ilvl w:val="0"/>
          <w:numId w:val="2"/>
        </w:numPr>
        <w:spacing w:line="380" w:lineRule="exact"/>
        <w:jc w:val="both"/>
        <w:rPr>
          <w:rFonts w:hAnsi="宋体" w:cs="宋体"/>
          <w:b/>
          <w:color w:val="auto"/>
          <w:sz w:val="21"/>
          <w:szCs w:val="21"/>
          <w:highlight w:val="none"/>
        </w:rPr>
      </w:pPr>
      <w:r>
        <w:rPr>
          <w:rFonts w:hint="eastAsia" w:hAnsi="宋体" w:cs="宋体"/>
          <w:b/>
          <w:color w:val="auto"/>
          <w:sz w:val="21"/>
          <w:szCs w:val="21"/>
          <w:highlight w:val="none"/>
        </w:rPr>
        <w:t>响应供应商不得向采购人、政府采购工作人员、磋商小组专家行贿，违者一经查实，将列入政府采购黑名单！</w:t>
      </w:r>
    </w:p>
    <w:p>
      <w:pPr>
        <w:numPr>
          <w:ilvl w:val="0"/>
          <w:numId w:val="2"/>
        </w:numPr>
        <w:spacing w:line="380" w:lineRule="exact"/>
        <w:jc w:val="both"/>
        <w:rPr>
          <w:rFonts w:hAnsi="宋体" w:cs="宋体"/>
          <w:b/>
          <w:color w:val="auto"/>
          <w:sz w:val="21"/>
          <w:szCs w:val="21"/>
          <w:highlight w:val="none"/>
        </w:rPr>
      </w:pPr>
      <w:r>
        <w:rPr>
          <w:rFonts w:hint="eastAsia" w:hAnsi="宋体" w:cs="宋体"/>
          <w:b/>
          <w:color w:val="auto"/>
          <w:sz w:val="21"/>
          <w:szCs w:val="21"/>
          <w:highlight w:val="none"/>
        </w:rPr>
        <w:t>响应供应商可在政采云平台（http://zfcg.czt.zj.gov.cn/）进行免费注册成为正式供应商，具体详见网站响应供应商注册要求，否则将无法参加投标。</w:t>
      </w:r>
    </w:p>
    <w:p>
      <w:pPr>
        <w:tabs>
          <w:tab w:val="left" w:pos="0"/>
        </w:tabs>
        <w:spacing w:line="380" w:lineRule="exact"/>
        <w:ind w:left="562"/>
        <w:jc w:val="both"/>
        <w:rPr>
          <w:rFonts w:hAnsi="宋体" w:cs="宋体"/>
          <w:b/>
          <w:color w:val="auto"/>
          <w:sz w:val="21"/>
          <w:szCs w:val="21"/>
          <w:highlight w:val="none"/>
        </w:rPr>
      </w:pPr>
      <w:r>
        <w:rPr>
          <w:rFonts w:hint="eastAsia" w:hAnsi="宋体" w:cs="宋体"/>
          <w:b/>
          <w:color w:val="auto"/>
          <w:sz w:val="21"/>
          <w:szCs w:val="21"/>
          <w:highlight w:val="none"/>
        </w:rPr>
        <w:t>（注：请认真阅读此竞争性磋商文件，并按规定制作磋商响应文件，否则我们的努力将是徒劳。）</w:t>
      </w:r>
    </w:p>
    <w:p>
      <w:pPr>
        <w:tabs>
          <w:tab w:val="left" w:pos="0"/>
        </w:tabs>
        <w:spacing w:line="380" w:lineRule="exact"/>
        <w:ind w:left="562"/>
        <w:jc w:val="both"/>
        <w:rPr>
          <w:rFonts w:hAnsi="宋体" w:cs="宋体"/>
          <w:b/>
          <w:color w:val="auto"/>
          <w:sz w:val="21"/>
          <w:szCs w:val="21"/>
          <w:highlight w:val="none"/>
        </w:rPr>
        <w:sectPr>
          <w:footerReference r:id="rId8" w:type="default"/>
          <w:pgSz w:w="11906" w:h="16838"/>
          <w:pgMar w:top="1440" w:right="1800" w:bottom="1440" w:left="1800" w:header="851" w:footer="992" w:gutter="0"/>
          <w:pgNumType w:start="1"/>
          <w:cols w:space="425" w:num="1"/>
          <w:docGrid w:type="lines" w:linePitch="312" w:charSpace="0"/>
        </w:sectPr>
      </w:pPr>
    </w:p>
    <w:p>
      <w:pPr>
        <w:pStyle w:val="2"/>
      </w:pPr>
    </w:p>
    <w:bookmarkEnd w:id="0"/>
    <w:bookmarkEnd w:id="1"/>
    <w:bookmarkEnd w:id="2"/>
    <w:bookmarkEnd w:id="3"/>
    <w:bookmarkEnd w:id="4"/>
    <w:bookmarkEnd w:id="5"/>
    <w:p>
      <w:pPr>
        <w:pStyle w:val="2"/>
        <w:spacing w:line="360" w:lineRule="auto"/>
        <w:jc w:val="center"/>
        <w:rPr>
          <w:rFonts w:hAnsi="宋体" w:cs="宋体"/>
          <w:color w:val="auto"/>
          <w:sz w:val="30"/>
          <w:szCs w:val="30"/>
          <w:highlight w:val="none"/>
        </w:rPr>
      </w:pPr>
      <w:bookmarkStart w:id="6" w:name="_Toc205638623"/>
      <w:bookmarkStart w:id="7" w:name="_Toc237176505"/>
      <w:bookmarkStart w:id="8" w:name="_Toc217289129"/>
      <w:bookmarkStart w:id="9" w:name="_Toc295737623"/>
      <w:bookmarkStart w:id="10" w:name="_Toc237193453"/>
      <w:bookmarkStart w:id="11" w:name="_Toc264211065"/>
      <w:bookmarkStart w:id="12" w:name="_Toc237182501"/>
      <w:bookmarkStart w:id="13" w:name="_Toc184785918"/>
      <w:bookmarkStart w:id="14" w:name="_Toc237413906"/>
      <w:bookmarkStart w:id="15" w:name="_Toc265065977"/>
      <w:bookmarkStart w:id="16" w:name="_Toc237189782"/>
      <w:bookmarkStart w:id="17" w:name="_Toc295910871"/>
      <w:bookmarkStart w:id="18" w:name="_Toc237340101"/>
      <w:bookmarkStart w:id="19" w:name="_Toc296074334"/>
      <w:bookmarkStart w:id="20" w:name="_Toc237414002"/>
      <w:bookmarkStart w:id="21" w:name="_Toc256977533"/>
      <w:bookmarkStart w:id="22" w:name="_Toc30124"/>
      <w:r>
        <w:rPr>
          <w:rFonts w:hint="eastAsia" w:hAnsi="宋体" w:cs="宋体"/>
          <w:color w:val="auto"/>
          <w:sz w:val="30"/>
          <w:szCs w:val="30"/>
          <w:highlight w:val="none"/>
        </w:rPr>
        <w:t>第一部分</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hint="eastAsia" w:hAnsi="宋体" w:cs="宋体"/>
          <w:color w:val="auto"/>
          <w:sz w:val="30"/>
          <w:szCs w:val="30"/>
          <w:highlight w:val="none"/>
        </w:rPr>
        <w:t xml:space="preserve"> 竞争性磋商公告</w:t>
      </w:r>
      <w:bookmarkEnd w:id="22"/>
    </w:p>
    <w:p>
      <w:pPr>
        <w:pBdr>
          <w:top w:val="single" w:color="auto" w:sz="4" w:space="1"/>
          <w:left w:val="single" w:color="auto" w:sz="4" w:space="4"/>
          <w:bottom w:val="single" w:color="auto" w:sz="4" w:space="1"/>
          <w:right w:val="single" w:color="auto" w:sz="4" w:space="4"/>
        </w:pBdr>
        <w:snapToGrid w:val="0"/>
        <w:spacing w:line="42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项目概况</w:t>
      </w:r>
    </w:p>
    <w:p>
      <w:pPr>
        <w:pBdr>
          <w:top w:val="single" w:color="auto" w:sz="4" w:space="1"/>
          <w:left w:val="single" w:color="auto" w:sz="4" w:space="4"/>
          <w:bottom w:val="single" w:color="auto" w:sz="4" w:space="1"/>
          <w:right w:val="single" w:color="auto" w:sz="4" w:space="4"/>
        </w:pBdr>
        <w:spacing w:line="42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金华市财政局关于财政深化应用平台信创改造项目的潜在供应商应在浙江省“政采云”平台获取</w:t>
      </w:r>
      <w:r>
        <w:rPr>
          <w:rFonts w:hint="eastAsia" w:hAnsi="宋体" w:cs="宋体"/>
          <w:b/>
          <w:bCs/>
          <w:color w:val="auto"/>
          <w:sz w:val="21"/>
          <w:szCs w:val="21"/>
          <w:highlight w:val="none"/>
        </w:rPr>
        <w:t>磋商采购文件</w:t>
      </w:r>
      <w:r>
        <w:rPr>
          <w:rFonts w:hint="eastAsia" w:hAnsi="宋体" w:cs="宋体"/>
          <w:color w:val="auto"/>
          <w:sz w:val="21"/>
          <w:szCs w:val="21"/>
          <w:highlight w:val="none"/>
        </w:rPr>
        <w:t>，并于</w:t>
      </w:r>
      <w:r>
        <w:rPr>
          <w:rFonts w:hint="eastAsia" w:hAnsi="宋体" w:cs="宋体"/>
          <w:color w:val="auto"/>
          <w:sz w:val="21"/>
          <w:szCs w:val="21"/>
          <w:highlight w:val="none"/>
          <w:u w:val="single"/>
        </w:rPr>
        <w:t xml:space="preserve"> 2024年</w:t>
      </w:r>
      <w:r>
        <w:rPr>
          <w:rFonts w:hint="eastAsia" w:hAnsi="宋体" w:cs="宋体"/>
          <w:color w:val="auto"/>
          <w:sz w:val="21"/>
          <w:szCs w:val="21"/>
          <w:highlight w:val="none"/>
          <w:u w:val="single"/>
          <w:lang w:val="en-US" w:eastAsia="zh-CN"/>
        </w:rPr>
        <w:t>6</w:t>
      </w:r>
      <w:r>
        <w:rPr>
          <w:rFonts w:hint="eastAsia" w:hAnsi="宋体" w:cs="宋体"/>
          <w:color w:val="auto"/>
          <w:sz w:val="21"/>
          <w:szCs w:val="21"/>
          <w:highlight w:val="none"/>
          <w:u w:val="single"/>
        </w:rPr>
        <w:t>月</w:t>
      </w:r>
      <w:r>
        <w:rPr>
          <w:rFonts w:hint="eastAsia" w:hAnsi="宋体" w:cs="宋体"/>
          <w:color w:val="auto"/>
          <w:sz w:val="21"/>
          <w:szCs w:val="21"/>
          <w:highlight w:val="none"/>
          <w:u w:val="single"/>
          <w:lang w:val="en-US" w:eastAsia="zh-CN"/>
        </w:rPr>
        <w:t>03</w:t>
      </w:r>
      <w:r>
        <w:rPr>
          <w:rFonts w:hint="eastAsia" w:hAnsi="宋体" w:cs="宋体"/>
          <w:color w:val="auto"/>
          <w:sz w:val="21"/>
          <w:szCs w:val="21"/>
          <w:highlight w:val="none"/>
          <w:u w:val="single"/>
        </w:rPr>
        <w:t>日</w:t>
      </w:r>
      <w:r>
        <w:rPr>
          <w:rFonts w:hint="eastAsia" w:hAnsi="宋体" w:cs="宋体"/>
          <w:bCs/>
          <w:color w:val="auto"/>
          <w:sz w:val="21"/>
          <w:szCs w:val="21"/>
          <w:highlight w:val="none"/>
          <w:u w:val="single"/>
          <w:lang w:val="en-US" w:eastAsia="zh-CN"/>
        </w:rPr>
        <w:t>09</w:t>
      </w:r>
      <w:r>
        <w:rPr>
          <w:rFonts w:hint="eastAsia" w:hAnsi="宋体" w:cs="宋体"/>
          <w:bCs/>
          <w:color w:val="auto"/>
          <w:sz w:val="21"/>
          <w:szCs w:val="21"/>
          <w:highlight w:val="none"/>
          <w:u w:val="single"/>
        </w:rPr>
        <w:t>点</w:t>
      </w:r>
      <w:r>
        <w:rPr>
          <w:rFonts w:hint="eastAsia" w:hAnsi="宋体" w:cs="宋体"/>
          <w:bCs/>
          <w:color w:val="auto"/>
          <w:sz w:val="21"/>
          <w:szCs w:val="21"/>
          <w:highlight w:val="none"/>
          <w:u w:val="single"/>
          <w:lang w:val="en-US" w:eastAsia="zh-CN"/>
        </w:rPr>
        <w:t>3</w:t>
      </w:r>
      <w:r>
        <w:rPr>
          <w:rFonts w:hint="eastAsia" w:hAnsi="宋体" w:cs="宋体"/>
          <w:bCs/>
          <w:color w:val="auto"/>
          <w:sz w:val="21"/>
          <w:szCs w:val="21"/>
          <w:highlight w:val="none"/>
          <w:u w:val="single"/>
        </w:rPr>
        <w:t>0分（</w:t>
      </w:r>
      <w:r>
        <w:rPr>
          <w:rFonts w:hint="eastAsia" w:hAnsi="宋体" w:cs="宋体"/>
          <w:bCs/>
          <w:color w:val="auto"/>
          <w:sz w:val="21"/>
          <w:szCs w:val="21"/>
          <w:highlight w:val="none"/>
        </w:rPr>
        <w:t>北京时间）前上传</w:t>
      </w:r>
      <w:r>
        <w:rPr>
          <w:rFonts w:hint="eastAsia" w:hAnsi="宋体" w:cs="宋体"/>
          <w:color w:val="auto"/>
          <w:sz w:val="21"/>
          <w:szCs w:val="21"/>
          <w:highlight w:val="none"/>
        </w:rPr>
        <w:t>磋商响应文件。</w:t>
      </w:r>
    </w:p>
    <w:p>
      <w:pPr>
        <w:pStyle w:val="41"/>
        <w:shd w:val="clear" w:color="auto" w:fill="FFFFFF"/>
        <w:adjustRightInd w:val="0"/>
        <w:snapToGrid w:val="0"/>
        <w:spacing w:before="0" w:beforeAutospacing="0" w:after="0" w:afterAutospacing="0" w:line="420" w:lineRule="exact"/>
        <w:rPr>
          <w:color w:val="auto"/>
          <w:sz w:val="21"/>
          <w:szCs w:val="21"/>
          <w:highlight w:val="none"/>
        </w:rPr>
      </w:pPr>
      <w:r>
        <w:rPr>
          <w:rFonts w:hint="eastAsia"/>
          <w:b/>
          <w:bCs/>
          <w:color w:val="auto"/>
          <w:sz w:val="21"/>
          <w:szCs w:val="21"/>
          <w:highlight w:val="none"/>
        </w:rPr>
        <w:t>一、项目基本情况</w:t>
      </w:r>
    </w:p>
    <w:p>
      <w:pPr>
        <w:pStyle w:val="41"/>
        <w:shd w:val="clear" w:color="auto" w:fill="FFFFFF"/>
        <w:adjustRightInd w:val="0"/>
        <w:snapToGrid w:val="0"/>
        <w:spacing w:before="0" w:beforeAutospacing="0" w:after="0" w:afterAutospacing="0" w:line="42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项目编号：</w:t>
      </w:r>
      <w:r>
        <w:rPr>
          <w:rFonts w:hint="eastAsia"/>
          <w:color w:val="auto"/>
          <w:sz w:val="21"/>
          <w:szCs w:val="21"/>
          <w:highlight w:val="none"/>
          <w:lang w:eastAsia="zh-CN"/>
        </w:rPr>
        <w:t>TY2024-FW107-ZFCG107</w:t>
      </w:r>
    </w:p>
    <w:p>
      <w:pPr>
        <w:tabs>
          <w:tab w:val="left" w:pos="1260"/>
        </w:tabs>
        <w:autoSpaceDE/>
        <w:autoSpaceDN/>
        <w:adjustRightInd/>
        <w:snapToGrid w:val="0"/>
        <w:spacing w:line="42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政府采购计划文号：</w:t>
      </w:r>
      <w:r>
        <w:rPr>
          <w:color w:val="auto"/>
          <w:highlight w:val="none"/>
        </w:rPr>
        <w:fldChar w:fldCharType="begin"/>
      </w:r>
      <w:r>
        <w:rPr>
          <w:color w:val="auto"/>
          <w:highlight w:val="none"/>
        </w:rPr>
        <w:instrText xml:space="preserve"> HYPERLINK "https://pay.zcygov.cn/purchaseplan_front/" \l "/plan/list/view?id=1000000000013634016&amp;_app_=zcy.procurement" \t "https://www.zcygov.cn/delegation-order/_procurement_/order/_blank" </w:instrText>
      </w:r>
      <w:r>
        <w:rPr>
          <w:color w:val="auto"/>
          <w:highlight w:val="none"/>
        </w:rPr>
        <w:fldChar w:fldCharType="separate"/>
      </w:r>
      <w:r>
        <w:rPr>
          <w:rFonts w:hint="eastAsia" w:hAnsi="宋体" w:cs="宋体"/>
          <w:color w:val="auto"/>
          <w:sz w:val="21"/>
          <w:szCs w:val="21"/>
          <w:highlight w:val="none"/>
        </w:rPr>
        <w:t>临[2024]1637号</w:t>
      </w:r>
      <w:r>
        <w:rPr>
          <w:rFonts w:hint="eastAsia" w:hAnsi="宋体" w:cs="宋体"/>
          <w:color w:val="auto"/>
          <w:sz w:val="21"/>
          <w:szCs w:val="21"/>
          <w:highlight w:val="none"/>
        </w:rPr>
        <w:fldChar w:fldCharType="end"/>
      </w:r>
    </w:p>
    <w:p>
      <w:pPr>
        <w:pStyle w:val="41"/>
        <w:shd w:val="clear" w:color="auto" w:fill="FFFFFF"/>
        <w:adjustRightInd w:val="0"/>
        <w:snapToGrid w:val="0"/>
        <w:spacing w:before="0" w:beforeAutospacing="0" w:after="0" w:afterAutospacing="0" w:line="420" w:lineRule="exact"/>
        <w:ind w:firstLine="420" w:firstLineChars="200"/>
        <w:rPr>
          <w:color w:val="auto"/>
          <w:sz w:val="21"/>
          <w:szCs w:val="21"/>
          <w:highlight w:val="none"/>
        </w:rPr>
      </w:pPr>
      <w:r>
        <w:rPr>
          <w:rFonts w:hint="eastAsia"/>
          <w:color w:val="auto"/>
          <w:sz w:val="21"/>
          <w:szCs w:val="21"/>
          <w:highlight w:val="none"/>
        </w:rPr>
        <w:t>采购组织类型：分散采购委托代理  </w:t>
      </w:r>
    </w:p>
    <w:p>
      <w:pPr>
        <w:pStyle w:val="41"/>
        <w:shd w:val="clear" w:color="auto" w:fill="FFFFFF"/>
        <w:adjustRightInd w:val="0"/>
        <w:snapToGrid w:val="0"/>
        <w:spacing w:before="0" w:beforeAutospacing="0" w:after="0" w:afterAutospacing="0" w:line="420" w:lineRule="exact"/>
        <w:ind w:firstLine="420" w:firstLineChars="200"/>
        <w:rPr>
          <w:color w:val="auto"/>
          <w:sz w:val="21"/>
          <w:szCs w:val="21"/>
          <w:highlight w:val="none"/>
        </w:rPr>
      </w:pPr>
      <w:r>
        <w:rPr>
          <w:rFonts w:hint="eastAsia"/>
          <w:color w:val="auto"/>
          <w:sz w:val="21"/>
          <w:szCs w:val="21"/>
          <w:highlight w:val="none"/>
        </w:rPr>
        <w:t>项目名称：财政深化应用平台信创改造项目 </w:t>
      </w:r>
    </w:p>
    <w:p>
      <w:pPr>
        <w:pStyle w:val="41"/>
        <w:shd w:val="clear" w:color="auto" w:fill="FFFFFF"/>
        <w:adjustRightInd w:val="0"/>
        <w:snapToGrid w:val="0"/>
        <w:spacing w:before="0" w:beforeAutospacing="0" w:after="0" w:afterAutospacing="0" w:line="420" w:lineRule="exact"/>
        <w:ind w:firstLine="420" w:firstLineChars="200"/>
        <w:rPr>
          <w:color w:val="auto"/>
          <w:sz w:val="21"/>
          <w:szCs w:val="21"/>
          <w:highlight w:val="none"/>
        </w:rPr>
      </w:pPr>
      <w:r>
        <w:rPr>
          <w:rFonts w:hint="eastAsia"/>
          <w:color w:val="auto"/>
          <w:sz w:val="21"/>
          <w:szCs w:val="21"/>
          <w:highlight w:val="none"/>
        </w:rPr>
        <w:t>采购方式：竞争性磋商</w:t>
      </w:r>
    </w:p>
    <w:p>
      <w:pPr>
        <w:pStyle w:val="41"/>
        <w:shd w:val="clear" w:color="auto" w:fill="FFFFFF"/>
        <w:adjustRightInd w:val="0"/>
        <w:snapToGrid w:val="0"/>
        <w:spacing w:before="0" w:beforeAutospacing="0" w:after="0" w:afterAutospacing="0" w:line="420" w:lineRule="exact"/>
        <w:ind w:firstLine="420" w:firstLineChars="200"/>
        <w:rPr>
          <w:color w:val="auto"/>
          <w:sz w:val="21"/>
          <w:szCs w:val="21"/>
          <w:highlight w:val="none"/>
        </w:rPr>
      </w:pPr>
      <w:r>
        <w:rPr>
          <w:rFonts w:hint="eastAsia"/>
          <w:color w:val="auto"/>
          <w:sz w:val="21"/>
          <w:szCs w:val="21"/>
          <w:highlight w:val="none"/>
        </w:rPr>
        <w:t>预算金额（人民币）：62.8万元</w:t>
      </w:r>
    </w:p>
    <w:p>
      <w:pPr>
        <w:pStyle w:val="41"/>
        <w:shd w:val="clear" w:color="auto" w:fill="FFFFFF"/>
        <w:adjustRightInd w:val="0"/>
        <w:snapToGrid w:val="0"/>
        <w:spacing w:before="0" w:beforeAutospacing="0" w:after="0" w:afterAutospacing="0" w:line="420" w:lineRule="exact"/>
        <w:ind w:firstLine="420" w:firstLineChars="200"/>
        <w:rPr>
          <w:color w:val="auto"/>
          <w:sz w:val="21"/>
          <w:szCs w:val="21"/>
          <w:highlight w:val="none"/>
        </w:rPr>
      </w:pPr>
      <w:r>
        <w:rPr>
          <w:rFonts w:hint="eastAsia"/>
          <w:color w:val="auto"/>
          <w:sz w:val="21"/>
          <w:szCs w:val="21"/>
          <w:highlight w:val="none"/>
        </w:rPr>
        <w:t>最高限价（人民币）：62.8万元</w:t>
      </w:r>
    </w:p>
    <w:p>
      <w:pPr>
        <w:pStyle w:val="41"/>
        <w:shd w:val="clear" w:color="auto" w:fill="FFFFFF"/>
        <w:adjustRightInd w:val="0"/>
        <w:snapToGrid w:val="0"/>
        <w:spacing w:before="0" w:beforeAutospacing="0" w:after="0" w:afterAutospacing="0" w:line="420" w:lineRule="exact"/>
        <w:ind w:firstLine="210" w:firstLineChars="100"/>
        <w:rPr>
          <w:color w:val="auto"/>
          <w:sz w:val="21"/>
          <w:szCs w:val="21"/>
          <w:highlight w:val="none"/>
        </w:rPr>
      </w:pPr>
      <w:r>
        <w:rPr>
          <w:rFonts w:hint="eastAsia"/>
          <w:color w:val="auto"/>
          <w:sz w:val="21"/>
          <w:szCs w:val="21"/>
          <w:highlight w:val="none"/>
        </w:rPr>
        <w:t xml:space="preserve">  采购需求：</w:t>
      </w:r>
    </w:p>
    <w:tbl>
      <w:tblPr>
        <w:tblStyle w:val="46"/>
        <w:tblW w:w="5097"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314"/>
        <w:gridCol w:w="3350"/>
        <w:gridCol w:w="829"/>
        <w:gridCol w:w="1215"/>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03" w:type="pct"/>
            <w:vAlign w:val="center"/>
          </w:tcPr>
          <w:p>
            <w:pPr>
              <w:snapToGrid w:val="0"/>
              <w:spacing w:line="360" w:lineRule="exact"/>
              <w:ind w:left="105" w:leftChars="31"/>
              <w:jc w:val="center"/>
              <w:rPr>
                <w:rFonts w:hAnsi="宋体" w:cs="宋体"/>
                <w:b/>
                <w:color w:val="auto"/>
                <w:sz w:val="21"/>
                <w:highlight w:val="none"/>
              </w:rPr>
            </w:pPr>
            <w:r>
              <w:rPr>
                <w:rFonts w:hint="eastAsia" w:hAnsi="宋体" w:cs="宋体"/>
                <w:b/>
                <w:color w:val="auto"/>
                <w:sz w:val="21"/>
                <w:highlight w:val="none"/>
              </w:rPr>
              <w:t>序号</w:t>
            </w:r>
          </w:p>
        </w:tc>
        <w:tc>
          <w:tcPr>
            <w:tcW w:w="756" w:type="pct"/>
            <w:vAlign w:val="center"/>
          </w:tcPr>
          <w:p>
            <w:pPr>
              <w:snapToGrid w:val="0"/>
              <w:spacing w:line="360" w:lineRule="exact"/>
              <w:ind w:firstLine="103" w:firstLineChars="49"/>
              <w:jc w:val="center"/>
              <w:rPr>
                <w:rFonts w:hAnsi="宋体" w:cs="宋体"/>
                <w:b/>
                <w:color w:val="auto"/>
                <w:sz w:val="21"/>
                <w:highlight w:val="none"/>
              </w:rPr>
            </w:pPr>
            <w:r>
              <w:rPr>
                <w:rFonts w:hint="eastAsia" w:hAnsi="宋体" w:cs="宋体"/>
                <w:b/>
                <w:color w:val="auto"/>
                <w:sz w:val="21"/>
                <w:highlight w:val="none"/>
              </w:rPr>
              <w:t>项目内容</w:t>
            </w:r>
          </w:p>
        </w:tc>
        <w:tc>
          <w:tcPr>
            <w:tcW w:w="1927" w:type="pct"/>
            <w:vAlign w:val="center"/>
          </w:tcPr>
          <w:p>
            <w:pPr>
              <w:snapToGrid w:val="0"/>
              <w:spacing w:line="360" w:lineRule="exact"/>
              <w:ind w:firstLine="207" w:firstLineChars="98"/>
              <w:jc w:val="center"/>
              <w:rPr>
                <w:rFonts w:hAnsi="宋体" w:cs="宋体"/>
                <w:b/>
                <w:color w:val="auto"/>
                <w:sz w:val="21"/>
                <w:highlight w:val="none"/>
              </w:rPr>
            </w:pPr>
            <w:r>
              <w:rPr>
                <w:rFonts w:hint="eastAsia" w:hAnsi="宋体" w:cs="宋体"/>
                <w:b/>
                <w:color w:val="auto"/>
                <w:sz w:val="21"/>
                <w:highlight w:val="none"/>
              </w:rPr>
              <w:t>技术要求</w:t>
            </w:r>
          </w:p>
        </w:tc>
        <w:tc>
          <w:tcPr>
            <w:tcW w:w="477" w:type="pct"/>
            <w:vAlign w:val="center"/>
          </w:tcPr>
          <w:p>
            <w:pPr>
              <w:snapToGrid w:val="0"/>
              <w:spacing w:line="360" w:lineRule="exact"/>
              <w:jc w:val="center"/>
              <w:rPr>
                <w:rFonts w:hAnsi="宋体" w:cs="宋体"/>
                <w:b/>
                <w:color w:val="auto"/>
                <w:sz w:val="21"/>
                <w:highlight w:val="none"/>
              </w:rPr>
            </w:pPr>
            <w:r>
              <w:rPr>
                <w:rFonts w:hint="eastAsia" w:hAnsi="宋体" w:cs="宋体"/>
                <w:b/>
                <w:color w:val="auto"/>
                <w:sz w:val="21"/>
                <w:highlight w:val="none"/>
              </w:rPr>
              <w:t>服务机构</w:t>
            </w:r>
          </w:p>
        </w:tc>
        <w:tc>
          <w:tcPr>
            <w:tcW w:w="699" w:type="pct"/>
            <w:vAlign w:val="center"/>
          </w:tcPr>
          <w:p>
            <w:pPr>
              <w:snapToGrid w:val="0"/>
              <w:spacing w:line="360" w:lineRule="exact"/>
              <w:jc w:val="center"/>
              <w:rPr>
                <w:rFonts w:hAnsi="宋体" w:cs="宋体"/>
                <w:b/>
                <w:color w:val="auto"/>
                <w:sz w:val="21"/>
                <w:highlight w:val="none"/>
              </w:rPr>
            </w:pPr>
            <w:r>
              <w:rPr>
                <w:rFonts w:hint="eastAsia" w:hAnsi="宋体" w:cs="宋体"/>
                <w:b/>
                <w:color w:val="auto"/>
                <w:sz w:val="21"/>
                <w:highlight w:val="none"/>
              </w:rPr>
              <w:t>服务期限</w:t>
            </w:r>
          </w:p>
        </w:tc>
        <w:tc>
          <w:tcPr>
            <w:tcW w:w="735" w:type="pct"/>
            <w:vAlign w:val="center"/>
          </w:tcPr>
          <w:p>
            <w:pPr>
              <w:snapToGrid w:val="0"/>
              <w:spacing w:line="360" w:lineRule="exact"/>
              <w:jc w:val="center"/>
              <w:rPr>
                <w:rFonts w:hAnsi="宋体" w:cs="宋体"/>
                <w:b/>
                <w:color w:val="auto"/>
                <w:sz w:val="21"/>
                <w:highlight w:val="none"/>
              </w:rPr>
            </w:pPr>
            <w:r>
              <w:rPr>
                <w:rFonts w:hint="eastAsia" w:hAnsi="宋体" w:cs="宋体"/>
                <w:b/>
                <w:color w:val="auto"/>
                <w:sz w:val="21"/>
                <w:highlight w:val="none"/>
              </w:rPr>
              <w:t>最高限价</w:t>
            </w:r>
          </w:p>
          <w:p>
            <w:pPr>
              <w:snapToGrid w:val="0"/>
              <w:spacing w:line="360" w:lineRule="exact"/>
              <w:jc w:val="center"/>
              <w:rPr>
                <w:rFonts w:hAnsi="宋体" w:cs="宋体"/>
                <w:b/>
                <w:color w:val="auto"/>
                <w:sz w:val="21"/>
                <w:highlight w:val="none"/>
              </w:rPr>
            </w:pPr>
            <w:r>
              <w:rPr>
                <w:rFonts w:hint="eastAsia" w:hAnsi="宋体" w:cs="宋体"/>
                <w:b/>
                <w:color w:val="auto"/>
                <w:sz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403" w:type="pct"/>
            <w:vAlign w:val="center"/>
          </w:tcPr>
          <w:p>
            <w:pPr>
              <w:snapToGrid w:val="0"/>
              <w:spacing w:line="360" w:lineRule="exact"/>
              <w:ind w:left="105" w:leftChars="31"/>
              <w:jc w:val="center"/>
              <w:rPr>
                <w:rFonts w:hAnsi="宋体" w:cs="宋体"/>
                <w:b/>
                <w:color w:val="auto"/>
                <w:sz w:val="21"/>
                <w:highlight w:val="none"/>
              </w:rPr>
            </w:pPr>
            <w:r>
              <w:rPr>
                <w:rFonts w:hint="eastAsia" w:hAnsi="宋体" w:cs="宋体"/>
                <w:b/>
                <w:color w:val="auto"/>
                <w:sz w:val="21"/>
                <w:highlight w:val="none"/>
              </w:rPr>
              <w:t>1</w:t>
            </w:r>
          </w:p>
        </w:tc>
        <w:tc>
          <w:tcPr>
            <w:tcW w:w="756" w:type="pct"/>
            <w:vAlign w:val="center"/>
          </w:tcPr>
          <w:p>
            <w:pPr>
              <w:pStyle w:val="41"/>
              <w:shd w:val="clear" w:color="auto" w:fill="FFFFFF"/>
              <w:spacing w:line="360" w:lineRule="exact"/>
              <w:jc w:val="center"/>
              <w:rPr>
                <w:color w:val="auto"/>
                <w:sz w:val="21"/>
                <w:szCs w:val="21"/>
                <w:highlight w:val="none"/>
              </w:rPr>
            </w:pPr>
            <w:r>
              <w:rPr>
                <w:rFonts w:hint="eastAsia"/>
                <w:color w:val="auto"/>
                <w:sz w:val="21"/>
                <w:szCs w:val="21"/>
                <w:highlight w:val="none"/>
              </w:rPr>
              <w:t>财政深化应用平台信创改造</w:t>
            </w:r>
          </w:p>
        </w:tc>
        <w:tc>
          <w:tcPr>
            <w:tcW w:w="1927" w:type="pct"/>
            <w:vAlign w:val="center"/>
          </w:tcPr>
          <w:p>
            <w:pPr>
              <w:numPr>
                <w:ilvl w:val="255"/>
                <w:numId w:val="0"/>
              </w:numPr>
              <w:snapToGrid w:val="0"/>
              <w:spacing w:line="460" w:lineRule="exact"/>
              <w:textAlignment w:val="auto"/>
              <w:rPr>
                <w:rFonts w:hAnsi="宋体" w:cs="宋体"/>
                <w:color w:val="auto"/>
                <w:sz w:val="21"/>
                <w:szCs w:val="21"/>
                <w:highlight w:val="none"/>
              </w:rPr>
            </w:pPr>
            <w:r>
              <w:rPr>
                <w:rFonts w:hint="eastAsia" w:hAnsi="宋体" w:cs="宋体"/>
                <w:color w:val="auto"/>
                <w:sz w:val="21"/>
                <w:szCs w:val="21"/>
                <w:highlight w:val="none"/>
              </w:rPr>
              <w:t>完成对预算编制、指标管理、非税收入、集中支付、会计核算、资产管理业务数据归集分析的功能迭代和信创改造，增加对土地出让金、行政审批业务数据归集分析，增加数据共享、一体化辅助工具、共同富裕等业务功能。彻底将《财政深化应用平台》打造成集数据资产管理、综合业务分析和创新业务支撑等功能的综合应用平台。具体详见“第二部分采购需求”中的采购内容</w:t>
            </w:r>
          </w:p>
        </w:tc>
        <w:tc>
          <w:tcPr>
            <w:tcW w:w="477" w:type="pct"/>
            <w:vAlign w:val="center"/>
          </w:tcPr>
          <w:p>
            <w:pPr>
              <w:snapToGrid w:val="0"/>
              <w:spacing w:line="360" w:lineRule="exact"/>
              <w:jc w:val="center"/>
              <w:rPr>
                <w:rFonts w:hAnsi="宋体" w:cs="宋体"/>
                <w:color w:val="auto"/>
                <w:sz w:val="21"/>
                <w:highlight w:val="none"/>
              </w:rPr>
            </w:pPr>
            <w:r>
              <w:rPr>
                <w:rFonts w:hint="eastAsia" w:hAnsi="宋体" w:cs="宋体"/>
                <w:color w:val="auto"/>
                <w:sz w:val="21"/>
                <w:highlight w:val="none"/>
              </w:rPr>
              <w:t>1项</w:t>
            </w:r>
          </w:p>
        </w:tc>
        <w:tc>
          <w:tcPr>
            <w:tcW w:w="699" w:type="pct"/>
            <w:vAlign w:val="center"/>
          </w:tcPr>
          <w:p>
            <w:pPr>
              <w:spacing w:line="500" w:lineRule="exact"/>
              <w:rPr>
                <w:rFonts w:hAnsi="宋体" w:cs="宋体"/>
                <w:color w:val="auto"/>
                <w:sz w:val="21"/>
                <w:szCs w:val="21"/>
                <w:highlight w:val="none"/>
              </w:rPr>
            </w:pPr>
            <w:r>
              <w:rPr>
                <w:rFonts w:hint="eastAsia" w:hAnsi="宋体" w:cs="宋体"/>
                <w:color w:val="auto"/>
                <w:sz w:val="21"/>
                <w:szCs w:val="21"/>
                <w:highlight w:val="none"/>
              </w:rPr>
              <w:t>本项目需在2024年11月底前完成主体开发并实施上线</w:t>
            </w:r>
          </w:p>
          <w:p>
            <w:pPr>
              <w:snapToGrid/>
              <w:spacing w:line="500" w:lineRule="exact"/>
              <w:jc w:val="left"/>
              <w:rPr>
                <w:rFonts w:hAnsi="宋体" w:cs="宋体"/>
                <w:color w:val="auto"/>
                <w:sz w:val="21"/>
                <w:highlight w:val="none"/>
              </w:rPr>
            </w:pPr>
          </w:p>
        </w:tc>
        <w:tc>
          <w:tcPr>
            <w:tcW w:w="735" w:type="pct"/>
            <w:vAlign w:val="center"/>
          </w:tcPr>
          <w:p>
            <w:pPr>
              <w:snapToGrid w:val="0"/>
              <w:spacing w:line="360" w:lineRule="exact"/>
              <w:jc w:val="center"/>
              <w:rPr>
                <w:rFonts w:hAnsi="宋体" w:cs="宋体"/>
                <w:color w:val="auto"/>
                <w:sz w:val="21"/>
                <w:highlight w:val="none"/>
              </w:rPr>
            </w:pPr>
            <w:r>
              <w:rPr>
                <w:rFonts w:hint="eastAsia" w:hAnsi="宋体" w:cs="宋体"/>
                <w:color w:val="auto"/>
                <w:sz w:val="21"/>
                <w:szCs w:val="21"/>
                <w:highlight w:val="none"/>
              </w:rPr>
              <w:t>62.8万元</w:t>
            </w:r>
          </w:p>
        </w:tc>
      </w:tr>
    </w:tbl>
    <w:p>
      <w:pPr>
        <w:adjustRightInd/>
        <w:spacing w:line="460" w:lineRule="exact"/>
        <w:rPr>
          <w:rFonts w:hAnsi="宋体" w:cs="宋体"/>
          <w:color w:val="auto"/>
          <w:sz w:val="21"/>
          <w:szCs w:val="21"/>
          <w:highlight w:val="none"/>
        </w:rPr>
      </w:pPr>
      <w:r>
        <w:rPr>
          <w:rFonts w:hint="eastAsia" w:hAnsi="宋体" w:cs="宋体"/>
          <w:color w:val="auto"/>
          <w:sz w:val="21"/>
          <w:szCs w:val="21"/>
          <w:highlight w:val="none"/>
        </w:rPr>
        <w:t xml:space="preserve">  </w:t>
      </w:r>
      <w:r>
        <w:rPr>
          <w:rFonts w:hint="eastAsia" w:hAnsi="宋体" w:cs="宋体"/>
          <w:b/>
          <w:bCs/>
          <w:color w:val="auto"/>
          <w:sz w:val="21"/>
          <w:szCs w:val="21"/>
          <w:highlight w:val="none"/>
        </w:rPr>
        <w:t>二、申请人的资格要求：</w:t>
      </w:r>
    </w:p>
    <w:p>
      <w:pPr>
        <w:tabs>
          <w:tab w:val="left" w:pos="1260"/>
        </w:tabs>
        <w:snapToGrid w:val="0"/>
        <w:spacing w:line="42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tabs>
          <w:tab w:val="left" w:pos="1260"/>
        </w:tabs>
        <w:autoSpaceDE/>
        <w:autoSpaceDN/>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2.落实政策：</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（1）落实政府采购政策需满足的资格要求：</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☐无；</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sym w:font="Wingdings" w:char="F0FE"/>
      </w:r>
      <w:r>
        <w:rPr>
          <w:rFonts w:hint="eastAsia" w:hAnsi="宋体" w:cs="宋体"/>
          <w:color w:val="auto"/>
          <w:sz w:val="21"/>
          <w:szCs w:val="21"/>
          <w:highlight w:val="none"/>
        </w:rPr>
        <w:t>专门面向中小企业；</w:t>
      </w:r>
    </w:p>
    <w:p>
      <w:pPr>
        <w:snapToGrid w:val="0"/>
        <w:spacing w:line="500" w:lineRule="exact"/>
        <w:ind w:firstLine="840" w:firstLineChars="400"/>
        <w:rPr>
          <w:rFonts w:hAnsi="宋体" w:cs="宋体"/>
          <w:color w:val="auto"/>
          <w:sz w:val="21"/>
          <w:szCs w:val="21"/>
          <w:highlight w:val="none"/>
          <w:u w:val="single"/>
        </w:rPr>
      </w:pPr>
      <w:r>
        <w:rPr>
          <w:rFonts w:hint="eastAsia" w:hAnsi="宋体" w:cs="宋体"/>
          <w:color w:val="auto"/>
          <w:sz w:val="21"/>
          <w:szCs w:val="21"/>
          <w:highlight w:val="none"/>
        </w:rPr>
        <w:sym w:font="Wingdings" w:char="00A8"/>
      </w:r>
      <w:r>
        <w:rPr>
          <w:rFonts w:hint="eastAsia" w:hAnsi="宋体" w:cs="宋体"/>
          <w:color w:val="auto"/>
          <w:sz w:val="21"/>
          <w:szCs w:val="21"/>
          <w:highlight w:val="none"/>
        </w:rPr>
        <w:t>货物全部由符合政策要求的中小企业制造，提供中小企业声明函；</w:t>
      </w:r>
    </w:p>
    <w:p>
      <w:pPr>
        <w:spacing w:line="500" w:lineRule="exact"/>
        <w:ind w:firstLine="840" w:firstLineChars="400"/>
        <w:rPr>
          <w:rFonts w:hAnsi="宋体" w:cs="宋体"/>
          <w:color w:val="auto"/>
          <w:sz w:val="21"/>
          <w:szCs w:val="21"/>
          <w:highlight w:val="none"/>
        </w:rPr>
      </w:pPr>
      <w:r>
        <w:rPr>
          <w:rFonts w:hint="eastAsia" w:hAnsi="宋体" w:cs="宋体"/>
          <w:color w:val="auto"/>
          <w:sz w:val="21"/>
          <w:szCs w:val="21"/>
          <w:highlight w:val="none"/>
        </w:rPr>
        <w:t>☐货物全部由符合政策要求的小微企业制造，提供中小企业声明函；</w:t>
      </w:r>
    </w:p>
    <w:p>
      <w:pPr>
        <w:spacing w:line="500" w:lineRule="exact"/>
        <w:ind w:firstLine="840" w:firstLineChars="400"/>
        <w:rPr>
          <w:rFonts w:hAnsi="宋体" w:cs="宋体"/>
          <w:color w:val="auto"/>
          <w:sz w:val="21"/>
          <w:szCs w:val="21"/>
          <w:highlight w:val="none"/>
          <w:u w:val="single"/>
        </w:rPr>
      </w:pPr>
      <w:r>
        <w:rPr>
          <w:rFonts w:hint="eastAsia" w:hAnsi="宋体" w:cs="宋体"/>
          <w:color w:val="auto"/>
          <w:sz w:val="21"/>
          <w:szCs w:val="21"/>
          <w:highlight w:val="none"/>
        </w:rPr>
        <w:sym w:font="Wingdings" w:char="00A8"/>
      </w:r>
      <w:r>
        <w:rPr>
          <w:rFonts w:hint="eastAsia" w:hAnsi="宋体" w:cs="宋体"/>
          <w:color w:val="auto"/>
          <w:sz w:val="21"/>
          <w:szCs w:val="21"/>
          <w:highlight w:val="none"/>
        </w:rPr>
        <w:t>工程全部由符合政策要求的中小企业承接，提供中小企业声明函；</w:t>
      </w:r>
    </w:p>
    <w:p>
      <w:pPr>
        <w:spacing w:line="500" w:lineRule="exact"/>
        <w:ind w:firstLine="840" w:firstLineChars="400"/>
        <w:rPr>
          <w:rFonts w:hAnsi="宋体" w:cs="宋体"/>
          <w:color w:val="auto"/>
          <w:sz w:val="21"/>
          <w:szCs w:val="21"/>
          <w:highlight w:val="none"/>
        </w:rPr>
      </w:pPr>
      <w:r>
        <w:rPr>
          <w:rFonts w:hint="eastAsia" w:hAnsi="宋体" w:cs="宋体"/>
          <w:color w:val="auto"/>
          <w:sz w:val="21"/>
          <w:szCs w:val="21"/>
          <w:highlight w:val="none"/>
        </w:rPr>
        <w:t>☐工程全部由符合政策要求的小微企业承接，提供中小企业声明函；</w:t>
      </w:r>
    </w:p>
    <w:p>
      <w:pPr>
        <w:spacing w:line="500" w:lineRule="exact"/>
        <w:ind w:firstLine="840" w:firstLineChars="400"/>
        <w:rPr>
          <w:rFonts w:hAnsi="宋体" w:cs="宋体"/>
          <w:color w:val="auto"/>
          <w:sz w:val="21"/>
          <w:szCs w:val="21"/>
          <w:highlight w:val="none"/>
        </w:rPr>
      </w:pPr>
      <w:r>
        <w:rPr>
          <w:rFonts w:hint="eastAsia" w:hAnsi="宋体" w:cs="宋体"/>
          <w:color w:val="auto"/>
          <w:sz w:val="21"/>
          <w:szCs w:val="21"/>
          <w:highlight w:val="none"/>
        </w:rPr>
        <w:sym w:font="Wingdings" w:char="F0FE"/>
      </w:r>
      <w:r>
        <w:rPr>
          <w:rFonts w:hint="eastAsia" w:hAnsi="宋体" w:cs="宋体"/>
          <w:color w:val="auto"/>
          <w:sz w:val="21"/>
          <w:szCs w:val="21"/>
          <w:highlight w:val="none"/>
        </w:rPr>
        <w:t>服务全部由符合政策要求的中小企业承接，提供中小企业声明函；</w:t>
      </w:r>
    </w:p>
    <w:p>
      <w:pPr>
        <w:spacing w:line="500" w:lineRule="exact"/>
        <w:ind w:firstLine="840" w:firstLineChars="400"/>
        <w:rPr>
          <w:rFonts w:hAnsi="宋体" w:cs="宋体"/>
          <w:color w:val="auto"/>
          <w:sz w:val="21"/>
          <w:szCs w:val="21"/>
          <w:highlight w:val="none"/>
        </w:rPr>
      </w:pPr>
      <w:r>
        <w:rPr>
          <w:rFonts w:hint="eastAsia" w:hAnsi="宋体" w:cs="宋体"/>
          <w:color w:val="auto"/>
          <w:sz w:val="21"/>
          <w:szCs w:val="21"/>
          <w:highlight w:val="none"/>
        </w:rPr>
        <w:t>☐服务全部由符合政策要求的小微企业承接，提供中小企业声明函；</w:t>
      </w:r>
    </w:p>
    <w:p>
      <w:pPr>
        <w:tabs>
          <w:tab w:val="left" w:pos="1260"/>
        </w:tabs>
        <w:autoSpaceDE/>
        <w:autoSpaceDN/>
        <w:adjustRightInd/>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pPr>
        <w:tabs>
          <w:tab w:val="left" w:pos="1260"/>
        </w:tabs>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3.本项目的其它特定资格要求:无</w:t>
      </w:r>
    </w:p>
    <w:p>
      <w:pPr>
        <w:tabs>
          <w:tab w:val="left" w:pos="1260"/>
        </w:tabs>
        <w:autoSpaceDE/>
        <w:autoSpaceDN/>
        <w:adjustRightInd/>
        <w:spacing w:line="500" w:lineRule="exact"/>
        <w:ind w:firstLine="420" w:firstLineChars="200"/>
        <w:jc w:val="both"/>
        <w:textAlignment w:val="auto"/>
        <w:rPr>
          <w:rFonts w:hAnsi="宋体" w:cs="宋体"/>
          <w:b/>
          <w:color w:val="auto"/>
          <w:sz w:val="21"/>
          <w:szCs w:val="21"/>
          <w:highlight w:val="none"/>
        </w:rPr>
      </w:pPr>
      <w:r>
        <w:rPr>
          <w:rFonts w:hint="eastAsia" w:hAnsi="宋体" w:cs="宋体"/>
          <w:bCs/>
          <w:color w:val="auto"/>
          <w:sz w:val="21"/>
          <w:szCs w:val="21"/>
          <w:highlight w:val="none"/>
        </w:rPr>
        <w:t>4</w:t>
      </w:r>
      <w:r>
        <w:rPr>
          <w:rFonts w:hint="eastAsia" w:hAnsi="宋体" w:cs="宋体"/>
          <w:b/>
          <w:color w:val="auto"/>
          <w:sz w:val="21"/>
          <w:szCs w:val="21"/>
          <w:highlight w:val="none"/>
        </w:rPr>
        <w:t>.</w:t>
      </w:r>
      <w:r>
        <w:rPr>
          <w:rFonts w:hint="eastAsia" w:hAnsi="宋体" w:cs="宋体"/>
          <w:color w:val="auto"/>
          <w:sz w:val="21"/>
          <w:szCs w:val="21"/>
          <w:highlight w:val="none"/>
        </w:rPr>
        <w:t>本项目不接受供应商以联合体形式参加磋商采购。</w:t>
      </w:r>
    </w:p>
    <w:p>
      <w:pPr>
        <w:tabs>
          <w:tab w:val="left" w:pos="1260"/>
        </w:tabs>
        <w:autoSpaceDE/>
        <w:autoSpaceDN/>
        <w:adjustRightInd/>
        <w:spacing w:line="500" w:lineRule="exact"/>
        <w:ind w:firstLine="422" w:firstLineChars="200"/>
        <w:jc w:val="both"/>
        <w:textAlignment w:val="auto"/>
        <w:rPr>
          <w:rFonts w:hAnsi="宋体" w:cs="宋体"/>
          <w:b/>
          <w:color w:val="auto"/>
          <w:sz w:val="21"/>
          <w:szCs w:val="21"/>
          <w:highlight w:val="none"/>
        </w:rPr>
      </w:pPr>
      <w:r>
        <w:rPr>
          <w:rFonts w:hint="eastAsia" w:hAnsi="宋体" w:cs="宋体"/>
          <w:b/>
          <w:color w:val="auto"/>
          <w:sz w:val="21"/>
          <w:szCs w:val="21"/>
          <w:highlight w:val="none"/>
        </w:rPr>
        <w:t>三、获取磋商文件（</w:t>
      </w:r>
      <w:r>
        <w:rPr>
          <w:rFonts w:hint="eastAsia" w:hAnsi="宋体" w:cs="宋体"/>
          <w:color w:val="auto"/>
          <w:sz w:val="21"/>
          <w:szCs w:val="21"/>
          <w:highlight w:val="none"/>
          <w:shd w:val="clear" w:color="auto" w:fill="FFFFFF"/>
        </w:rPr>
        <w:t>采购文件</w:t>
      </w:r>
      <w:r>
        <w:rPr>
          <w:rFonts w:hint="eastAsia" w:hAnsi="宋体" w:cs="宋体"/>
          <w:b/>
          <w:color w:val="auto"/>
          <w:sz w:val="21"/>
          <w:szCs w:val="21"/>
          <w:highlight w:val="none"/>
        </w:rPr>
        <w:t>）</w:t>
      </w:r>
    </w:p>
    <w:p>
      <w:pPr>
        <w:tabs>
          <w:tab w:val="left" w:pos="1260"/>
        </w:tabs>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1.时间：本项目公告发布之日起至2024年</w:t>
      </w:r>
      <w:r>
        <w:rPr>
          <w:rFonts w:hint="eastAsia" w:hAnsi="宋体" w:cs="宋体"/>
          <w:color w:val="auto"/>
          <w:sz w:val="21"/>
          <w:szCs w:val="21"/>
          <w:highlight w:val="none"/>
          <w:lang w:val="en-US" w:eastAsia="zh-CN"/>
        </w:rPr>
        <w:t>6</w:t>
      </w:r>
      <w:r>
        <w:rPr>
          <w:rFonts w:hint="eastAsia" w:hAnsi="宋体" w:cs="宋体"/>
          <w:color w:val="auto"/>
          <w:sz w:val="21"/>
          <w:szCs w:val="21"/>
          <w:highlight w:val="none"/>
        </w:rPr>
        <w:t>月</w:t>
      </w:r>
      <w:r>
        <w:rPr>
          <w:rFonts w:hint="eastAsia" w:hAnsi="宋体" w:cs="宋体"/>
          <w:color w:val="auto"/>
          <w:sz w:val="21"/>
          <w:szCs w:val="21"/>
          <w:highlight w:val="none"/>
          <w:lang w:val="en-US" w:eastAsia="zh-CN"/>
        </w:rPr>
        <w:t>03</w:t>
      </w:r>
      <w:r>
        <w:rPr>
          <w:rFonts w:hint="eastAsia" w:hAnsi="宋体" w:cs="宋体"/>
          <w:color w:val="auto"/>
          <w:sz w:val="21"/>
          <w:szCs w:val="21"/>
          <w:highlight w:val="none"/>
        </w:rPr>
        <w:t>日，每天上午 00:00至12:00 ，下午12:00至23:59（北京时间）</w:t>
      </w:r>
    </w:p>
    <w:p>
      <w:pPr>
        <w:pStyle w:val="41"/>
        <w:spacing w:before="0" w:beforeAutospacing="0" w:after="0" w:afterAutospacing="0" w:line="500" w:lineRule="exact"/>
        <w:ind w:firstLine="420" w:firstLineChars="200"/>
        <w:rPr>
          <w:color w:val="auto"/>
          <w:sz w:val="21"/>
          <w:szCs w:val="21"/>
          <w:highlight w:val="none"/>
          <w:shd w:val="clear" w:color="auto" w:fill="FFFFFF"/>
        </w:rPr>
      </w:pPr>
      <w:r>
        <w:rPr>
          <w:rFonts w:hint="eastAsia"/>
          <w:color w:val="auto"/>
          <w:sz w:val="21"/>
          <w:szCs w:val="21"/>
          <w:highlight w:val="none"/>
          <w:shd w:val="clear" w:color="auto" w:fill="FFFFFF"/>
        </w:rPr>
        <w:t>2. 采购文件获取地址及方式</w:t>
      </w:r>
    </w:p>
    <w:p>
      <w:pPr>
        <w:pStyle w:val="41"/>
        <w:spacing w:before="0" w:beforeAutospacing="0" w:after="0" w:afterAutospacing="0" w:line="500" w:lineRule="exact"/>
        <w:ind w:firstLine="420" w:firstLineChars="200"/>
        <w:rPr>
          <w:color w:val="auto"/>
          <w:sz w:val="21"/>
          <w:szCs w:val="21"/>
          <w:highlight w:val="none"/>
          <w:shd w:val="clear" w:color="auto" w:fill="FFFFFF"/>
        </w:rPr>
      </w:pPr>
      <w:r>
        <w:rPr>
          <w:rFonts w:hint="eastAsia"/>
          <w:color w:val="auto"/>
          <w:sz w:val="21"/>
          <w:szCs w:val="21"/>
          <w:highlight w:val="none"/>
          <w:shd w:val="clear" w:color="auto" w:fill="FFFFFF"/>
        </w:rPr>
        <w:t>（1）获取地址（网址）：政采云平台线上获取（</w:t>
      </w:r>
      <w:r>
        <w:rPr>
          <w:rFonts w:hint="eastAsia"/>
          <w:color w:val="auto"/>
          <w:highlight w:val="none"/>
        </w:rPr>
        <w:t>https://www.zcygov.cn）</w:t>
      </w:r>
      <w:r>
        <w:rPr>
          <w:rFonts w:hint="eastAsia"/>
          <w:color w:val="auto"/>
          <w:sz w:val="21"/>
          <w:szCs w:val="21"/>
          <w:highlight w:val="none"/>
          <w:shd w:val="clear" w:color="auto" w:fill="FFFFFF"/>
        </w:rPr>
        <w:t>。</w:t>
      </w:r>
    </w:p>
    <w:p>
      <w:pPr>
        <w:pStyle w:val="41"/>
        <w:spacing w:before="0" w:beforeAutospacing="0" w:after="0" w:afterAutospacing="0" w:line="500" w:lineRule="exact"/>
        <w:rPr>
          <w:color w:val="auto"/>
          <w:highlight w:val="none"/>
        </w:rPr>
      </w:pPr>
      <w:r>
        <w:rPr>
          <w:rFonts w:hint="eastAsia"/>
          <w:color w:val="auto"/>
          <w:sz w:val="21"/>
          <w:szCs w:val="21"/>
          <w:highlight w:val="none"/>
          <w:shd w:val="clear" w:color="auto" w:fill="FFFFFF"/>
        </w:rPr>
        <w:t>   （2）获取采购文件方式：供应商自行登录浙江省“政采云”平台（网址https://www.zcygov.cn）获取采购文件（供应商线上获取采购文件的流程：供应商登陆浙江省“政采云”平台并进入【项目采购】应用模块，点击左侧菜单的【获取采购文件】，点击对应项目的【申请获取采购文件】按钮，填写获取采购文件申请信息后，点右下角【确定】按钮提交）</w:t>
      </w:r>
    </w:p>
    <w:p>
      <w:pPr>
        <w:pStyle w:val="41"/>
        <w:spacing w:before="0" w:beforeAutospacing="0" w:after="0" w:afterAutospacing="0" w:line="500" w:lineRule="exact"/>
        <w:ind w:firstLine="420" w:firstLineChars="200"/>
        <w:rPr>
          <w:color w:val="auto"/>
          <w:sz w:val="21"/>
          <w:szCs w:val="21"/>
          <w:highlight w:val="none"/>
          <w:shd w:val="clear" w:color="auto" w:fill="FFFFFF"/>
        </w:rPr>
      </w:pPr>
      <w:r>
        <w:rPr>
          <w:rFonts w:hint="eastAsia"/>
          <w:color w:val="auto"/>
          <w:sz w:val="21"/>
          <w:szCs w:val="21"/>
          <w:highlight w:val="none"/>
          <w:shd w:val="clear" w:color="auto" w:fill="FFFFFF"/>
        </w:rPr>
        <w:t>（3）售价（元）：  0 </w:t>
      </w:r>
    </w:p>
    <w:p>
      <w:pPr>
        <w:spacing w:line="500" w:lineRule="exact"/>
        <w:ind w:firstLine="422" w:firstLineChars="200"/>
        <w:rPr>
          <w:rStyle w:val="49"/>
          <w:rFonts w:hAnsi="宋体" w:cs="宋体"/>
          <w:bCs w:val="0"/>
          <w:color w:val="auto"/>
          <w:sz w:val="24"/>
          <w:szCs w:val="24"/>
          <w:highlight w:val="none"/>
        </w:rPr>
      </w:pPr>
      <w:r>
        <w:rPr>
          <w:rStyle w:val="49"/>
          <w:rFonts w:hint="eastAsia" w:hAnsi="宋体" w:cs="宋体"/>
          <w:color w:val="auto"/>
          <w:sz w:val="21"/>
          <w:szCs w:val="21"/>
          <w:highlight w:val="none"/>
        </w:rPr>
        <w:t>注：（1）浙江政府采购网上随公告发布的采购文件仅供阅览；供应商应按上述方式获取采购文件；未按上述方式完成获取采购文件流程的，不得对采购文件提起质疑投诉。同时请供应商在参加投标前随时关注项目的可能更正公告情况。</w:t>
      </w:r>
    </w:p>
    <w:p>
      <w:pPr>
        <w:autoSpaceDE/>
        <w:autoSpaceDN/>
        <w:adjustRightInd/>
        <w:spacing w:line="500" w:lineRule="exact"/>
        <w:ind w:firstLine="422" w:firstLineChars="200"/>
        <w:jc w:val="both"/>
        <w:textAlignment w:val="auto"/>
        <w:rPr>
          <w:rFonts w:hAnsi="宋体" w:cs="宋体"/>
          <w:color w:val="auto"/>
          <w:highlight w:val="none"/>
        </w:rPr>
      </w:pPr>
      <w:r>
        <w:rPr>
          <w:rStyle w:val="49"/>
          <w:rFonts w:hint="eastAsia" w:hAnsi="宋体" w:cs="宋体"/>
          <w:color w:val="auto"/>
          <w:sz w:val="21"/>
          <w:szCs w:val="21"/>
          <w:highlight w:val="none"/>
        </w:rPr>
        <w:t>（2）采购代理机构将拒绝接受非报名人的投标文件（即“磋商响应文件”，下同）。</w:t>
      </w:r>
    </w:p>
    <w:p>
      <w:pPr>
        <w:tabs>
          <w:tab w:val="left" w:pos="1260"/>
        </w:tabs>
        <w:autoSpaceDE/>
        <w:autoSpaceDN/>
        <w:adjustRightInd/>
        <w:spacing w:line="500" w:lineRule="exact"/>
        <w:ind w:firstLine="422" w:firstLineChars="200"/>
        <w:jc w:val="both"/>
        <w:textAlignment w:val="auto"/>
        <w:rPr>
          <w:rFonts w:hAnsi="宋体" w:cs="宋体"/>
          <w:b/>
          <w:color w:val="auto"/>
          <w:sz w:val="21"/>
          <w:szCs w:val="21"/>
          <w:highlight w:val="none"/>
        </w:rPr>
      </w:pPr>
      <w:bookmarkStart w:id="23" w:name="_Toc28359082"/>
      <w:bookmarkStart w:id="24" w:name="_Toc28359005"/>
      <w:bookmarkStart w:id="25" w:name="_Toc35393624"/>
      <w:bookmarkStart w:id="26" w:name="_Toc35393793"/>
      <w:r>
        <w:rPr>
          <w:rFonts w:hint="eastAsia" w:hAnsi="宋体" w:cs="宋体"/>
          <w:b/>
          <w:color w:val="auto"/>
          <w:sz w:val="21"/>
          <w:szCs w:val="21"/>
          <w:highlight w:val="none"/>
        </w:rPr>
        <w:t>四、提交磋商响应文件</w:t>
      </w:r>
      <w:bookmarkEnd w:id="23"/>
      <w:bookmarkEnd w:id="24"/>
      <w:r>
        <w:rPr>
          <w:rFonts w:hint="eastAsia" w:hAnsi="宋体" w:cs="宋体"/>
          <w:b/>
          <w:color w:val="auto"/>
          <w:sz w:val="21"/>
          <w:szCs w:val="21"/>
          <w:highlight w:val="none"/>
        </w:rPr>
        <w:t>截止时间、开启时间和地点</w:t>
      </w:r>
      <w:bookmarkEnd w:id="25"/>
      <w:bookmarkEnd w:id="26"/>
    </w:p>
    <w:p>
      <w:pPr>
        <w:tabs>
          <w:tab w:val="left" w:pos="1260"/>
        </w:tabs>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1.提交磋商响应文件截止时间：2024年</w:t>
      </w:r>
      <w:r>
        <w:rPr>
          <w:rFonts w:hint="eastAsia" w:hAnsi="宋体" w:cs="宋体"/>
          <w:color w:val="auto"/>
          <w:sz w:val="21"/>
          <w:szCs w:val="21"/>
          <w:highlight w:val="none"/>
          <w:lang w:val="en-US" w:eastAsia="zh-CN"/>
        </w:rPr>
        <w:t>6</w:t>
      </w:r>
      <w:r>
        <w:rPr>
          <w:rFonts w:hint="eastAsia" w:hAnsi="宋体" w:cs="宋体"/>
          <w:color w:val="auto"/>
          <w:sz w:val="21"/>
          <w:szCs w:val="21"/>
          <w:highlight w:val="none"/>
        </w:rPr>
        <w:t>月</w:t>
      </w:r>
      <w:r>
        <w:rPr>
          <w:rFonts w:hint="eastAsia" w:hAnsi="宋体" w:cs="宋体"/>
          <w:color w:val="auto"/>
          <w:sz w:val="21"/>
          <w:szCs w:val="21"/>
          <w:highlight w:val="none"/>
          <w:lang w:val="en-US" w:eastAsia="zh-CN"/>
        </w:rPr>
        <w:t>03</w:t>
      </w:r>
      <w:r>
        <w:rPr>
          <w:rFonts w:hint="eastAsia" w:hAnsi="宋体" w:cs="宋体"/>
          <w:color w:val="auto"/>
          <w:sz w:val="21"/>
          <w:szCs w:val="21"/>
          <w:highlight w:val="none"/>
        </w:rPr>
        <w:t>日</w:t>
      </w:r>
      <w:r>
        <w:rPr>
          <w:rFonts w:hint="eastAsia" w:hAnsi="宋体" w:cs="宋体"/>
          <w:color w:val="auto"/>
          <w:sz w:val="21"/>
          <w:szCs w:val="21"/>
          <w:highlight w:val="none"/>
          <w:lang w:val="en-US" w:eastAsia="zh-CN"/>
        </w:rPr>
        <w:t>09</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0时（北京时间）</w:t>
      </w:r>
    </w:p>
    <w:p>
      <w:pPr>
        <w:pStyle w:val="41"/>
        <w:spacing w:before="0" w:beforeAutospacing="0" w:after="0" w:afterAutospacing="0" w:line="500" w:lineRule="exact"/>
        <w:rPr>
          <w:color w:val="auto"/>
          <w:sz w:val="21"/>
          <w:szCs w:val="21"/>
          <w:highlight w:val="none"/>
        </w:rPr>
      </w:pPr>
      <w:r>
        <w:rPr>
          <w:rFonts w:hint="eastAsia"/>
          <w:color w:val="auto"/>
          <w:sz w:val="21"/>
          <w:szCs w:val="21"/>
          <w:highlight w:val="none"/>
          <w:shd w:val="clear" w:color="auto" w:fill="FFFFFF"/>
        </w:rPr>
        <w:t>投标地点（网址）：通过浙江政府采购网政府采购云平台实行在线投标响应（即“在线磋商响应”）。</w:t>
      </w:r>
    </w:p>
    <w:p>
      <w:pPr>
        <w:pStyle w:val="41"/>
        <w:spacing w:before="0" w:beforeAutospacing="0" w:after="0" w:afterAutospacing="0" w:line="500" w:lineRule="exact"/>
        <w:rPr>
          <w:color w:val="auto"/>
          <w:sz w:val="21"/>
          <w:szCs w:val="21"/>
          <w:highlight w:val="none"/>
        </w:rPr>
      </w:pPr>
      <w:r>
        <w:rPr>
          <w:rFonts w:hint="eastAsia"/>
          <w:color w:val="auto"/>
          <w:sz w:val="21"/>
          <w:szCs w:val="21"/>
          <w:highlight w:val="none"/>
          <w:shd w:val="clear" w:color="auto" w:fill="FFFFFF"/>
        </w:rPr>
        <w:t>   开</w:t>
      </w:r>
      <w:r>
        <w:rPr>
          <w:rFonts w:hint="eastAsia"/>
          <w:color w:val="auto"/>
          <w:sz w:val="21"/>
          <w:szCs w:val="21"/>
          <w:highlight w:val="none"/>
        </w:rPr>
        <w:t>启</w:t>
      </w:r>
      <w:r>
        <w:rPr>
          <w:rFonts w:hint="eastAsia"/>
          <w:color w:val="auto"/>
          <w:sz w:val="21"/>
          <w:szCs w:val="21"/>
          <w:highlight w:val="none"/>
          <w:shd w:val="clear" w:color="auto" w:fill="FFFFFF"/>
        </w:rPr>
        <w:t>时间：</w:t>
      </w:r>
      <w:r>
        <w:rPr>
          <w:rFonts w:hint="eastAsia" w:hAnsi="宋体" w:cs="宋体"/>
          <w:color w:val="auto"/>
          <w:sz w:val="21"/>
          <w:szCs w:val="21"/>
          <w:highlight w:val="none"/>
        </w:rPr>
        <w:t>2024年</w:t>
      </w:r>
      <w:r>
        <w:rPr>
          <w:rFonts w:hint="eastAsia" w:hAnsi="宋体" w:cs="宋体"/>
          <w:color w:val="auto"/>
          <w:sz w:val="21"/>
          <w:szCs w:val="21"/>
          <w:highlight w:val="none"/>
          <w:lang w:val="en-US" w:eastAsia="zh-CN"/>
        </w:rPr>
        <w:t>6</w:t>
      </w:r>
      <w:r>
        <w:rPr>
          <w:rFonts w:hint="eastAsia" w:hAnsi="宋体" w:cs="宋体"/>
          <w:color w:val="auto"/>
          <w:sz w:val="21"/>
          <w:szCs w:val="21"/>
          <w:highlight w:val="none"/>
        </w:rPr>
        <w:t>月</w:t>
      </w:r>
      <w:r>
        <w:rPr>
          <w:rFonts w:hint="eastAsia" w:hAnsi="宋体" w:cs="宋体"/>
          <w:color w:val="auto"/>
          <w:sz w:val="21"/>
          <w:szCs w:val="21"/>
          <w:highlight w:val="none"/>
          <w:lang w:val="en-US" w:eastAsia="zh-CN"/>
        </w:rPr>
        <w:t>03</w:t>
      </w:r>
      <w:r>
        <w:rPr>
          <w:rFonts w:hint="eastAsia" w:hAnsi="宋体" w:cs="宋体"/>
          <w:color w:val="auto"/>
          <w:sz w:val="21"/>
          <w:szCs w:val="21"/>
          <w:highlight w:val="none"/>
        </w:rPr>
        <w:t>日</w:t>
      </w:r>
      <w:r>
        <w:rPr>
          <w:rFonts w:hint="eastAsia" w:hAnsi="宋体" w:cs="宋体"/>
          <w:color w:val="auto"/>
          <w:sz w:val="21"/>
          <w:szCs w:val="21"/>
          <w:highlight w:val="none"/>
          <w:lang w:val="en-US" w:eastAsia="zh-CN"/>
        </w:rPr>
        <w:t>09</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0</w:t>
      </w:r>
      <w:r>
        <w:rPr>
          <w:rFonts w:hint="eastAsia"/>
          <w:color w:val="auto"/>
          <w:sz w:val="21"/>
          <w:szCs w:val="21"/>
          <w:highlight w:val="none"/>
        </w:rPr>
        <w:t>时</w:t>
      </w:r>
      <w:r>
        <w:rPr>
          <w:rFonts w:hint="eastAsia"/>
          <w:color w:val="auto"/>
          <w:sz w:val="21"/>
          <w:szCs w:val="21"/>
          <w:highlight w:val="none"/>
          <w:shd w:val="clear" w:color="auto" w:fill="FFFFFF"/>
        </w:rPr>
        <w:t>（北京时间）</w:t>
      </w:r>
    </w:p>
    <w:p>
      <w:pPr>
        <w:pStyle w:val="41"/>
        <w:spacing w:before="0" w:beforeAutospacing="0" w:after="0" w:afterAutospacing="0" w:line="500" w:lineRule="exact"/>
        <w:rPr>
          <w:color w:val="auto"/>
          <w:sz w:val="21"/>
          <w:szCs w:val="21"/>
          <w:highlight w:val="none"/>
        </w:rPr>
      </w:pPr>
      <w:r>
        <w:rPr>
          <w:rFonts w:hint="eastAsia"/>
          <w:color w:val="auto"/>
          <w:sz w:val="21"/>
          <w:szCs w:val="21"/>
          <w:highlight w:val="none"/>
          <w:shd w:val="clear" w:color="auto" w:fill="FFFFFF"/>
        </w:rPr>
        <w:t>   开</w:t>
      </w:r>
      <w:r>
        <w:rPr>
          <w:rFonts w:hint="eastAsia"/>
          <w:color w:val="auto"/>
          <w:sz w:val="21"/>
          <w:szCs w:val="21"/>
          <w:highlight w:val="none"/>
        </w:rPr>
        <w:t>启</w:t>
      </w:r>
      <w:r>
        <w:rPr>
          <w:rFonts w:hint="eastAsia"/>
          <w:color w:val="auto"/>
          <w:sz w:val="21"/>
          <w:szCs w:val="21"/>
          <w:highlight w:val="none"/>
          <w:shd w:val="clear" w:color="auto" w:fill="FFFFFF"/>
        </w:rPr>
        <w:t>地点（网址）：</w:t>
      </w:r>
      <w:r>
        <w:rPr>
          <w:rFonts w:hint="eastAsia"/>
          <w:color w:val="auto"/>
          <w:sz w:val="21"/>
          <w:szCs w:val="21"/>
          <w:highlight w:val="none"/>
        </w:rPr>
        <w:t>金华市双龙南街858号金华财富大厦（金华市行政服务中心新办事大厅4楼开标1室），本项目</w:t>
      </w:r>
      <w:r>
        <w:rPr>
          <w:rFonts w:hint="eastAsia"/>
          <w:color w:val="auto"/>
          <w:sz w:val="21"/>
          <w:szCs w:val="21"/>
          <w:highlight w:val="none"/>
          <w:shd w:val="clear" w:color="auto" w:fill="FFFFFF"/>
        </w:rPr>
        <w:t>通过浙江政府采购网政府采</w:t>
      </w:r>
      <w:r>
        <w:rPr>
          <w:rFonts w:hint="eastAsia"/>
          <w:color w:val="auto"/>
          <w:sz w:val="21"/>
          <w:szCs w:val="21"/>
          <w:highlight w:val="none"/>
        </w:rPr>
        <w:t>购云平台在线开标，</w:t>
      </w:r>
      <w:r>
        <w:rPr>
          <w:rStyle w:val="49"/>
          <w:rFonts w:hint="eastAsia"/>
          <w:b w:val="0"/>
          <w:bCs w:val="0"/>
          <w:color w:val="auto"/>
          <w:sz w:val="21"/>
          <w:szCs w:val="21"/>
          <w:highlight w:val="none"/>
        </w:rPr>
        <w:t>供应商无需到开标现场，但须准时在线参加，直至评审结束。</w:t>
      </w:r>
      <w:r>
        <w:rPr>
          <w:rFonts w:hint="eastAsia"/>
          <w:color w:val="auto"/>
          <w:sz w:val="21"/>
          <w:szCs w:val="21"/>
          <w:highlight w:val="none"/>
        </w:rPr>
        <w:t>开标截止时间后30分钟以内供应商登录“政采云”平台，用“项目采购-开标评标”功能进行解密投标文件。若供应商在规定时间内投标文件无法解密或解密失败（含未提交），则投标无效。</w:t>
      </w:r>
    </w:p>
    <w:p>
      <w:pPr>
        <w:pStyle w:val="41"/>
        <w:spacing w:before="0" w:beforeAutospacing="0" w:after="0" w:afterAutospacing="0" w:line="500" w:lineRule="exact"/>
        <w:ind w:firstLine="422" w:firstLineChars="200"/>
        <w:jc w:val="both"/>
        <w:rPr>
          <w:color w:val="auto"/>
          <w:sz w:val="21"/>
          <w:szCs w:val="21"/>
          <w:highlight w:val="none"/>
        </w:rPr>
      </w:pPr>
      <w:bookmarkStart w:id="27" w:name="_Toc35393794"/>
      <w:bookmarkStart w:id="28" w:name="_Toc28359084"/>
      <w:bookmarkStart w:id="29" w:name="_Toc28359007"/>
      <w:bookmarkStart w:id="30" w:name="_Toc35393625"/>
      <w:r>
        <w:rPr>
          <w:rStyle w:val="49"/>
          <w:rFonts w:hint="eastAsia"/>
          <w:color w:val="auto"/>
          <w:sz w:val="21"/>
          <w:szCs w:val="21"/>
          <w:highlight w:val="none"/>
          <w:shd w:val="clear" w:color="auto" w:fill="FFFFFF"/>
        </w:rPr>
        <w:t>五、公告期限及其他事项</w:t>
      </w:r>
    </w:p>
    <w:p>
      <w:pPr>
        <w:tabs>
          <w:tab w:val="left" w:pos="1260"/>
        </w:tabs>
        <w:autoSpaceDE/>
        <w:autoSpaceDN/>
        <w:adjustRightInd/>
        <w:spacing w:line="500" w:lineRule="exact"/>
        <w:ind w:firstLine="420" w:firstLineChars="200"/>
        <w:jc w:val="both"/>
        <w:textAlignment w:val="auto"/>
        <w:rPr>
          <w:rFonts w:hAnsi="宋体" w:cs="宋体"/>
          <w:bCs/>
          <w:color w:val="auto"/>
          <w:sz w:val="21"/>
          <w:szCs w:val="21"/>
          <w:highlight w:val="none"/>
        </w:rPr>
      </w:pPr>
      <w:r>
        <w:rPr>
          <w:rFonts w:hint="eastAsia" w:hAnsi="宋体" w:cs="宋体"/>
          <w:bCs/>
          <w:color w:val="auto"/>
          <w:sz w:val="21"/>
          <w:szCs w:val="21"/>
          <w:highlight w:val="none"/>
        </w:rPr>
        <w:t>1.供应商认为采购文件使自己的权益受到损害的，可以自收到采购文件之日（获取采购文件截止日之后收到采购文件的，以获取截止日为准）或者采购文件公告期限届满之日（即为采购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应在法定质疑期内一次性提出针对同一采购程序环节的质疑。</w:t>
      </w:r>
    </w:p>
    <w:p>
      <w:pPr>
        <w:tabs>
          <w:tab w:val="left" w:pos="1260"/>
        </w:tabs>
        <w:autoSpaceDE/>
        <w:autoSpaceDN/>
        <w:adjustRightInd/>
        <w:spacing w:line="500" w:lineRule="exact"/>
        <w:ind w:firstLine="420" w:firstLineChars="200"/>
        <w:jc w:val="both"/>
        <w:textAlignment w:val="auto"/>
        <w:rPr>
          <w:rStyle w:val="49"/>
          <w:rFonts w:hAnsi="宋体" w:cs="宋体"/>
          <w:color w:val="auto"/>
          <w:sz w:val="21"/>
          <w:szCs w:val="21"/>
          <w:highlight w:val="none"/>
        </w:rPr>
      </w:pPr>
      <w:r>
        <w:rPr>
          <w:rFonts w:hint="eastAsia" w:hAnsi="宋体" w:cs="宋体"/>
          <w:bCs/>
          <w:color w:val="auto"/>
          <w:sz w:val="21"/>
          <w:szCs w:val="21"/>
          <w:highlight w:val="none"/>
        </w:rPr>
        <w:t>2.根据《浙江省政府采购供应商注册及诚信管理暂行办法》(浙财采监【2009】28号)文件，请各投标供应商及时办理浙江政府采购网“政府采购供应商注册”手续。如中标供应商未在浙江省政府采购网正式注册入库的，采购代理机构将暂缓发出中标通知书，因此造成的后果由该供应商承担。</w:t>
      </w:r>
    </w:p>
    <w:p>
      <w:pPr>
        <w:spacing w:line="500" w:lineRule="exact"/>
        <w:ind w:firstLine="420" w:firstLineChars="200"/>
        <w:jc w:val="both"/>
        <w:rPr>
          <w:rFonts w:hAnsi="宋体" w:cs="宋体"/>
          <w:color w:val="auto"/>
          <w:sz w:val="21"/>
          <w:szCs w:val="21"/>
          <w:highlight w:val="none"/>
        </w:rPr>
      </w:pPr>
      <w:r>
        <w:rPr>
          <w:rStyle w:val="49"/>
          <w:rFonts w:hint="eastAsia" w:hAnsi="宋体" w:cs="宋体"/>
          <w:b w:val="0"/>
          <w:bCs w:val="0"/>
          <w:color w:val="auto"/>
          <w:sz w:val="21"/>
          <w:szCs w:val="21"/>
          <w:highlight w:val="none"/>
        </w:rPr>
        <w:t>3.供</w:t>
      </w:r>
      <w:r>
        <w:rPr>
          <w:rFonts w:hint="eastAsia" w:hAnsi="宋体" w:cs="宋体"/>
          <w:color w:val="auto"/>
          <w:sz w:val="21"/>
          <w:szCs w:val="21"/>
          <w:highlight w:val="none"/>
        </w:rPr>
        <w:t>应商注册网址：</w:t>
      </w:r>
      <w:r>
        <w:rPr>
          <w:rFonts w:hint="eastAsia" w:hAnsi="宋体" w:cs="宋体"/>
          <w:color w:val="auto"/>
          <w:kern w:val="2"/>
          <w:sz w:val="21"/>
          <w:szCs w:val="21"/>
          <w:highlight w:val="none"/>
        </w:rPr>
        <w:t>浙江政府采购网：</w:t>
      </w:r>
      <w:r>
        <w:rPr>
          <w:color w:val="auto"/>
          <w:highlight w:val="none"/>
        </w:rPr>
        <w:fldChar w:fldCharType="begin"/>
      </w:r>
      <w:r>
        <w:rPr>
          <w:color w:val="auto"/>
          <w:highlight w:val="none"/>
        </w:rPr>
        <w:instrText xml:space="preserve"> HYPERLINK "https://middle.zcygov.cn/settle-front/" \l "/registry" </w:instrText>
      </w:r>
      <w:r>
        <w:rPr>
          <w:color w:val="auto"/>
          <w:highlight w:val="none"/>
        </w:rPr>
        <w:fldChar w:fldCharType="separate"/>
      </w:r>
      <w:r>
        <w:rPr>
          <w:rFonts w:hint="eastAsia" w:hAnsi="宋体" w:cs="宋体"/>
          <w:color w:val="auto"/>
          <w:sz w:val="21"/>
          <w:highlight w:val="none"/>
        </w:rPr>
        <w:t>https://middle.zcygov.cn/settle-front/#/registry</w:t>
      </w:r>
      <w:r>
        <w:rPr>
          <w:rFonts w:hint="eastAsia" w:hAnsi="宋体" w:cs="宋体"/>
          <w:color w:val="auto"/>
          <w:sz w:val="21"/>
          <w:highlight w:val="none"/>
        </w:rPr>
        <w:fldChar w:fldCharType="end"/>
      </w:r>
    </w:p>
    <w:p>
      <w:pPr>
        <w:tabs>
          <w:tab w:val="left" w:pos="1260"/>
        </w:tabs>
        <w:autoSpaceDE/>
        <w:autoSpaceDN/>
        <w:adjustRightInd/>
        <w:spacing w:line="500" w:lineRule="exact"/>
        <w:ind w:firstLine="422" w:firstLineChars="200"/>
        <w:jc w:val="both"/>
        <w:textAlignment w:val="auto"/>
        <w:rPr>
          <w:rFonts w:hAnsi="宋体" w:cs="宋体"/>
          <w:color w:val="auto"/>
          <w:sz w:val="21"/>
          <w:szCs w:val="21"/>
          <w:highlight w:val="none"/>
          <w:shd w:val="clear" w:color="auto" w:fill="FFFFFF"/>
        </w:rPr>
      </w:pPr>
      <w:r>
        <w:rPr>
          <w:rFonts w:hint="eastAsia" w:hAnsi="宋体" w:cs="宋体"/>
          <w:b/>
          <w:color w:val="auto"/>
          <w:sz w:val="21"/>
          <w:szCs w:val="21"/>
          <w:highlight w:val="none"/>
        </w:rPr>
        <w:t>六、公告地址：</w:t>
      </w:r>
      <w:r>
        <w:rPr>
          <w:rFonts w:hint="eastAsia" w:hAnsi="宋体" w:cs="宋体"/>
          <w:color w:val="auto"/>
          <w:sz w:val="21"/>
          <w:szCs w:val="21"/>
          <w:highlight w:val="none"/>
        </w:rPr>
        <w:t>浙江政府采购网(http://zfcg.czt.zj.gov.cn/)。</w:t>
      </w:r>
    </w:p>
    <w:p>
      <w:pPr>
        <w:pStyle w:val="41"/>
        <w:spacing w:before="0" w:beforeAutospacing="0" w:after="0" w:afterAutospacing="0" w:line="500" w:lineRule="exact"/>
        <w:ind w:firstLine="422" w:firstLineChars="200"/>
        <w:rPr>
          <w:color w:val="auto"/>
          <w:sz w:val="21"/>
          <w:szCs w:val="21"/>
          <w:highlight w:val="none"/>
        </w:rPr>
      </w:pPr>
      <w:r>
        <w:rPr>
          <w:rStyle w:val="49"/>
          <w:rFonts w:hint="eastAsia"/>
          <w:color w:val="auto"/>
          <w:sz w:val="21"/>
          <w:szCs w:val="21"/>
          <w:highlight w:val="none"/>
          <w:shd w:val="clear" w:color="auto" w:fill="FFFFFF"/>
        </w:rPr>
        <w:t>七、电子投标事项特别说明</w:t>
      </w:r>
    </w:p>
    <w:p>
      <w:pPr>
        <w:pStyle w:val="41"/>
        <w:spacing w:before="0" w:beforeAutospacing="0" w:after="0" w:afterAutospacing="0" w:line="500" w:lineRule="exact"/>
        <w:ind w:firstLine="420" w:firstLineChars="200"/>
        <w:rPr>
          <w:color w:val="auto"/>
          <w:sz w:val="21"/>
          <w:szCs w:val="21"/>
          <w:highlight w:val="none"/>
          <w:shd w:val="clear" w:color="auto" w:fill="FFFFFF"/>
        </w:rPr>
      </w:pPr>
      <w:r>
        <w:rPr>
          <w:rFonts w:hint="eastAsia"/>
          <w:color w:val="auto"/>
          <w:sz w:val="21"/>
          <w:szCs w:val="21"/>
          <w:highlight w:val="none"/>
          <w:shd w:val="clear" w:color="auto" w:fill="FFFFFF"/>
        </w:rPr>
        <w:t>1.本项目实行电子投标，磋商响应供应商应按照本项目采购文件和政采云平台的要求编制、加密并递交响应文件。供应商在使用系统进行磋商响应的过程中遇到涉及平台使用的任何问题，可致电政采云平台技术支持热线咨询，联系方式：400-881-7190。</w:t>
      </w:r>
    </w:p>
    <w:p>
      <w:pPr>
        <w:pStyle w:val="41"/>
        <w:spacing w:before="0" w:beforeAutospacing="0" w:after="0" w:afterAutospacing="0" w:line="500" w:lineRule="exact"/>
        <w:ind w:firstLine="420" w:firstLineChars="200"/>
        <w:rPr>
          <w:color w:val="auto"/>
          <w:sz w:val="21"/>
          <w:szCs w:val="21"/>
          <w:highlight w:val="none"/>
          <w:shd w:val="clear" w:color="auto" w:fill="FFFFFF"/>
        </w:rPr>
      </w:pPr>
      <w:r>
        <w:rPr>
          <w:rFonts w:hint="eastAsia"/>
          <w:color w:val="auto"/>
          <w:sz w:val="21"/>
          <w:szCs w:val="21"/>
          <w:highlight w:val="none"/>
          <w:shd w:val="clear" w:color="auto" w:fill="FFFFFF"/>
        </w:rPr>
        <w:t>2.供应商应在开标前完成 CA 数字证书办理。（办理流程详见http://zfcg.czt.zj.gov.cn/bidClientTemplate/2019-05-27/12945.html）。完成 CA 数字证书办理预计一周左右，建议各供应商抓紧时间办理。</w:t>
      </w:r>
    </w:p>
    <w:p>
      <w:pPr>
        <w:pStyle w:val="41"/>
        <w:spacing w:before="0" w:beforeAutospacing="0" w:after="0" w:afterAutospacing="0" w:line="500" w:lineRule="exact"/>
        <w:ind w:firstLine="420" w:firstLineChars="200"/>
        <w:rPr>
          <w:color w:val="auto"/>
          <w:sz w:val="21"/>
          <w:szCs w:val="21"/>
          <w:highlight w:val="none"/>
          <w:shd w:val="clear" w:color="auto" w:fill="FFFFFF"/>
        </w:rPr>
      </w:pPr>
      <w:r>
        <w:rPr>
          <w:rFonts w:hint="eastAsia"/>
          <w:color w:val="auto"/>
          <w:sz w:val="21"/>
          <w:szCs w:val="21"/>
          <w:highlight w:val="none"/>
          <w:shd w:val="clear" w:color="auto" w:fill="FFFFFF"/>
        </w:rPr>
        <w:t>3.供应商通过政采云平台“电子交易客户端”制作响应文件，电子投标工具请供应商自行前往浙江省政府采购网下载并安装，（下载网址： http://zfcg.czt.zj.gov.cn/bidClientTemplate/2019-05-27/12946.html）。</w:t>
      </w:r>
    </w:p>
    <w:p>
      <w:pPr>
        <w:pStyle w:val="41"/>
        <w:spacing w:before="0" w:beforeAutospacing="0" w:after="0" w:afterAutospacing="0" w:line="500" w:lineRule="exact"/>
        <w:ind w:firstLine="420" w:firstLineChars="200"/>
        <w:rPr>
          <w:color w:val="auto"/>
          <w:sz w:val="21"/>
          <w:szCs w:val="21"/>
          <w:highlight w:val="none"/>
          <w:shd w:val="clear" w:color="auto" w:fill="FFFFFF"/>
        </w:rPr>
      </w:pPr>
      <w:r>
        <w:rPr>
          <w:rFonts w:hint="eastAsia"/>
          <w:color w:val="auto"/>
          <w:sz w:val="21"/>
          <w:szCs w:val="21"/>
          <w:highlight w:val="none"/>
          <w:shd w:val="clear" w:color="auto" w:fill="FFFFFF"/>
        </w:rPr>
        <w:t>4.供应商将加密的电子版响应文件于磋商响应截止时间前上传到政采云系统中。</w:t>
      </w:r>
    </w:p>
    <w:p>
      <w:pPr>
        <w:pStyle w:val="41"/>
        <w:spacing w:before="0" w:beforeAutospacing="0" w:after="0" w:afterAutospacing="0" w:line="500" w:lineRule="exact"/>
        <w:ind w:firstLine="420" w:firstLineChars="200"/>
        <w:rPr>
          <w:color w:val="auto"/>
          <w:sz w:val="21"/>
          <w:szCs w:val="21"/>
          <w:highlight w:val="none"/>
          <w:shd w:val="clear" w:color="auto" w:fill="FFFFFF"/>
        </w:rPr>
      </w:pPr>
      <w:r>
        <w:rPr>
          <w:rFonts w:hint="eastAsia"/>
          <w:color w:val="auto"/>
          <w:sz w:val="21"/>
          <w:szCs w:val="21"/>
          <w:highlight w:val="none"/>
          <w:shd w:val="clear" w:color="auto" w:fill="FFFFFF"/>
        </w:rPr>
        <w:t>5.具体的响应文件加密上传等操作详见政采云平台操作指南。https://edu.zcygov.cn/luban/e-biding?utm=a0004.2ef5001f.0001.0109.da8b35e0da8611e98d8937b7ef8a3544 。</w:t>
      </w:r>
    </w:p>
    <w:p>
      <w:pPr>
        <w:pStyle w:val="41"/>
        <w:spacing w:before="0" w:beforeAutospacing="0" w:after="0" w:afterAutospacing="0" w:line="500" w:lineRule="exact"/>
        <w:ind w:firstLine="420" w:firstLineChars="200"/>
        <w:rPr>
          <w:color w:val="auto"/>
          <w:sz w:val="21"/>
          <w:szCs w:val="21"/>
          <w:highlight w:val="none"/>
          <w:shd w:val="clear" w:color="auto" w:fill="FFFFFF"/>
        </w:rPr>
      </w:pPr>
      <w:r>
        <w:rPr>
          <w:rFonts w:hint="eastAsia"/>
          <w:color w:val="auto"/>
          <w:sz w:val="21"/>
          <w:szCs w:val="21"/>
          <w:highlight w:val="none"/>
          <w:shd w:val="clear" w:color="auto" w:fill="FFFFFF"/>
        </w:rPr>
        <w:t>注：建议使用谷歌浏览器，使用其他浏览器可能发生无法解密等未知情况。</w:t>
      </w:r>
    </w:p>
    <w:p>
      <w:pPr>
        <w:pStyle w:val="41"/>
        <w:spacing w:before="0" w:beforeAutospacing="0" w:after="0" w:afterAutospacing="0" w:line="500" w:lineRule="exact"/>
        <w:ind w:firstLine="420" w:firstLineChars="200"/>
        <w:rPr>
          <w:color w:val="auto"/>
          <w:sz w:val="21"/>
          <w:szCs w:val="21"/>
          <w:highlight w:val="none"/>
          <w:shd w:val="clear" w:color="auto" w:fill="FFFFFF"/>
        </w:rPr>
      </w:pPr>
      <w:r>
        <w:rPr>
          <w:rFonts w:hint="eastAsia"/>
          <w:color w:val="auto"/>
          <w:sz w:val="21"/>
          <w:szCs w:val="21"/>
          <w:highlight w:val="none"/>
          <w:shd w:val="clear" w:color="auto" w:fill="FFFFFF"/>
        </w:rPr>
        <w:t>6.供应商应当在磋商响应截止时间前完成电子响应文件的传输递交，并可以补充、修改或者撤回电子响应文件。补充或者修改电子响应文件的，应当先行撤回原文件，补充、修改后重新传输递交。磋商响应截止时间前未完成传输的，视为撤回响应文件。磋商响应截止时间后送达的磋商响应、响应文件，将被政采云平台拒收。</w:t>
      </w:r>
      <w:bookmarkEnd w:id="27"/>
      <w:bookmarkEnd w:id="28"/>
      <w:bookmarkEnd w:id="29"/>
      <w:bookmarkEnd w:id="30"/>
    </w:p>
    <w:p>
      <w:pPr>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八、其他补充事宜</w:t>
      </w:r>
    </w:p>
    <w:p>
      <w:pPr>
        <w:tabs>
          <w:tab w:val="left" w:pos="1260"/>
        </w:tabs>
        <w:adjustRightInd/>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pPr>
        <w:tabs>
          <w:tab w:val="left" w:pos="1260"/>
        </w:tabs>
        <w:autoSpaceDE/>
        <w:autoSpaceDN/>
        <w:adjustRightInd/>
        <w:spacing w:line="500" w:lineRule="exact"/>
        <w:ind w:firstLine="420" w:firstLineChars="200"/>
        <w:textAlignment w:val="auto"/>
        <w:rPr>
          <w:rFonts w:hAnsi="宋体" w:cs="宋体"/>
          <w:bCs/>
          <w:color w:val="auto"/>
          <w:sz w:val="21"/>
          <w:szCs w:val="21"/>
          <w:highlight w:val="none"/>
        </w:rPr>
      </w:pPr>
      <w:r>
        <w:rPr>
          <w:rFonts w:hint="eastAsia" w:hAnsi="宋体" w:cs="宋体"/>
          <w:bCs/>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1"/>
        <w:snapToGrid w:val="0"/>
        <w:spacing w:before="0" w:beforeAutospacing="0" w:after="0" w:afterAutospacing="0" w:line="500" w:lineRule="exact"/>
        <w:ind w:firstLine="420" w:firstLineChars="200"/>
        <w:rPr>
          <w:rStyle w:val="49"/>
          <w:b w:val="0"/>
          <w:bCs w:val="0"/>
          <w:color w:val="auto"/>
          <w:sz w:val="21"/>
          <w:szCs w:val="21"/>
          <w:highlight w:val="none"/>
          <w:shd w:val="clear" w:color="auto" w:fill="FFFFFF"/>
        </w:rPr>
      </w:pPr>
      <w:r>
        <w:rPr>
          <w:rFonts w:hint="eastAsia"/>
          <w:bCs/>
          <w:color w:val="auto"/>
          <w:sz w:val="21"/>
          <w:szCs w:val="21"/>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应在法定质疑期内一次性提出针对同一采购程序环节的质疑。</w:t>
      </w:r>
    </w:p>
    <w:p>
      <w:pPr>
        <w:tabs>
          <w:tab w:val="left" w:pos="1260"/>
        </w:tabs>
        <w:adjustRightInd/>
        <w:spacing w:line="500" w:lineRule="exact"/>
        <w:ind w:firstLine="420"/>
        <w:jc w:val="both"/>
        <w:rPr>
          <w:rFonts w:hAnsi="宋体" w:cs="宋体"/>
          <w:bCs/>
          <w:color w:val="auto"/>
          <w:sz w:val="21"/>
          <w:szCs w:val="21"/>
          <w:highlight w:val="none"/>
        </w:rPr>
      </w:pPr>
      <w:r>
        <w:rPr>
          <w:rFonts w:hint="eastAsia" w:hAnsi="宋体" w:cs="宋体"/>
          <w:bCs/>
          <w:color w:val="auto"/>
          <w:sz w:val="21"/>
          <w:szCs w:val="21"/>
          <w:highlight w:val="none"/>
        </w:rPr>
        <w:t>4.其他事项：见招标文件。 </w:t>
      </w:r>
    </w:p>
    <w:p>
      <w:pPr>
        <w:tabs>
          <w:tab w:val="left" w:pos="1260"/>
        </w:tabs>
        <w:adjustRightInd/>
        <w:spacing w:line="500" w:lineRule="exact"/>
        <w:ind w:firstLine="420"/>
        <w:jc w:val="both"/>
        <w:rPr>
          <w:rFonts w:hAnsi="宋体" w:cs="宋体"/>
          <w:bCs/>
          <w:color w:val="auto"/>
          <w:sz w:val="21"/>
          <w:szCs w:val="21"/>
          <w:highlight w:val="none"/>
        </w:rPr>
      </w:pPr>
      <w:r>
        <w:rPr>
          <w:rFonts w:hint="eastAsia" w:hAnsi="宋体" w:cs="宋体"/>
          <w:bCs/>
          <w:color w:val="auto"/>
          <w:sz w:val="21"/>
          <w:szCs w:val="21"/>
          <w:highlight w:val="none"/>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 https://zfcg. czt.zj. gov.cn/)的中小企业信用融资栏目了解相关信息。供应商可以通过浙江政府采购网(https://zfcg. czt.zj. gov.cn/)首页的“政采云金融服务”模块进入申请，还可以通过政府采购云平台(https://www.zcygov.cn/)首页的“金融服务”模块进入申请。</w:t>
      </w:r>
    </w:p>
    <w:p>
      <w:pPr>
        <w:widowControl/>
        <w:tabs>
          <w:tab w:val="left" w:pos="1260"/>
        </w:tabs>
        <w:autoSpaceDE/>
        <w:autoSpaceDN/>
        <w:adjustRightInd/>
        <w:spacing w:line="500" w:lineRule="exact"/>
        <w:ind w:firstLine="420"/>
        <w:jc w:val="both"/>
        <w:textAlignment w:val="auto"/>
        <w:rPr>
          <w:rFonts w:hAnsi="宋体" w:cs="宋体"/>
          <w:bCs/>
          <w:color w:val="auto"/>
          <w:sz w:val="21"/>
          <w:szCs w:val="21"/>
          <w:highlight w:val="none"/>
        </w:rPr>
      </w:pPr>
      <w:r>
        <w:rPr>
          <w:rFonts w:hint="eastAsia" w:hAnsi="宋体" w:cs="宋体"/>
          <w:bCs/>
          <w:color w:val="auto"/>
          <w:sz w:val="21"/>
          <w:szCs w:val="21"/>
          <w:highlight w:val="none"/>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pPr>
        <w:widowControl/>
        <w:tabs>
          <w:tab w:val="left" w:pos="1260"/>
        </w:tabs>
        <w:autoSpaceDE/>
        <w:autoSpaceDN/>
        <w:adjustRightInd/>
        <w:spacing w:line="500" w:lineRule="exact"/>
        <w:ind w:firstLine="420"/>
        <w:jc w:val="both"/>
        <w:textAlignment w:val="auto"/>
        <w:rPr>
          <w:rFonts w:hAnsi="宋体" w:cs="宋体"/>
          <w:b/>
          <w:color w:val="auto"/>
          <w:sz w:val="21"/>
          <w:szCs w:val="21"/>
          <w:highlight w:val="none"/>
        </w:rPr>
      </w:pPr>
      <w:r>
        <w:rPr>
          <w:rFonts w:hint="eastAsia" w:hAnsi="宋体" w:cs="宋体"/>
          <w:b/>
          <w:color w:val="auto"/>
          <w:sz w:val="21"/>
          <w:szCs w:val="21"/>
          <w:highlight w:val="none"/>
        </w:rPr>
        <w:t>政府采购金融服务提示：</w:t>
      </w:r>
    </w:p>
    <w:p>
      <w:pPr>
        <w:spacing w:line="500" w:lineRule="exact"/>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为扩大政府采购金融服务面，除政采云网上金融服务合作银行外，金华市范围增加线下合作银行两家，具体信息如下：</w:t>
      </w:r>
    </w:p>
    <w:p>
      <w:pPr>
        <w:spacing w:line="500" w:lineRule="exact"/>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金华银行文创支行   联系人：姜  峰   联系电话： 13905792828   0579-82479020</w:t>
      </w:r>
    </w:p>
    <w:p>
      <w:pPr>
        <w:spacing w:line="500" w:lineRule="exact"/>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浙商银行金华分行   联系人：朱晨祥   联系电话： 15857978811   0579-82999581</w:t>
      </w:r>
    </w:p>
    <w:p>
      <w:pPr>
        <w:pStyle w:val="97"/>
        <w:spacing w:line="500" w:lineRule="exact"/>
        <w:ind w:firstLine="422"/>
        <w:rPr>
          <w:rFonts w:ascii="宋体" w:hAnsi="宋体" w:cs="宋体"/>
          <w:color w:val="auto"/>
          <w:sz w:val="21"/>
          <w:szCs w:val="21"/>
          <w:highlight w:val="none"/>
        </w:rPr>
      </w:pPr>
      <w:r>
        <w:rPr>
          <w:rFonts w:hint="eastAsia" w:ascii="宋体" w:hAnsi="宋体" w:cs="宋体"/>
          <w:b/>
          <w:bCs/>
          <w:color w:val="auto"/>
          <w:sz w:val="21"/>
          <w:szCs w:val="21"/>
          <w:highlight w:val="none"/>
        </w:rPr>
        <w:t>九、对本次采购提出询问、质疑、投诉，请按以下方式联系。</w:t>
      </w:r>
      <w:r>
        <w:rPr>
          <w:rFonts w:hint="eastAsia" w:ascii="宋体" w:hAnsi="宋体" w:cs="宋体"/>
          <w:color w:val="auto"/>
          <w:sz w:val="21"/>
          <w:szCs w:val="21"/>
          <w:highlight w:val="none"/>
        </w:rPr>
        <w:t>　　　　　　　　　　　　</w:t>
      </w:r>
    </w:p>
    <w:p>
      <w:pPr>
        <w:pStyle w:val="41"/>
        <w:shd w:val="clear" w:color="auto" w:fill="FFFFFF"/>
        <w:adjustRightInd w:val="0"/>
        <w:snapToGrid w:val="0"/>
        <w:spacing w:before="0" w:beforeAutospacing="0" w:after="0" w:afterAutospacing="0" w:line="500" w:lineRule="exact"/>
        <w:rPr>
          <w:color w:val="auto"/>
          <w:sz w:val="21"/>
          <w:szCs w:val="21"/>
          <w:highlight w:val="none"/>
        </w:rPr>
      </w:pPr>
      <w:r>
        <w:rPr>
          <w:rFonts w:hint="eastAsia"/>
          <w:color w:val="auto"/>
          <w:sz w:val="21"/>
          <w:szCs w:val="21"/>
          <w:highlight w:val="none"/>
        </w:rPr>
        <w:t>   1.采购人信息</w:t>
      </w:r>
    </w:p>
    <w:p>
      <w:pPr>
        <w:pStyle w:val="41"/>
        <w:shd w:val="clear" w:color="auto" w:fill="FFFFFF"/>
        <w:adjustRightInd w:val="0"/>
        <w:snapToGrid w:val="0"/>
        <w:spacing w:before="0" w:beforeAutospacing="0" w:after="0" w:afterAutospacing="0" w:line="500" w:lineRule="exact"/>
        <w:rPr>
          <w:color w:val="auto"/>
          <w:kern w:val="2"/>
          <w:sz w:val="22"/>
          <w:szCs w:val="21"/>
          <w:highlight w:val="none"/>
        </w:rPr>
      </w:pPr>
      <w:r>
        <w:rPr>
          <w:rFonts w:hint="eastAsia"/>
          <w:color w:val="auto"/>
          <w:sz w:val="21"/>
          <w:szCs w:val="21"/>
          <w:highlight w:val="none"/>
        </w:rPr>
        <w:t>   名    称：</w:t>
      </w:r>
      <w:r>
        <w:rPr>
          <w:rFonts w:hint="eastAsia"/>
          <w:color w:val="auto"/>
          <w:kern w:val="2"/>
          <w:sz w:val="22"/>
          <w:szCs w:val="21"/>
          <w:highlight w:val="none"/>
        </w:rPr>
        <w:t>金华市财政局  　　　　　　　　　　　</w:t>
      </w:r>
    </w:p>
    <w:p>
      <w:pPr>
        <w:pStyle w:val="41"/>
        <w:shd w:val="clear" w:color="auto" w:fill="FFFFFF"/>
        <w:adjustRightInd w:val="0"/>
        <w:snapToGrid w:val="0"/>
        <w:spacing w:before="0" w:beforeAutospacing="0" w:after="0" w:afterAutospacing="0" w:line="500" w:lineRule="exact"/>
        <w:rPr>
          <w:color w:val="auto"/>
          <w:kern w:val="2"/>
          <w:sz w:val="21"/>
          <w:szCs w:val="21"/>
          <w:highlight w:val="none"/>
        </w:rPr>
      </w:pPr>
      <w:r>
        <w:rPr>
          <w:rFonts w:hint="eastAsia"/>
          <w:color w:val="auto"/>
          <w:kern w:val="2"/>
          <w:sz w:val="22"/>
          <w:szCs w:val="21"/>
          <w:highlight w:val="none"/>
        </w:rPr>
        <w:t xml:space="preserve">    </w:t>
      </w:r>
      <w:r>
        <w:rPr>
          <w:rFonts w:hint="eastAsia"/>
          <w:color w:val="auto"/>
          <w:kern w:val="2"/>
          <w:sz w:val="21"/>
          <w:szCs w:val="21"/>
          <w:highlight w:val="none"/>
        </w:rPr>
        <w:t>地    址：</w:t>
      </w:r>
      <w:r>
        <w:rPr>
          <w:rFonts w:hint="eastAsia"/>
          <w:color w:val="auto"/>
          <w:sz w:val="21"/>
          <w:szCs w:val="21"/>
          <w:highlight w:val="none"/>
        </w:rPr>
        <w:t>金华市双龙南街801号</w:t>
      </w:r>
      <w:r>
        <w:rPr>
          <w:rFonts w:hint="eastAsia"/>
          <w:color w:val="auto"/>
          <w:kern w:val="2"/>
          <w:sz w:val="21"/>
          <w:szCs w:val="21"/>
          <w:highlight w:val="none"/>
        </w:rPr>
        <w:t>  　</w:t>
      </w:r>
    </w:p>
    <w:p>
      <w:pPr>
        <w:pStyle w:val="41"/>
        <w:shd w:val="clear" w:color="auto" w:fill="FFFFFF"/>
        <w:adjustRightInd w:val="0"/>
        <w:snapToGrid w:val="0"/>
        <w:spacing w:before="0" w:beforeAutospacing="0" w:after="0" w:afterAutospacing="0" w:line="500" w:lineRule="exact"/>
        <w:rPr>
          <w:color w:val="auto"/>
          <w:kern w:val="2"/>
          <w:sz w:val="21"/>
          <w:szCs w:val="21"/>
          <w:highlight w:val="none"/>
        </w:rPr>
      </w:pPr>
      <w:r>
        <w:rPr>
          <w:rFonts w:hint="eastAsia"/>
          <w:color w:val="auto"/>
          <w:kern w:val="2"/>
          <w:sz w:val="21"/>
          <w:szCs w:val="21"/>
          <w:highlight w:val="none"/>
        </w:rPr>
        <w:t>   项目联系人（询问）： 冯先生　　　　　　　　　　</w:t>
      </w:r>
    </w:p>
    <w:p>
      <w:pPr>
        <w:pStyle w:val="41"/>
        <w:shd w:val="clear" w:color="auto" w:fill="FFFFFF"/>
        <w:adjustRightInd w:val="0"/>
        <w:spacing w:before="0" w:beforeAutospacing="0" w:after="0" w:afterAutospacing="0" w:line="500" w:lineRule="exact"/>
        <w:rPr>
          <w:rFonts w:hint="eastAsia"/>
          <w:color w:val="auto"/>
          <w:kern w:val="0"/>
          <w:sz w:val="21"/>
          <w:szCs w:val="21"/>
          <w:highlight w:val="none"/>
        </w:rPr>
      </w:pPr>
      <w:r>
        <w:rPr>
          <w:rFonts w:hint="eastAsia"/>
          <w:color w:val="auto"/>
          <w:kern w:val="2"/>
          <w:sz w:val="21"/>
          <w:szCs w:val="21"/>
          <w:highlight w:val="none"/>
        </w:rPr>
        <w:t>   项目联系方式（询问）：</w:t>
      </w:r>
      <w:r>
        <w:rPr>
          <w:rFonts w:hint="eastAsia"/>
          <w:color w:val="auto"/>
          <w:sz w:val="21"/>
          <w:szCs w:val="21"/>
          <w:highlight w:val="none"/>
        </w:rPr>
        <w:t>0579-</w:t>
      </w:r>
      <w:r>
        <w:rPr>
          <w:rFonts w:hint="eastAsia" w:ascii="宋体" w:hAnsi="宋体" w:eastAsia="宋体" w:cs="宋体"/>
          <w:color w:val="auto"/>
          <w:sz w:val="21"/>
          <w:szCs w:val="21"/>
          <w:highlight w:val="none"/>
          <w:shd w:val="clear"/>
        </w:rPr>
        <w:t>82468782</w:t>
      </w:r>
    </w:p>
    <w:p>
      <w:pPr>
        <w:shd w:val="clear" w:color="auto" w:fill="FFFFFF"/>
        <w:tabs>
          <w:tab w:val="left" w:pos="1260"/>
        </w:tabs>
        <w:adjustRightInd/>
        <w:snapToGrid w:val="0"/>
        <w:spacing w:line="500" w:lineRule="exact"/>
        <w:ind w:firstLine="315" w:firstLineChars="150"/>
        <w:jc w:val="both"/>
        <w:rPr>
          <w:rFonts w:hAnsi="宋体" w:cs="宋体"/>
          <w:color w:val="auto"/>
          <w:kern w:val="2"/>
          <w:sz w:val="21"/>
          <w:szCs w:val="21"/>
          <w:highlight w:val="none"/>
        </w:rPr>
      </w:pPr>
      <w:r>
        <w:rPr>
          <w:rFonts w:hint="eastAsia" w:hAnsi="宋体" w:cs="宋体"/>
          <w:color w:val="auto"/>
          <w:kern w:val="2"/>
          <w:sz w:val="21"/>
          <w:szCs w:val="21"/>
          <w:highlight w:val="none"/>
        </w:rPr>
        <w:t> 质疑联系人（询问）：</w:t>
      </w:r>
      <w:r>
        <w:rPr>
          <w:rFonts w:hint="eastAsia"/>
          <w:color w:val="auto"/>
          <w:kern w:val="2"/>
          <w:sz w:val="21"/>
          <w:szCs w:val="21"/>
          <w:highlight w:val="none"/>
        </w:rPr>
        <w:t>冯先生</w:t>
      </w:r>
      <w:r>
        <w:rPr>
          <w:rFonts w:hint="eastAsia" w:hAnsi="宋体" w:cs="宋体"/>
          <w:color w:val="auto"/>
          <w:kern w:val="2"/>
          <w:sz w:val="21"/>
          <w:szCs w:val="21"/>
          <w:highlight w:val="none"/>
        </w:rPr>
        <w:t>   　　</w:t>
      </w:r>
    </w:p>
    <w:p>
      <w:pPr>
        <w:shd w:val="clear" w:color="auto" w:fill="FFFFFF"/>
        <w:tabs>
          <w:tab w:val="left" w:pos="1260"/>
        </w:tabs>
        <w:adjustRightInd/>
        <w:snapToGrid w:val="0"/>
        <w:spacing w:line="500" w:lineRule="exact"/>
        <w:ind w:firstLine="525" w:firstLineChars="250"/>
        <w:jc w:val="both"/>
        <w:rPr>
          <w:rFonts w:hAnsi="宋体" w:cs="宋体"/>
          <w:color w:val="auto"/>
          <w:kern w:val="2"/>
          <w:sz w:val="21"/>
          <w:szCs w:val="21"/>
          <w:highlight w:val="none"/>
        </w:rPr>
      </w:pPr>
      <w:r>
        <w:rPr>
          <w:rFonts w:hint="eastAsia" w:hAnsi="宋体" w:cs="宋体"/>
          <w:color w:val="auto"/>
          <w:kern w:val="2"/>
          <w:sz w:val="21"/>
          <w:szCs w:val="21"/>
          <w:highlight w:val="none"/>
        </w:rPr>
        <w:t>质疑联系方式（询问）：</w:t>
      </w:r>
      <w:r>
        <w:rPr>
          <w:rFonts w:hint="eastAsia" w:hAnsi="宋体" w:cs="宋体"/>
          <w:color w:val="auto"/>
          <w:sz w:val="21"/>
          <w:szCs w:val="21"/>
          <w:highlight w:val="none"/>
        </w:rPr>
        <w:t xml:space="preserve">0579-82468782 </w:t>
      </w:r>
    </w:p>
    <w:p>
      <w:pPr>
        <w:shd w:val="clear" w:color="auto" w:fill="FFFFFF"/>
        <w:tabs>
          <w:tab w:val="left" w:pos="1260"/>
        </w:tabs>
        <w:adjustRightInd/>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2.采购代理机构信息</w:t>
      </w:r>
    </w:p>
    <w:p>
      <w:pPr>
        <w:pStyle w:val="41"/>
        <w:shd w:val="clear" w:color="auto" w:fill="FFFFFF"/>
        <w:adjustRightInd w:val="0"/>
        <w:snapToGrid w:val="0"/>
        <w:spacing w:before="0" w:beforeAutospacing="0" w:after="0" w:afterAutospacing="0" w:line="500" w:lineRule="exact"/>
        <w:rPr>
          <w:color w:val="auto"/>
          <w:sz w:val="21"/>
          <w:szCs w:val="21"/>
          <w:highlight w:val="none"/>
        </w:rPr>
      </w:pPr>
      <w:r>
        <w:rPr>
          <w:rFonts w:hint="eastAsia"/>
          <w:color w:val="auto"/>
          <w:sz w:val="21"/>
          <w:szCs w:val="21"/>
          <w:highlight w:val="none"/>
        </w:rPr>
        <w:t>   名    称： </w:t>
      </w:r>
      <w:r>
        <w:rPr>
          <w:rStyle w:val="137"/>
          <w:rFonts w:hint="eastAsia"/>
          <w:color w:val="auto"/>
          <w:sz w:val="21"/>
          <w:szCs w:val="21"/>
          <w:highlight w:val="none"/>
        </w:rPr>
        <w:t>金华市天盈招标代理有限公司</w:t>
      </w:r>
      <w:r>
        <w:rPr>
          <w:rFonts w:hint="eastAsia"/>
          <w:color w:val="auto"/>
          <w:sz w:val="21"/>
          <w:szCs w:val="21"/>
          <w:highlight w:val="none"/>
        </w:rPr>
        <w:t> 　　　　　　　　　　　</w:t>
      </w:r>
    </w:p>
    <w:p>
      <w:pPr>
        <w:pStyle w:val="41"/>
        <w:shd w:val="clear" w:color="auto" w:fill="FFFFFF"/>
        <w:adjustRightInd w:val="0"/>
        <w:snapToGrid w:val="0"/>
        <w:spacing w:before="0" w:beforeAutospacing="0" w:after="0" w:afterAutospacing="0" w:line="500" w:lineRule="exact"/>
        <w:rPr>
          <w:color w:val="auto"/>
          <w:sz w:val="21"/>
          <w:szCs w:val="21"/>
          <w:highlight w:val="none"/>
        </w:rPr>
      </w:pPr>
      <w:r>
        <w:rPr>
          <w:rFonts w:hint="eastAsia"/>
          <w:color w:val="auto"/>
          <w:sz w:val="21"/>
          <w:szCs w:val="21"/>
          <w:highlight w:val="none"/>
        </w:rPr>
        <w:t>   地    址： </w:t>
      </w:r>
      <w:r>
        <w:rPr>
          <w:rStyle w:val="137"/>
          <w:rFonts w:hint="eastAsia"/>
          <w:color w:val="auto"/>
          <w:sz w:val="21"/>
          <w:szCs w:val="21"/>
          <w:highlight w:val="none"/>
        </w:rPr>
        <w:t>金华市创新街18号南楼四楼，农科教大楼西侧</w:t>
      </w:r>
      <w:r>
        <w:rPr>
          <w:rFonts w:hint="eastAsia"/>
          <w:color w:val="auto"/>
          <w:sz w:val="21"/>
          <w:szCs w:val="21"/>
          <w:highlight w:val="none"/>
        </w:rPr>
        <w:t> </w:t>
      </w:r>
    </w:p>
    <w:p>
      <w:pPr>
        <w:pStyle w:val="41"/>
        <w:shd w:val="clear" w:color="auto" w:fill="FFFFFF"/>
        <w:adjustRightInd w:val="0"/>
        <w:snapToGrid w:val="0"/>
        <w:spacing w:before="0" w:beforeAutospacing="0" w:after="0" w:afterAutospacing="0" w:line="500" w:lineRule="exact"/>
        <w:rPr>
          <w:color w:val="auto"/>
          <w:sz w:val="21"/>
          <w:szCs w:val="21"/>
          <w:highlight w:val="none"/>
        </w:rPr>
      </w:pPr>
      <w:r>
        <w:rPr>
          <w:rFonts w:hint="eastAsia"/>
          <w:color w:val="auto"/>
          <w:sz w:val="21"/>
          <w:szCs w:val="21"/>
          <w:highlight w:val="none"/>
        </w:rPr>
        <w:t>   项目联系人（询问）：</w:t>
      </w:r>
      <w:r>
        <w:rPr>
          <w:rFonts w:hint="eastAsia"/>
          <w:color w:val="auto"/>
          <w:sz w:val="21"/>
          <w:szCs w:val="21"/>
          <w:highlight w:val="none"/>
          <w:lang w:val="en-US" w:eastAsia="zh-CN"/>
        </w:rPr>
        <w:t>汪兰华</w:t>
      </w:r>
      <w:r>
        <w:rPr>
          <w:rFonts w:hint="eastAsia"/>
          <w:color w:val="auto"/>
          <w:sz w:val="21"/>
          <w:szCs w:val="21"/>
          <w:highlight w:val="none"/>
        </w:rPr>
        <w:t> 　   　　　　　　　　　　　</w:t>
      </w:r>
    </w:p>
    <w:p>
      <w:pPr>
        <w:pStyle w:val="41"/>
        <w:shd w:val="clear" w:color="auto" w:fill="FFFFFF"/>
        <w:adjustRightInd w:val="0"/>
        <w:snapToGrid w:val="0"/>
        <w:spacing w:before="0" w:beforeAutospacing="0" w:after="0" w:afterAutospacing="0" w:line="500" w:lineRule="exact"/>
        <w:rPr>
          <w:rFonts w:hint="default" w:eastAsia="宋体"/>
          <w:color w:val="auto"/>
          <w:sz w:val="21"/>
          <w:szCs w:val="21"/>
          <w:highlight w:val="none"/>
          <w:lang w:val="en-US" w:eastAsia="zh-CN"/>
        </w:rPr>
      </w:pPr>
      <w:r>
        <w:rPr>
          <w:rFonts w:hint="eastAsia"/>
          <w:color w:val="auto"/>
          <w:sz w:val="21"/>
          <w:szCs w:val="21"/>
          <w:highlight w:val="none"/>
        </w:rPr>
        <w:t>   项目联系方式（询问）：0579-</w:t>
      </w:r>
      <w:r>
        <w:rPr>
          <w:rFonts w:hint="eastAsia"/>
          <w:color w:val="auto"/>
          <w:sz w:val="21"/>
          <w:szCs w:val="21"/>
          <w:highlight w:val="none"/>
          <w:lang w:val="en-US" w:eastAsia="zh-CN"/>
        </w:rPr>
        <w:t>82474058</w:t>
      </w:r>
    </w:p>
    <w:p>
      <w:pPr>
        <w:shd w:val="clear" w:color="auto" w:fill="FFFFFF"/>
        <w:tabs>
          <w:tab w:val="left" w:pos="1260"/>
        </w:tabs>
        <w:adjustRightInd/>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质疑联系人（询问）：</w:t>
      </w:r>
      <w:r>
        <w:rPr>
          <w:rFonts w:hint="eastAsia" w:hAnsi="宋体" w:cs="宋体"/>
          <w:color w:val="auto"/>
          <w:sz w:val="21"/>
          <w:szCs w:val="21"/>
          <w:highlight w:val="none"/>
          <w:lang w:val="en-US" w:eastAsia="zh-CN"/>
        </w:rPr>
        <w:t>夏翰宇</w:t>
      </w:r>
      <w:r>
        <w:rPr>
          <w:rFonts w:hint="eastAsia" w:hAnsi="宋体" w:cs="宋体"/>
          <w:color w:val="auto"/>
          <w:sz w:val="21"/>
          <w:szCs w:val="21"/>
          <w:highlight w:val="none"/>
        </w:rPr>
        <w:t>  　　</w:t>
      </w:r>
    </w:p>
    <w:p>
      <w:pPr>
        <w:tabs>
          <w:tab w:val="left" w:pos="1260"/>
        </w:tabs>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质疑联系方式（询问）：0579-82474058</w:t>
      </w:r>
    </w:p>
    <w:p>
      <w:pPr>
        <w:pStyle w:val="41"/>
        <w:shd w:val="clear" w:color="auto" w:fill="FFFFFF"/>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3.同级政府采购监督管理部门</w:t>
      </w:r>
    </w:p>
    <w:p>
      <w:pPr>
        <w:tabs>
          <w:tab w:val="left" w:pos="1260"/>
        </w:tabs>
        <w:autoSpaceDE/>
        <w:autoSpaceDN/>
        <w:adjustRightInd/>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名称：金华市财政局政府采购监管处　　　　　　　　　　　</w:t>
      </w:r>
    </w:p>
    <w:p>
      <w:pPr>
        <w:tabs>
          <w:tab w:val="left" w:pos="1260"/>
        </w:tabs>
        <w:autoSpaceDE/>
        <w:autoSpaceDN/>
        <w:adjustRightInd/>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联系人 ：徐老师 </w:t>
      </w:r>
    </w:p>
    <w:p>
      <w:pPr>
        <w:tabs>
          <w:tab w:val="left" w:pos="1260"/>
        </w:tabs>
        <w:autoSpaceDE/>
        <w:autoSpaceDN/>
        <w:adjustRightInd/>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地址：金华市双龙南街801号 　</w:t>
      </w:r>
    </w:p>
    <w:p>
      <w:pPr>
        <w:pStyle w:val="41"/>
        <w:shd w:val="clear" w:color="auto" w:fill="FFFFFF"/>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监督投诉电话：0579-82468735</w:t>
      </w:r>
      <w:r>
        <w:rPr>
          <w:rFonts w:hint="eastAsia"/>
          <w:color w:val="auto"/>
          <w:sz w:val="21"/>
          <w:szCs w:val="21"/>
          <w:highlight w:val="none"/>
        </w:rPr>
        <w:br w:type="page"/>
      </w:r>
    </w:p>
    <w:p>
      <w:pPr>
        <w:pStyle w:val="2"/>
        <w:spacing w:line="360" w:lineRule="auto"/>
        <w:ind w:left="360" w:leftChars="106" w:firstLine="2714" w:firstLineChars="901"/>
        <w:rPr>
          <w:rFonts w:hAnsi="宋体" w:cs="宋体"/>
          <w:color w:val="auto"/>
          <w:sz w:val="30"/>
          <w:szCs w:val="30"/>
          <w:highlight w:val="none"/>
        </w:rPr>
      </w:pPr>
      <w:bookmarkStart w:id="31" w:name="_Toc30797"/>
      <w:bookmarkStart w:id="32" w:name="_Toc217289130"/>
      <w:bookmarkStart w:id="33" w:name="_Toc237176506"/>
      <w:bookmarkStart w:id="34" w:name="_Toc184785919"/>
      <w:bookmarkStart w:id="35" w:name="_Toc237340102"/>
      <w:bookmarkStart w:id="36" w:name="_Toc237189783"/>
      <w:bookmarkStart w:id="37" w:name="_Toc237182502"/>
      <w:bookmarkStart w:id="38" w:name="_Toc295910872"/>
      <w:bookmarkStart w:id="39" w:name="_Toc237193454"/>
      <w:bookmarkStart w:id="40" w:name="_Toc237413907"/>
      <w:bookmarkStart w:id="41" w:name="_Toc265065978"/>
      <w:bookmarkStart w:id="42" w:name="_Toc295737624"/>
      <w:bookmarkStart w:id="43" w:name="_Toc296074335"/>
      <w:bookmarkStart w:id="44" w:name="_Toc237414003"/>
      <w:bookmarkStart w:id="45" w:name="_Toc256977534"/>
      <w:bookmarkStart w:id="46" w:name="_Toc264211066"/>
      <w:r>
        <w:rPr>
          <w:rFonts w:hint="eastAsia" w:hAnsi="宋体" w:cs="宋体"/>
          <w:color w:val="auto"/>
          <w:sz w:val="30"/>
          <w:szCs w:val="30"/>
          <w:highlight w:val="none"/>
        </w:rPr>
        <w:t>第二部分  采购需求</w:t>
      </w:r>
      <w:bookmarkEnd w:id="31"/>
    </w:p>
    <w:p>
      <w:pPr>
        <w:spacing w:line="500" w:lineRule="exact"/>
        <w:ind w:firstLine="422" w:firstLineChars="200"/>
        <w:rPr>
          <w:rFonts w:hAnsi="宋体" w:cs="宋体"/>
          <w:b/>
          <w:color w:val="auto"/>
          <w:sz w:val="21"/>
          <w:szCs w:val="21"/>
          <w:highlight w:val="none"/>
        </w:rPr>
      </w:pPr>
      <w:bookmarkStart w:id="47" w:name="_Toc118209206"/>
      <w:bookmarkStart w:id="48" w:name="_Toc5905"/>
      <w:r>
        <w:rPr>
          <w:rFonts w:hint="eastAsia" w:hAnsi="宋体" w:cs="宋体"/>
          <w:b/>
          <w:color w:val="auto"/>
          <w:sz w:val="21"/>
          <w:szCs w:val="21"/>
          <w:highlight w:val="none"/>
        </w:rPr>
        <w:t>一、项目背景</w:t>
      </w:r>
      <w:bookmarkEnd w:id="47"/>
    </w:p>
    <w:p>
      <w:pPr>
        <w:autoSpaceDE/>
        <w:autoSpaceDN/>
        <w:spacing w:line="500" w:lineRule="exact"/>
        <w:ind w:firstLine="424" w:firstLineChars="202"/>
        <w:rPr>
          <w:rFonts w:hAnsi="宋体" w:cs="宋体"/>
          <w:color w:val="auto"/>
          <w:sz w:val="21"/>
          <w:szCs w:val="21"/>
          <w:highlight w:val="none"/>
        </w:rPr>
      </w:pPr>
      <w:r>
        <w:rPr>
          <w:rFonts w:hint="eastAsia" w:hAnsi="宋体" w:cs="宋体"/>
          <w:color w:val="auto"/>
          <w:sz w:val="21"/>
          <w:szCs w:val="21"/>
          <w:highlight w:val="none"/>
        </w:rPr>
        <w:t>金华市财政局《财政深化应用平台》是一套包含数据归集、数据分析的综合性数据应用平台，已经整合了包括预算编制、指标管理、非税收入、集中支付、会计核算、资产管理等财政历史数据资产（至2021年）。随着2022年浙江省财政厅《预算管理一体化》系统的应用推广和信创工作的不断深入，平台原有数据归集功能已无法满足省厅大集中和信创工作要求。为能更好的保护和利用财政数据资产，特设立本项目。</w:t>
      </w:r>
    </w:p>
    <w:p>
      <w:pPr>
        <w:autoSpaceDE/>
        <w:autoSpaceDN/>
        <w:spacing w:line="500" w:lineRule="exact"/>
        <w:ind w:firstLine="424" w:firstLineChars="202"/>
        <w:rPr>
          <w:rFonts w:hAnsi="宋体" w:cs="宋体"/>
          <w:color w:val="auto"/>
          <w:sz w:val="21"/>
          <w:szCs w:val="21"/>
          <w:highlight w:val="none"/>
        </w:rPr>
      </w:pPr>
      <w:r>
        <w:rPr>
          <w:rFonts w:hint="eastAsia" w:hAnsi="宋体" w:cs="宋体"/>
          <w:color w:val="auto"/>
          <w:sz w:val="21"/>
          <w:szCs w:val="21"/>
          <w:highlight w:val="none"/>
        </w:rPr>
        <w:t>通过本项目的实施，完成对预算编制、指标管理、非税收入、集中支付、会计核算、资产管理业务数据归集分析的功能迭代和信创改造，增加对土地出让金、行政审批业务数据归集分析，增加数据共享、一体化辅助工具、共同富裕等业务功能。彻底将《财政深化应用平台》打造成集数据资产管理、综合业务分析和创新业务支撑等功能的综合应用平台。</w:t>
      </w:r>
    </w:p>
    <w:p>
      <w:pPr>
        <w:pStyle w:val="3"/>
        <w:numPr>
          <w:ilvl w:val="255"/>
          <w:numId w:val="0"/>
        </w:numPr>
        <w:autoSpaceDE/>
        <w:autoSpaceDN/>
        <w:adjustRightInd/>
        <w:spacing w:line="500" w:lineRule="exact"/>
        <w:textAlignment w:val="auto"/>
        <w:rPr>
          <w:rFonts w:ascii="宋体" w:hAnsi="宋体" w:eastAsia="宋体" w:cs="宋体"/>
          <w:color w:val="auto"/>
          <w:sz w:val="21"/>
          <w:szCs w:val="21"/>
          <w:highlight w:val="none"/>
        </w:rPr>
      </w:pPr>
      <w:bookmarkStart w:id="49" w:name="_Toc118209208"/>
      <w:r>
        <w:rPr>
          <w:rFonts w:hint="eastAsia" w:ascii="宋体" w:hAnsi="宋体" w:eastAsia="宋体" w:cs="宋体"/>
          <w:color w:val="auto"/>
          <w:sz w:val="21"/>
          <w:szCs w:val="21"/>
          <w:highlight w:val="none"/>
        </w:rPr>
        <w:t>二、总体思路</w:t>
      </w:r>
    </w:p>
    <w:p>
      <w:pPr>
        <w:pStyle w:val="4"/>
        <w:numPr>
          <w:ilvl w:val="0"/>
          <w:numId w:val="3"/>
        </w:numPr>
        <w:tabs>
          <w:tab w:val="left" w:pos="720"/>
          <w:tab w:val="left" w:pos="1003"/>
        </w:tabs>
        <w:spacing w:line="500" w:lineRule="exact"/>
        <w:ind w:firstLine="0"/>
        <w:rPr>
          <w:rFonts w:ascii="宋体" w:hAnsi="宋体" w:cs="宋体"/>
          <w:bCs/>
          <w:color w:val="auto"/>
          <w:sz w:val="21"/>
          <w:szCs w:val="21"/>
          <w:highlight w:val="none"/>
        </w:rPr>
      </w:pPr>
      <w:bookmarkStart w:id="50" w:name="_Toc6554"/>
      <w:bookmarkStart w:id="51" w:name="_Toc28093"/>
      <w:bookmarkStart w:id="52" w:name="_Toc20640"/>
      <w:bookmarkStart w:id="53" w:name="_Toc29609"/>
      <w:bookmarkStart w:id="54" w:name="_Toc5556"/>
      <w:bookmarkStart w:id="55" w:name="_Toc9992"/>
      <w:bookmarkStart w:id="56" w:name="_Toc28947"/>
      <w:bookmarkStart w:id="57" w:name="_Toc15222"/>
      <w:bookmarkStart w:id="58" w:name="_Toc31125"/>
      <w:bookmarkStart w:id="59" w:name="_Toc16788"/>
      <w:bookmarkStart w:id="60" w:name="_Toc10117"/>
      <w:bookmarkStart w:id="61" w:name="_Toc14685"/>
      <w:bookmarkStart w:id="62" w:name="_Toc17806"/>
      <w:bookmarkStart w:id="63" w:name="_Toc20056"/>
      <w:bookmarkStart w:id="64" w:name="_Toc23985"/>
      <w:bookmarkStart w:id="65" w:name="_Toc12410"/>
      <w:bookmarkStart w:id="66" w:name="_Toc5216"/>
      <w:bookmarkStart w:id="67" w:name="_Toc5037"/>
      <w:bookmarkStart w:id="68" w:name="_Toc28419"/>
      <w:bookmarkStart w:id="69" w:name="_Toc18645"/>
      <w:r>
        <w:rPr>
          <w:rFonts w:hint="eastAsia" w:ascii="宋体" w:hAnsi="宋体" w:cs="宋体"/>
          <w:bCs/>
          <w:color w:val="auto"/>
          <w:sz w:val="21"/>
          <w:szCs w:val="21"/>
          <w:highlight w:val="none"/>
        </w:rPr>
        <w:t>建设原则</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numPr>
          <w:ilvl w:val="255"/>
          <w:numId w:val="0"/>
        </w:numPr>
        <w:autoSpaceDE/>
        <w:autoSpaceDN/>
        <w:spacing w:line="500" w:lineRule="exact"/>
        <w:outlineLvl w:val="3"/>
        <w:rPr>
          <w:rFonts w:hAnsi="宋体" w:cs="宋体"/>
          <w:color w:val="auto"/>
          <w:sz w:val="21"/>
          <w:szCs w:val="21"/>
          <w:highlight w:val="none"/>
        </w:rPr>
      </w:pPr>
      <w:r>
        <w:rPr>
          <w:rFonts w:hint="eastAsia" w:hAnsi="宋体" w:cs="宋体"/>
          <w:color w:val="auto"/>
          <w:sz w:val="21"/>
          <w:szCs w:val="21"/>
          <w:highlight w:val="none"/>
        </w:rPr>
        <w:t>1.稳健性</w:t>
      </w:r>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系统运行稳定可靠。根据业务量分析和预测，考虑系统设备的处理能力，系统应具有超负荷控制能力；考虑系统在平时和峰值情况下，安全可靠运行的设备和数据备份机制，确保不死机，没有数据丢失。系统应支持全年无间断服务，要求应用365×24小时不间断运行；要为系统运行中可能出现的各种异常情况和突发事件设计周到的应急恢复手段，并在系统运行中不断完善。</w:t>
      </w:r>
    </w:p>
    <w:p>
      <w:pPr>
        <w:numPr>
          <w:ilvl w:val="255"/>
          <w:numId w:val="0"/>
        </w:numPr>
        <w:autoSpaceDE/>
        <w:autoSpaceDN/>
        <w:spacing w:line="500" w:lineRule="exact"/>
        <w:outlineLvl w:val="3"/>
        <w:rPr>
          <w:rFonts w:hAnsi="宋体" w:cs="宋体"/>
          <w:color w:val="auto"/>
          <w:sz w:val="21"/>
          <w:szCs w:val="21"/>
          <w:highlight w:val="none"/>
        </w:rPr>
      </w:pPr>
      <w:bookmarkStart w:id="70" w:name="_Toc280040184"/>
      <w:r>
        <w:rPr>
          <w:rFonts w:hint="eastAsia" w:hAnsi="宋体" w:cs="宋体"/>
          <w:color w:val="auto"/>
          <w:sz w:val="21"/>
          <w:szCs w:val="21"/>
          <w:highlight w:val="none"/>
        </w:rPr>
        <w:t>2.安全性</w:t>
      </w:r>
      <w:bookmarkEnd w:id="70"/>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系统的安全考虑重点在加强其抗干扰能力和抗破坏能力。从技术和管理上需要采用多种手段，确保网络安全和数据安全，保证信息传递的及时、准确，提高系统的抗干扰能力和抗破坏能力。</w:t>
      </w:r>
    </w:p>
    <w:p>
      <w:pPr>
        <w:numPr>
          <w:ilvl w:val="255"/>
          <w:numId w:val="0"/>
        </w:numPr>
        <w:autoSpaceDE/>
        <w:autoSpaceDN/>
        <w:spacing w:line="500" w:lineRule="exact"/>
        <w:outlineLvl w:val="3"/>
        <w:rPr>
          <w:rFonts w:hAnsi="宋体" w:cs="宋体"/>
          <w:color w:val="auto"/>
          <w:sz w:val="21"/>
          <w:szCs w:val="21"/>
          <w:highlight w:val="none"/>
        </w:rPr>
      </w:pPr>
      <w:r>
        <w:rPr>
          <w:rFonts w:hint="eastAsia" w:hAnsi="宋体" w:cs="宋体"/>
          <w:color w:val="auto"/>
          <w:sz w:val="21"/>
          <w:szCs w:val="21"/>
          <w:highlight w:val="none"/>
        </w:rPr>
        <w:t>3.可操作性</w:t>
      </w:r>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能够最大限度地满足用户工作的需要，一方面计算机系统应实现基础数据共享，为相关的应用系统调用，另一方面各种系统应提供使用于各个层次计算机知识水平的人员及其管理人员，系统的报表定制，参数设置等便利直观、个性化。用户界面要求直观、简洁、友好；菜单要求功能清晰、具有层次感，应避免复杂的菜单选择和窗口重叠，简化数据输入。系统界面应采用统一风格，统一操作方式，各个功能键的定义要合理、规范。为用户提供操作或系统的出错提示，且提示简洁明了。</w:t>
      </w:r>
    </w:p>
    <w:p>
      <w:pPr>
        <w:numPr>
          <w:ilvl w:val="255"/>
          <w:numId w:val="0"/>
        </w:numPr>
        <w:autoSpaceDE/>
        <w:autoSpaceDN/>
        <w:spacing w:line="500" w:lineRule="exact"/>
        <w:outlineLvl w:val="3"/>
        <w:rPr>
          <w:rFonts w:hAnsi="宋体" w:cs="宋体"/>
          <w:color w:val="auto"/>
          <w:sz w:val="21"/>
          <w:szCs w:val="21"/>
          <w:highlight w:val="none"/>
        </w:rPr>
      </w:pPr>
      <w:bookmarkStart w:id="71" w:name="_Toc280040183"/>
      <w:r>
        <w:rPr>
          <w:rFonts w:hint="eastAsia" w:hAnsi="宋体" w:cs="宋体"/>
          <w:color w:val="auto"/>
          <w:sz w:val="21"/>
          <w:szCs w:val="21"/>
          <w:highlight w:val="none"/>
        </w:rPr>
        <w:t>4.可扩展性</w:t>
      </w:r>
      <w:bookmarkEnd w:id="71"/>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在系统的设计中不仅应考虑目前的业务需求，更应该满足未来业务量及接入手段种类增长的需求，系统规模应具有可调性。设计能力应考虑满足未来三至五年用户数量增长的需求，要具有网络灵活扩充和调整的特性，系统的软硬件设备具有可扩展性，应具备逐步升级的能力，采用模块化设计，能在整个系统正常运行下，在线提升处理能力。</w:t>
      </w:r>
    </w:p>
    <w:p>
      <w:pPr>
        <w:numPr>
          <w:ilvl w:val="255"/>
          <w:numId w:val="0"/>
        </w:numPr>
        <w:autoSpaceDE/>
        <w:autoSpaceDN/>
        <w:spacing w:line="500" w:lineRule="exact"/>
        <w:outlineLvl w:val="3"/>
        <w:rPr>
          <w:rFonts w:hAnsi="宋体" w:cs="宋体"/>
          <w:color w:val="auto"/>
          <w:sz w:val="21"/>
          <w:szCs w:val="21"/>
          <w:highlight w:val="none"/>
        </w:rPr>
      </w:pPr>
      <w:bookmarkStart w:id="72" w:name="_Toc280040185"/>
      <w:r>
        <w:rPr>
          <w:rFonts w:hint="eastAsia" w:hAnsi="宋体" w:cs="宋体"/>
          <w:color w:val="auto"/>
          <w:sz w:val="21"/>
          <w:szCs w:val="21"/>
          <w:highlight w:val="none"/>
        </w:rPr>
        <w:t>5.可维护性</w:t>
      </w:r>
      <w:bookmarkEnd w:id="72"/>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系统应满足提供友好的应用操作维护界面，维护操作简单。系统对网络连接、硬件设备、软件进程、日志记录等提供实时监控管理。</w:t>
      </w:r>
    </w:p>
    <w:p>
      <w:pPr>
        <w:numPr>
          <w:ilvl w:val="255"/>
          <w:numId w:val="0"/>
        </w:numPr>
        <w:autoSpaceDE/>
        <w:autoSpaceDN/>
        <w:spacing w:line="500" w:lineRule="exact"/>
        <w:outlineLvl w:val="3"/>
        <w:rPr>
          <w:rFonts w:hAnsi="宋体" w:cs="宋体"/>
          <w:color w:val="auto"/>
          <w:sz w:val="21"/>
          <w:szCs w:val="21"/>
          <w:highlight w:val="none"/>
        </w:rPr>
      </w:pPr>
      <w:r>
        <w:rPr>
          <w:rFonts w:hint="eastAsia" w:hAnsi="宋体" w:cs="宋体"/>
          <w:color w:val="auto"/>
          <w:sz w:val="21"/>
          <w:szCs w:val="21"/>
          <w:highlight w:val="none"/>
        </w:rPr>
        <w:t>6.可移植性</w:t>
      </w:r>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要构建灵活、开放的体系结构，保证系统软件与硬件不绑定，今后系统再次升级时可由甲方自由选择供应商提供软件或硬件。</w:t>
      </w:r>
    </w:p>
    <w:p>
      <w:pPr>
        <w:pStyle w:val="4"/>
        <w:numPr>
          <w:ilvl w:val="0"/>
          <w:numId w:val="3"/>
        </w:numPr>
        <w:tabs>
          <w:tab w:val="left" w:pos="720"/>
          <w:tab w:val="left" w:pos="1003"/>
        </w:tabs>
        <w:spacing w:line="500" w:lineRule="exact"/>
        <w:ind w:firstLine="0"/>
        <w:rPr>
          <w:rFonts w:ascii="宋体" w:hAnsi="宋体" w:cs="宋体"/>
          <w:bCs/>
          <w:color w:val="auto"/>
          <w:sz w:val="21"/>
          <w:szCs w:val="21"/>
          <w:highlight w:val="none"/>
        </w:rPr>
      </w:pPr>
      <w:r>
        <w:rPr>
          <w:rFonts w:hint="eastAsia" w:ascii="宋体" w:hAnsi="宋体" w:cs="宋体"/>
          <w:bCs/>
          <w:color w:val="auto"/>
          <w:sz w:val="21"/>
          <w:szCs w:val="21"/>
          <w:highlight w:val="none"/>
        </w:rPr>
        <w:t>系统框架</w:t>
      </w:r>
    </w:p>
    <w:p>
      <w:pPr>
        <w:autoSpaceDE/>
        <w:autoSpaceDN/>
        <w:ind w:left="-340" w:leftChars="-100"/>
        <w:rPr>
          <w:rFonts w:hAnsi="宋体" w:cs="宋体"/>
          <w:color w:val="auto"/>
          <w:sz w:val="21"/>
          <w:szCs w:val="21"/>
          <w:highlight w:val="none"/>
        </w:rPr>
      </w:pPr>
      <w:r>
        <w:rPr>
          <w:rFonts w:hint="eastAsia" w:hAnsi="宋体" w:cs="宋体"/>
          <w:color w:val="auto"/>
          <w:sz w:val="21"/>
          <w:szCs w:val="21"/>
          <w:highlight w:val="none"/>
        </w:rPr>
        <w:drawing>
          <wp:inline distT="0" distB="0" distL="114300" distR="114300">
            <wp:extent cx="5976620" cy="3059430"/>
            <wp:effectExtent l="0" t="0" r="12700" b="38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5976620" cy="3059430"/>
                    </a:xfrm>
                    <a:prstGeom prst="rect">
                      <a:avLst/>
                    </a:prstGeom>
                    <a:noFill/>
                    <a:ln>
                      <a:noFill/>
                    </a:ln>
                  </pic:spPr>
                </pic:pic>
              </a:graphicData>
            </a:graphic>
          </wp:inline>
        </w:drawing>
      </w:r>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按照数字化改革的“四横四纵”基本架构，基于市电子政务“一朵云”的基础支撑体系，打造“财政深化应用分析门户”系统，用户通过浙政钉和验证码两种双因子登录载体，涵盖深化门户、数据标准化治理、共同富裕、预算一体化辅助助手等五大业务场景，通过数据转换分析，实现历史系统数据的再利用，提供一览式的数据分析途径，让业务人员能通俗易懂的掌握相关操作。</w:t>
      </w:r>
    </w:p>
    <w:p>
      <w:pPr>
        <w:pStyle w:val="4"/>
        <w:numPr>
          <w:ilvl w:val="0"/>
          <w:numId w:val="3"/>
        </w:numPr>
        <w:tabs>
          <w:tab w:val="left" w:pos="720"/>
          <w:tab w:val="left" w:pos="1003"/>
        </w:tabs>
        <w:spacing w:line="500" w:lineRule="exact"/>
        <w:ind w:firstLine="0"/>
        <w:rPr>
          <w:rFonts w:ascii="宋体" w:hAnsi="宋体" w:cs="宋体"/>
          <w:bCs/>
          <w:color w:val="auto"/>
          <w:sz w:val="21"/>
          <w:szCs w:val="21"/>
          <w:highlight w:val="none"/>
        </w:rPr>
      </w:pPr>
      <w:bookmarkStart w:id="73" w:name="_Toc31680"/>
      <w:bookmarkStart w:id="74" w:name="_Toc24399"/>
      <w:bookmarkStart w:id="75" w:name="_Toc28765"/>
      <w:bookmarkStart w:id="76" w:name="_Toc22029"/>
      <w:bookmarkStart w:id="77" w:name="_Toc25722"/>
      <w:bookmarkStart w:id="78" w:name="_Toc14648"/>
      <w:bookmarkStart w:id="79" w:name="_Toc23606"/>
      <w:bookmarkStart w:id="80" w:name="_Toc9967"/>
      <w:bookmarkStart w:id="81" w:name="_Toc20959"/>
      <w:bookmarkStart w:id="82" w:name="_Toc15013"/>
      <w:bookmarkStart w:id="83" w:name="_Toc30180"/>
      <w:bookmarkStart w:id="84" w:name="_Toc27690"/>
      <w:bookmarkStart w:id="85" w:name="_Toc3640"/>
      <w:bookmarkStart w:id="86" w:name="_Toc27246"/>
      <w:bookmarkStart w:id="87" w:name="_Toc25521"/>
      <w:bookmarkStart w:id="88" w:name="_Toc29862"/>
      <w:bookmarkStart w:id="89" w:name="_Toc11016"/>
      <w:r>
        <w:rPr>
          <w:rFonts w:hint="eastAsia" w:ascii="宋体" w:hAnsi="宋体" w:cs="宋体"/>
          <w:bCs/>
          <w:color w:val="auto"/>
          <w:sz w:val="21"/>
          <w:szCs w:val="21"/>
          <w:highlight w:val="none"/>
        </w:rPr>
        <w:t>部署方式</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 部署在金华市信创云上。</w:t>
      </w:r>
    </w:p>
    <w:p>
      <w:pPr>
        <w:pStyle w:val="3"/>
        <w:autoSpaceDE/>
        <w:autoSpaceDN/>
        <w:adjustRightInd/>
        <w:spacing w:line="500" w:lineRule="exact"/>
        <w:textAlignment w:val="auto"/>
        <w:rPr>
          <w:rFonts w:ascii="宋体" w:hAnsi="宋体" w:eastAsia="宋体" w:cs="宋体"/>
          <w:color w:val="auto"/>
          <w:sz w:val="21"/>
          <w:szCs w:val="21"/>
          <w:highlight w:val="none"/>
        </w:rPr>
      </w:pPr>
      <w:bookmarkStart w:id="90" w:name="_Toc16902"/>
      <w:bookmarkStart w:id="91" w:name="_Toc15014"/>
      <w:bookmarkStart w:id="92" w:name="_Toc29423"/>
      <w:bookmarkStart w:id="93" w:name="_Toc21385"/>
      <w:bookmarkStart w:id="94" w:name="_Toc32250"/>
      <w:bookmarkStart w:id="95" w:name="_Toc25399"/>
      <w:bookmarkStart w:id="96" w:name="_Toc28345"/>
      <w:bookmarkStart w:id="97" w:name="_Toc14218"/>
      <w:bookmarkStart w:id="98" w:name="_Toc3698"/>
      <w:bookmarkStart w:id="99" w:name="_Toc24225"/>
      <w:bookmarkStart w:id="100" w:name="_Toc16695"/>
      <w:bookmarkStart w:id="101" w:name="_Toc25105"/>
      <w:bookmarkStart w:id="102" w:name="_Toc16622"/>
      <w:bookmarkStart w:id="103" w:name="_Toc23176"/>
      <w:bookmarkStart w:id="104" w:name="_Toc25065"/>
      <w:r>
        <w:rPr>
          <w:rFonts w:ascii="宋体" w:hAnsi="宋体" w:eastAsia="宋体" w:cs="宋体"/>
          <w:color w:val="auto"/>
          <w:sz w:val="21"/>
          <w:szCs w:val="21"/>
          <w:highlight w:val="none"/>
        </w:rPr>
        <w:t>三、</w:t>
      </w:r>
      <w:r>
        <w:rPr>
          <w:rFonts w:hint="eastAsia" w:ascii="宋体" w:hAnsi="宋体" w:eastAsia="宋体" w:cs="宋体"/>
          <w:color w:val="auto"/>
          <w:sz w:val="21"/>
          <w:szCs w:val="21"/>
          <w:highlight w:val="none"/>
        </w:rPr>
        <w:t>建设目标</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完成金华市财政局深化应用平台信创改造和部署，为市本级各行政预算单位提供便捷的历史数据查询服务、预算一体化辅助工具、共同富裕、数据共享等于一体，具有一定先进性和可扩展性的综合应用服务平台。对财政历史数据归类整理，满足信创工作需求，具体可分为以下三项：</w:t>
      </w:r>
    </w:p>
    <w:p>
      <w:pPr>
        <w:numPr>
          <w:ilvl w:val="255"/>
          <w:numId w:val="0"/>
        </w:numPr>
        <w:autoSpaceDE/>
        <w:autoSpaceDN/>
        <w:spacing w:line="500" w:lineRule="exact"/>
        <w:ind w:left="-425" w:firstLine="840" w:firstLineChars="400"/>
        <w:rPr>
          <w:rFonts w:hAnsi="宋体" w:cs="宋体"/>
          <w:color w:val="auto"/>
          <w:sz w:val="21"/>
          <w:szCs w:val="21"/>
          <w:highlight w:val="none"/>
        </w:rPr>
      </w:pPr>
      <w:bookmarkStart w:id="105" w:name="_Toc21576"/>
      <w:bookmarkStart w:id="106" w:name="_Toc5319"/>
      <w:r>
        <w:rPr>
          <w:rFonts w:hint="eastAsia" w:hAnsi="宋体" w:cs="宋体"/>
          <w:color w:val="auto"/>
          <w:sz w:val="21"/>
          <w:szCs w:val="21"/>
          <w:highlight w:val="none"/>
        </w:rPr>
        <w:t>1.构建财政深化应用分析门户，整合财政及外部的多级应用框架；</w:t>
      </w:r>
      <w:bookmarkEnd w:id="105"/>
      <w:bookmarkEnd w:id="106"/>
    </w:p>
    <w:p>
      <w:pPr>
        <w:numPr>
          <w:ilvl w:val="255"/>
          <w:numId w:val="0"/>
        </w:numPr>
        <w:autoSpaceDE/>
        <w:autoSpaceDN/>
        <w:spacing w:line="500" w:lineRule="exact"/>
        <w:ind w:left="-425" w:firstLine="840" w:firstLineChars="400"/>
        <w:rPr>
          <w:rFonts w:hAnsi="宋体" w:cs="宋体"/>
          <w:color w:val="auto"/>
          <w:sz w:val="21"/>
          <w:szCs w:val="21"/>
          <w:highlight w:val="none"/>
        </w:rPr>
      </w:pPr>
      <w:r>
        <w:rPr>
          <w:rFonts w:hint="eastAsia" w:hAnsi="宋体" w:cs="宋体"/>
          <w:color w:val="auto"/>
          <w:sz w:val="21"/>
          <w:szCs w:val="21"/>
          <w:highlight w:val="none"/>
        </w:rPr>
        <w:t>2.构建共同富裕扩中家庭监测体系，为财政服务民生金华样板提供支持；</w:t>
      </w:r>
    </w:p>
    <w:p>
      <w:pPr>
        <w:numPr>
          <w:ilvl w:val="255"/>
          <w:numId w:val="0"/>
        </w:numPr>
        <w:autoSpaceDE/>
        <w:autoSpaceDN/>
        <w:spacing w:line="500" w:lineRule="exact"/>
        <w:ind w:left="-425" w:firstLine="840" w:firstLineChars="400"/>
        <w:rPr>
          <w:rFonts w:hAnsi="宋体" w:cs="宋体"/>
          <w:color w:val="auto"/>
          <w:sz w:val="21"/>
          <w:szCs w:val="21"/>
          <w:highlight w:val="none"/>
        </w:rPr>
      </w:pPr>
      <w:r>
        <w:rPr>
          <w:rFonts w:hint="eastAsia" w:hAnsi="宋体" w:cs="宋体"/>
          <w:color w:val="auto"/>
          <w:sz w:val="21"/>
          <w:szCs w:val="21"/>
          <w:highlight w:val="none"/>
        </w:rPr>
        <w:t>3.通过对财政原有历史库相关系统的数据整合，根据实际需要扩充财政对外数据共享目录。</w:t>
      </w:r>
    </w:p>
    <w:p>
      <w:pPr>
        <w:pStyle w:val="3"/>
        <w:autoSpaceDE/>
        <w:autoSpaceDN/>
        <w:adjustRightInd/>
        <w:spacing w:line="500" w:lineRule="exact"/>
        <w:textAlignment w:val="auto"/>
        <w:rPr>
          <w:rFonts w:ascii="宋体" w:hAnsi="宋体" w:eastAsia="宋体" w:cs="宋体"/>
          <w:color w:val="auto"/>
          <w:sz w:val="21"/>
          <w:szCs w:val="21"/>
          <w:highlight w:val="none"/>
        </w:rPr>
      </w:pPr>
      <w:bookmarkStart w:id="107" w:name="_Toc20965"/>
      <w:bookmarkStart w:id="108" w:name="_Toc17912"/>
      <w:bookmarkStart w:id="109" w:name="_Toc29108"/>
      <w:bookmarkStart w:id="110" w:name="_Toc12248"/>
      <w:bookmarkStart w:id="111" w:name="_Toc20536"/>
      <w:bookmarkStart w:id="112" w:name="_Toc16153"/>
      <w:bookmarkStart w:id="113" w:name="_Toc4257"/>
      <w:bookmarkStart w:id="114" w:name="_Toc3807"/>
      <w:bookmarkStart w:id="115" w:name="_Toc30176"/>
      <w:bookmarkStart w:id="116" w:name="_Toc32643"/>
      <w:bookmarkStart w:id="117" w:name="_Toc24272"/>
      <w:bookmarkStart w:id="118" w:name="_Toc6331"/>
      <w:bookmarkStart w:id="119" w:name="_Toc15873"/>
      <w:bookmarkStart w:id="120" w:name="_Toc14783"/>
      <w:bookmarkStart w:id="121" w:name="_Toc23339"/>
      <w:r>
        <w:rPr>
          <w:rFonts w:hint="eastAsia" w:ascii="宋体" w:hAnsi="宋体" w:eastAsia="宋体" w:cs="宋体"/>
          <w:color w:val="auto"/>
          <w:sz w:val="21"/>
          <w:szCs w:val="21"/>
          <w:highlight w:val="none"/>
        </w:rPr>
        <w:t>四、建设内容</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为了更好的让历史系统的数据服务与财政的日常工作，原来由各个业务处室和预算单位使用的系统迫切需要进行资源和数据整合，使数据能在信创环境下使用并符合新的数字化的改革总体要求。以“事件+数据+文件”为主线，进行财政数据服务目录建设。建设深化应用门户、业务数据展示、共同富裕、一体化辅助助手共四个场景。应用与IRS一体化智能化公共数据平台、省财政厅预算一体化平台、浙政钉进行对接。</w:t>
      </w:r>
    </w:p>
    <w:p>
      <w:pPr>
        <w:pStyle w:val="4"/>
        <w:numPr>
          <w:ilvl w:val="0"/>
          <w:numId w:val="4"/>
        </w:numPr>
        <w:tabs>
          <w:tab w:val="left" w:pos="720"/>
          <w:tab w:val="left" w:pos="1003"/>
        </w:tabs>
        <w:spacing w:line="500" w:lineRule="exact"/>
        <w:ind w:firstLine="0"/>
        <w:rPr>
          <w:rFonts w:ascii="宋体" w:hAnsi="宋体" w:cs="宋体"/>
          <w:bCs/>
          <w:color w:val="auto"/>
          <w:sz w:val="21"/>
          <w:szCs w:val="21"/>
          <w:highlight w:val="none"/>
        </w:rPr>
      </w:pPr>
      <w:bookmarkStart w:id="122" w:name="_Toc17607"/>
      <w:bookmarkStart w:id="123" w:name="_Toc16726"/>
      <w:bookmarkStart w:id="124" w:name="_Toc3784"/>
      <w:bookmarkStart w:id="125" w:name="_Toc28089"/>
      <w:bookmarkStart w:id="126" w:name="_Toc19455"/>
      <w:bookmarkStart w:id="127" w:name="_Toc32289"/>
      <w:bookmarkStart w:id="128" w:name="_Toc8346"/>
      <w:bookmarkStart w:id="129" w:name="_Toc9124"/>
      <w:bookmarkStart w:id="130" w:name="_Toc6246"/>
      <w:bookmarkStart w:id="131" w:name="_Toc17061"/>
      <w:bookmarkStart w:id="132" w:name="_Toc14815"/>
      <w:bookmarkStart w:id="133" w:name="_Toc18299"/>
      <w:bookmarkStart w:id="134" w:name="_Toc21035"/>
      <w:bookmarkStart w:id="135" w:name="_Toc23614"/>
      <w:bookmarkStart w:id="136" w:name="_Toc9243"/>
      <w:bookmarkStart w:id="137" w:name="_Toc6220"/>
      <w:bookmarkStart w:id="138" w:name="_Toc29428"/>
      <w:r>
        <w:rPr>
          <w:rFonts w:hint="eastAsia" w:ascii="宋体" w:hAnsi="宋体" w:cs="宋体"/>
          <w:bCs/>
          <w:color w:val="auto"/>
          <w:sz w:val="21"/>
          <w:szCs w:val="21"/>
          <w:highlight w:val="none"/>
        </w:rPr>
        <w:t>数据服务目录建设</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本次数据库建设主要包括三部分内容，一是对财政的各个老系统的数据进行分析并确定数据种类， 二是按照数据规范进行历史数据和增量数据的清洗和治理，三是按照统一的财政与大数据局商议的数据资源目录和标准，完成数据在一体化智能化公共数据入库，在深化应用平台进行数据的日常管理，在一体化智能化公共数据平台中进行编目共享。</w:t>
      </w:r>
    </w:p>
    <w:p>
      <w:pPr>
        <w:numPr>
          <w:ilvl w:val="255"/>
          <w:numId w:val="0"/>
        </w:numPr>
        <w:autoSpaceDE/>
        <w:autoSpaceDN/>
        <w:spacing w:line="500" w:lineRule="exact"/>
        <w:ind w:left="-425" w:firstLine="420" w:firstLineChars="200"/>
        <w:outlineLvl w:val="3"/>
        <w:rPr>
          <w:rFonts w:hAnsi="宋体" w:cs="宋体"/>
          <w:color w:val="auto"/>
          <w:sz w:val="21"/>
          <w:szCs w:val="21"/>
          <w:highlight w:val="none"/>
        </w:rPr>
      </w:pPr>
      <w:r>
        <w:rPr>
          <w:rFonts w:hint="eastAsia" w:hAnsi="宋体" w:cs="宋体"/>
          <w:color w:val="auto"/>
          <w:sz w:val="21"/>
          <w:szCs w:val="21"/>
          <w:highlight w:val="none"/>
        </w:rPr>
        <w:t>1.历史数据分析。历史数据分析是为了后续数据清洗治理，为此需要对历史各个应用系统的业务主干和数据组成进行重点剖析，梳理业务节点和后端数据库格式即对应的相关报表。</w:t>
      </w:r>
    </w:p>
    <w:p>
      <w:pPr>
        <w:numPr>
          <w:ilvl w:val="255"/>
          <w:numId w:val="0"/>
        </w:numPr>
        <w:autoSpaceDE/>
        <w:autoSpaceDN/>
        <w:spacing w:line="500" w:lineRule="exact"/>
        <w:ind w:left="-425" w:firstLine="420" w:firstLineChars="200"/>
        <w:outlineLvl w:val="3"/>
        <w:rPr>
          <w:rFonts w:hAnsi="宋体" w:cs="宋体"/>
          <w:color w:val="auto"/>
          <w:sz w:val="21"/>
          <w:szCs w:val="21"/>
          <w:highlight w:val="none"/>
        </w:rPr>
      </w:pPr>
      <w:r>
        <w:rPr>
          <w:rFonts w:hint="eastAsia" w:hAnsi="宋体" w:cs="宋体"/>
          <w:color w:val="auto"/>
          <w:sz w:val="21"/>
          <w:szCs w:val="21"/>
          <w:highlight w:val="none"/>
        </w:rPr>
        <w:t>2.数据治理。财政历史数据治理需要以业务目标为导向，相关数据之间根据业务的连贯性进行数据索引标签，可以更好的挖掘和提升数据价值。</w:t>
      </w:r>
    </w:p>
    <w:p>
      <w:pPr>
        <w:numPr>
          <w:ilvl w:val="255"/>
          <w:numId w:val="0"/>
        </w:numPr>
        <w:autoSpaceDE/>
        <w:autoSpaceDN/>
        <w:spacing w:line="500" w:lineRule="exact"/>
        <w:ind w:left="-425" w:firstLine="420" w:firstLineChars="200"/>
        <w:outlineLvl w:val="3"/>
        <w:rPr>
          <w:rFonts w:hAnsi="宋体" w:cs="宋体"/>
          <w:color w:val="auto"/>
          <w:sz w:val="21"/>
          <w:szCs w:val="21"/>
          <w:highlight w:val="none"/>
        </w:rPr>
      </w:pPr>
      <w:r>
        <w:rPr>
          <w:rFonts w:hint="eastAsia" w:hAnsi="宋体" w:cs="宋体"/>
          <w:color w:val="auto"/>
          <w:sz w:val="21"/>
          <w:szCs w:val="21"/>
          <w:highlight w:val="none"/>
        </w:rPr>
        <w:t>3.数据共享。为更好的让财政可共享的数据共享到一体化智能化公共数据平台，整理“财政共享数据目录清单”，基于目录应共享的数据项、数据更新频率、共享方式（库表、数据接口或文件），数据在财政深化应用数据仓中进行存储，在一体化智能化公共数据平台中进行编目共享开放属性。</w:t>
      </w:r>
    </w:p>
    <w:p>
      <w:pPr>
        <w:pStyle w:val="4"/>
        <w:numPr>
          <w:ilvl w:val="0"/>
          <w:numId w:val="4"/>
        </w:numPr>
        <w:tabs>
          <w:tab w:val="left" w:pos="720"/>
          <w:tab w:val="left" w:pos="1003"/>
        </w:tabs>
        <w:spacing w:line="500" w:lineRule="exact"/>
        <w:ind w:firstLine="0"/>
        <w:rPr>
          <w:rFonts w:ascii="宋体" w:hAnsi="宋体" w:cs="宋体"/>
          <w:bCs/>
          <w:color w:val="auto"/>
          <w:sz w:val="21"/>
          <w:szCs w:val="21"/>
          <w:highlight w:val="none"/>
        </w:rPr>
      </w:pPr>
      <w:bookmarkStart w:id="139" w:name="_Toc11195"/>
      <w:bookmarkStart w:id="140" w:name="_Toc21450"/>
      <w:bookmarkStart w:id="141" w:name="_Toc18125"/>
      <w:bookmarkStart w:id="142" w:name="_Toc13012"/>
      <w:bookmarkStart w:id="143" w:name="_Toc953"/>
      <w:bookmarkStart w:id="144" w:name="_Toc529"/>
      <w:bookmarkStart w:id="145" w:name="_Toc10903"/>
      <w:bookmarkStart w:id="146" w:name="_Toc1521"/>
      <w:bookmarkStart w:id="147" w:name="_Toc7123"/>
      <w:bookmarkStart w:id="148" w:name="_Toc32445"/>
      <w:bookmarkStart w:id="149" w:name="_Toc15537"/>
      <w:bookmarkStart w:id="150" w:name="_Toc4251"/>
      <w:bookmarkStart w:id="151" w:name="_Toc3901"/>
      <w:bookmarkStart w:id="152" w:name="_Toc17997"/>
      <w:bookmarkStart w:id="153" w:name="_Toc26314"/>
      <w:bookmarkStart w:id="154" w:name="_Toc4207"/>
      <w:bookmarkStart w:id="155" w:name="_Toc16475"/>
      <w:r>
        <w:rPr>
          <w:rFonts w:hint="eastAsia" w:ascii="宋体" w:hAnsi="宋体" w:cs="宋体"/>
          <w:bCs/>
          <w:color w:val="auto"/>
          <w:sz w:val="21"/>
          <w:szCs w:val="21"/>
          <w:highlight w:val="none"/>
        </w:rPr>
        <w:t>深化应用门户</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通过建立财政深化应用的综合门户，用户和身份鉴权统一，门户支持多应用迭代部署，着力财政数据的挖掘和数据再利用分析，提升财政服务政府智治的能力。</w:t>
      </w:r>
    </w:p>
    <w:p>
      <w:pPr>
        <w:pStyle w:val="4"/>
        <w:numPr>
          <w:ilvl w:val="0"/>
          <w:numId w:val="4"/>
        </w:numPr>
        <w:tabs>
          <w:tab w:val="left" w:pos="720"/>
          <w:tab w:val="left" w:pos="1003"/>
        </w:tabs>
        <w:spacing w:line="500" w:lineRule="exact"/>
        <w:ind w:firstLine="0"/>
        <w:rPr>
          <w:rFonts w:ascii="宋体" w:hAnsi="宋体" w:cs="宋体"/>
          <w:bCs/>
          <w:color w:val="auto"/>
          <w:sz w:val="21"/>
          <w:szCs w:val="21"/>
          <w:highlight w:val="none"/>
        </w:rPr>
      </w:pPr>
      <w:bookmarkStart w:id="156" w:name="_Toc21370"/>
      <w:bookmarkStart w:id="157" w:name="_Toc14169"/>
      <w:bookmarkStart w:id="158" w:name="_Toc21194"/>
      <w:bookmarkStart w:id="159" w:name="_Toc10820"/>
      <w:bookmarkStart w:id="160" w:name="_Toc52"/>
      <w:bookmarkStart w:id="161" w:name="_Toc8628"/>
      <w:bookmarkStart w:id="162" w:name="_Toc26468"/>
      <w:bookmarkStart w:id="163" w:name="_Toc24356"/>
      <w:bookmarkStart w:id="164" w:name="_Toc26836"/>
      <w:bookmarkStart w:id="165" w:name="_Toc16347"/>
      <w:bookmarkStart w:id="166" w:name="_Toc28474"/>
      <w:bookmarkStart w:id="167" w:name="_Toc24226"/>
      <w:bookmarkStart w:id="168" w:name="_Toc19555"/>
      <w:bookmarkStart w:id="169" w:name="_Toc16964"/>
      <w:bookmarkStart w:id="170" w:name="_Toc6454"/>
      <w:bookmarkStart w:id="171" w:name="_Toc28867"/>
      <w:bookmarkStart w:id="172" w:name="_Toc9650"/>
      <w:r>
        <w:rPr>
          <w:rFonts w:hint="eastAsia" w:ascii="宋体" w:hAnsi="宋体" w:cs="宋体"/>
          <w:bCs/>
          <w:color w:val="auto"/>
          <w:sz w:val="21"/>
          <w:szCs w:val="21"/>
          <w:highlight w:val="none"/>
        </w:rPr>
        <w:t>共同富裕监测</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根据市委市政府的家庭医疗保障政策试点的总体要求，财政需要做好家庭医疗保险试点的财政资金的保障工作，为确保财政资金使用的安全、透明、可控的，建立我市的“扩中”家庭库，对家庭医疗保障的资金受益群体和财政补助资金能及时准确掌握，为我市共同富裕提供政策支持。</w:t>
      </w:r>
    </w:p>
    <w:p>
      <w:pPr>
        <w:pStyle w:val="4"/>
        <w:numPr>
          <w:ilvl w:val="0"/>
          <w:numId w:val="4"/>
        </w:numPr>
        <w:tabs>
          <w:tab w:val="left" w:pos="720"/>
          <w:tab w:val="left" w:pos="1003"/>
        </w:tabs>
        <w:spacing w:line="500" w:lineRule="exact"/>
        <w:ind w:firstLine="0"/>
        <w:rPr>
          <w:rFonts w:ascii="宋体" w:hAnsi="宋体" w:cs="宋体"/>
          <w:bCs/>
          <w:color w:val="auto"/>
          <w:sz w:val="21"/>
          <w:szCs w:val="21"/>
          <w:highlight w:val="none"/>
        </w:rPr>
      </w:pPr>
      <w:bookmarkStart w:id="173" w:name="_Toc9600"/>
      <w:bookmarkStart w:id="174" w:name="_Toc23453"/>
      <w:bookmarkStart w:id="175" w:name="_Toc13485"/>
      <w:bookmarkStart w:id="176" w:name="_Toc17209"/>
      <w:bookmarkStart w:id="177" w:name="_Toc30911"/>
      <w:bookmarkStart w:id="178" w:name="_Toc610"/>
      <w:bookmarkStart w:id="179" w:name="_Toc26226"/>
      <w:bookmarkStart w:id="180" w:name="_Toc16288"/>
      <w:bookmarkStart w:id="181" w:name="_Toc10551"/>
      <w:bookmarkStart w:id="182" w:name="_Toc31984"/>
      <w:bookmarkStart w:id="183" w:name="_Toc16217"/>
      <w:bookmarkStart w:id="184" w:name="_Toc23920"/>
      <w:bookmarkStart w:id="185" w:name="_Toc6802"/>
      <w:bookmarkStart w:id="186" w:name="_Toc29277"/>
      <w:bookmarkStart w:id="187" w:name="_Toc26446"/>
      <w:bookmarkStart w:id="188" w:name="_Toc14459"/>
      <w:bookmarkStart w:id="189" w:name="_Toc21949"/>
      <w:r>
        <w:rPr>
          <w:rFonts w:hint="eastAsia" w:ascii="宋体" w:hAnsi="宋体" w:cs="宋体"/>
          <w:bCs/>
          <w:color w:val="auto"/>
          <w:sz w:val="21"/>
          <w:szCs w:val="21"/>
          <w:highlight w:val="none"/>
        </w:rPr>
        <w:t>一体化辅助助手</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随着预算一体化系统的上线使用，系统和模块众多，财政和预算单位的使用人员需要熟悉各类系统的操作功能，一体化的相关操作目前基本是以实现业务功能为指引的，在业务操作人员操作的实用性和简便性方面不是很完善，有些系统的相关操作功能还不是很完善，部分系统的相关功能操作比较繁琐，从财政和单位业务人员的实际工作效率的角度，可以以预算一体化化系统为主，辅助助手在一体化系统不能实现的相关功能。结合实际业务场景的需要，形成主副系统的良性交互。</w:t>
      </w:r>
    </w:p>
    <w:p>
      <w:pPr>
        <w:pStyle w:val="4"/>
        <w:numPr>
          <w:ilvl w:val="0"/>
          <w:numId w:val="4"/>
        </w:numPr>
        <w:tabs>
          <w:tab w:val="left" w:pos="720"/>
          <w:tab w:val="left" w:pos="1003"/>
        </w:tabs>
        <w:spacing w:line="500" w:lineRule="exact"/>
        <w:ind w:firstLine="0"/>
        <w:rPr>
          <w:rFonts w:ascii="宋体" w:hAnsi="宋体" w:cs="宋体"/>
          <w:bCs/>
          <w:color w:val="auto"/>
          <w:sz w:val="21"/>
          <w:szCs w:val="21"/>
          <w:highlight w:val="none"/>
        </w:rPr>
      </w:pPr>
      <w:bookmarkStart w:id="190" w:name="_Toc458"/>
      <w:bookmarkStart w:id="191" w:name="_Toc15349"/>
      <w:bookmarkStart w:id="192" w:name="_Toc16715"/>
      <w:bookmarkStart w:id="193" w:name="_Toc7470"/>
      <w:bookmarkStart w:id="194" w:name="_Toc3977"/>
      <w:bookmarkStart w:id="195" w:name="_Toc5950"/>
      <w:bookmarkStart w:id="196" w:name="_Toc3076"/>
      <w:bookmarkStart w:id="197" w:name="_Toc22396"/>
      <w:bookmarkStart w:id="198" w:name="_Toc13394"/>
      <w:bookmarkStart w:id="199" w:name="_Toc19237"/>
      <w:bookmarkStart w:id="200" w:name="_Toc2872"/>
      <w:bookmarkStart w:id="201" w:name="_Toc10484"/>
      <w:bookmarkStart w:id="202" w:name="_Toc7901"/>
      <w:bookmarkStart w:id="203" w:name="_Toc29993"/>
      <w:bookmarkStart w:id="204" w:name="_Toc6737"/>
      <w:bookmarkStart w:id="205" w:name="_Toc1657"/>
      <w:bookmarkStart w:id="206" w:name="_Toc20992"/>
      <w:r>
        <w:rPr>
          <w:rFonts w:hint="eastAsia" w:ascii="宋体" w:hAnsi="宋体" w:cs="宋体"/>
          <w:bCs/>
          <w:color w:val="auto"/>
          <w:sz w:val="21"/>
          <w:szCs w:val="21"/>
          <w:highlight w:val="none"/>
        </w:rPr>
        <w:t>接口建设</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numPr>
          <w:ilvl w:val="255"/>
          <w:numId w:val="0"/>
        </w:numPr>
        <w:autoSpaceDE/>
        <w:autoSpaceDN/>
        <w:spacing w:line="500" w:lineRule="exact"/>
        <w:ind w:left="-425" w:firstLine="420" w:firstLineChars="200"/>
        <w:outlineLvl w:val="3"/>
        <w:rPr>
          <w:rFonts w:hAnsi="宋体" w:cs="宋体"/>
          <w:color w:val="auto"/>
          <w:sz w:val="21"/>
          <w:szCs w:val="21"/>
          <w:highlight w:val="none"/>
        </w:rPr>
      </w:pPr>
      <w:bookmarkStart w:id="207" w:name="_Toc14391"/>
      <w:bookmarkStart w:id="208" w:name="_Toc16839"/>
      <w:r>
        <w:rPr>
          <w:rFonts w:hint="eastAsia" w:hAnsi="宋体" w:cs="宋体"/>
          <w:color w:val="auto"/>
          <w:sz w:val="21"/>
          <w:szCs w:val="21"/>
          <w:highlight w:val="none"/>
        </w:rPr>
        <w:t>1.IRS一体化智能化公共数据平台对接</w:t>
      </w:r>
      <w:bookmarkEnd w:id="207"/>
      <w:bookmarkEnd w:id="208"/>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通过与IRS一体化智能化公共数据平台对接，对本项目使用的的主要功能，进行查重并充分利用IRS平台中已发布的组件、数据，避免平台低水平重复建设、保障数据跨部门跨层级共享、应用。</w:t>
      </w:r>
    </w:p>
    <w:p>
      <w:pPr>
        <w:numPr>
          <w:ilvl w:val="255"/>
          <w:numId w:val="0"/>
        </w:numPr>
        <w:autoSpaceDE/>
        <w:autoSpaceDN/>
        <w:spacing w:line="500" w:lineRule="exact"/>
        <w:ind w:left="-425" w:firstLine="420" w:firstLineChars="200"/>
        <w:outlineLvl w:val="3"/>
        <w:rPr>
          <w:rFonts w:hAnsi="宋体" w:cs="宋体"/>
          <w:color w:val="auto"/>
          <w:sz w:val="21"/>
          <w:szCs w:val="21"/>
          <w:highlight w:val="none"/>
        </w:rPr>
      </w:pPr>
      <w:bookmarkStart w:id="209" w:name="_Toc31690"/>
      <w:bookmarkStart w:id="210" w:name="_Toc25662"/>
      <w:r>
        <w:rPr>
          <w:rFonts w:hint="eastAsia" w:hAnsi="宋体" w:cs="宋体"/>
          <w:color w:val="auto"/>
          <w:sz w:val="21"/>
          <w:szCs w:val="21"/>
          <w:highlight w:val="none"/>
        </w:rPr>
        <w:t>2.预算一体化对接</w:t>
      </w:r>
      <w:bookmarkEnd w:id="209"/>
      <w:bookmarkEnd w:id="210"/>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通过与省厅预算一体化的系统用户对接，实现深化应用性与省厅预算一体化系统的登录接口对接，实现系统底层用户整体同步。</w:t>
      </w:r>
      <w:bookmarkEnd w:id="49"/>
      <w:bookmarkStart w:id="211" w:name="_Toc10853"/>
    </w:p>
    <w:p>
      <w:pPr>
        <w:pStyle w:val="4"/>
        <w:numPr>
          <w:ilvl w:val="0"/>
          <w:numId w:val="4"/>
        </w:numPr>
        <w:tabs>
          <w:tab w:val="left" w:pos="720"/>
          <w:tab w:val="left" w:pos="1003"/>
        </w:tabs>
        <w:spacing w:line="500" w:lineRule="exact"/>
        <w:ind w:firstLine="0"/>
        <w:rPr>
          <w:rFonts w:ascii="宋体" w:hAnsi="宋体" w:cs="宋体"/>
          <w:bCs/>
          <w:color w:val="auto"/>
          <w:sz w:val="21"/>
          <w:szCs w:val="21"/>
          <w:highlight w:val="none"/>
        </w:rPr>
      </w:pPr>
      <w:r>
        <w:rPr>
          <w:rFonts w:hint="eastAsia" w:ascii="宋体" w:hAnsi="宋体" w:cs="宋体"/>
          <w:bCs/>
          <w:color w:val="auto"/>
          <w:sz w:val="21"/>
          <w:szCs w:val="21"/>
          <w:highlight w:val="none"/>
        </w:rPr>
        <w:t>数据库迁移</w:t>
      </w:r>
    </w:p>
    <w:p>
      <w:pPr>
        <w:numPr>
          <w:ilvl w:val="255"/>
          <w:numId w:val="0"/>
        </w:numPr>
        <w:autoSpaceDE/>
        <w:autoSpaceDN/>
        <w:spacing w:line="500" w:lineRule="exact"/>
        <w:ind w:left="-425" w:firstLine="420" w:firstLineChars="200"/>
        <w:outlineLvl w:val="3"/>
        <w:rPr>
          <w:rFonts w:hAnsi="宋体" w:cs="宋体"/>
          <w:color w:val="auto"/>
          <w:sz w:val="21"/>
          <w:szCs w:val="21"/>
          <w:highlight w:val="none"/>
        </w:rPr>
      </w:pPr>
      <w:bookmarkStart w:id="212" w:name="_Toc21173"/>
      <w:bookmarkStart w:id="213" w:name="_Toc15837"/>
      <w:bookmarkStart w:id="214" w:name="_Toc19501"/>
      <w:bookmarkStart w:id="215" w:name="_Toc2934"/>
      <w:bookmarkStart w:id="216" w:name="_Toc25258"/>
      <w:bookmarkStart w:id="217" w:name="_Toc7909"/>
      <w:bookmarkStart w:id="218" w:name="_Toc17171"/>
      <w:bookmarkStart w:id="219" w:name="_Toc22480"/>
      <w:bookmarkStart w:id="220" w:name="_Toc16592"/>
      <w:bookmarkStart w:id="221" w:name="_Toc93"/>
      <w:bookmarkStart w:id="222" w:name="_Toc2726"/>
      <w:bookmarkStart w:id="223" w:name="_Toc28673"/>
      <w:bookmarkStart w:id="224" w:name="_Toc26854"/>
      <w:r>
        <w:rPr>
          <w:rFonts w:hint="eastAsia" w:hAnsi="宋体" w:cs="宋体"/>
          <w:color w:val="auto"/>
          <w:sz w:val="21"/>
          <w:szCs w:val="21"/>
          <w:highlight w:val="none"/>
        </w:rPr>
        <w:t>1.基础资料数据</w:t>
      </w:r>
      <w:bookmarkEnd w:id="212"/>
      <w:bookmarkEnd w:id="213"/>
      <w:bookmarkEnd w:id="214"/>
      <w:bookmarkEnd w:id="215"/>
      <w:bookmarkEnd w:id="216"/>
      <w:bookmarkEnd w:id="217"/>
      <w:bookmarkEnd w:id="218"/>
      <w:bookmarkEnd w:id="219"/>
      <w:bookmarkEnd w:id="220"/>
      <w:bookmarkEnd w:id="221"/>
      <w:bookmarkEnd w:id="222"/>
      <w:bookmarkEnd w:id="223"/>
      <w:bookmarkEnd w:id="224"/>
      <w:r>
        <w:rPr>
          <w:rFonts w:hint="eastAsia" w:hAnsi="宋体" w:cs="宋体"/>
          <w:color w:val="auto"/>
          <w:sz w:val="21"/>
          <w:szCs w:val="21"/>
          <w:highlight w:val="none"/>
        </w:rPr>
        <w:t>。包括但不限于：用户信息、应用系统、核算账套、单位信息、预算项目信息、功能科目、部门经济科目、政府经济科目、资金性质、资金来源、单位账户信息、财政账户信息等。</w:t>
      </w:r>
    </w:p>
    <w:p>
      <w:pPr>
        <w:numPr>
          <w:ilvl w:val="255"/>
          <w:numId w:val="0"/>
        </w:numPr>
        <w:autoSpaceDE/>
        <w:autoSpaceDN/>
        <w:spacing w:line="500" w:lineRule="exact"/>
        <w:ind w:left="-425" w:firstLine="420" w:firstLineChars="200"/>
        <w:outlineLvl w:val="3"/>
        <w:rPr>
          <w:rFonts w:hAnsi="宋体" w:cs="宋体"/>
          <w:color w:val="auto"/>
          <w:sz w:val="21"/>
          <w:szCs w:val="21"/>
          <w:highlight w:val="none"/>
        </w:rPr>
      </w:pPr>
      <w:bookmarkStart w:id="225" w:name="_Toc10058"/>
      <w:bookmarkStart w:id="226" w:name="_Toc21224"/>
      <w:bookmarkStart w:id="227" w:name="_Toc17261"/>
      <w:bookmarkStart w:id="228" w:name="_Toc10556"/>
      <w:bookmarkStart w:id="229" w:name="_Toc269"/>
      <w:bookmarkStart w:id="230" w:name="_Toc27582"/>
      <w:bookmarkStart w:id="231" w:name="_Toc26565"/>
      <w:bookmarkStart w:id="232" w:name="_Toc9703"/>
      <w:bookmarkStart w:id="233" w:name="_Toc1552"/>
      <w:bookmarkStart w:id="234" w:name="_Toc19773"/>
      <w:bookmarkStart w:id="235" w:name="_Toc18166"/>
      <w:bookmarkStart w:id="236" w:name="_Toc23247"/>
      <w:bookmarkStart w:id="237" w:name="_Toc15913"/>
      <w:r>
        <w:rPr>
          <w:rFonts w:hint="eastAsia" w:hAnsi="宋体" w:cs="宋体"/>
          <w:color w:val="auto"/>
          <w:sz w:val="21"/>
          <w:szCs w:val="21"/>
          <w:highlight w:val="none"/>
        </w:rPr>
        <w:t>2.预算编制数据</w:t>
      </w:r>
      <w:bookmarkEnd w:id="225"/>
      <w:bookmarkEnd w:id="226"/>
      <w:bookmarkEnd w:id="227"/>
      <w:bookmarkEnd w:id="228"/>
      <w:bookmarkEnd w:id="229"/>
      <w:bookmarkEnd w:id="230"/>
      <w:bookmarkEnd w:id="231"/>
      <w:bookmarkEnd w:id="232"/>
      <w:bookmarkEnd w:id="233"/>
      <w:bookmarkEnd w:id="234"/>
      <w:bookmarkEnd w:id="235"/>
      <w:bookmarkEnd w:id="236"/>
      <w:bookmarkEnd w:id="237"/>
      <w:r>
        <w:rPr>
          <w:rFonts w:hint="eastAsia" w:hAnsi="宋体" w:cs="宋体"/>
          <w:color w:val="auto"/>
          <w:sz w:val="21"/>
          <w:szCs w:val="21"/>
          <w:highlight w:val="none"/>
        </w:rPr>
        <w:t>。包括但不限于：项目基本信息、项目年度预算明细信息、政府采购预算明细信息、政府购买服务预算明细信息、非税收入计划表等。</w:t>
      </w:r>
    </w:p>
    <w:p>
      <w:pPr>
        <w:numPr>
          <w:ilvl w:val="255"/>
          <w:numId w:val="0"/>
        </w:numPr>
        <w:autoSpaceDE/>
        <w:autoSpaceDN/>
        <w:spacing w:line="500" w:lineRule="exact"/>
        <w:ind w:left="-425" w:firstLine="420" w:firstLineChars="200"/>
        <w:outlineLvl w:val="3"/>
        <w:rPr>
          <w:rFonts w:hAnsi="宋体" w:cs="宋体"/>
          <w:color w:val="auto"/>
          <w:sz w:val="21"/>
          <w:szCs w:val="21"/>
          <w:highlight w:val="none"/>
        </w:rPr>
      </w:pPr>
      <w:bookmarkStart w:id="238" w:name="_Toc30620"/>
      <w:bookmarkStart w:id="239" w:name="_Toc27010"/>
      <w:bookmarkStart w:id="240" w:name="_Toc25021"/>
      <w:bookmarkStart w:id="241" w:name="_Toc22576"/>
      <w:bookmarkStart w:id="242" w:name="_Toc15310"/>
      <w:bookmarkStart w:id="243" w:name="_Toc29336"/>
      <w:bookmarkStart w:id="244" w:name="_Toc5119"/>
      <w:bookmarkStart w:id="245" w:name="_Toc30780"/>
      <w:bookmarkStart w:id="246" w:name="_Toc17241"/>
      <w:bookmarkStart w:id="247" w:name="_Toc10398"/>
      <w:bookmarkStart w:id="248" w:name="_Toc32146"/>
      <w:bookmarkStart w:id="249" w:name="_Toc8624"/>
      <w:bookmarkStart w:id="250" w:name="_Toc5430"/>
      <w:r>
        <w:rPr>
          <w:rFonts w:hint="eastAsia" w:hAnsi="宋体" w:cs="宋体"/>
          <w:color w:val="auto"/>
          <w:sz w:val="21"/>
          <w:szCs w:val="21"/>
          <w:highlight w:val="none"/>
        </w:rPr>
        <w:t>3.指标数据</w:t>
      </w:r>
      <w:bookmarkEnd w:id="238"/>
      <w:bookmarkEnd w:id="239"/>
      <w:bookmarkEnd w:id="240"/>
      <w:bookmarkEnd w:id="241"/>
      <w:bookmarkEnd w:id="242"/>
      <w:bookmarkEnd w:id="243"/>
      <w:bookmarkEnd w:id="244"/>
      <w:bookmarkEnd w:id="245"/>
      <w:bookmarkEnd w:id="246"/>
      <w:bookmarkEnd w:id="247"/>
      <w:bookmarkEnd w:id="248"/>
      <w:bookmarkEnd w:id="249"/>
      <w:bookmarkEnd w:id="250"/>
      <w:r>
        <w:rPr>
          <w:rFonts w:hint="eastAsia" w:hAnsi="宋体" w:cs="宋体"/>
          <w:color w:val="auto"/>
          <w:sz w:val="21"/>
          <w:szCs w:val="21"/>
          <w:highlight w:val="none"/>
        </w:rPr>
        <w:t>。包括但不限于：指标信息明细、收入预算指标表、转移支付分配表、转移支付接收表等。</w:t>
      </w:r>
    </w:p>
    <w:p>
      <w:pPr>
        <w:numPr>
          <w:ilvl w:val="255"/>
          <w:numId w:val="0"/>
        </w:numPr>
        <w:autoSpaceDE/>
        <w:autoSpaceDN/>
        <w:spacing w:line="500" w:lineRule="exact"/>
        <w:ind w:left="-425" w:firstLine="420" w:firstLineChars="200"/>
        <w:outlineLvl w:val="3"/>
        <w:rPr>
          <w:rFonts w:hAnsi="宋体" w:cs="宋体"/>
          <w:color w:val="auto"/>
          <w:sz w:val="21"/>
          <w:szCs w:val="21"/>
          <w:highlight w:val="none"/>
        </w:rPr>
      </w:pPr>
      <w:bookmarkStart w:id="251" w:name="_Toc1611"/>
      <w:bookmarkStart w:id="252" w:name="_Toc17620"/>
      <w:bookmarkStart w:id="253" w:name="_Toc5411"/>
      <w:bookmarkStart w:id="254" w:name="_Toc19695"/>
      <w:bookmarkStart w:id="255" w:name="_Toc1857"/>
      <w:bookmarkStart w:id="256" w:name="_Toc3436"/>
      <w:bookmarkStart w:id="257" w:name="_Toc9573"/>
      <w:bookmarkStart w:id="258" w:name="_Toc14890"/>
      <w:bookmarkStart w:id="259" w:name="_Toc11119"/>
      <w:bookmarkStart w:id="260" w:name="_Toc31491"/>
      <w:bookmarkStart w:id="261" w:name="_Toc8294"/>
      <w:bookmarkStart w:id="262" w:name="_Toc14267"/>
      <w:bookmarkStart w:id="263" w:name="_Toc19731"/>
      <w:r>
        <w:rPr>
          <w:rFonts w:hint="eastAsia" w:hAnsi="宋体" w:cs="宋体"/>
          <w:color w:val="auto"/>
          <w:sz w:val="21"/>
          <w:szCs w:val="21"/>
          <w:highlight w:val="none"/>
        </w:rPr>
        <w:t>4.用款计划数据</w:t>
      </w:r>
      <w:bookmarkEnd w:id="251"/>
      <w:bookmarkEnd w:id="252"/>
      <w:bookmarkEnd w:id="253"/>
      <w:bookmarkEnd w:id="254"/>
      <w:bookmarkEnd w:id="255"/>
      <w:bookmarkEnd w:id="256"/>
      <w:bookmarkEnd w:id="257"/>
      <w:bookmarkEnd w:id="258"/>
      <w:bookmarkEnd w:id="259"/>
      <w:bookmarkEnd w:id="260"/>
      <w:bookmarkEnd w:id="261"/>
      <w:bookmarkEnd w:id="262"/>
      <w:bookmarkEnd w:id="263"/>
      <w:r>
        <w:rPr>
          <w:rFonts w:hint="eastAsia" w:hAnsi="宋体" w:cs="宋体"/>
          <w:color w:val="auto"/>
          <w:sz w:val="21"/>
          <w:szCs w:val="21"/>
          <w:highlight w:val="none"/>
        </w:rPr>
        <w:t>。包括但不限于：直接支付用款计划、授权支付用款计划等。</w:t>
      </w:r>
    </w:p>
    <w:p>
      <w:pPr>
        <w:numPr>
          <w:ilvl w:val="255"/>
          <w:numId w:val="0"/>
        </w:numPr>
        <w:autoSpaceDE/>
        <w:autoSpaceDN/>
        <w:spacing w:line="500" w:lineRule="exact"/>
        <w:ind w:left="-425" w:firstLine="420" w:firstLineChars="200"/>
        <w:outlineLvl w:val="3"/>
        <w:rPr>
          <w:rFonts w:hAnsi="宋体" w:cs="宋体"/>
          <w:color w:val="auto"/>
          <w:sz w:val="21"/>
          <w:szCs w:val="21"/>
          <w:highlight w:val="none"/>
        </w:rPr>
      </w:pPr>
      <w:bookmarkStart w:id="264" w:name="_Toc32596"/>
      <w:bookmarkStart w:id="265" w:name="_Toc11131"/>
      <w:bookmarkStart w:id="266" w:name="_Toc14765"/>
      <w:bookmarkStart w:id="267" w:name="_Toc23392"/>
      <w:bookmarkStart w:id="268" w:name="_Toc96"/>
      <w:bookmarkStart w:id="269" w:name="_Toc6445"/>
      <w:bookmarkStart w:id="270" w:name="_Toc28854"/>
      <w:bookmarkStart w:id="271" w:name="_Toc23087"/>
      <w:bookmarkStart w:id="272" w:name="_Toc3328"/>
      <w:bookmarkStart w:id="273" w:name="_Toc26111"/>
      <w:bookmarkStart w:id="274" w:name="_Toc25334"/>
      <w:bookmarkStart w:id="275" w:name="_Toc17279"/>
      <w:bookmarkStart w:id="276" w:name="_Toc1596"/>
      <w:r>
        <w:rPr>
          <w:rFonts w:hint="eastAsia" w:hAnsi="宋体" w:cs="宋体"/>
          <w:color w:val="auto"/>
          <w:sz w:val="21"/>
          <w:szCs w:val="21"/>
          <w:highlight w:val="none"/>
        </w:rPr>
        <w:t>5.单位支出和财政支出数据</w:t>
      </w:r>
      <w:bookmarkEnd w:id="264"/>
      <w:bookmarkEnd w:id="265"/>
      <w:bookmarkEnd w:id="266"/>
      <w:bookmarkEnd w:id="267"/>
      <w:bookmarkEnd w:id="268"/>
      <w:bookmarkEnd w:id="269"/>
      <w:bookmarkEnd w:id="270"/>
      <w:bookmarkEnd w:id="271"/>
      <w:bookmarkEnd w:id="272"/>
      <w:bookmarkEnd w:id="273"/>
      <w:bookmarkEnd w:id="274"/>
      <w:bookmarkEnd w:id="275"/>
      <w:bookmarkEnd w:id="276"/>
      <w:r>
        <w:rPr>
          <w:rFonts w:hint="eastAsia" w:hAnsi="宋体" w:cs="宋体"/>
          <w:color w:val="auto"/>
          <w:sz w:val="21"/>
          <w:szCs w:val="21"/>
          <w:highlight w:val="none"/>
        </w:rPr>
        <w:t>。包括但不限于：国库集中支付申请表、国库集中支付凭证表、国库集中支付明细表、政府采购公告表、政府采购合同表、政府合同使用指标情况表、政府采购合同支付计划表、国库集中支付日报表、国库集中支付月报表、财政支付汇总清算额度通知单表、财政支付汇总清算额度通知单明细表、国库集中支付凭证号清单表、划款清算凭证表、公务卡消费记录表、支付更正申请书表、单位资金支付申请表、单位资金支付凭证表、预算拨款凭证表、动态监控预警规则表、动态监控处理单据表等。</w:t>
      </w:r>
    </w:p>
    <w:p>
      <w:pPr>
        <w:numPr>
          <w:ilvl w:val="255"/>
          <w:numId w:val="0"/>
        </w:numPr>
        <w:autoSpaceDE/>
        <w:autoSpaceDN/>
        <w:spacing w:line="500" w:lineRule="exact"/>
        <w:ind w:left="-425" w:firstLine="420" w:firstLineChars="200"/>
        <w:outlineLvl w:val="3"/>
        <w:rPr>
          <w:rFonts w:hAnsi="宋体" w:cs="宋体"/>
          <w:color w:val="auto"/>
          <w:sz w:val="21"/>
          <w:szCs w:val="21"/>
          <w:highlight w:val="none"/>
        </w:rPr>
      </w:pPr>
      <w:bookmarkStart w:id="277" w:name="_Toc83"/>
      <w:bookmarkStart w:id="278" w:name="_Toc3185"/>
      <w:bookmarkStart w:id="279" w:name="_Toc13050"/>
      <w:bookmarkStart w:id="280" w:name="_Toc31026"/>
      <w:bookmarkStart w:id="281" w:name="_Toc22497"/>
      <w:bookmarkStart w:id="282" w:name="_Toc704"/>
      <w:bookmarkStart w:id="283" w:name="_Toc24343"/>
      <w:bookmarkStart w:id="284" w:name="_Toc422"/>
      <w:bookmarkStart w:id="285" w:name="_Toc22326"/>
      <w:bookmarkStart w:id="286" w:name="_Toc7386"/>
      <w:bookmarkStart w:id="287" w:name="_Toc30203"/>
      <w:bookmarkStart w:id="288" w:name="_Toc8829"/>
      <w:bookmarkStart w:id="289" w:name="_Toc32196"/>
      <w:r>
        <w:rPr>
          <w:rFonts w:hint="eastAsia" w:hAnsi="宋体" w:cs="宋体"/>
          <w:color w:val="auto"/>
          <w:sz w:val="21"/>
          <w:szCs w:val="21"/>
          <w:highlight w:val="none"/>
        </w:rPr>
        <w:t>6.单位业务流水数据</w:t>
      </w:r>
      <w:bookmarkEnd w:id="277"/>
      <w:bookmarkEnd w:id="278"/>
      <w:bookmarkEnd w:id="279"/>
      <w:bookmarkEnd w:id="280"/>
      <w:bookmarkEnd w:id="281"/>
      <w:bookmarkEnd w:id="282"/>
      <w:bookmarkEnd w:id="283"/>
      <w:bookmarkEnd w:id="284"/>
      <w:bookmarkEnd w:id="285"/>
      <w:bookmarkEnd w:id="286"/>
      <w:bookmarkEnd w:id="287"/>
      <w:bookmarkEnd w:id="288"/>
      <w:bookmarkEnd w:id="289"/>
      <w:r>
        <w:rPr>
          <w:rFonts w:hint="eastAsia" w:hAnsi="宋体" w:cs="宋体"/>
          <w:color w:val="auto"/>
          <w:sz w:val="21"/>
          <w:szCs w:val="21"/>
          <w:highlight w:val="none"/>
        </w:rPr>
        <w:t>。包括但不限于：单位收入流水数据、单位内转流水数据等。</w:t>
      </w:r>
    </w:p>
    <w:p>
      <w:pPr>
        <w:numPr>
          <w:ilvl w:val="255"/>
          <w:numId w:val="0"/>
        </w:numPr>
        <w:autoSpaceDE/>
        <w:autoSpaceDN/>
        <w:spacing w:line="500" w:lineRule="exact"/>
        <w:ind w:left="-425" w:firstLine="420" w:firstLineChars="200"/>
        <w:outlineLvl w:val="3"/>
        <w:rPr>
          <w:rFonts w:hAnsi="宋体" w:cs="宋体"/>
          <w:color w:val="auto"/>
          <w:sz w:val="21"/>
          <w:szCs w:val="21"/>
          <w:highlight w:val="none"/>
        </w:rPr>
      </w:pPr>
      <w:bookmarkStart w:id="290" w:name="_Toc27534"/>
      <w:bookmarkStart w:id="291" w:name="_Toc402"/>
      <w:bookmarkStart w:id="292" w:name="_Toc8105"/>
      <w:bookmarkStart w:id="293" w:name="_Toc12244"/>
      <w:bookmarkStart w:id="294" w:name="_Toc11863"/>
      <w:bookmarkStart w:id="295" w:name="_Toc9633"/>
      <w:bookmarkStart w:id="296" w:name="_Toc24004"/>
      <w:bookmarkStart w:id="297" w:name="_Toc3663"/>
      <w:bookmarkStart w:id="298" w:name="_Toc7595"/>
      <w:bookmarkStart w:id="299" w:name="_Toc7484"/>
      <w:bookmarkStart w:id="300" w:name="_Toc15615"/>
      <w:bookmarkStart w:id="301" w:name="_Toc6651"/>
      <w:bookmarkStart w:id="302" w:name="_Toc17124"/>
      <w:r>
        <w:rPr>
          <w:rFonts w:hint="eastAsia" w:hAnsi="宋体" w:cs="宋体"/>
          <w:color w:val="auto"/>
          <w:sz w:val="21"/>
          <w:szCs w:val="21"/>
          <w:highlight w:val="none"/>
        </w:rPr>
        <w:t>7.财政业务流水数据</w:t>
      </w:r>
      <w:bookmarkEnd w:id="290"/>
      <w:bookmarkEnd w:id="291"/>
      <w:bookmarkEnd w:id="292"/>
      <w:bookmarkEnd w:id="293"/>
      <w:bookmarkEnd w:id="294"/>
      <w:bookmarkEnd w:id="295"/>
      <w:bookmarkEnd w:id="296"/>
      <w:bookmarkEnd w:id="297"/>
      <w:bookmarkEnd w:id="298"/>
      <w:bookmarkEnd w:id="299"/>
      <w:bookmarkEnd w:id="300"/>
      <w:bookmarkEnd w:id="301"/>
      <w:bookmarkEnd w:id="302"/>
      <w:r>
        <w:rPr>
          <w:rFonts w:hint="eastAsia" w:hAnsi="宋体" w:cs="宋体"/>
          <w:color w:val="auto"/>
          <w:sz w:val="21"/>
          <w:szCs w:val="21"/>
          <w:highlight w:val="none"/>
        </w:rPr>
        <w:t>。包括但不限于：财政收入流水数据、财政内转流水数据等。</w:t>
      </w:r>
    </w:p>
    <w:p>
      <w:pPr>
        <w:numPr>
          <w:ilvl w:val="255"/>
          <w:numId w:val="0"/>
        </w:numPr>
        <w:autoSpaceDE/>
        <w:autoSpaceDN/>
        <w:spacing w:line="500" w:lineRule="exact"/>
        <w:ind w:left="-425" w:firstLine="420" w:firstLineChars="200"/>
        <w:outlineLvl w:val="3"/>
        <w:rPr>
          <w:rFonts w:hAnsi="宋体" w:cs="宋体"/>
          <w:color w:val="auto"/>
          <w:sz w:val="21"/>
          <w:szCs w:val="21"/>
          <w:highlight w:val="none"/>
        </w:rPr>
      </w:pPr>
      <w:bookmarkStart w:id="303" w:name="_Toc11477"/>
      <w:bookmarkStart w:id="304" w:name="_Toc14852"/>
      <w:bookmarkStart w:id="305" w:name="_Toc15737"/>
      <w:bookmarkStart w:id="306" w:name="_Toc12182"/>
      <w:bookmarkStart w:id="307" w:name="_Toc20341"/>
      <w:bookmarkStart w:id="308" w:name="_Toc28490"/>
      <w:bookmarkStart w:id="309" w:name="_Toc6825"/>
      <w:bookmarkStart w:id="310" w:name="_Toc8279"/>
      <w:bookmarkStart w:id="311" w:name="_Toc18385"/>
      <w:bookmarkStart w:id="312" w:name="_Toc7662"/>
      <w:bookmarkStart w:id="313" w:name="_Toc15072"/>
      <w:bookmarkStart w:id="314" w:name="_Toc12399"/>
      <w:bookmarkStart w:id="315" w:name="_Toc12352"/>
      <w:r>
        <w:rPr>
          <w:rFonts w:hint="eastAsia" w:hAnsi="宋体" w:cs="宋体"/>
          <w:color w:val="auto"/>
          <w:sz w:val="21"/>
          <w:szCs w:val="21"/>
          <w:highlight w:val="none"/>
        </w:rPr>
        <w:t>8.单位会计核算数据</w:t>
      </w:r>
      <w:bookmarkEnd w:id="303"/>
      <w:bookmarkEnd w:id="304"/>
      <w:bookmarkEnd w:id="305"/>
      <w:bookmarkEnd w:id="306"/>
      <w:bookmarkEnd w:id="307"/>
      <w:bookmarkEnd w:id="308"/>
      <w:bookmarkEnd w:id="309"/>
      <w:bookmarkEnd w:id="310"/>
      <w:bookmarkEnd w:id="311"/>
      <w:bookmarkEnd w:id="312"/>
      <w:bookmarkEnd w:id="313"/>
      <w:bookmarkEnd w:id="314"/>
      <w:bookmarkEnd w:id="315"/>
      <w:r>
        <w:rPr>
          <w:rFonts w:hint="eastAsia" w:hAnsi="宋体" w:cs="宋体"/>
          <w:color w:val="auto"/>
          <w:sz w:val="21"/>
          <w:szCs w:val="21"/>
          <w:highlight w:val="none"/>
        </w:rPr>
        <w:t>。包括但不限于：单位会计账套、单位会计科目表、单位会计凭证主表、单位会计凭证分录明细表、单位会计原始单据管理表、单位会计月发生额汇总表等。</w:t>
      </w:r>
    </w:p>
    <w:p>
      <w:pPr>
        <w:numPr>
          <w:ilvl w:val="255"/>
          <w:numId w:val="0"/>
        </w:numPr>
        <w:autoSpaceDE/>
        <w:autoSpaceDN/>
        <w:spacing w:line="500" w:lineRule="exact"/>
        <w:ind w:left="-425" w:firstLine="420" w:firstLineChars="200"/>
        <w:outlineLvl w:val="3"/>
        <w:rPr>
          <w:rFonts w:hAnsi="宋体" w:cs="宋体"/>
          <w:color w:val="auto"/>
          <w:sz w:val="21"/>
          <w:szCs w:val="21"/>
          <w:highlight w:val="none"/>
        </w:rPr>
      </w:pPr>
      <w:bookmarkStart w:id="316" w:name="_Toc14140"/>
      <w:bookmarkStart w:id="317" w:name="_Toc11331"/>
      <w:bookmarkStart w:id="318" w:name="_Toc24140"/>
      <w:bookmarkStart w:id="319" w:name="_Toc10834"/>
      <w:bookmarkStart w:id="320" w:name="_Toc10711"/>
      <w:bookmarkStart w:id="321" w:name="_Toc17551"/>
      <w:bookmarkStart w:id="322" w:name="_Toc30108"/>
      <w:bookmarkStart w:id="323" w:name="_Toc21806"/>
      <w:bookmarkStart w:id="324" w:name="_Toc14809"/>
      <w:bookmarkStart w:id="325" w:name="_Toc1931"/>
      <w:bookmarkStart w:id="326" w:name="_Toc16455"/>
      <w:bookmarkStart w:id="327" w:name="_Toc22638"/>
      <w:bookmarkStart w:id="328" w:name="_Toc21567"/>
      <w:r>
        <w:rPr>
          <w:rFonts w:hint="eastAsia" w:hAnsi="宋体" w:cs="宋体"/>
          <w:color w:val="auto"/>
          <w:sz w:val="21"/>
          <w:szCs w:val="21"/>
          <w:highlight w:val="none"/>
        </w:rPr>
        <w:t>9.财政会计核算数据</w:t>
      </w:r>
      <w:bookmarkEnd w:id="316"/>
      <w:bookmarkEnd w:id="317"/>
      <w:bookmarkEnd w:id="318"/>
      <w:bookmarkEnd w:id="319"/>
      <w:bookmarkEnd w:id="320"/>
      <w:bookmarkEnd w:id="321"/>
      <w:bookmarkEnd w:id="322"/>
      <w:bookmarkEnd w:id="323"/>
      <w:bookmarkEnd w:id="324"/>
      <w:bookmarkEnd w:id="325"/>
      <w:bookmarkEnd w:id="326"/>
      <w:bookmarkEnd w:id="327"/>
      <w:bookmarkEnd w:id="328"/>
      <w:r>
        <w:rPr>
          <w:rFonts w:hint="eastAsia" w:hAnsi="宋体" w:cs="宋体"/>
          <w:color w:val="auto"/>
          <w:sz w:val="21"/>
          <w:szCs w:val="21"/>
          <w:highlight w:val="none"/>
        </w:rPr>
        <w:t>。包括但不限于:财政会计账套信息表、财政会计科目表、财政会计凭证主表、财政会计凭证分录明细表、财政会计原始单据关联表、指标账套表、指标账科目表、指标账凭证主表、指标凭证分录明细表、指标账原始单据关联表等。</w:t>
      </w:r>
    </w:p>
    <w:p>
      <w:pPr>
        <w:numPr>
          <w:ilvl w:val="255"/>
          <w:numId w:val="0"/>
        </w:numPr>
        <w:autoSpaceDE/>
        <w:autoSpaceDN/>
        <w:spacing w:line="500" w:lineRule="exact"/>
        <w:ind w:left="-425" w:firstLine="420" w:firstLineChars="200"/>
        <w:outlineLvl w:val="3"/>
        <w:rPr>
          <w:rFonts w:hAnsi="宋体" w:cs="宋体"/>
          <w:color w:val="auto"/>
          <w:sz w:val="21"/>
          <w:szCs w:val="21"/>
          <w:highlight w:val="none"/>
        </w:rPr>
      </w:pPr>
      <w:bookmarkStart w:id="329" w:name="_Toc6748"/>
      <w:bookmarkStart w:id="330" w:name="_Toc21740"/>
      <w:bookmarkStart w:id="331" w:name="_Toc27197"/>
      <w:bookmarkStart w:id="332" w:name="_Toc21722"/>
      <w:bookmarkStart w:id="333" w:name="_Toc688"/>
      <w:bookmarkStart w:id="334" w:name="_Toc7368"/>
      <w:bookmarkStart w:id="335" w:name="_Toc8892"/>
      <w:bookmarkStart w:id="336" w:name="_Toc22203"/>
      <w:bookmarkStart w:id="337" w:name="_Toc24492"/>
      <w:bookmarkStart w:id="338" w:name="_Toc17334"/>
      <w:bookmarkStart w:id="339" w:name="_Toc24427"/>
      <w:bookmarkStart w:id="340" w:name="_Toc3786"/>
      <w:bookmarkStart w:id="341" w:name="_Toc20550"/>
      <w:r>
        <w:rPr>
          <w:rFonts w:hint="eastAsia" w:hAnsi="宋体" w:cs="宋体"/>
          <w:color w:val="auto"/>
          <w:sz w:val="21"/>
          <w:szCs w:val="21"/>
          <w:highlight w:val="none"/>
        </w:rPr>
        <w:t>10.政府采购数据</w:t>
      </w:r>
      <w:bookmarkEnd w:id="329"/>
      <w:bookmarkEnd w:id="330"/>
      <w:bookmarkEnd w:id="331"/>
      <w:bookmarkEnd w:id="332"/>
      <w:bookmarkEnd w:id="333"/>
      <w:bookmarkEnd w:id="334"/>
      <w:bookmarkEnd w:id="335"/>
      <w:bookmarkEnd w:id="336"/>
      <w:bookmarkEnd w:id="337"/>
      <w:bookmarkEnd w:id="338"/>
      <w:bookmarkEnd w:id="339"/>
      <w:bookmarkEnd w:id="340"/>
      <w:bookmarkEnd w:id="341"/>
      <w:r>
        <w:rPr>
          <w:rFonts w:hint="eastAsia" w:hAnsi="宋体" w:cs="宋体"/>
          <w:color w:val="auto"/>
          <w:sz w:val="21"/>
          <w:szCs w:val="21"/>
          <w:highlight w:val="none"/>
        </w:rPr>
        <w:t>。包括但不限于：采购项目信息、采购计划批复信息、采购合同信息、采购合同备案信心、采购合同支付信息等。</w:t>
      </w:r>
    </w:p>
    <w:p>
      <w:pPr>
        <w:numPr>
          <w:ilvl w:val="255"/>
          <w:numId w:val="0"/>
        </w:numPr>
        <w:autoSpaceDE/>
        <w:autoSpaceDN/>
        <w:spacing w:line="500" w:lineRule="exact"/>
        <w:ind w:left="-425" w:firstLine="420" w:firstLineChars="200"/>
        <w:outlineLvl w:val="3"/>
        <w:rPr>
          <w:rFonts w:hAnsi="宋体" w:cs="宋体"/>
          <w:color w:val="auto"/>
          <w:sz w:val="21"/>
          <w:szCs w:val="21"/>
          <w:highlight w:val="none"/>
        </w:rPr>
      </w:pPr>
      <w:bookmarkStart w:id="342" w:name="_Toc6988"/>
      <w:bookmarkStart w:id="343" w:name="_Toc16713"/>
      <w:bookmarkStart w:id="344" w:name="_Toc8145"/>
      <w:bookmarkStart w:id="345" w:name="_Toc21704"/>
      <w:bookmarkStart w:id="346" w:name="_Toc8288"/>
      <w:bookmarkStart w:id="347" w:name="_Toc2733"/>
      <w:bookmarkStart w:id="348" w:name="_Toc7543"/>
      <w:bookmarkStart w:id="349" w:name="_Toc14434"/>
      <w:bookmarkStart w:id="350" w:name="_Toc17177"/>
      <w:bookmarkStart w:id="351" w:name="_Toc25988"/>
      <w:bookmarkStart w:id="352" w:name="_Toc2211"/>
      <w:bookmarkStart w:id="353" w:name="_Toc22237"/>
      <w:bookmarkStart w:id="354" w:name="_Toc18073"/>
      <w:r>
        <w:rPr>
          <w:rFonts w:hint="eastAsia" w:hAnsi="宋体" w:cs="宋体"/>
          <w:color w:val="auto"/>
          <w:sz w:val="21"/>
          <w:szCs w:val="21"/>
          <w:highlight w:val="none"/>
        </w:rPr>
        <w:t>11.土地出让金数据</w:t>
      </w:r>
      <w:bookmarkEnd w:id="342"/>
      <w:bookmarkEnd w:id="343"/>
      <w:bookmarkEnd w:id="344"/>
      <w:bookmarkEnd w:id="345"/>
      <w:bookmarkEnd w:id="346"/>
      <w:bookmarkEnd w:id="347"/>
      <w:bookmarkEnd w:id="348"/>
      <w:bookmarkEnd w:id="349"/>
      <w:bookmarkEnd w:id="350"/>
      <w:bookmarkEnd w:id="351"/>
      <w:bookmarkEnd w:id="352"/>
      <w:bookmarkEnd w:id="353"/>
      <w:bookmarkEnd w:id="354"/>
      <w:r>
        <w:rPr>
          <w:rFonts w:hint="eastAsia" w:hAnsi="宋体" w:cs="宋体"/>
          <w:color w:val="auto"/>
          <w:sz w:val="21"/>
          <w:szCs w:val="21"/>
          <w:highlight w:val="none"/>
        </w:rPr>
        <w:t>。包括但不限于：土地合同信息、土地缴款信息、土地开票信息、土地资金分解信息、土地资金缴库信息等。</w:t>
      </w:r>
    </w:p>
    <w:p>
      <w:pPr>
        <w:numPr>
          <w:ilvl w:val="255"/>
          <w:numId w:val="0"/>
        </w:numPr>
        <w:autoSpaceDE/>
        <w:autoSpaceDN/>
        <w:spacing w:line="500" w:lineRule="exact"/>
        <w:ind w:left="-425" w:firstLine="420" w:firstLineChars="200"/>
        <w:outlineLvl w:val="3"/>
        <w:rPr>
          <w:rFonts w:hAnsi="宋体" w:cs="宋体"/>
          <w:color w:val="auto"/>
          <w:sz w:val="21"/>
          <w:szCs w:val="21"/>
          <w:highlight w:val="none"/>
        </w:rPr>
      </w:pPr>
      <w:bookmarkStart w:id="355" w:name="_Toc3344"/>
      <w:bookmarkStart w:id="356" w:name="_Toc10141"/>
      <w:bookmarkStart w:id="357" w:name="_Toc6893"/>
      <w:bookmarkStart w:id="358" w:name="_Toc8556"/>
      <w:bookmarkStart w:id="359" w:name="_Toc9879"/>
      <w:bookmarkStart w:id="360" w:name="_Toc87"/>
      <w:bookmarkStart w:id="361" w:name="_Toc16192"/>
      <w:bookmarkStart w:id="362" w:name="_Toc7896"/>
      <w:bookmarkStart w:id="363" w:name="_Toc19136"/>
      <w:bookmarkStart w:id="364" w:name="_Toc2759"/>
      <w:bookmarkStart w:id="365" w:name="_Toc31534"/>
      <w:bookmarkStart w:id="366" w:name="_Toc10200"/>
      <w:bookmarkStart w:id="367" w:name="_Toc27174"/>
      <w:r>
        <w:rPr>
          <w:rFonts w:hint="eastAsia" w:hAnsi="宋体" w:cs="宋体"/>
          <w:color w:val="auto"/>
          <w:sz w:val="21"/>
          <w:szCs w:val="21"/>
          <w:highlight w:val="none"/>
        </w:rPr>
        <w:t>12.非税收入数据</w:t>
      </w:r>
      <w:bookmarkEnd w:id="355"/>
      <w:bookmarkEnd w:id="356"/>
      <w:bookmarkEnd w:id="357"/>
      <w:bookmarkEnd w:id="358"/>
      <w:bookmarkEnd w:id="359"/>
      <w:bookmarkEnd w:id="360"/>
      <w:bookmarkEnd w:id="361"/>
      <w:bookmarkEnd w:id="362"/>
      <w:bookmarkEnd w:id="363"/>
      <w:bookmarkEnd w:id="364"/>
      <w:bookmarkEnd w:id="365"/>
      <w:bookmarkEnd w:id="366"/>
      <w:bookmarkEnd w:id="367"/>
      <w:r>
        <w:rPr>
          <w:rFonts w:hint="eastAsia" w:hAnsi="宋体" w:cs="宋体"/>
          <w:color w:val="auto"/>
          <w:sz w:val="21"/>
          <w:szCs w:val="21"/>
          <w:highlight w:val="none"/>
        </w:rPr>
        <w:t>。包括但不限于：执收项目信息、执收码信息、非税缴款书信息、非税缴款明细信息等。</w:t>
      </w:r>
    </w:p>
    <w:p>
      <w:pPr>
        <w:numPr>
          <w:ilvl w:val="255"/>
          <w:numId w:val="0"/>
        </w:numPr>
        <w:autoSpaceDE/>
        <w:autoSpaceDN/>
        <w:spacing w:line="500" w:lineRule="exact"/>
        <w:ind w:left="-425" w:firstLine="420" w:firstLineChars="200"/>
        <w:outlineLvl w:val="3"/>
        <w:rPr>
          <w:rFonts w:hAnsi="宋体" w:cs="宋体"/>
          <w:color w:val="auto"/>
          <w:sz w:val="21"/>
          <w:szCs w:val="21"/>
          <w:highlight w:val="none"/>
        </w:rPr>
      </w:pPr>
      <w:bookmarkStart w:id="368" w:name="_Toc17700"/>
      <w:bookmarkStart w:id="369" w:name="_Toc23011"/>
      <w:bookmarkStart w:id="370" w:name="_Toc8140"/>
      <w:bookmarkStart w:id="371" w:name="_Toc19902"/>
      <w:bookmarkStart w:id="372" w:name="_Toc22017"/>
      <w:bookmarkStart w:id="373" w:name="_Toc22801"/>
      <w:bookmarkStart w:id="374" w:name="_Toc12434"/>
      <w:bookmarkStart w:id="375" w:name="_Toc116"/>
      <w:bookmarkStart w:id="376" w:name="_Toc28939"/>
      <w:bookmarkStart w:id="377" w:name="_Toc11428"/>
      <w:bookmarkStart w:id="378" w:name="_Toc8986"/>
      <w:bookmarkStart w:id="379" w:name="_Toc3242"/>
      <w:bookmarkStart w:id="380" w:name="_Toc12957"/>
      <w:r>
        <w:rPr>
          <w:rFonts w:hint="eastAsia" w:hAnsi="宋体" w:cs="宋体"/>
          <w:color w:val="auto"/>
          <w:sz w:val="21"/>
          <w:szCs w:val="21"/>
          <w:highlight w:val="none"/>
        </w:rPr>
        <w:t>13.单位工资发放数据</w:t>
      </w:r>
      <w:bookmarkEnd w:id="368"/>
      <w:bookmarkEnd w:id="369"/>
      <w:bookmarkEnd w:id="370"/>
      <w:bookmarkEnd w:id="371"/>
      <w:bookmarkEnd w:id="372"/>
      <w:bookmarkEnd w:id="373"/>
      <w:bookmarkEnd w:id="374"/>
      <w:bookmarkEnd w:id="375"/>
      <w:bookmarkEnd w:id="376"/>
      <w:bookmarkEnd w:id="377"/>
      <w:bookmarkEnd w:id="378"/>
      <w:bookmarkEnd w:id="379"/>
      <w:bookmarkEnd w:id="380"/>
      <w:r>
        <w:rPr>
          <w:rFonts w:hint="eastAsia" w:hAnsi="宋体" w:cs="宋体"/>
          <w:color w:val="auto"/>
          <w:sz w:val="21"/>
          <w:szCs w:val="21"/>
          <w:highlight w:val="none"/>
        </w:rPr>
        <w:t>。包括但不限于：单位工资人员清册、单位工资发放明细、单位工资发放批次信息、工资代发银行信息表等。</w:t>
      </w:r>
    </w:p>
    <w:p>
      <w:pPr>
        <w:numPr>
          <w:ilvl w:val="255"/>
          <w:numId w:val="0"/>
        </w:numPr>
        <w:autoSpaceDE/>
        <w:autoSpaceDN/>
        <w:spacing w:line="500" w:lineRule="exact"/>
        <w:ind w:left="-425" w:firstLine="420" w:firstLineChars="200"/>
        <w:outlineLvl w:val="3"/>
        <w:rPr>
          <w:rFonts w:hAnsi="宋体" w:cs="宋体"/>
          <w:color w:val="auto"/>
          <w:sz w:val="21"/>
          <w:szCs w:val="21"/>
          <w:highlight w:val="none"/>
        </w:rPr>
      </w:pPr>
      <w:bookmarkStart w:id="381" w:name="_Toc24106"/>
      <w:bookmarkStart w:id="382" w:name="_Toc1722"/>
      <w:bookmarkStart w:id="383" w:name="_Toc27607"/>
      <w:bookmarkStart w:id="384" w:name="_Toc14869"/>
      <w:bookmarkStart w:id="385" w:name="_Toc25486"/>
      <w:bookmarkStart w:id="386" w:name="_Toc26595"/>
      <w:bookmarkStart w:id="387" w:name="_Toc21942"/>
      <w:bookmarkStart w:id="388" w:name="_Toc964"/>
      <w:bookmarkStart w:id="389" w:name="_Toc21770"/>
      <w:bookmarkStart w:id="390" w:name="_Toc9264"/>
      <w:bookmarkStart w:id="391" w:name="_Toc9908"/>
      <w:bookmarkStart w:id="392" w:name="_Toc27773"/>
      <w:bookmarkStart w:id="393" w:name="_Toc14362"/>
      <w:r>
        <w:rPr>
          <w:rFonts w:hint="eastAsia" w:hAnsi="宋体" w:cs="宋体"/>
          <w:color w:val="auto"/>
          <w:sz w:val="21"/>
          <w:szCs w:val="21"/>
          <w:highlight w:val="none"/>
        </w:rPr>
        <w:t>14单位资产卡片及相关数据</w:t>
      </w:r>
      <w:bookmarkEnd w:id="381"/>
      <w:bookmarkEnd w:id="382"/>
      <w:bookmarkEnd w:id="383"/>
      <w:bookmarkEnd w:id="384"/>
      <w:bookmarkEnd w:id="385"/>
      <w:bookmarkEnd w:id="386"/>
      <w:bookmarkEnd w:id="387"/>
      <w:bookmarkEnd w:id="388"/>
      <w:bookmarkEnd w:id="389"/>
      <w:bookmarkEnd w:id="390"/>
      <w:bookmarkEnd w:id="391"/>
      <w:bookmarkEnd w:id="392"/>
      <w:bookmarkEnd w:id="393"/>
      <w:r>
        <w:rPr>
          <w:rFonts w:hint="eastAsia" w:hAnsi="宋体" w:cs="宋体"/>
          <w:color w:val="auto"/>
          <w:sz w:val="21"/>
          <w:szCs w:val="21"/>
          <w:highlight w:val="none"/>
        </w:rPr>
        <w:t>。包括但不限于：资产处置申报数据、资产调入单、资产调拨数据、资产划拨数据、资产报废数据、资产收益数据、资产卡片数据、资产出租出借数据、资产出租出借回收数据、事业产权变动数据、事业产权年检数据、事业产权占用登记数据、企业产权变动数据、企业产权年检数据、企业产权占用数据、企业产权注销数据、2009-2012年事业资产年报数据、2009-2012年行政资产年报数据、2013年事业资产年报数据、2013年行政资产年报数据、2014年事业资产年报数据、2014年行政资产年报数据、2016年事业资产年报数据、2016年行政资产年报数据、2017年事业资产年报数据、2017年行政资产年报数据、2018年事业资产年报数据、2018年行政资产年报数据等。</w:t>
      </w:r>
    </w:p>
    <w:p>
      <w:pPr>
        <w:numPr>
          <w:ilvl w:val="255"/>
          <w:numId w:val="0"/>
        </w:numPr>
        <w:autoSpaceDE/>
        <w:autoSpaceDN/>
        <w:spacing w:line="500" w:lineRule="exact"/>
        <w:ind w:left="-425" w:firstLine="420" w:firstLineChars="200"/>
        <w:outlineLvl w:val="3"/>
        <w:rPr>
          <w:rFonts w:hAnsi="宋体" w:cs="宋体"/>
          <w:color w:val="auto"/>
          <w:sz w:val="21"/>
          <w:szCs w:val="21"/>
          <w:highlight w:val="none"/>
        </w:rPr>
      </w:pPr>
      <w:bookmarkStart w:id="394" w:name="_Toc6044"/>
      <w:bookmarkStart w:id="395" w:name="_Toc8944"/>
      <w:bookmarkStart w:id="396" w:name="_Toc29030"/>
      <w:bookmarkStart w:id="397" w:name="_Toc4552"/>
      <w:bookmarkStart w:id="398" w:name="_Toc11984"/>
      <w:bookmarkStart w:id="399" w:name="_Toc31634"/>
      <w:bookmarkStart w:id="400" w:name="_Toc3331"/>
      <w:bookmarkStart w:id="401" w:name="_Toc10453"/>
      <w:bookmarkStart w:id="402" w:name="_Toc1769"/>
      <w:bookmarkStart w:id="403" w:name="_Toc21919"/>
      <w:bookmarkStart w:id="404" w:name="_Toc30044"/>
      <w:bookmarkStart w:id="405" w:name="_Toc24747"/>
      <w:bookmarkStart w:id="406" w:name="_Toc14020"/>
      <w:r>
        <w:rPr>
          <w:rFonts w:hint="eastAsia" w:hAnsi="宋体" w:cs="宋体"/>
          <w:color w:val="auto"/>
          <w:sz w:val="21"/>
          <w:szCs w:val="21"/>
          <w:highlight w:val="none"/>
        </w:rPr>
        <w:t>15.省厅数据大平台下行数据</w:t>
      </w:r>
      <w:bookmarkEnd w:id="394"/>
      <w:bookmarkEnd w:id="395"/>
      <w:bookmarkEnd w:id="396"/>
      <w:bookmarkEnd w:id="397"/>
      <w:bookmarkEnd w:id="398"/>
      <w:bookmarkEnd w:id="399"/>
      <w:bookmarkEnd w:id="400"/>
      <w:bookmarkEnd w:id="401"/>
      <w:bookmarkEnd w:id="402"/>
      <w:bookmarkEnd w:id="403"/>
      <w:bookmarkEnd w:id="404"/>
      <w:bookmarkEnd w:id="405"/>
      <w:bookmarkEnd w:id="406"/>
      <w:r>
        <w:rPr>
          <w:rFonts w:hint="eastAsia" w:hAnsi="宋体" w:cs="宋体"/>
          <w:color w:val="auto"/>
          <w:sz w:val="21"/>
          <w:szCs w:val="21"/>
          <w:highlight w:val="none"/>
        </w:rPr>
        <w:t>。包括但不限于：国库收入日报表、财政内部机构表、单位扩展信息表、热点分类表、支出标准表、人员基本信息表等。</w:t>
      </w:r>
    </w:p>
    <w:p>
      <w:pPr>
        <w:numPr>
          <w:ilvl w:val="255"/>
          <w:numId w:val="0"/>
        </w:numPr>
        <w:autoSpaceDE/>
        <w:autoSpaceDN/>
        <w:spacing w:line="500" w:lineRule="exact"/>
        <w:ind w:left="-425" w:firstLine="420" w:firstLineChars="200"/>
        <w:outlineLvl w:val="3"/>
        <w:rPr>
          <w:rFonts w:hAnsi="宋体" w:cs="宋体"/>
          <w:color w:val="auto"/>
          <w:sz w:val="21"/>
          <w:szCs w:val="21"/>
          <w:highlight w:val="none"/>
        </w:rPr>
      </w:pPr>
      <w:bookmarkStart w:id="407" w:name="_Toc19574"/>
      <w:bookmarkStart w:id="408" w:name="_Toc21068"/>
      <w:bookmarkStart w:id="409" w:name="_Toc10063"/>
      <w:bookmarkStart w:id="410" w:name="_Toc25934"/>
      <w:bookmarkStart w:id="411" w:name="_Toc14947"/>
      <w:bookmarkStart w:id="412" w:name="_Toc15667"/>
      <w:bookmarkStart w:id="413" w:name="_Toc12641"/>
      <w:bookmarkStart w:id="414" w:name="_Toc19611"/>
      <w:bookmarkStart w:id="415" w:name="_Toc30917"/>
      <w:bookmarkStart w:id="416" w:name="_Toc1342"/>
      <w:bookmarkStart w:id="417" w:name="_Toc15064"/>
      <w:bookmarkStart w:id="418" w:name="_Toc4409"/>
      <w:bookmarkStart w:id="419" w:name="_Toc29794"/>
      <w:r>
        <w:rPr>
          <w:rFonts w:hint="eastAsia" w:hAnsi="宋体" w:cs="宋体"/>
          <w:color w:val="auto"/>
          <w:sz w:val="21"/>
          <w:szCs w:val="21"/>
          <w:highlight w:val="none"/>
        </w:rPr>
        <w:t>16.行政审批数据</w:t>
      </w:r>
      <w:bookmarkEnd w:id="407"/>
      <w:bookmarkEnd w:id="408"/>
      <w:bookmarkEnd w:id="409"/>
      <w:bookmarkEnd w:id="410"/>
      <w:bookmarkEnd w:id="411"/>
      <w:bookmarkEnd w:id="412"/>
      <w:bookmarkEnd w:id="413"/>
      <w:bookmarkEnd w:id="414"/>
      <w:bookmarkEnd w:id="415"/>
      <w:bookmarkEnd w:id="416"/>
      <w:bookmarkEnd w:id="417"/>
      <w:bookmarkEnd w:id="418"/>
      <w:bookmarkEnd w:id="419"/>
      <w:r>
        <w:rPr>
          <w:rFonts w:hint="eastAsia" w:hAnsi="宋体" w:cs="宋体"/>
          <w:color w:val="auto"/>
          <w:sz w:val="21"/>
          <w:szCs w:val="21"/>
          <w:highlight w:val="none"/>
        </w:rPr>
        <w:t>。包括但不限于：审批申请表、审批结果表、审批附件表等。</w:t>
      </w:r>
    </w:p>
    <w:p>
      <w:pPr>
        <w:pStyle w:val="4"/>
        <w:numPr>
          <w:ilvl w:val="0"/>
          <w:numId w:val="4"/>
        </w:numPr>
        <w:tabs>
          <w:tab w:val="left" w:pos="720"/>
          <w:tab w:val="left" w:pos="1003"/>
        </w:tabs>
        <w:spacing w:line="500" w:lineRule="exact"/>
        <w:ind w:firstLine="0"/>
        <w:rPr>
          <w:rFonts w:ascii="宋体" w:hAnsi="宋体" w:cs="宋体"/>
          <w:bCs/>
          <w:color w:val="auto"/>
          <w:sz w:val="21"/>
          <w:szCs w:val="21"/>
          <w:highlight w:val="none"/>
        </w:rPr>
      </w:pPr>
      <w:r>
        <w:rPr>
          <w:rFonts w:hint="eastAsia" w:ascii="宋体" w:hAnsi="宋体" w:cs="宋体"/>
          <w:bCs/>
          <w:color w:val="auto"/>
          <w:sz w:val="21"/>
          <w:szCs w:val="21"/>
          <w:highlight w:val="none"/>
        </w:rPr>
        <w:t xml:space="preserve">报表数据适配迁移 </w:t>
      </w:r>
    </w:p>
    <w:p>
      <w:pPr>
        <w:autoSpaceDE/>
        <w:autoSpaceDN/>
        <w:spacing w:line="500" w:lineRule="exact"/>
        <w:ind w:left="-425" w:firstLine="420" w:firstLineChars="200"/>
        <w:outlineLvl w:val="3"/>
        <w:rPr>
          <w:rFonts w:hAnsi="宋体" w:cs="宋体"/>
          <w:color w:val="auto"/>
          <w:sz w:val="21"/>
          <w:szCs w:val="21"/>
          <w:highlight w:val="none"/>
        </w:rPr>
      </w:pPr>
      <w:r>
        <w:rPr>
          <w:rFonts w:hint="eastAsia" w:hAnsi="宋体" w:cs="宋体"/>
          <w:color w:val="auto"/>
          <w:sz w:val="21"/>
          <w:szCs w:val="21"/>
          <w:highlight w:val="none"/>
        </w:rPr>
        <w:t>报表数据迁移包括：资产处置申报数据（售/让/换/废/销）、资产调入单（调拨/划转/捐赠）、资产调入单、资产调拨数据、资产划拨数据、资产报废数据、资产收益数据、资产卡片数据、资产出租出借数据、资产出租出借回收数据、事业产权变动数据、事业产权年检数据、事业产权占用登记数据、企业产权变动数据、企业产权年检数据、企业产权占用数据、企业产权注销数据、2009-2012年事业资产年报数据、2009-2012年行政资产年报数据、2013年事业资产年报数据、2013年行政资产年报数据、2014年事业资产年报数据、2014年行政资产年报数据、2016年事业资产年报数据、2016年行政资产年报数据、2017年事业资产年报数据、2017年行政资产年报数据、2018年事业资产年报数据、2018年行政资产年报数据相关表单在信创环境下进行开发适配开发。</w:t>
      </w:r>
    </w:p>
    <w:p>
      <w:pPr>
        <w:pStyle w:val="4"/>
        <w:numPr>
          <w:ilvl w:val="0"/>
          <w:numId w:val="4"/>
        </w:numPr>
        <w:tabs>
          <w:tab w:val="left" w:pos="720"/>
          <w:tab w:val="left" w:pos="1003"/>
        </w:tabs>
        <w:spacing w:line="500" w:lineRule="exact"/>
        <w:ind w:firstLine="0"/>
        <w:rPr>
          <w:rFonts w:ascii="宋体" w:hAnsi="宋体" w:cs="宋体"/>
          <w:bCs/>
          <w:color w:val="auto"/>
          <w:sz w:val="21"/>
          <w:szCs w:val="21"/>
          <w:highlight w:val="none"/>
        </w:rPr>
      </w:pPr>
      <w:r>
        <w:rPr>
          <w:rFonts w:hint="eastAsia" w:ascii="宋体" w:hAnsi="宋体" w:cs="宋体"/>
          <w:bCs/>
          <w:color w:val="auto"/>
          <w:sz w:val="21"/>
          <w:szCs w:val="21"/>
          <w:highlight w:val="none"/>
        </w:rPr>
        <w:t>应用组件迁移</w:t>
      </w:r>
    </w:p>
    <w:p>
      <w:pPr>
        <w:autoSpaceDE/>
        <w:autoSpaceDN/>
        <w:spacing w:line="500" w:lineRule="exact"/>
        <w:ind w:left="-425" w:firstLine="420" w:firstLineChars="200"/>
        <w:outlineLvl w:val="3"/>
        <w:rPr>
          <w:rFonts w:hAnsi="宋体" w:cs="宋体"/>
          <w:color w:val="auto"/>
          <w:sz w:val="21"/>
          <w:szCs w:val="21"/>
          <w:highlight w:val="none"/>
        </w:rPr>
      </w:pPr>
      <w:r>
        <w:rPr>
          <w:rFonts w:hint="eastAsia" w:hAnsi="宋体" w:cs="宋体"/>
          <w:color w:val="auto"/>
          <w:sz w:val="21"/>
          <w:szCs w:val="21"/>
          <w:highlight w:val="none"/>
        </w:rPr>
        <w:t>含nginx、redis等应用组件的信创云平台迁移。</w:t>
      </w:r>
    </w:p>
    <w:p>
      <w:pPr>
        <w:pStyle w:val="3"/>
        <w:autoSpaceDE/>
        <w:autoSpaceDN/>
        <w:adjustRightInd/>
        <w:spacing w:line="500" w:lineRule="exact"/>
        <w:textAlignment w:val="auto"/>
        <w:rPr>
          <w:rFonts w:ascii="宋体" w:hAnsi="宋体" w:eastAsia="宋体" w:cs="宋体"/>
          <w:color w:val="auto"/>
          <w:sz w:val="21"/>
          <w:szCs w:val="21"/>
          <w:highlight w:val="none"/>
        </w:rPr>
      </w:pPr>
      <w:bookmarkStart w:id="420" w:name="_Toc3903"/>
      <w:bookmarkStart w:id="421" w:name="_Toc21789"/>
      <w:bookmarkStart w:id="422" w:name="_Toc15441"/>
      <w:bookmarkStart w:id="423" w:name="_Toc30200"/>
      <w:bookmarkStart w:id="424" w:name="_Toc18706"/>
      <w:bookmarkStart w:id="425" w:name="_Toc16447"/>
      <w:bookmarkStart w:id="426" w:name="_Toc25416"/>
      <w:bookmarkStart w:id="427" w:name="_Toc28512"/>
      <w:bookmarkStart w:id="428" w:name="_Toc11196"/>
      <w:bookmarkStart w:id="429" w:name="_Toc8111"/>
      <w:bookmarkStart w:id="430" w:name="_Toc19775"/>
      <w:bookmarkStart w:id="431" w:name="_Toc16878"/>
      <w:bookmarkStart w:id="432" w:name="_Toc17122"/>
      <w:r>
        <w:rPr>
          <w:rFonts w:hint="eastAsia" w:ascii="宋体" w:hAnsi="宋体" w:eastAsia="宋体" w:cs="宋体"/>
          <w:color w:val="auto"/>
          <w:sz w:val="21"/>
          <w:szCs w:val="21"/>
          <w:highlight w:val="none"/>
        </w:rPr>
        <w:t>五、测试方案</w:t>
      </w:r>
      <w:bookmarkEnd w:id="420"/>
      <w:bookmarkEnd w:id="421"/>
      <w:bookmarkEnd w:id="422"/>
      <w:bookmarkEnd w:id="423"/>
      <w:bookmarkEnd w:id="424"/>
      <w:bookmarkEnd w:id="425"/>
      <w:bookmarkEnd w:id="426"/>
      <w:bookmarkEnd w:id="427"/>
      <w:bookmarkEnd w:id="428"/>
      <w:bookmarkEnd w:id="429"/>
      <w:bookmarkEnd w:id="430"/>
      <w:bookmarkEnd w:id="431"/>
      <w:bookmarkEnd w:id="432"/>
      <w:r>
        <w:rPr>
          <w:rFonts w:hint="eastAsia" w:ascii="宋体" w:hAnsi="宋体" w:eastAsia="宋体" w:cs="宋体"/>
          <w:color w:val="auto"/>
          <w:sz w:val="21"/>
          <w:szCs w:val="21"/>
          <w:highlight w:val="none"/>
        </w:rPr>
        <w:t>要求</w:t>
      </w:r>
    </w:p>
    <w:p>
      <w:pPr>
        <w:spacing w:line="500" w:lineRule="exact"/>
        <w:rPr>
          <w:rFonts w:hAnsi="宋体" w:cs="宋体"/>
          <w:color w:val="auto"/>
          <w:sz w:val="21"/>
          <w:szCs w:val="21"/>
          <w:highlight w:val="none"/>
        </w:rPr>
      </w:pPr>
      <w:r>
        <w:rPr>
          <w:rFonts w:hint="eastAsia" w:hAnsi="宋体" w:cs="宋体"/>
          <w:color w:val="auto"/>
          <w:sz w:val="21"/>
          <w:szCs w:val="21"/>
          <w:highlight w:val="none"/>
        </w:rPr>
        <w:t>深化系统迁移到信创环境下，需对系统功能、安全以及性能这几方面进行测试。</w:t>
      </w:r>
    </w:p>
    <w:p>
      <w:pPr>
        <w:numPr>
          <w:ilvl w:val="0"/>
          <w:numId w:val="5"/>
        </w:numPr>
        <w:autoSpaceDE/>
        <w:autoSpaceDN/>
        <w:spacing w:line="500" w:lineRule="exact"/>
        <w:rPr>
          <w:rFonts w:hAnsi="宋体" w:cs="宋体"/>
          <w:b/>
          <w:bCs/>
          <w:color w:val="auto"/>
          <w:sz w:val="21"/>
          <w:szCs w:val="21"/>
          <w:highlight w:val="none"/>
        </w:rPr>
      </w:pPr>
      <w:r>
        <w:rPr>
          <w:rFonts w:hint="eastAsia" w:hAnsi="宋体" w:cs="宋体"/>
          <w:b/>
          <w:bCs/>
          <w:color w:val="auto"/>
          <w:sz w:val="21"/>
          <w:szCs w:val="21"/>
          <w:highlight w:val="none"/>
        </w:rPr>
        <w:t>业务功能测试</w:t>
      </w:r>
    </w:p>
    <w:p>
      <w:pPr>
        <w:autoSpaceDE/>
        <w:autoSpaceDN/>
        <w:spacing w:line="500" w:lineRule="exact"/>
        <w:ind w:left="-425" w:firstLine="420" w:firstLineChars="200"/>
        <w:outlineLvl w:val="3"/>
        <w:rPr>
          <w:rFonts w:hAnsi="宋体" w:cs="宋体"/>
          <w:color w:val="auto"/>
          <w:sz w:val="21"/>
          <w:szCs w:val="21"/>
          <w:highlight w:val="none"/>
        </w:rPr>
      </w:pPr>
      <w:r>
        <w:rPr>
          <w:rFonts w:hint="eastAsia" w:hAnsi="宋体" w:cs="宋体"/>
          <w:color w:val="auto"/>
          <w:sz w:val="21"/>
          <w:szCs w:val="21"/>
          <w:highlight w:val="none"/>
        </w:rPr>
        <w:t>对系统设置、基础资料、可用财力分析、单位资产分析、项目库、单位资产分析、项目库、政府采购分析、土地出让金分析、指标综合分析、指标执行分析、财政支出情况分析、单位财政信息、财政财务分析等模块进行功能测试。</w:t>
      </w:r>
    </w:p>
    <w:p>
      <w:pPr>
        <w:numPr>
          <w:ilvl w:val="0"/>
          <w:numId w:val="5"/>
        </w:numPr>
        <w:autoSpaceDE/>
        <w:autoSpaceDN/>
        <w:spacing w:line="500" w:lineRule="exact"/>
        <w:rPr>
          <w:rFonts w:hAnsi="宋体" w:cs="宋体"/>
          <w:b/>
          <w:bCs/>
          <w:color w:val="auto"/>
          <w:sz w:val="21"/>
          <w:szCs w:val="21"/>
          <w:highlight w:val="none"/>
        </w:rPr>
      </w:pPr>
      <w:r>
        <w:rPr>
          <w:rFonts w:hint="eastAsia" w:hAnsi="宋体" w:cs="宋体"/>
          <w:b/>
          <w:bCs/>
          <w:color w:val="auto"/>
          <w:sz w:val="21"/>
          <w:szCs w:val="21"/>
          <w:highlight w:val="none"/>
        </w:rPr>
        <w:t>安全测试</w:t>
      </w:r>
    </w:p>
    <w:p>
      <w:pPr>
        <w:autoSpaceDE/>
        <w:autoSpaceDN/>
        <w:spacing w:line="500" w:lineRule="exact"/>
        <w:ind w:left="-425" w:firstLine="420" w:firstLineChars="200"/>
        <w:outlineLvl w:val="3"/>
        <w:rPr>
          <w:rFonts w:hAnsi="宋体" w:cs="宋体"/>
          <w:color w:val="auto"/>
          <w:sz w:val="21"/>
          <w:szCs w:val="21"/>
          <w:highlight w:val="none"/>
        </w:rPr>
      </w:pPr>
      <w:r>
        <w:rPr>
          <w:rFonts w:hint="eastAsia" w:hAnsi="宋体" w:cs="宋体"/>
          <w:color w:val="auto"/>
          <w:sz w:val="21"/>
          <w:szCs w:val="21"/>
          <w:highlight w:val="none"/>
        </w:rPr>
        <w:t>1.网络安全测试</w:t>
      </w:r>
    </w:p>
    <w:p>
      <w:pPr>
        <w:autoSpaceDE/>
        <w:autoSpaceDN/>
        <w:spacing w:line="500" w:lineRule="exact"/>
        <w:ind w:left="-425" w:firstLine="420" w:firstLineChars="200"/>
        <w:outlineLvl w:val="3"/>
        <w:rPr>
          <w:rFonts w:hAnsi="宋体" w:cs="宋体"/>
          <w:color w:val="auto"/>
          <w:sz w:val="21"/>
          <w:szCs w:val="21"/>
          <w:highlight w:val="none"/>
        </w:rPr>
      </w:pPr>
      <w:r>
        <w:rPr>
          <w:rFonts w:hint="eastAsia" w:hAnsi="宋体" w:cs="宋体"/>
          <w:color w:val="auto"/>
          <w:sz w:val="21"/>
          <w:szCs w:val="21"/>
          <w:highlight w:val="none"/>
        </w:rPr>
        <w:t>系统部署到信创云环境后，验证浙政钉登录和用户账号登录的安全测试，验证密码强度及浙政钉扫描时的安全控制。</w:t>
      </w:r>
    </w:p>
    <w:p>
      <w:pPr>
        <w:autoSpaceDE/>
        <w:autoSpaceDN/>
        <w:spacing w:line="500" w:lineRule="exact"/>
        <w:ind w:left="-425" w:firstLine="420" w:firstLineChars="200"/>
        <w:outlineLvl w:val="3"/>
        <w:rPr>
          <w:rFonts w:hAnsi="宋体" w:cs="宋体"/>
          <w:color w:val="auto"/>
          <w:sz w:val="21"/>
          <w:szCs w:val="21"/>
          <w:highlight w:val="none"/>
        </w:rPr>
      </w:pPr>
      <w:r>
        <w:rPr>
          <w:rFonts w:hint="eastAsia" w:hAnsi="宋体" w:cs="宋体"/>
          <w:color w:val="auto"/>
          <w:sz w:val="21"/>
          <w:szCs w:val="21"/>
          <w:highlight w:val="none"/>
        </w:rPr>
        <w:t>2.系统安全测试</w:t>
      </w:r>
    </w:p>
    <w:p>
      <w:pPr>
        <w:autoSpaceDE/>
        <w:autoSpaceDN/>
        <w:spacing w:line="500" w:lineRule="exact"/>
        <w:ind w:left="-425" w:firstLine="420" w:firstLineChars="200"/>
        <w:outlineLvl w:val="3"/>
        <w:rPr>
          <w:rFonts w:hAnsi="宋体" w:cs="宋体"/>
          <w:color w:val="auto"/>
          <w:sz w:val="21"/>
          <w:szCs w:val="21"/>
          <w:highlight w:val="none"/>
        </w:rPr>
      </w:pPr>
      <w:r>
        <w:rPr>
          <w:rFonts w:hint="eastAsia" w:hAnsi="宋体" w:cs="宋体"/>
          <w:color w:val="auto"/>
          <w:sz w:val="21"/>
          <w:szCs w:val="21"/>
          <w:highlight w:val="none"/>
        </w:rPr>
        <w:t>对系统相关功能进行安全测试，包括数据同步接口和业务功能。</w:t>
      </w:r>
    </w:p>
    <w:p>
      <w:pPr>
        <w:autoSpaceDE/>
        <w:autoSpaceDN/>
        <w:spacing w:line="500" w:lineRule="exact"/>
        <w:ind w:left="-425" w:firstLine="420" w:firstLineChars="200"/>
        <w:outlineLvl w:val="3"/>
        <w:rPr>
          <w:rFonts w:hAnsi="宋体" w:cs="宋体"/>
          <w:color w:val="auto"/>
          <w:sz w:val="21"/>
          <w:szCs w:val="21"/>
          <w:highlight w:val="none"/>
        </w:rPr>
      </w:pPr>
      <w:r>
        <w:rPr>
          <w:rFonts w:hint="eastAsia" w:hAnsi="宋体" w:cs="宋体"/>
          <w:color w:val="auto"/>
          <w:sz w:val="21"/>
          <w:szCs w:val="21"/>
          <w:highlight w:val="none"/>
        </w:rPr>
        <w:t>数据同步接口包括：单位信息、功能科目、预算项目、部门经济科目、财政业务处室、政府经济科目、资金性质、单位收费项目、指标类型、预算编制、指标信息、单位支出信息、财政支出信息、单位会计核算、财政会计核算、土地出让金、政府采购等数据同步接口进行全量和增量数据测试，并记录相应的测试日志，对测试结果进行程序完善。业务功能包括：系统设置、基础资料、可用财力分析、单位资产分析、项目库、单位资产分析、项目库、政府采购分析、土地出让金分析、指标综合分析、指标执行分析、财政支出情况分析、单位财政信息、财政财务分析的各个业务功能逐个进行安全性测试，从查询条件设置、页面布局、页面分页、数据导出、行数据下钻等多种操作并核对数据的准确性。</w:t>
      </w:r>
    </w:p>
    <w:p>
      <w:pPr>
        <w:numPr>
          <w:ilvl w:val="0"/>
          <w:numId w:val="5"/>
        </w:numPr>
        <w:autoSpaceDE/>
        <w:autoSpaceDN/>
        <w:spacing w:line="500" w:lineRule="exact"/>
        <w:rPr>
          <w:rFonts w:hAnsi="宋体" w:cs="宋体"/>
          <w:b/>
          <w:bCs/>
          <w:color w:val="auto"/>
          <w:sz w:val="21"/>
          <w:szCs w:val="21"/>
          <w:highlight w:val="none"/>
        </w:rPr>
      </w:pPr>
      <w:r>
        <w:rPr>
          <w:rFonts w:hint="eastAsia" w:hAnsi="宋体" w:cs="宋体"/>
          <w:b/>
          <w:bCs/>
          <w:color w:val="auto"/>
          <w:sz w:val="21"/>
          <w:szCs w:val="21"/>
          <w:highlight w:val="none"/>
        </w:rPr>
        <w:t>性能测试</w:t>
      </w:r>
    </w:p>
    <w:p>
      <w:pPr>
        <w:autoSpaceDE/>
        <w:autoSpaceDN/>
        <w:spacing w:line="500" w:lineRule="exact"/>
        <w:ind w:left="-425" w:firstLine="420" w:firstLineChars="200"/>
        <w:outlineLvl w:val="3"/>
        <w:rPr>
          <w:rFonts w:hAnsi="宋体" w:cs="宋体"/>
          <w:color w:val="auto"/>
          <w:sz w:val="21"/>
          <w:szCs w:val="21"/>
          <w:highlight w:val="none"/>
        </w:rPr>
      </w:pPr>
      <w:r>
        <w:rPr>
          <w:rFonts w:hint="eastAsia" w:hAnsi="宋体" w:cs="宋体"/>
          <w:color w:val="auto"/>
          <w:sz w:val="21"/>
          <w:szCs w:val="21"/>
          <w:highlight w:val="none"/>
        </w:rPr>
        <w:t>主要从以下几方面进行性能测试：</w:t>
      </w:r>
    </w:p>
    <w:p>
      <w:pPr>
        <w:autoSpaceDE/>
        <w:autoSpaceDN/>
        <w:spacing w:line="500" w:lineRule="exact"/>
        <w:ind w:left="-425" w:firstLine="420" w:firstLineChars="200"/>
        <w:outlineLvl w:val="3"/>
        <w:rPr>
          <w:rFonts w:hAnsi="宋体" w:cs="宋体"/>
          <w:color w:val="auto"/>
          <w:sz w:val="21"/>
          <w:szCs w:val="21"/>
          <w:highlight w:val="none"/>
        </w:rPr>
      </w:pPr>
      <w:r>
        <w:rPr>
          <w:rFonts w:hint="eastAsia" w:hAnsi="宋体" w:cs="宋体"/>
          <w:color w:val="auto"/>
          <w:sz w:val="21"/>
          <w:szCs w:val="21"/>
          <w:highlight w:val="none"/>
        </w:rPr>
        <w:t>1.处理时限是否满足要求。</w:t>
      </w:r>
    </w:p>
    <w:p>
      <w:pPr>
        <w:autoSpaceDE/>
        <w:autoSpaceDN/>
        <w:spacing w:line="500" w:lineRule="exact"/>
        <w:ind w:left="-425" w:firstLine="420" w:firstLineChars="200"/>
        <w:outlineLvl w:val="3"/>
        <w:rPr>
          <w:rFonts w:hAnsi="宋体" w:cs="宋体"/>
          <w:color w:val="auto"/>
          <w:sz w:val="21"/>
          <w:szCs w:val="21"/>
          <w:highlight w:val="none"/>
        </w:rPr>
      </w:pPr>
      <w:r>
        <w:rPr>
          <w:rFonts w:hint="eastAsia" w:hAnsi="宋体" w:cs="宋体"/>
          <w:color w:val="auto"/>
          <w:sz w:val="21"/>
          <w:szCs w:val="21"/>
          <w:highlight w:val="none"/>
        </w:rPr>
        <w:t>2.系统中数据查询的速度。</w:t>
      </w:r>
      <w:r>
        <w:rPr>
          <w:rFonts w:hint="eastAsia" w:hAnsi="宋体" w:cs="宋体"/>
          <w:color w:val="auto"/>
          <w:sz w:val="21"/>
          <w:szCs w:val="21"/>
          <w:highlight w:val="none"/>
        </w:rPr>
        <w:tab/>
      </w:r>
    </w:p>
    <w:p>
      <w:pPr>
        <w:autoSpaceDE/>
        <w:autoSpaceDN/>
        <w:spacing w:line="500" w:lineRule="exact"/>
        <w:ind w:left="-425" w:firstLine="420" w:firstLineChars="200"/>
        <w:outlineLvl w:val="3"/>
        <w:rPr>
          <w:rFonts w:hAnsi="宋体" w:cs="宋体"/>
          <w:color w:val="auto"/>
          <w:sz w:val="21"/>
          <w:szCs w:val="21"/>
          <w:highlight w:val="none"/>
        </w:rPr>
      </w:pPr>
      <w:r>
        <w:rPr>
          <w:rFonts w:hint="eastAsia" w:hAnsi="宋体" w:cs="宋体"/>
          <w:color w:val="auto"/>
          <w:sz w:val="21"/>
          <w:szCs w:val="21"/>
          <w:highlight w:val="none"/>
        </w:rPr>
        <w:t>3.系统的并发性能是否符合要求。</w:t>
      </w:r>
      <w:r>
        <w:rPr>
          <w:rFonts w:hint="eastAsia" w:hAnsi="宋体" w:cs="宋体"/>
          <w:color w:val="auto"/>
          <w:sz w:val="21"/>
          <w:szCs w:val="21"/>
          <w:highlight w:val="none"/>
        </w:rPr>
        <w:tab/>
      </w:r>
    </w:p>
    <w:p>
      <w:pPr>
        <w:autoSpaceDE/>
        <w:autoSpaceDN/>
        <w:spacing w:line="500" w:lineRule="exact"/>
        <w:ind w:left="-425" w:firstLine="420" w:firstLineChars="200"/>
        <w:outlineLvl w:val="3"/>
        <w:rPr>
          <w:rFonts w:hAnsi="宋体" w:cs="宋体"/>
          <w:color w:val="auto"/>
          <w:sz w:val="21"/>
          <w:szCs w:val="21"/>
          <w:highlight w:val="none"/>
        </w:rPr>
      </w:pPr>
      <w:r>
        <w:rPr>
          <w:rFonts w:hint="eastAsia" w:hAnsi="宋体" w:cs="宋体"/>
          <w:color w:val="auto"/>
          <w:sz w:val="21"/>
          <w:szCs w:val="21"/>
          <w:highlight w:val="none"/>
        </w:rPr>
        <w:t>4.使用真实数据，进行抽取处理测试与数据更新效率测试，测试数据抽取性能、更新准确率是否达标。</w:t>
      </w:r>
    </w:p>
    <w:p>
      <w:pPr>
        <w:autoSpaceDE/>
        <w:autoSpaceDN/>
        <w:spacing w:line="500" w:lineRule="exact"/>
        <w:ind w:left="-425" w:firstLine="420" w:firstLineChars="200"/>
        <w:outlineLvl w:val="3"/>
        <w:rPr>
          <w:rFonts w:hAnsi="宋体" w:cs="宋体"/>
          <w:color w:val="auto"/>
          <w:sz w:val="21"/>
          <w:szCs w:val="21"/>
          <w:highlight w:val="none"/>
        </w:rPr>
      </w:pPr>
      <w:r>
        <w:rPr>
          <w:rFonts w:hint="eastAsia" w:hAnsi="宋体" w:cs="宋体"/>
          <w:color w:val="auto"/>
          <w:sz w:val="21"/>
          <w:szCs w:val="21"/>
          <w:highlight w:val="none"/>
        </w:rPr>
        <w:t>5.系统性能测试，主要测试告警处理能力、主机内存占用、系统稳定性等指标。</w:t>
      </w:r>
    </w:p>
    <w:bookmarkEnd w:id="211"/>
    <w:p>
      <w:pPr>
        <w:pStyle w:val="3"/>
        <w:autoSpaceDE/>
        <w:autoSpaceDN/>
        <w:adjustRightInd/>
        <w:spacing w:line="500" w:lineRule="exact"/>
        <w:textAlignment w:val="auto"/>
        <w:rPr>
          <w:rFonts w:ascii="宋体" w:hAnsi="宋体" w:eastAsia="宋体" w:cs="宋体"/>
          <w:color w:val="auto"/>
          <w:sz w:val="21"/>
          <w:szCs w:val="21"/>
          <w:highlight w:val="none"/>
        </w:rPr>
      </w:pPr>
      <w:bookmarkStart w:id="433" w:name="_Toc4731"/>
      <w:bookmarkStart w:id="434" w:name="_Toc729"/>
      <w:bookmarkStart w:id="435" w:name="_Toc32040"/>
      <w:bookmarkStart w:id="436" w:name="_Toc22525"/>
      <w:bookmarkStart w:id="437" w:name="_Toc3689"/>
      <w:bookmarkStart w:id="438" w:name="_Toc1826"/>
      <w:bookmarkStart w:id="439" w:name="_Toc11832"/>
      <w:bookmarkStart w:id="440" w:name="_Toc32681"/>
      <w:bookmarkStart w:id="441" w:name="_Toc19668"/>
      <w:bookmarkStart w:id="442" w:name="_Toc13758"/>
      <w:bookmarkStart w:id="443" w:name="_Toc11793"/>
      <w:bookmarkStart w:id="444" w:name="_Toc8623"/>
      <w:bookmarkStart w:id="445" w:name="_Toc29673"/>
      <w:bookmarkStart w:id="446" w:name="_Toc25869"/>
      <w:bookmarkStart w:id="447" w:name="_Toc19997"/>
      <w:r>
        <w:rPr>
          <w:rFonts w:hint="eastAsia" w:ascii="宋体" w:hAnsi="宋体" w:eastAsia="宋体" w:cs="宋体"/>
          <w:color w:val="auto"/>
          <w:sz w:val="21"/>
          <w:szCs w:val="21"/>
          <w:highlight w:val="none"/>
        </w:rPr>
        <w:t>六、标准规范建设要求</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pPr>
        <w:autoSpaceDE/>
        <w:autoSpaceDN/>
        <w:spacing w:line="500" w:lineRule="exact"/>
        <w:ind w:left="-425" w:firstLine="420" w:firstLineChars="200"/>
        <w:outlineLvl w:val="3"/>
        <w:rPr>
          <w:rFonts w:hAnsi="宋体" w:cs="宋体"/>
          <w:color w:val="auto"/>
          <w:sz w:val="21"/>
          <w:szCs w:val="21"/>
          <w:highlight w:val="none"/>
        </w:rPr>
      </w:pPr>
      <w:r>
        <w:rPr>
          <w:rFonts w:hint="eastAsia" w:hAnsi="宋体" w:cs="宋体"/>
          <w:color w:val="auto"/>
          <w:sz w:val="21"/>
          <w:szCs w:val="21"/>
          <w:highlight w:val="none"/>
        </w:rPr>
        <w:t>为确保系统开发运维等工作规范化进行，在国家、省市、行业相关标准规范基础上，编制财政深化应用平台技术和管理标准规范。</w:t>
      </w:r>
    </w:p>
    <w:p>
      <w:pPr>
        <w:numPr>
          <w:ilvl w:val="0"/>
          <w:numId w:val="6"/>
        </w:numPr>
        <w:autoSpaceDE/>
        <w:autoSpaceDN/>
        <w:spacing w:line="500" w:lineRule="exact"/>
        <w:rPr>
          <w:rFonts w:hAnsi="宋体" w:cs="宋体"/>
          <w:b/>
          <w:bCs/>
          <w:color w:val="auto"/>
          <w:sz w:val="21"/>
          <w:szCs w:val="21"/>
          <w:highlight w:val="none"/>
        </w:rPr>
      </w:pPr>
      <w:bookmarkStart w:id="448" w:name="_Toc13057"/>
      <w:bookmarkStart w:id="449" w:name="_Toc22103"/>
      <w:bookmarkStart w:id="450" w:name="_Toc30636"/>
      <w:bookmarkStart w:id="451" w:name="_Toc355"/>
      <w:bookmarkStart w:id="452" w:name="_Toc30128"/>
      <w:bookmarkStart w:id="453" w:name="_Toc2839"/>
      <w:bookmarkStart w:id="454" w:name="_Toc21266"/>
      <w:bookmarkStart w:id="455" w:name="_Toc9937"/>
      <w:bookmarkStart w:id="456" w:name="_Toc11160"/>
      <w:bookmarkStart w:id="457" w:name="_Toc30872"/>
      <w:bookmarkStart w:id="458" w:name="_Toc10909"/>
      <w:bookmarkStart w:id="459" w:name="_Toc9082"/>
      <w:bookmarkStart w:id="460" w:name="_Toc25884"/>
      <w:bookmarkStart w:id="461" w:name="_Toc3652"/>
      <w:bookmarkStart w:id="462" w:name="_Toc111"/>
      <w:bookmarkStart w:id="463" w:name="_Toc26512"/>
      <w:bookmarkStart w:id="464" w:name="_Toc2658"/>
      <w:bookmarkStart w:id="465" w:name="_Toc20971"/>
      <w:bookmarkStart w:id="466" w:name="_Toc6886"/>
      <w:bookmarkStart w:id="467" w:name="_Toc24994"/>
      <w:r>
        <w:rPr>
          <w:rFonts w:hint="eastAsia" w:hAnsi="宋体" w:cs="宋体"/>
          <w:b/>
          <w:bCs/>
          <w:color w:val="auto"/>
          <w:sz w:val="21"/>
          <w:szCs w:val="21"/>
          <w:highlight w:val="none"/>
        </w:rPr>
        <w:t>标准规范制定原则</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pPr>
        <w:autoSpaceDE/>
        <w:autoSpaceDN/>
        <w:spacing w:line="500" w:lineRule="exact"/>
        <w:ind w:left="-425" w:firstLine="420" w:firstLineChars="200"/>
        <w:outlineLvl w:val="3"/>
        <w:rPr>
          <w:rFonts w:hAnsi="宋体" w:cs="宋体"/>
          <w:color w:val="auto"/>
          <w:sz w:val="21"/>
          <w:szCs w:val="21"/>
          <w:highlight w:val="none"/>
        </w:rPr>
      </w:pPr>
      <w:r>
        <w:rPr>
          <w:rFonts w:hint="eastAsia" w:hAnsi="宋体" w:cs="宋体"/>
          <w:color w:val="auto"/>
          <w:sz w:val="21"/>
          <w:szCs w:val="21"/>
          <w:highlight w:val="none"/>
        </w:rPr>
        <w:t>1.规范化。在标准研究制定过程中，力求最大限度地与现有的有关国家标准、行业标准或地方标准保持一致，并参考引用有关研究成果。</w:t>
      </w:r>
    </w:p>
    <w:p>
      <w:pPr>
        <w:autoSpaceDE/>
        <w:autoSpaceDN/>
        <w:spacing w:line="500" w:lineRule="exact"/>
        <w:ind w:left="-425" w:firstLine="420" w:firstLineChars="200"/>
        <w:outlineLvl w:val="3"/>
        <w:rPr>
          <w:rFonts w:hAnsi="宋体" w:cs="宋体"/>
          <w:color w:val="auto"/>
          <w:sz w:val="21"/>
          <w:szCs w:val="21"/>
          <w:highlight w:val="none"/>
        </w:rPr>
      </w:pPr>
      <w:r>
        <w:rPr>
          <w:rFonts w:hint="eastAsia" w:hAnsi="宋体" w:cs="宋体"/>
          <w:color w:val="auto"/>
          <w:sz w:val="21"/>
          <w:szCs w:val="21"/>
          <w:highlight w:val="none"/>
        </w:rPr>
        <w:t>2.系统性。在信息分类、编码、分层、格式、数据质量控制、转换、入库、更新、数据管理与应用方面制定系统的标准与技术方案，为数据生产、管理与应用的整个过程服务。</w:t>
      </w:r>
    </w:p>
    <w:p>
      <w:pPr>
        <w:autoSpaceDE/>
        <w:autoSpaceDN/>
        <w:spacing w:line="500" w:lineRule="exact"/>
        <w:ind w:left="-425" w:firstLine="420" w:firstLineChars="200"/>
        <w:outlineLvl w:val="3"/>
        <w:rPr>
          <w:rFonts w:hAnsi="宋体" w:cs="宋体"/>
          <w:color w:val="auto"/>
          <w:sz w:val="21"/>
          <w:szCs w:val="21"/>
          <w:highlight w:val="none"/>
        </w:rPr>
      </w:pPr>
      <w:r>
        <w:rPr>
          <w:rFonts w:hint="eastAsia" w:hAnsi="宋体" w:cs="宋体"/>
          <w:color w:val="auto"/>
          <w:sz w:val="21"/>
          <w:szCs w:val="21"/>
          <w:highlight w:val="none"/>
        </w:rPr>
        <w:t>3.适用性。在标准研究制定过程中，还需要充分考虑相关应用部门和单位的业务流程、技术基础、现有条件和现有数据情况，确保所制定的标准、技术方案的可行性与适用性。</w:t>
      </w:r>
    </w:p>
    <w:p>
      <w:pPr>
        <w:numPr>
          <w:ilvl w:val="0"/>
          <w:numId w:val="6"/>
        </w:numPr>
        <w:autoSpaceDE/>
        <w:autoSpaceDN/>
        <w:spacing w:line="500" w:lineRule="exact"/>
        <w:rPr>
          <w:rFonts w:hAnsi="宋体" w:cs="宋体"/>
          <w:b/>
          <w:bCs/>
          <w:color w:val="auto"/>
          <w:sz w:val="21"/>
          <w:szCs w:val="21"/>
          <w:highlight w:val="none"/>
        </w:rPr>
      </w:pPr>
      <w:bookmarkStart w:id="468" w:name="_Toc14075"/>
      <w:bookmarkStart w:id="469" w:name="_Toc16520"/>
      <w:bookmarkStart w:id="470" w:name="_Toc7307"/>
      <w:bookmarkStart w:id="471" w:name="_Toc14803"/>
      <w:bookmarkStart w:id="472" w:name="_Toc19435"/>
      <w:bookmarkStart w:id="473" w:name="_Toc28086"/>
      <w:bookmarkStart w:id="474" w:name="_Toc29688"/>
      <w:bookmarkStart w:id="475" w:name="_Toc3966"/>
      <w:bookmarkStart w:id="476" w:name="_Toc7416"/>
      <w:bookmarkStart w:id="477" w:name="_Toc20925"/>
      <w:bookmarkStart w:id="478" w:name="_Toc29737"/>
      <w:bookmarkStart w:id="479" w:name="_Toc5078"/>
      <w:bookmarkStart w:id="480" w:name="_Toc16112"/>
      <w:bookmarkStart w:id="481" w:name="_Toc3114"/>
      <w:bookmarkStart w:id="482" w:name="_Toc24525"/>
      <w:bookmarkStart w:id="483" w:name="_Toc27090"/>
      <w:bookmarkStart w:id="484" w:name="_Toc9231"/>
      <w:bookmarkStart w:id="485" w:name="_Toc22649"/>
      <w:bookmarkStart w:id="486" w:name="_Toc28946"/>
      <w:bookmarkStart w:id="487" w:name="_Toc23901"/>
      <w:r>
        <w:rPr>
          <w:rFonts w:hint="eastAsia" w:hAnsi="宋体" w:cs="宋体"/>
          <w:b/>
          <w:bCs/>
          <w:color w:val="auto"/>
          <w:sz w:val="21"/>
          <w:szCs w:val="21"/>
          <w:highlight w:val="none"/>
        </w:rPr>
        <w:t>标准规范编制思路</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pPr>
        <w:autoSpaceDE/>
        <w:autoSpaceDN/>
        <w:spacing w:line="500" w:lineRule="exact"/>
        <w:ind w:left="-425" w:firstLine="420" w:firstLineChars="200"/>
        <w:outlineLvl w:val="3"/>
        <w:rPr>
          <w:rFonts w:hAnsi="宋体" w:cs="宋体"/>
          <w:color w:val="auto"/>
          <w:sz w:val="21"/>
          <w:szCs w:val="21"/>
          <w:highlight w:val="none"/>
        </w:rPr>
      </w:pPr>
      <w:r>
        <w:rPr>
          <w:rFonts w:hint="eastAsia" w:hAnsi="宋体" w:cs="宋体"/>
          <w:color w:val="auto"/>
          <w:sz w:val="21"/>
          <w:szCs w:val="21"/>
          <w:highlight w:val="none"/>
        </w:rPr>
        <w:t>标准规范和管理办法的建立，旨在为本次项目建设提供规范依据与管理保障的基础。在规范制定上，首先根据财政部和浙江省财政厅关于财政业务数字化规范和标准，分析财政历史库系统的数据要素结构，在历史库数据结构分析的基础上进行程序开发和数据标准化治理及数据在前端功能的展现。本项目数据规范研究制定所采用的编制程序如下：</w:t>
      </w:r>
    </w:p>
    <w:p>
      <w:pPr>
        <w:autoSpaceDE/>
        <w:autoSpaceDN/>
        <w:spacing w:line="500" w:lineRule="exact"/>
        <w:ind w:left="-425" w:firstLine="420" w:firstLineChars="200"/>
        <w:outlineLvl w:val="3"/>
        <w:rPr>
          <w:rFonts w:hAnsi="宋体" w:cs="宋体"/>
          <w:color w:val="auto"/>
          <w:sz w:val="21"/>
          <w:szCs w:val="21"/>
          <w:highlight w:val="none"/>
        </w:rPr>
      </w:pPr>
      <w:r>
        <w:rPr>
          <w:rFonts w:hint="eastAsia" w:hAnsi="宋体" w:cs="宋体"/>
          <w:color w:val="auto"/>
          <w:sz w:val="21"/>
          <w:szCs w:val="21"/>
          <w:highlight w:val="none"/>
        </w:rPr>
        <w:t xml:space="preserve">1.整理财政历史库的数据目录规范。成立业务小组专班，对财政历史库的各个业务系统进行逐个分析，梳理各业务系统的数据主线，编制可治理的数据目录清单和相应的数据和业务规范。 </w:t>
      </w:r>
    </w:p>
    <w:p>
      <w:pPr>
        <w:autoSpaceDE/>
        <w:autoSpaceDN/>
        <w:spacing w:line="500" w:lineRule="exact"/>
        <w:ind w:left="-425" w:firstLine="420" w:firstLineChars="200"/>
        <w:outlineLvl w:val="3"/>
        <w:rPr>
          <w:rFonts w:hAnsi="宋体" w:cs="宋体"/>
          <w:color w:val="auto"/>
          <w:sz w:val="21"/>
          <w:szCs w:val="21"/>
          <w:highlight w:val="none"/>
        </w:rPr>
      </w:pPr>
      <w:r>
        <w:rPr>
          <w:rFonts w:hint="eastAsia" w:hAnsi="宋体" w:cs="宋体"/>
          <w:color w:val="auto"/>
          <w:sz w:val="21"/>
          <w:szCs w:val="21"/>
          <w:highlight w:val="none"/>
        </w:rPr>
        <w:t>2.建立扩中家庭资金监测体系。对扩中家庭从资金申请、资金兑现等多个环节与医保局建立常态化的数据对接跟踪机制，着力在财政资金发放方面加强监管，确保医保政策的合理覆盖，同时又财政资金的纪律要求，让老百姓能享受政府政策的红利。</w:t>
      </w:r>
    </w:p>
    <w:p>
      <w:pPr>
        <w:numPr>
          <w:ilvl w:val="0"/>
          <w:numId w:val="6"/>
        </w:numPr>
        <w:autoSpaceDE/>
        <w:autoSpaceDN/>
        <w:spacing w:line="500" w:lineRule="exact"/>
        <w:rPr>
          <w:rFonts w:hAnsi="宋体" w:cs="宋体"/>
          <w:b/>
          <w:bCs/>
          <w:color w:val="auto"/>
          <w:sz w:val="21"/>
          <w:szCs w:val="21"/>
          <w:highlight w:val="none"/>
        </w:rPr>
      </w:pPr>
      <w:bookmarkStart w:id="488" w:name="_Toc12494"/>
      <w:bookmarkStart w:id="489" w:name="_Toc7088"/>
      <w:bookmarkStart w:id="490" w:name="_Toc17022"/>
      <w:bookmarkStart w:id="491" w:name="_Toc16280"/>
      <w:bookmarkStart w:id="492" w:name="_Toc25279"/>
      <w:bookmarkStart w:id="493" w:name="_Toc24708"/>
      <w:bookmarkStart w:id="494" w:name="_Toc26301"/>
      <w:bookmarkStart w:id="495" w:name="_Toc9208"/>
      <w:bookmarkStart w:id="496" w:name="_Toc3116"/>
      <w:bookmarkStart w:id="497" w:name="_Toc23808"/>
      <w:bookmarkStart w:id="498" w:name="_Toc22991"/>
      <w:bookmarkStart w:id="499" w:name="_Toc27172"/>
      <w:bookmarkStart w:id="500" w:name="_Toc25643"/>
      <w:bookmarkStart w:id="501" w:name="_Toc13253"/>
      <w:bookmarkStart w:id="502" w:name="_Toc23461"/>
      <w:bookmarkStart w:id="503" w:name="_Toc9228"/>
      <w:bookmarkStart w:id="504" w:name="_Toc20136"/>
      <w:bookmarkStart w:id="505" w:name="_Toc5185"/>
      <w:bookmarkStart w:id="506" w:name="_Toc18256"/>
      <w:bookmarkStart w:id="507" w:name="_Toc8934"/>
      <w:r>
        <w:rPr>
          <w:rFonts w:hint="eastAsia" w:hAnsi="宋体" w:cs="宋体"/>
          <w:b/>
          <w:bCs/>
          <w:color w:val="auto"/>
          <w:sz w:val="21"/>
          <w:szCs w:val="21"/>
          <w:highlight w:val="none"/>
        </w:rPr>
        <w:t>标准规范编制内容</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pPr>
        <w:autoSpaceDE/>
        <w:autoSpaceDN/>
        <w:spacing w:line="500" w:lineRule="exact"/>
        <w:ind w:left="-425" w:firstLine="420" w:firstLineChars="200"/>
        <w:outlineLvl w:val="3"/>
        <w:rPr>
          <w:rFonts w:hAnsi="宋体" w:cs="宋体"/>
          <w:color w:val="auto"/>
          <w:sz w:val="21"/>
          <w:szCs w:val="21"/>
          <w:highlight w:val="none"/>
        </w:rPr>
      </w:pPr>
      <w:r>
        <w:rPr>
          <w:rFonts w:hint="eastAsia" w:hAnsi="宋体" w:cs="宋体"/>
          <w:color w:val="auto"/>
          <w:sz w:val="21"/>
          <w:szCs w:val="21"/>
          <w:highlight w:val="none"/>
        </w:rPr>
        <w:t>财政历史库较多，需要对各个业务系统的数据结构进行梳理和分析，为系统的相关业务场景提供数据支撑。在总体思路上以“标准统一、一数一源”的技术要求，梳理数据范围及数据情况，制定数据标准化的技术规范，明确数据范围、数据边界、数据要素等，编制数据标准化治理目录清单和相关约定。</w:t>
      </w:r>
    </w:p>
    <w:p>
      <w:pPr>
        <w:pStyle w:val="3"/>
        <w:autoSpaceDE/>
        <w:autoSpaceDN/>
        <w:adjustRightInd/>
        <w:spacing w:line="500" w:lineRule="exact"/>
        <w:textAlignment w:val="auto"/>
        <w:rPr>
          <w:rFonts w:ascii="宋体" w:hAnsi="宋体" w:eastAsia="宋体" w:cs="宋体"/>
          <w:color w:val="auto"/>
          <w:sz w:val="21"/>
          <w:szCs w:val="21"/>
          <w:highlight w:val="none"/>
        </w:rPr>
      </w:pPr>
      <w:bookmarkStart w:id="508" w:name="_Toc1165"/>
      <w:bookmarkStart w:id="509" w:name="_Toc9372"/>
      <w:bookmarkStart w:id="510" w:name="_Toc19287"/>
      <w:bookmarkStart w:id="511" w:name="_Toc5644"/>
      <w:bookmarkStart w:id="512" w:name="_Toc27517"/>
      <w:bookmarkStart w:id="513" w:name="_Toc32325"/>
      <w:bookmarkStart w:id="514" w:name="_Toc27744"/>
      <w:bookmarkStart w:id="515" w:name="_Toc13784"/>
      <w:bookmarkStart w:id="516" w:name="_Toc30988"/>
      <w:bookmarkStart w:id="517" w:name="_Toc24593"/>
      <w:bookmarkStart w:id="518" w:name="_Toc26549"/>
      <w:bookmarkStart w:id="519" w:name="_Toc29639"/>
      <w:bookmarkStart w:id="520" w:name="_Toc29876"/>
      <w:bookmarkStart w:id="521" w:name="_Toc26154"/>
      <w:bookmarkStart w:id="522" w:name="_Toc29616"/>
      <w:r>
        <w:rPr>
          <w:rFonts w:hint="eastAsia" w:ascii="宋体" w:hAnsi="宋体" w:eastAsia="宋体" w:cs="宋体"/>
          <w:color w:val="auto"/>
          <w:sz w:val="21"/>
          <w:szCs w:val="21"/>
          <w:highlight w:val="none"/>
        </w:rPr>
        <w:t>七、系统模块及</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Pr>
          <w:rFonts w:hint="eastAsia" w:ascii="宋体" w:hAnsi="宋体" w:eastAsia="宋体" w:cs="宋体"/>
          <w:color w:val="auto"/>
          <w:sz w:val="21"/>
          <w:szCs w:val="21"/>
          <w:highlight w:val="none"/>
        </w:rPr>
        <w:t>要求</w:t>
      </w:r>
    </w:p>
    <w:p>
      <w:pPr>
        <w:pStyle w:val="4"/>
        <w:numPr>
          <w:ilvl w:val="0"/>
          <w:numId w:val="7"/>
        </w:numPr>
        <w:tabs>
          <w:tab w:val="left" w:pos="1003"/>
        </w:tabs>
        <w:spacing w:line="500" w:lineRule="exact"/>
        <w:ind w:firstLine="0"/>
        <w:rPr>
          <w:rFonts w:ascii="宋体" w:hAnsi="宋体" w:cs="宋体"/>
          <w:bCs/>
          <w:color w:val="auto"/>
          <w:sz w:val="21"/>
          <w:szCs w:val="21"/>
          <w:highlight w:val="none"/>
        </w:rPr>
      </w:pPr>
      <w:bookmarkStart w:id="523" w:name="_Toc2177"/>
      <w:bookmarkStart w:id="524" w:name="_Toc24620"/>
      <w:bookmarkStart w:id="525" w:name="_Toc20396"/>
      <w:bookmarkStart w:id="526" w:name="_Toc7749"/>
      <w:bookmarkStart w:id="527" w:name="_Toc30368"/>
      <w:bookmarkStart w:id="528" w:name="_Toc6844"/>
      <w:bookmarkStart w:id="529" w:name="_Toc8978"/>
      <w:bookmarkStart w:id="530" w:name="_Toc31945"/>
      <w:bookmarkStart w:id="531" w:name="_Toc4010"/>
      <w:bookmarkStart w:id="532" w:name="_Toc22165"/>
      <w:bookmarkStart w:id="533" w:name="_Toc32624"/>
      <w:bookmarkStart w:id="534" w:name="_Toc19651"/>
      <w:bookmarkStart w:id="535" w:name="_Toc8467"/>
      <w:bookmarkStart w:id="536" w:name="_Toc14935"/>
      <w:bookmarkStart w:id="537" w:name="_Toc17118"/>
      <w:bookmarkStart w:id="538" w:name="_Toc4592"/>
      <w:bookmarkStart w:id="539" w:name="_Toc27635"/>
      <w:r>
        <w:rPr>
          <w:rFonts w:hint="eastAsia" w:ascii="宋体" w:hAnsi="宋体" w:cs="宋体"/>
          <w:bCs/>
          <w:color w:val="auto"/>
          <w:sz w:val="21"/>
          <w:szCs w:val="21"/>
          <w:highlight w:val="none"/>
        </w:rPr>
        <w:t>功能设计</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pPr>
        <w:numPr>
          <w:ilvl w:val="255"/>
          <w:numId w:val="0"/>
        </w:numPr>
        <w:autoSpaceDE/>
        <w:autoSpaceDN/>
        <w:spacing w:line="500" w:lineRule="exact"/>
        <w:outlineLvl w:val="3"/>
        <w:rPr>
          <w:rFonts w:hAnsi="宋体" w:cs="宋体"/>
          <w:b/>
          <w:bCs/>
          <w:color w:val="auto"/>
          <w:sz w:val="21"/>
          <w:szCs w:val="21"/>
          <w:highlight w:val="none"/>
        </w:rPr>
      </w:pPr>
      <w:r>
        <w:rPr>
          <w:rFonts w:hint="eastAsia" w:hAnsi="宋体" w:cs="宋体"/>
          <w:b/>
          <w:bCs/>
          <w:color w:val="auto"/>
          <w:sz w:val="21"/>
          <w:szCs w:val="21"/>
          <w:highlight w:val="none"/>
        </w:rPr>
        <w:t>1.深化应用门户</w:t>
      </w:r>
      <w:bookmarkEnd w:id="538"/>
      <w:bookmarkEnd w:id="539"/>
    </w:p>
    <w:p>
      <w:pPr>
        <w:autoSpaceDE/>
        <w:autoSpaceDN/>
        <w:spacing w:line="500" w:lineRule="exact"/>
        <w:ind w:firstLine="420" w:firstLineChars="200"/>
        <w:rPr>
          <w:rFonts w:hAnsi="宋体" w:cs="宋体"/>
          <w:color w:val="auto"/>
          <w:sz w:val="21"/>
          <w:szCs w:val="21"/>
          <w:highlight w:val="none"/>
        </w:rPr>
      </w:pPr>
      <w:bookmarkStart w:id="540" w:name="_Toc2106"/>
      <w:bookmarkStart w:id="541" w:name="_Toc28579"/>
      <w:r>
        <w:rPr>
          <w:rFonts w:hint="eastAsia" w:hAnsi="宋体" w:cs="宋体"/>
          <w:color w:val="auto"/>
          <w:sz w:val="21"/>
          <w:szCs w:val="21"/>
          <w:highlight w:val="none"/>
        </w:rPr>
        <w:t>门户首页分为接入系统入口面板区、代办事项区、通知公告区、财政政策展示区等。在接入系统入口面板区可以根据后台设置的用户对应的系统显示给用户使用。点击系统按钮后可以免登陆跳转到对应的应用系统。代办事项区显示用户目前需要代办是的事项，展现的数据要素包括：代办事项名称、代办事项说明、代办时间等。用户点击代办事项可以跳转到对应的代办功能中。</w:t>
      </w:r>
    </w:p>
    <w:p>
      <w:pPr>
        <w:autoSpaceDE/>
        <w:autoSpaceDN/>
        <w:spacing w:line="500" w:lineRule="exact"/>
        <w:ind w:firstLine="420" w:firstLineChars="200"/>
        <w:rPr>
          <w:rFonts w:hAnsi="宋体" w:cs="宋体"/>
          <w:color w:val="auto"/>
          <w:kern w:val="2"/>
          <w:sz w:val="21"/>
          <w:szCs w:val="21"/>
          <w:highlight w:val="none"/>
        </w:rPr>
      </w:pPr>
      <w:r>
        <w:rPr>
          <w:rFonts w:hint="eastAsia" w:hAnsi="宋体" w:cs="宋体"/>
          <w:color w:val="auto"/>
          <w:kern w:val="2"/>
          <w:sz w:val="21"/>
          <w:szCs w:val="21"/>
          <w:highlight w:val="none"/>
        </w:rPr>
        <w:t>通知</w:t>
      </w:r>
      <w:r>
        <w:rPr>
          <w:rFonts w:hint="eastAsia" w:hAnsi="宋体" w:cs="宋体"/>
          <w:color w:val="auto"/>
          <w:sz w:val="21"/>
          <w:szCs w:val="21"/>
          <w:highlight w:val="none"/>
        </w:rPr>
        <w:t>工作</w:t>
      </w:r>
      <w:r>
        <w:rPr>
          <w:rFonts w:hint="eastAsia" w:hAnsi="宋体" w:cs="宋体"/>
          <w:color w:val="auto"/>
          <w:kern w:val="2"/>
          <w:sz w:val="21"/>
          <w:szCs w:val="21"/>
          <w:highlight w:val="none"/>
        </w:rPr>
        <w:t>区显示用户对应的通知公告信息，用户可以对通知公告进行信息查阅，用户对相关公告内容查阅时可以对相关的附件内容信息进行下载操作，展现数据要素包括:公告名称、公告发布部门、公告发布时间、公告附件内容等。</w:t>
      </w:r>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kern w:val="2"/>
          <w:sz w:val="21"/>
          <w:szCs w:val="21"/>
          <w:highlight w:val="none"/>
        </w:rPr>
        <w:t>财政政策展示区是展示财政相关政策汇总概要，方便财政和预算单位的工作人员及时掌握财政相关政策，展现数据要素包括：政策名称、政策发布部门、政策发布日期、政策概要、政策详细解读等。用户点击政策后可以查看政策的详细信息及对应的政策附件信息。</w:t>
      </w:r>
    </w:p>
    <w:p>
      <w:pPr>
        <w:numPr>
          <w:ilvl w:val="255"/>
          <w:numId w:val="0"/>
        </w:numPr>
        <w:autoSpaceDE/>
        <w:autoSpaceDN/>
        <w:spacing w:line="500" w:lineRule="exact"/>
        <w:outlineLvl w:val="3"/>
        <w:rPr>
          <w:rFonts w:hAnsi="宋体" w:cs="宋体"/>
          <w:b/>
          <w:bCs/>
          <w:color w:val="auto"/>
          <w:sz w:val="21"/>
          <w:szCs w:val="21"/>
          <w:highlight w:val="none"/>
        </w:rPr>
      </w:pPr>
      <w:r>
        <w:rPr>
          <w:rFonts w:hint="eastAsia" w:hAnsi="宋体" w:cs="宋体"/>
          <w:b/>
          <w:bCs/>
          <w:color w:val="auto"/>
          <w:sz w:val="21"/>
          <w:szCs w:val="21"/>
          <w:highlight w:val="none"/>
        </w:rPr>
        <w:t>2.数据</w:t>
      </w:r>
      <w:bookmarkEnd w:id="540"/>
      <w:bookmarkEnd w:id="541"/>
      <w:r>
        <w:rPr>
          <w:rFonts w:hint="eastAsia" w:hAnsi="宋体" w:cs="宋体"/>
          <w:b/>
          <w:bCs/>
          <w:color w:val="auto"/>
          <w:sz w:val="21"/>
          <w:szCs w:val="21"/>
          <w:highlight w:val="none"/>
        </w:rPr>
        <w:t>清洗标准化</w:t>
      </w:r>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数据</w:t>
      </w:r>
      <w:r>
        <w:rPr>
          <w:rFonts w:hint="eastAsia" w:hAnsi="宋体" w:cs="宋体"/>
          <w:color w:val="auto"/>
          <w:kern w:val="2"/>
          <w:sz w:val="21"/>
          <w:szCs w:val="21"/>
          <w:highlight w:val="none"/>
        </w:rPr>
        <w:t>清洗</w:t>
      </w:r>
      <w:r>
        <w:rPr>
          <w:rFonts w:hint="eastAsia" w:hAnsi="宋体" w:cs="宋体"/>
          <w:color w:val="auto"/>
          <w:sz w:val="21"/>
          <w:szCs w:val="21"/>
          <w:highlight w:val="none"/>
        </w:rPr>
        <w:t>是对财政老系统和现有系统的数据清洗及标准化，以业务结果为导向，数据治理系统大致包括以下系统（按年度）：</w:t>
      </w:r>
    </w:p>
    <w:tbl>
      <w:tblPr>
        <w:tblStyle w:val="47"/>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3566"/>
        <w:gridCol w:w="1869"/>
        <w:gridCol w:w="2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spacing w:line="460" w:lineRule="exact"/>
              <w:jc w:val="center"/>
              <w:rPr>
                <w:rFonts w:hAnsi="宋体" w:cs="宋体"/>
                <w:b/>
                <w:bCs/>
                <w:color w:val="auto"/>
                <w:sz w:val="21"/>
                <w:szCs w:val="21"/>
                <w:highlight w:val="none"/>
              </w:rPr>
            </w:pPr>
            <w:r>
              <w:rPr>
                <w:rFonts w:hint="eastAsia" w:hAnsi="宋体" w:cs="宋体"/>
                <w:b/>
                <w:bCs/>
                <w:color w:val="auto"/>
                <w:sz w:val="21"/>
                <w:szCs w:val="21"/>
                <w:highlight w:val="none"/>
              </w:rPr>
              <w:t>序号</w:t>
            </w:r>
          </w:p>
        </w:tc>
        <w:tc>
          <w:tcPr>
            <w:tcW w:w="3566" w:type="dxa"/>
          </w:tcPr>
          <w:p>
            <w:pPr>
              <w:spacing w:line="460" w:lineRule="exact"/>
              <w:jc w:val="center"/>
              <w:rPr>
                <w:rFonts w:hAnsi="宋体" w:cs="宋体"/>
                <w:b/>
                <w:bCs/>
                <w:color w:val="auto"/>
                <w:sz w:val="21"/>
                <w:szCs w:val="21"/>
                <w:highlight w:val="none"/>
              </w:rPr>
            </w:pPr>
            <w:r>
              <w:rPr>
                <w:rFonts w:hint="eastAsia" w:hAnsi="宋体" w:cs="宋体"/>
                <w:b/>
                <w:bCs/>
                <w:color w:val="auto"/>
                <w:sz w:val="21"/>
                <w:szCs w:val="21"/>
                <w:highlight w:val="none"/>
              </w:rPr>
              <w:t>系统名称</w:t>
            </w:r>
          </w:p>
        </w:tc>
        <w:tc>
          <w:tcPr>
            <w:tcW w:w="1869" w:type="dxa"/>
          </w:tcPr>
          <w:p>
            <w:pPr>
              <w:spacing w:line="460" w:lineRule="exact"/>
              <w:jc w:val="center"/>
              <w:rPr>
                <w:rFonts w:hAnsi="宋体" w:cs="宋体"/>
                <w:b/>
                <w:bCs/>
                <w:color w:val="auto"/>
                <w:sz w:val="21"/>
                <w:szCs w:val="21"/>
                <w:highlight w:val="none"/>
              </w:rPr>
            </w:pPr>
            <w:r>
              <w:rPr>
                <w:rFonts w:hint="eastAsia" w:hAnsi="宋体" w:cs="宋体"/>
                <w:b/>
                <w:bCs/>
                <w:color w:val="auto"/>
                <w:sz w:val="21"/>
                <w:szCs w:val="21"/>
                <w:highlight w:val="none"/>
              </w:rPr>
              <w:t>数据年度区间</w:t>
            </w:r>
          </w:p>
        </w:tc>
        <w:tc>
          <w:tcPr>
            <w:tcW w:w="2825" w:type="dxa"/>
          </w:tcPr>
          <w:p>
            <w:pPr>
              <w:spacing w:line="460" w:lineRule="exact"/>
              <w:jc w:val="center"/>
              <w:rPr>
                <w:rFonts w:hAnsi="宋体" w:cs="宋体"/>
                <w:b/>
                <w:bCs/>
                <w:color w:val="auto"/>
                <w:sz w:val="21"/>
                <w:szCs w:val="21"/>
                <w:highlight w:val="none"/>
              </w:rPr>
            </w:pPr>
            <w:r>
              <w:rPr>
                <w:rFonts w:hint="eastAsia" w:hAnsi="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spacing w:line="460" w:lineRule="exact"/>
              <w:rPr>
                <w:rFonts w:hAnsi="宋体" w:cs="宋体"/>
                <w:color w:val="auto"/>
                <w:sz w:val="21"/>
                <w:szCs w:val="21"/>
                <w:highlight w:val="none"/>
              </w:rPr>
            </w:pPr>
            <w:r>
              <w:rPr>
                <w:rFonts w:hint="eastAsia" w:hAnsi="宋体" w:cs="宋体"/>
                <w:color w:val="auto"/>
                <w:sz w:val="21"/>
                <w:szCs w:val="21"/>
                <w:highlight w:val="none"/>
              </w:rPr>
              <w:t>1</w:t>
            </w:r>
          </w:p>
        </w:tc>
        <w:tc>
          <w:tcPr>
            <w:tcW w:w="3566" w:type="dxa"/>
          </w:tcPr>
          <w:p>
            <w:pPr>
              <w:spacing w:line="460" w:lineRule="exact"/>
              <w:rPr>
                <w:rFonts w:hAnsi="宋体" w:cs="宋体"/>
                <w:color w:val="auto"/>
                <w:sz w:val="21"/>
                <w:szCs w:val="21"/>
                <w:highlight w:val="none"/>
              </w:rPr>
            </w:pPr>
            <w:r>
              <w:rPr>
                <w:rFonts w:hint="eastAsia" w:hAnsi="宋体" w:cs="宋体"/>
                <w:color w:val="auto"/>
                <w:sz w:val="21"/>
                <w:szCs w:val="21"/>
                <w:highlight w:val="none"/>
              </w:rPr>
              <w:t>老版财政支付、财政核算系统</w:t>
            </w:r>
          </w:p>
        </w:tc>
        <w:tc>
          <w:tcPr>
            <w:tcW w:w="1869" w:type="dxa"/>
          </w:tcPr>
          <w:p>
            <w:pPr>
              <w:spacing w:line="460" w:lineRule="exact"/>
              <w:rPr>
                <w:rFonts w:hAnsi="宋体" w:cs="宋体"/>
                <w:color w:val="auto"/>
                <w:sz w:val="21"/>
                <w:szCs w:val="21"/>
                <w:highlight w:val="none"/>
              </w:rPr>
            </w:pPr>
            <w:r>
              <w:rPr>
                <w:rFonts w:hint="eastAsia" w:hAnsi="宋体" w:cs="宋体"/>
                <w:color w:val="auto"/>
                <w:sz w:val="21"/>
                <w:szCs w:val="21"/>
                <w:highlight w:val="none"/>
              </w:rPr>
              <w:t>2003-2013</w:t>
            </w:r>
          </w:p>
        </w:tc>
        <w:tc>
          <w:tcPr>
            <w:tcW w:w="2825" w:type="dxa"/>
          </w:tcPr>
          <w:p>
            <w:pPr>
              <w:pStyle w:val="18"/>
              <w:spacing w:line="460" w:lineRule="exact"/>
              <w:ind w:firstLine="0" w:firstLineChars="0"/>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spacing w:line="460" w:lineRule="exact"/>
              <w:rPr>
                <w:rFonts w:hAnsi="宋体" w:cs="宋体"/>
                <w:color w:val="auto"/>
                <w:sz w:val="21"/>
                <w:szCs w:val="21"/>
                <w:highlight w:val="none"/>
              </w:rPr>
            </w:pPr>
            <w:r>
              <w:rPr>
                <w:rFonts w:hint="eastAsia" w:hAnsi="宋体" w:cs="宋体"/>
                <w:color w:val="auto"/>
                <w:sz w:val="21"/>
                <w:szCs w:val="21"/>
                <w:highlight w:val="none"/>
              </w:rPr>
              <w:t>2</w:t>
            </w:r>
          </w:p>
        </w:tc>
        <w:tc>
          <w:tcPr>
            <w:tcW w:w="3566" w:type="dxa"/>
          </w:tcPr>
          <w:p>
            <w:pPr>
              <w:spacing w:line="460" w:lineRule="exact"/>
              <w:rPr>
                <w:rFonts w:hAnsi="宋体" w:cs="宋体"/>
                <w:color w:val="auto"/>
                <w:sz w:val="21"/>
                <w:szCs w:val="21"/>
                <w:highlight w:val="none"/>
              </w:rPr>
            </w:pPr>
            <w:r>
              <w:rPr>
                <w:rFonts w:hint="eastAsia" w:hAnsi="宋体" w:cs="宋体"/>
                <w:color w:val="auto"/>
                <w:sz w:val="21"/>
                <w:szCs w:val="21"/>
                <w:highlight w:val="none"/>
              </w:rPr>
              <w:t>老版国库集中支付系统</w:t>
            </w:r>
          </w:p>
        </w:tc>
        <w:tc>
          <w:tcPr>
            <w:tcW w:w="1869" w:type="dxa"/>
          </w:tcPr>
          <w:p>
            <w:pPr>
              <w:spacing w:line="460" w:lineRule="exact"/>
              <w:rPr>
                <w:rFonts w:hAnsi="宋体" w:cs="宋体"/>
                <w:color w:val="auto"/>
                <w:sz w:val="21"/>
                <w:szCs w:val="21"/>
                <w:highlight w:val="none"/>
              </w:rPr>
            </w:pPr>
            <w:r>
              <w:rPr>
                <w:rFonts w:hint="eastAsia" w:hAnsi="宋体" w:cs="宋体"/>
                <w:color w:val="auto"/>
                <w:sz w:val="21"/>
                <w:szCs w:val="21"/>
                <w:highlight w:val="none"/>
              </w:rPr>
              <w:t>2005-2013</w:t>
            </w:r>
          </w:p>
        </w:tc>
        <w:tc>
          <w:tcPr>
            <w:tcW w:w="2825" w:type="dxa"/>
          </w:tcPr>
          <w:p>
            <w:pPr>
              <w:pStyle w:val="18"/>
              <w:spacing w:line="460" w:lineRule="exact"/>
              <w:ind w:firstLine="0" w:firstLineChars="0"/>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spacing w:line="460" w:lineRule="exact"/>
              <w:rPr>
                <w:rFonts w:hAnsi="宋体" w:cs="宋体"/>
                <w:color w:val="auto"/>
                <w:sz w:val="21"/>
                <w:szCs w:val="21"/>
                <w:highlight w:val="none"/>
              </w:rPr>
            </w:pPr>
            <w:r>
              <w:rPr>
                <w:rFonts w:hint="eastAsia" w:hAnsi="宋体" w:cs="宋体"/>
                <w:color w:val="auto"/>
                <w:sz w:val="21"/>
                <w:szCs w:val="21"/>
                <w:highlight w:val="none"/>
              </w:rPr>
              <w:t>3</w:t>
            </w:r>
          </w:p>
        </w:tc>
        <w:tc>
          <w:tcPr>
            <w:tcW w:w="3566" w:type="dxa"/>
          </w:tcPr>
          <w:p>
            <w:pPr>
              <w:spacing w:line="460" w:lineRule="exact"/>
              <w:rPr>
                <w:rFonts w:hAnsi="宋体" w:cs="宋体"/>
                <w:color w:val="auto"/>
                <w:sz w:val="21"/>
                <w:szCs w:val="21"/>
                <w:highlight w:val="none"/>
              </w:rPr>
            </w:pPr>
            <w:r>
              <w:rPr>
                <w:rFonts w:hint="eastAsia" w:hAnsi="宋体" w:cs="宋体"/>
                <w:color w:val="auto"/>
                <w:sz w:val="21"/>
                <w:szCs w:val="21"/>
                <w:highlight w:val="none"/>
              </w:rPr>
              <w:t>市版金财工程</w:t>
            </w:r>
          </w:p>
        </w:tc>
        <w:tc>
          <w:tcPr>
            <w:tcW w:w="1869" w:type="dxa"/>
          </w:tcPr>
          <w:p>
            <w:pPr>
              <w:spacing w:line="460" w:lineRule="exact"/>
              <w:rPr>
                <w:rFonts w:hAnsi="宋体" w:cs="宋体"/>
                <w:color w:val="auto"/>
                <w:sz w:val="21"/>
                <w:szCs w:val="21"/>
                <w:highlight w:val="none"/>
              </w:rPr>
            </w:pPr>
            <w:r>
              <w:rPr>
                <w:rFonts w:hint="eastAsia" w:hAnsi="宋体" w:cs="宋体"/>
                <w:color w:val="auto"/>
                <w:sz w:val="21"/>
                <w:szCs w:val="21"/>
                <w:highlight w:val="none"/>
              </w:rPr>
              <w:t>2016-至今</w:t>
            </w:r>
          </w:p>
        </w:tc>
        <w:tc>
          <w:tcPr>
            <w:tcW w:w="2825" w:type="dxa"/>
          </w:tcPr>
          <w:p>
            <w:pPr>
              <w:pStyle w:val="18"/>
              <w:spacing w:line="460" w:lineRule="exact"/>
              <w:ind w:firstLine="0" w:firstLineChars="0"/>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spacing w:line="460" w:lineRule="exact"/>
              <w:rPr>
                <w:rFonts w:hAnsi="宋体" w:cs="宋体"/>
                <w:color w:val="auto"/>
                <w:sz w:val="21"/>
                <w:szCs w:val="21"/>
                <w:highlight w:val="none"/>
              </w:rPr>
            </w:pPr>
            <w:r>
              <w:rPr>
                <w:rFonts w:hint="eastAsia" w:hAnsi="宋体" w:cs="宋体"/>
                <w:color w:val="auto"/>
                <w:sz w:val="21"/>
                <w:szCs w:val="21"/>
                <w:highlight w:val="none"/>
              </w:rPr>
              <w:t>4</w:t>
            </w:r>
          </w:p>
        </w:tc>
        <w:tc>
          <w:tcPr>
            <w:tcW w:w="3566" w:type="dxa"/>
          </w:tcPr>
          <w:p>
            <w:pPr>
              <w:spacing w:line="460" w:lineRule="exact"/>
              <w:rPr>
                <w:rFonts w:hAnsi="宋体" w:cs="宋体"/>
                <w:color w:val="auto"/>
                <w:sz w:val="21"/>
                <w:szCs w:val="21"/>
                <w:highlight w:val="none"/>
              </w:rPr>
            </w:pPr>
            <w:r>
              <w:rPr>
                <w:rFonts w:hint="eastAsia" w:hAnsi="宋体" w:cs="宋体"/>
                <w:color w:val="auto"/>
                <w:sz w:val="21"/>
                <w:szCs w:val="21"/>
                <w:highlight w:val="none"/>
              </w:rPr>
              <w:t>土地出让金系统</w:t>
            </w:r>
          </w:p>
        </w:tc>
        <w:tc>
          <w:tcPr>
            <w:tcW w:w="1869" w:type="dxa"/>
          </w:tcPr>
          <w:p>
            <w:pPr>
              <w:spacing w:line="460" w:lineRule="exact"/>
              <w:rPr>
                <w:rFonts w:hAnsi="宋体" w:cs="宋体"/>
                <w:color w:val="auto"/>
                <w:sz w:val="21"/>
                <w:szCs w:val="21"/>
                <w:highlight w:val="none"/>
              </w:rPr>
            </w:pPr>
            <w:r>
              <w:rPr>
                <w:rFonts w:hint="eastAsia" w:hAnsi="宋体" w:cs="宋体"/>
                <w:color w:val="auto"/>
                <w:sz w:val="21"/>
                <w:szCs w:val="21"/>
                <w:highlight w:val="none"/>
              </w:rPr>
              <w:t>2008-2023</w:t>
            </w:r>
          </w:p>
        </w:tc>
        <w:tc>
          <w:tcPr>
            <w:tcW w:w="2825" w:type="dxa"/>
          </w:tcPr>
          <w:p>
            <w:pPr>
              <w:pStyle w:val="18"/>
              <w:spacing w:line="460" w:lineRule="exact"/>
              <w:ind w:firstLine="0" w:firstLineChars="0"/>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61" w:type="dxa"/>
          </w:tcPr>
          <w:p>
            <w:pPr>
              <w:spacing w:line="460" w:lineRule="exact"/>
              <w:rPr>
                <w:rFonts w:hAnsi="宋体" w:cs="宋体"/>
                <w:color w:val="auto"/>
                <w:sz w:val="21"/>
                <w:szCs w:val="21"/>
                <w:highlight w:val="none"/>
              </w:rPr>
            </w:pPr>
            <w:r>
              <w:rPr>
                <w:rFonts w:hint="eastAsia" w:hAnsi="宋体" w:cs="宋体"/>
                <w:color w:val="auto"/>
                <w:sz w:val="21"/>
                <w:szCs w:val="21"/>
                <w:highlight w:val="none"/>
              </w:rPr>
              <w:t>5</w:t>
            </w:r>
          </w:p>
        </w:tc>
        <w:tc>
          <w:tcPr>
            <w:tcW w:w="3566" w:type="dxa"/>
          </w:tcPr>
          <w:p>
            <w:pPr>
              <w:spacing w:line="460" w:lineRule="exact"/>
              <w:rPr>
                <w:rFonts w:hAnsi="宋体" w:cs="宋体"/>
                <w:color w:val="auto"/>
                <w:sz w:val="21"/>
                <w:szCs w:val="21"/>
                <w:highlight w:val="none"/>
              </w:rPr>
            </w:pPr>
            <w:r>
              <w:rPr>
                <w:rFonts w:hint="eastAsia" w:hAnsi="宋体" w:cs="宋体"/>
                <w:color w:val="auto"/>
                <w:sz w:val="21"/>
                <w:szCs w:val="21"/>
                <w:highlight w:val="none"/>
              </w:rPr>
              <w:t>老版非税收入系统</w:t>
            </w:r>
          </w:p>
        </w:tc>
        <w:tc>
          <w:tcPr>
            <w:tcW w:w="1869" w:type="dxa"/>
          </w:tcPr>
          <w:p>
            <w:pPr>
              <w:spacing w:line="460" w:lineRule="exact"/>
              <w:rPr>
                <w:rFonts w:hAnsi="宋体" w:cs="宋体"/>
                <w:color w:val="auto"/>
                <w:sz w:val="21"/>
                <w:szCs w:val="21"/>
                <w:highlight w:val="none"/>
              </w:rPr>
            </w:pPr>
            <w:r>
              <w:rPr>
                <w:rFonts w:hint="eastAsia" w:hAnsi="宋体" w:cs="宋体"/>
                <w:color w:val="auto"/>
                <w:sz w:val="21"/>
                <w:szCs w:val="21"/>
                <w:highlight w:val="none"/>
              </w:rPr>
              <w:t>2004-2013</w:t>
            </w:r>
          </w:p>
        </w:tc>
        <w:tc>
          <w:tcPr>
            <w:tcW w:w="2825" w:type="dxa"/>
          </w:tcPr>
          <w:p>
            <w:pPr>
              <w:pStyle w:val="18"/>
              <w:spacing w:line="460" w:lineRule="exact"/>
              <w:ind w:firstLine="0" w:firstLineChars="0"/>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61" w:type="dxa"/>
          </w:tcPr>
          <w:p>
            <w:pPr>
              <w:spacing w:line="460" w:lineRule="exact"/>
              <w:rPr>
                <w:rFonts w:hAnsi="宋体" w:cs="宋体"/>
                <w:color w:val="auto"/>
                <w:sz w:val="21"/>
                <w:szCs w:val="21"/>
                <w:highlight w:val="none"/>
              </w:rPr>
            </w:pPr>
            <w:r>
              <w:rPr>
                <w:rFonts w:hint="eastAsia" w:hAnsi="宋体" w:cs="宋体"/>
                <w:color w:val="auto"/>
                <w:sz w:val="21"/>
                <w:szCs w:val="21"/>
                <w:highlight w:val="none"/>
              </w:rPr>
              <w:t>6</w:t>
            </w:r>
          </w:p>
        </w:tc>
        <w:tc>
          <w:tcPr>
            <w:tcW w:w="3566" w:type="dxa"/>
          </w:tcPr>
          <w:p>
            <w:pPr>
              <w:spacing w:line="460" w:lineRule="exact"/>
              <w:rPr>
                <w:rFonts w:hAnsi="宋体" w:cs="宋体"/>
                <w:color w:val="auto"/>
                <w:sz w:val="21"/>
                <w:szCs w:val="21"/>
                <w:highlight w:val="none"/>
              </w:rPr>
            </w:pPr>
            <w:r>
              <w:rPr>
                <w:rFonts w:hint="eastAsia" w:hAnsi="宋体" w:cs="宋体"/>
                <w:color w:val="auto"/>
                <w:sz w:val="21"/>
                <w:szCs w:val="21"/>
                <w:highlight w:val="none"/>
              </w:rPr>
              <w:t>行政事业单位资产系统</w:t>
            </w:r>
          </w:p>
        </w:tc>
        <w:tc>
          <w:tcPr>
            <w:tcW w:w="1869" w:type="dxa"/>
          </w:tcPr>
          <w:p>
            <w:pPr>
              <w:spacing w:line="460" w:lineRule="exact"/>
              <w:rPr>
                <w:rFonts w:hAnsi="宋体" w:cs="宋体"/>
                <w:color w:val="auto"/>
                <w:sz w:val="21"/>
                <w:szCs w:val="21"/>
                <w:highlight w:val="none"/>
              </w:rPr>
            </w:pPr>
            <w:r>
              <w:rPr>
                <w:rFonts w:hint="eastAsia" w:hAnsi="宋体" w:cs="宋体"/>
                <w:color w:val="auto"/>
                <w:sz w:val="21"/>
                <w:szCs w:val="21"/>
                <w:highlight w:val="none"/>
              </w:rPr>
              <w:t>2010-2018</w:t>
            </w:r>
          </w:p>
        </w:tc>
        <w:tc>
          <w:tcPr>
            <w:tcW w:w="2825" w:type="dxa"/>
          </w:tcPr>
          <w:p>
            <w:pPr>
              <w:pStyle w:val="18"/>
              <w:spacing w:line="460" w:lineRule="exact"/>
              <w:ind w:firstLine="0" w:firstLineChars="0"/>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61" w:type="dxa"/>
          </w:tcPr>
          <w:p>
            <w:pPr>
              <w:spacing w:line="460" w:lineRule="exact"/>
              <w:rPr>
                <w:rFonts w:hAnsi="宋体" w:cs="宋体"/>
                <w:color w:val="auto"/>
                <w:sz w:val="21"/>
                <w:szCs w:val="21"/>
                <w:highlight w:val="none"/>
              </w:rPr>
            </w:pPr>
            <w:r>
              <w:rPr>
                <w:rFonts w:hint="eastAsia" w:hAnsi="宋体" w:cs="宋体"/>
                <w:color w:val="auto"/>
                <w:sz w:val="21"/>
                <w:szCs w:val="21"/>
                <w:highlight w:val="none"/>
              </w:rPr>
              <w:t>8</w:t>
            </w:r>
          </w:p>
        </w:tc>
        <w:tc>
          <w:tcPr>
            <w:tcW w:w="3566" w:type="dxa"/>
          </w:tcPr>
          <w:p>
            <w:pPr>
              <w:spacing w:line="460" w:lineRule="exact"/>
              <w:rPr>
                <w:rFonts w:hAnsi="宋体" w:cs="宋体"/>
                <w:color w:val="auto"/>
                <w:sz w:val="21"/>
                <w:szCs w:val="21"/>
                <w:highlight w:val="none"/>
              </w:rPr>
            </w:pPr>
            <w:r>
              <w:rPr>
                <w:rFonts w:hint="eastAsia" w:hAnsi="宋体" w:cs="宋体"/>
                <w:color w:val="auto"/>
                <w:sz w:val="21"/>
                <w:szCs w:val="21"/>
                <w:highlight w:val="none"/>
              </w:rPr>
              <w:t>省厅本地部署版金财工程</w:t>
            </w:r>
          </w:p>
        </w:tc>
        <w:tc>
          <w:tcPr>
            <w:tcW w:w="1869" w:type="dxa"/>
          </w:tcPr>
          <w:p>
            <w:pPr>
              <w:spacing w:line="460" w:lineRule="exact"/>
              <w:rPr>
                <w:rFonts w:hAnsi="宋体" w:cs="宋体"/>
                <w:color w:val="auto"/>
                <w:sz w:val="21"/>
                <w:szCs w:val="21"/>
                <w:highlight w:val="none"/>
              </w:rPr>
            </w:pPr>
            <w:r>
              <w:rPr>
                <w:rFonts w:hint="eastAsia" w:hAnsi="宋体" w:cs="宋体"/>
                <w:color w:val="auto"/>
                <w:sz w:val="21"/>
                <w:szCs w:val="21"/>
                <w:highlight w:val="none"/>
              </w:rPr>
              <w:t>2014-至今</w:t>
            </w:r>
          </w:p>
        </w:tc>
        <w:tc>
          <w:tcPr>
            <w:tcW w:w="2825" w:type="dxa"/>
          </w:tcPr>
          <w:p>
            <w:pPr>
              <w:pStyle w:val="18"/>
              <w:spacing w:line="460" w:lineRule="exact"/>
              <w:ind w:firstLine="0" w:firstLineChars="0"/>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61" w:type="dxa"/>
          </w:tcPr>
          <w:p>
            <w:pPr>
              <w:spacing w:line="460" w:lineRule="exact"/>
              <w:rPr>
                <w:rFonts w:hAnsi="宋体" w:cs="宋体"/>
                <w:color w:val="auto"/>
                <w:sz w:val="21"/>
                <w:szCs w:val="21"/>
                <w:highlight w:val="none"/>
              </w:rPr>
            </w:pPr>
            <w:r>
              <w:rPr>
                <w:rFonts w:hint="eastAsia" w:hAnsi="宋体" w:cs="宋体"/>
                <w:color w:val="auto"/>
                <w:sz w:val="21"/>
                <w:szCs w:val="21"/>
                <w:highlight w:val="none"/>
              </w:rPr>
              <w:t>9</w:t>
            </w:r>
          </w:p>
        </w:tc>
        <w:tc>
          <w:tcPr>
            <w:tcW w:w="3566" w:type="dxa"/>
          </w:tcPr>
          <w:p>
            <w:pPr>
              <w:spacing w:line="460" w:lineRule="exact"/>
              <w:rPr>
                <w:rFonts w:hAnsi="宋体" w:cs="宋体"/>
                <w:color w:val="auto"/>
                <w:sz w:val="21"/>
                <w:szCs w:val="21"/>
                <w:highlight w:val="none"/>
              </w:rPr>
            </w:pPr>
            <w:r>
              <w:rPr>
                <w:rFonts w:hint="eastAsia" w:hAnsi="宋体" w:cs="宋体"/>
                <w:color w:val="auto"/>
                <w:sz w:val="21"/>
                <w:szCs w:val="21"/>
                <w:highlight w:val="none"/>
              </w:rPr>
              <w:t>省厅下行库系统</w:t>
            </w:r>
          </w:p>
        </w:tc>
        <w:tc>
          <w:tcPr>
            <w:tcW w:w="1869" w:type="dxa"/>
          </w:tcPr>
          <w:p>
            <w:pPr>
              <w:spacing w:line="460" w:lineRule="exact"/>
              <w:rPr>
                <w:rFonts w:hAnsi="宋体" w:cs="宋体"/>
                <w:color w:val="auto"/>
                <w:sz w:val="21"/>
                <w:szCs w:val="21"/>
                <w:highlight w:val="none"/>
              </w:rPr>
            </w:pPr>
            <w:r>
              <w:rPr>
                <w:rFonts w:hint="eastAsia" w:hAnsi="宋体" w:cs="宋体"/>
                <w:color w:val="auto"/>
                <w:sz w:val="21"/>
                <w:szCs w:val="21"/>
                <w:highlight w:val="none"/>
              </w:rPr>
              <w:t>2020-至今</w:t>
            </w:r>
          </w:p>
        </w:tc>
        <w:tc>
          <w:tcPr>
            <w:tcW w:w="2825" w:type="dxa"/>
          </w:tcPr>
          <w:p>
            <w:pPr>
              <w:pStyle w:val="18"/>
              <w:spacing w:line="460" w:lineRule="exact"/>
              <w:ind w:firstLine="0" w:firstLineChars="0"/>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61" w:type="dxa"/>
          </w:tcPr>
          <w:p>
            <w:pPr>
              <w:spacing w:line="460" w:lineRule="exact"/>
              <w:rPr>
                <w:rFonts w:hAnsi="宋体" w:cs="宋体"/>
                <w:color w:val="auto"/>
                <w:sz w:val="21"/>
                <w:szCs w:val="21"/>
                <w:highlight w:val="none"/>
              </w:rPr>
            </w:pPr>
            <w:r>
              <w:rPr>
                <w:rFonts w:hint="eastAsia" w:hAnsi="宋体" w:cs="宋体"/>
                <w:color w:val="auto"/>
                <w:sz w:val="21"/>
                <w:szCs w:val="21"/>
                <w:highlight w:val="none"/>
              </w:rPr>
              <w:t>10</w:t>
            </w:r>
          </w:p>
        </w:tc>
        <w:tc>
          <w:tcPr>
            <w:tcW w:w="3566" w:type="dxa"/>
          </w:tcPr>
          <w:p>
            <w:pPr>
              <w:spacing w:line="460" w:lineRule="exact"/>
              <w:rPr>
                <w:rFonts w:hAnsi="宋体" w:cs="宋体"/>
                <w:color w:val="auto"/>
                <w:sz w:val="21"/>
                <w:szCs w:val="21"/>
                <w:highlight w:val="none"/>
              </w:rPr>
            </w:pPr>
            <w:r>
              <w:rPr>
                <w:rFonts w:hint="eastAsia" w:hAnsi="宋体" w:cs="宋体"/>
                <w:color w:val="auto"/>
                <w:sz w:val="21"/>
                <w:szCs w:val="21"/>
                <w:highlight w:val="none"/>
              </w:rPr>
              <w:t>省厅大平台库</w:t>
            </w:r>
          </w:p>
        </w:tc>
        <w:tc>
          <w:tcPr>
            <w:tcW w:w="1869" w:type="dxa"/>
          </w:tcPr>
          <w:p>
            <w:pPr>
              <w:spacing w:line="460" w:lineRule="exact"/>
              <w:rPr>
                <w:rFonts w:hAnsi="宋体" w:cs="宋体"/>
                <w:color w:val="auto"/>
                <w:sz w:val="21"/>
                <w:szCs w:val="21"/>
                <w:highlight w:val="none"/>
              </w:rPr>
            </w:pPr>
            <w:r>
              <w:rPr>
                <w:rFonts w:hint="eastAsia" w:hAnsi="宋体" w:cs="宋体"/>
                <w:color w:val="auto"/>
                <w:sz w:val="21"/>
                <w:szCs w:val="21"/>
                <w:highlight w:val="none"/>
              </w:rPr>
              <w:t>2020-至今</w:t>
            </w:r>
          </w:p>
        </w:tc>
        <w:tc>
          <w:tcPr>
            <w:tcW w:w="2825" w:type="dxa"/>
          </w:tcPr>
          <w:p>
            <w:pPr>
              <w:pStyle w:val="18"/>
              <w:spacing w:line="460" w:lineRule="exact"/>
              <w:ind w:firstLine="0" w:firstLineChars="0"/>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spacing w:line="460" w:lineRule="exact"/>
              <w:rPr>
                <w:rFonts w:hAnsi="宋体" w:cs="宋体"/>
                <w:color w:val="auto"/>
                <w:sz w:val="21"/>
                <w:szCs w:val="21"/>
                <w:highlight w:val="none"/>
              </w:rPr>
            </w:pPr>
            <w:r>
              <w:rPr>
                <w:rFonts w:hint="eastAsia" w:hAnsi="宋体" w:cs="宋体"/>
                <w:color w:val="auto"/>
                <w:sz w:val="21"/>
                <w:szCs w:val="21"/>
                <w:highlight w:val="none"/>
              </w:rPr>
              <w:t>11</w:t>
            </w:r>
          </w:p>
        </w:tc>
        <w:tc>
          <w:tcPr>
            <w:tcW w:w="3566" w:type="dxa"/>
          </w:tcPr>
          <w:p>
            <w:pPr>
              <w:spacing w:line="460" w:lineRule="exact"/>
              <w:rPr>
                <w:rFonts w:hAnsi="宋体" w:cs="宋体"/>
                <w:color w:val="auto"/>
                <w:sz w:val="21"/>
                <w:szCs w:val="21"/>
                <w:highlight w:val="none"/>
              </w:rPr>
            </w:pPr>
            <w:r>
              <w:rPr>
                <w:rFonts w:hint="eastAsia" w:hAnsi="宋体" w:cs="宋体"/>
                <w:color w:val="auto"/>
                <w:sz w:val="21"/>
                <w:szCs w:val="21"/>
                <w:highlight w:val="none"/>
              </w:rPr>
              <w:t>行政审批系统</w:t>
            </w:r>
          </w:p>
        </w:tc>
        <w:tc>
          <w:tcPr>
            <w:tcW w:w="1869" w:type="dxa"/>
          </w:tcPr>
          <w:p>
            <w:pPr>
              <w:spacing w:line="460" w:lineRule="exact"/>
              <w:rPr>
                <w:rFonts w:hAnsi="宋体" w:cs="宋体"/>
                <w:color w:val="auto"/>
                <w:sz w:val="21"/>
                <w:szCs w:val="21"/>
                <w:highlight w:val="none"/>
              </w:rPr>
            </w:pPr>
            <w:r>
              <w:rPr>
                <w:rFonts w:hint="eastAsia" w:hAnsi="宋体" w:cs="宋体"/>
                <w:color w:val="auto"/>
                <w:sz w:val="21"/>
                <w:szCs w:val="21"/>
                <w:highlight w:val="none"/>
              </w:rPr>
              <w:t>2010-2020</w:t>
            </w:r>
          </w:p>
        </w:tc>
        <w:tc>
          <w:tcPr>
            <w:tcW w:w="2825" w:type="dxa"/>
          </w:tcPr>
          <w:p>
            <w:pPr>
              <w:pStyle w:val="18"/>
              <w:spacing w:line="460" w:lineRule="exact"/>
              <w:ind w:firstLine="0" w:firstLineChars="0"/>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spacing w:line="460" w:lineRule="exact"/>
              <w:rPr>
                <w:rFonts w:hAnsi="宋体" w:cs="宋体"/>
                <w:color w:val="auto"/>
                <w:sz w:val="21"/>
                <w:szCs w:val="21"/>
                <w:highlight w:val="none"/>
              </w:rPr>
            </w:pPr>
            <w:r>
              <w:rPr>
                <w:rFonts w:hint="eastAsia" w:hAnsi="宋体" w:cs="宋体"/>
                <w:color w:val="auto"/>
                <w:sz w:val="21"/>
                <w:szCs w:val="21"/>
                <w:highlight w:val="none"/>
              </w:rPr>
              <w:t>12</w:t>
            </w:r>
          </w:p>
        </w:tc>
        <w:tc>
          <w:tcPr>
            <w:tcW w:w="3566" w:type="dxa"/>
          </w:tcPr>
          <w:p>
            <w:pPr>
              <w:spacing w:line="460" w:lineRule="exact"/>
              <w:rPr>
                <w:rFonts w:hAnsi="宋体" w:cs="宋体"/>
                <w:color w:val="auto"/>
                <w:sz w:val="21"/>
                <w:szCs w:val="21"/>
                <w:highlight w:val="none"/>
              </w:rPr>
            </w:pPr>
            <w:r>
              <w:rPr>
                <w:rFonts w:hint="eastAsia" w:hAnsi="宋体" w:cs="宋体"/>
                <w:color w:val="auto"/>
                <w:sz w:val="21"/>
                <w:szCs w:val="21"/>
                <w:highlight w:val="none"/>
              </w:rPr>
              <w:t>其他未列明系统</w:t>
            </w:r>
          </w:p>
        </w:tc>
        <w:tc>
          <w:tcPr>
            <w:tcW w:w="1869" w:type="dxa"/>
          </w:tcPr>
          <w:p>
            <w:pPr>
              <w:pStyle w:val="18"/>
              <w:spacing w:line="460" w:lineRule="exact"/>
              <w:ind w:firstLine="0" w:firstLineChars="0"/>
              <w:rPr>
                <w:rFonts w:hAnsi="宋体" w:cs="宋体"/>
                <w:color w:val="auto"/>
                <w:sz w:val="21"/>
                <w:szCs w:val="21"/>
                <w:highlight w:val="none"/>
              </w:rPr>
            </w:pPr>
          </w:p>
        </w:tc>
        <w:tc>
          <w:tcPr>
            <w:tcW w:w="2825" w:type="dxa"/>
          </w:tcPr>
          <w:p>
            <w:pPr>
              <w:spacing w:line="460" w:lineRule="exact"/>
              <w:rPr>
                <w:rFonts w:hAnsi="宋体" w:cs="宋体"/>
                <w:color w:val="auto"/>
                <w:sz w:val="21"/>
                <w:szCs w:val="21"/>
                <w:highlight w:val="none"/>
              </w:rPr>
            </w:pPr>
            <w:r>
              <w:rPr>
                <w:rFonts w:hint="eastAsia" w:hAnsi="宋体" w:cs="宋体"/>
                <w:color w:val="auto"/>
                <w:sz w:val="21"/>
                <w:szCs w:val="21"/>
                <w:highlight w:val="none"/>
              </w:rPr>
              <w:t>根据实际需要进行数据清洗和转换</w:t>
            </w:r>
          </w:p>
        </w:tc>
      </w:tr>
    </w:tbl>
    <w:p>
      <w:pPr>
        <w:autoSpaceDE/>
        <w:autoSpaceDN/>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按来源可分为：   </w:t>
      </w:r>
    </w:p>
    <w:tbl>
      <w:tblPr>
        <w:tblStyle w:val="46"/>
        <w:tblW w:w="9122" w:type="dxa"/>
        <w:tblInd w:w="0" w:type="dxa"/>
        <w:tblLayout w:type="fixed"/>
        <w:tblCellMar>
          <w:top w:w="0" w:type="dxa"/>
          <w:left w:w="108" w:type="dxa"/>
          <w:bottom w:w="0" w:type="dxa"/>
          <w:right w:w="108" w:type="dxa"/>
        </w:tblCellMar>
      </w:tblPr>
      <w:tblGrid>
        <w:gridCol w:w="839"/>
        <w:gridCol w:w="1576"/>
        <w:gridCol w:w="2688"/>
        <w:gridCol w:w="4019"/>
      </w:tblGrid>
      <w:tr>
        <w:tblPrEx>
          <w:tblCellMar>
            <w:top w:w="0" w:type="dxa"/>
            <w:left w:w="108" w:type="dxa"/>
            <w:bottom w:w="0" w:type="dxa"/>
            <w:right w:w="108" w:type="dxa"/>
          </w:tblCellMar>
        </w:tblPrEx>
        <w:trPr>
          <w:trHeight w:val="420" w:hRule="atLeast"/>
        </w:trPr>
        <w:tc>
          <w:tcPr>
            <w:tcW w:w="839" w:type="dxa"/>
            <w:tcBorders>
              <w:top w:val="single" w:color="000000" w:sz="8" w:space="0"/>
              <w:left w:val="single" w:color="000000" w:sz="8" w:space="0"/>
              <w:bottom w:val="single" w:color="000000" w:sz="8" w:space="0"/>
              <w:right w:val="single" w:color="000000" w:sz="8" w:space="0"/>
            </w:tcBorders>
            <w:vAlign w:val="center"/>
          </w:tcPr>
          <w:p>
            <w:pPr>
              <w:spacing w:line="460" w:lineRule="exact"/>
              <w:jc w:val="center"/>
              <w:rPr>
                <w:rFonts w:hAnsi="宋体" w:cs="宋体"/>
                <w:b/>
                <w:bCs/>
                <w:color w:val="auto"/>
                <w:sz w:val="21"/>
                <w:szCs w:val="21"/>
                <w:highlight w:val="none"/>
              </w:rPr>
            </w:pPr>
            <w:r>
              <w:rPr>
                <w:rFonts w:hint="eastAsia" w:hAnsi="宋体" w:cs="宋体"/>
                <w:b/>
                <w:bCs/>
                <w:color w:val="auto"/>
                <w:sz w:val="21"/>
                <w:szCs w:val="21"/>
                <w:highlight w:val="none"/>
              </w:rPr>
              <w:t>序号</w:t>
            </w:r>
          </w:p>
        </w:tc>
        <w:tc>
          <w:tcPr>
            <w:tcW w:w="1576" w:type="dxa"/>
            <w:tcBorders>
              <w:top w:val="single" w:color="000000" w:sz="8" w:space="0"/>
              <w:left w:val="single" w:color="000000" w:sz="8" w:space="0"/>
              <w:bottom w:val="single" w:color="000000" w:sz="8" w:space="0"/>
              <w:right w:val="single" w:color="000000" w:sz="8" w:space="0"/>
            </w:tcBorders>
            <w:vAlign w:val="center"/>
          </w:tcPr>
          <w:p>
            <w:pPr>
              <w:spacing w:line="460" w:lineRule="exact"/>
              <w:jc w:val="center"/>
              <w:rPr>
                <w:rFonts w:hAnsi="宋体" w:cs="宋体"/>
                <w:b/>
                <w:bCs/>
                <w:color w:val="auto"/>
                <w:sz w:val="21"/>
                <w:szCs w:val="21"/>
                <w:highlight w:val="none"/>
              </w:rPr>
            </w:pPr>
            <w:r>
              <w:rPr>
                <w:rFonts w:hint="eastAsia" w:hAnsi="宋体" w:cs="宋体"/>
                <w:b/>
                <w:bCs/>
                <w:color w:val="auto"/>
                <w:sz w:val="21"/>
                <w:szCs w:val="21"/>
                <w:highlight w:val="none"/>
              </w:rPr>
              <w:t>业务系统</w:t>
            </w:r>
          </w:p>
        </w:tc>
        <w:tc>
          <w:tcPr>
            <w:tcW w:w="2688" w:type="dxa"/>
            <w:tcBorders>
              <w:top w:val="single" w:color="000000" w:sz="8" w:space="0"/>
              <w:left w:val="nil"/>
              <w:bottom w:val="single" w:color="000000" w:sz="8" w:space="0"/>
              <w:right w:val="single" w:color="000000" w:sz="8" w:space="0"/>
            </w:tcBorders>
            <w:vAlign w:val="center"/>
          </w:tcPr>
          <w:p>
            <w:pPr>
              <w:spacing w:line="460" w:lineRule="exact"/>
              <w:jc w:val="center"/>
              <w:rPr>
                <w:rFonts w:hAnsi="宋体" w:cs="宋体"/>
                <w:b/>
                <w:bCs/>
                <w:color w:val="auto"/>
                <w:sz w:val="21"/>
                <w:szCs w:val="21"/>
                <w:highlight w:val="none"/>
              </w:rPr>
            </w:pPr>
            <w:r>
              <w:rPr>
                <w:rFonts w:hint="eastAsia" w:hAnsi="宋体" w:cs="宋体"/>
                <w:b/>
                <w:bCs/>
                <w:color w:val="auto"/>
                <w:sz w:val="21"/>
                <w:szCs w:val="21"/>
                <w:highlight w:val="none"/>
              </w:rPr>
              <w:t>数据要素</w:t>
            </w:r>
          </w:p>
        </w:tc>
        <w:tc>
          <w:tcPr>
            <w:tcW w:w="4019" w:type="dxa"/>
            <w:tcBorders>
              <w:top w:val="single" w:color="000000" w:sz="8" w:space="0"/>
              <w:left w:val="nil"/>
              <w:bottom w:val="single" w:color="000000" w:sz="8" w:space="0"/>
              <w:right w:val="single" w:color="000000" w:sz="8" w:space="0"/>
            </w:tcBorders>
            <w:vAlign w:val="center"/>
          </w:tcPr>
          <w:p>
            <w:pPr>
              <w:spacing w:line="460" w:lineRule="exact"/>
              <w:jc w:val="center"/>
              <w:rPr>
                <w:rFonts w:hAnsi="宋体" w:cs="宋体"/>
                <w:b/>
                <w:bCs/>
                <w:color w:val="auto"/>
                <w:sz w:val="21"/>
                <w:szCs w:val="21"/>
                <w:highlight w:val="none"/>
              </w:rPr>
            </w:pPr>
            <w:r>
              <w:rPr>
                <w:rFonts w:hint="eastAsia" w:hAnsi="宋体" w:cs="宋体"/>
                <w:b/>
                <w:bCs/>
                <w:color w:val="auto"/>
                <w:sz w:val="21"/>
                <w:szCs w:val="21"/>
                <w:highlight w:val="none"/>
              </w:rPr>
              <w:t>数据来源</w:t>
            </w:r>
          </w:p>
        </w:tc>
      </w:tr>
      <w:tr>
        <w:tblPrEx>
          <w:tblCellMar>
            <w:top w:w="0" w:type="dxa"/>
            <w:left w:w="108" w:type="dxa"/>
            <w:bottom w:w="0" w:type="dxa"/>
            <w:right w:w="108" w:type="dxa"/>
          </w:tblCellMar>
        </w:tblPrEx>
        <w:trPr>
          <w:trHeight w:val="591" w:hRule="atLeast"/>
        </w:trPr>
        <w:tc>
          <w:tcPr>
            <w:tcW w:w="839" w:type="dxa"/>
            <w:vMerge w:val="restart"/>
            <w:tcBorders>
              <w:top w:val="nil"/>
              <w:left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1</w:t>
            </w:r>
          </w:p>
        </w:tc>
        <w:tc>
          <w:tcPr>
            <w:tcW w:w="1576" w:type="dxa"/>
            <w:tcBorders>
              <w:top w:val="nil"/>
              <w:left w:val="single" w:color="000000" w:sz="8" w:space="0"/>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预算编制</w:t>
            </w:r>
          </w:p>
        </w:tc>
        <w:tc>
          <w:tcPr>
            <w:tcW w:w="2688" w:type="dxa"/>
            <w:tcBorders>
              <w:top w:val="nil"/>
              <w:left w:val="nil"/>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编制数据</w:t>
            </w:r>
          </w:p>
        </w:tc>
        <w:tc>
          <w:tcPr>
            <w:tcW w:w="4019" w:type="dxa"/>
            <w:tcBorders>
              <w:top w:val="nil"/>
              <w:left w:val="nil"/>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老金财工程、预算一体下行数据</w:t>
            </w:r>
          </w:p>
        </w:tc>
      </w:tr>
      <w:tr>
        <w:tblPrEx>
          <w:tblCellMar>
            <w:top w:w="0" w:type="dxa"/>
            <w:left w:w="108" w:type="dxa"/>
            <w:bottom w:w="0" w:type="dxa"/>
            <w:right w:w="108" w:type="dxa"/>
          </w:tblCellMar>
        </w:tblPrEx>
        <w:trPr>
          <w:trHeight w:val="591" w:hRule="atLeast"/>
        </w:trPr>
        <w:tc>
          <w:tcPr>
            <w:tcW w:w="839" w:type="dxa"/>
            <w:vMerge w:val="continue"/>
            <w:tcBorders>
              <w:left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p>
        </w:tc>
        <w:tc>
          <w:tcPr>
            <w:tcW w:w="1576" w:type="dxa"/>
            <w:vMerge w:val="restart"/>
            <w:tcBorders>
              <w:top w:val="nil"/>
              <w:left w:val="single" w:color="000000" w:sz="8" w:space="0"/>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国库集中支付系统</w:t>
            </w:r>
          </w:p>
        </w:tc>
        <w:tc>
          <w:tcPr>
            <w:tcW w:w="2688" w:type="dxa"/>
            <w:tcBorders>
              <w:top w:val="nil"/>
              <w:left w:val="nil"/>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支付数据</w:t>
            </w:r>
          </w:p>
        </w:tc>
        <w:tc>
          <w:tcPr>
            <w:tcW w:w="4019" w:type="dxa"/>
            <w:tcBorders>
              <w:top w:val="nil"/>
              <w:left w:val="nil"/>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老金财工程、省厅本地部署版、预算一体下行数据</w:t>
            </w:r>
          </w:p>
        </w:tc>
      </w:tr>
      <w:tr>
        <w:tblPrEx>
          <w:tblCellMar>
            <w:top w:w="0" w:type="dxa"/>
            <w:left w:w="108" w:type="dxa"/>
            <w:bottom w:w="0" w:type="dxa"/>
            <w:right w:w="108" w:type="dxa"/>
          </w:tblCellMar>
        </w:tblPrEx>
        <w:trPr>
          <w:trHeight w:val="303" w:hRule="atLeast"/>
        </w:trPr>
        <w:tc>
          <w:tcPr>
            <w:tcW w:w="839" w:type="dxa"/>
            <w:vMerge w:val="continue"/>
            <w:tcBorders>
              <w:left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p>
        </w:tc>
        <w:tc>
          <w:tcPr>
            <w:tcW w:w="1576" w:type="dxa"/>
            <w:vMerge w:val="continue"/>
            <w:tcBorders>
              <w:top w:val="nil"/>
              <w:left w:val="single" w:color="000000" w:sz="8" w:space="0"/>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p>
        </w:tc>
        <w:tc>
          <w:tcPr>
            <w:tcW w:w="2688" w:type="dxa"/>
            <w:tcBorders>
              <w:top w:val="nil"/>
              <w:left w:val="nil"/>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收入数据</w:t>
            </w:r>
          </w:p>
        </w:tc>
        <w:tc>
          <w:tcPr>
            <w:tcW w:w="4019" w:type="dxa"/>
            <w:tcBorders>
              <w:top w:val="nil"/>
              <w:left w:val="nil"/>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老金财工程、省厅本地部署版</w:t>
            </w:r>
          </w:p>
        </w:tc>
      </w:tr>
      <w:tr>
        <w:tblPrEx>
          <w:tblCellMar>
            <w:top w:w="0" w:type="dxa"/>
            <w:left w:w="108" w:type="dxa"/>
            <w:bottom w:w="0" w:type="dxa"/>
            <w:right w:w="108" w:type="dxa"/>
          </w:tblCellMar>
        </w:tblPrEx>
        <w:trPr>
          <w:trHeight w:val="303" w:hRule="atLeast"/>
        </w:trPr>
        <w:tc>
          <w:tcPr>
            <w:tcW w:w="839" w:type="dxa"/>
            <w:vMerge w:val="continue"/>
            <w:tcBorders>
              <w:left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p>
        </w:tc>
        <w:tc>
          <w:tcPr>
            <w:tcW w:w="1576" w:type="dxa"/>
            <w:vMerge w:val="continue"/>
            <w:tcBorders>
              <w:top w:val="nil"/>
              <w:left w:val="single" w:color="000000" w:sz="8" w:space="0"/>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p>
        </w:tc>
        <w:tc>
          <w:tcPr>
            <w:tcW w:w="2688" w:type="dxa"/>
            <w:tcBorders>
              <w:top w:val="nil"/>
              <w:left w:val="nil"/>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流水数据</w:t>
            </w:r>
          </w:p>
        </w:tc>
        <w:tc>
          <w:tcPr>
            <w:tcW w:w="4019" w:type="dxa"/>
            <w:tcBorders>
              <w:top w:val="nil"/>
              <w:left w:val="nil"/>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老金财工程、省厅本地部署版</w:t>
            </w:r>
          </w:p>
        </w:tc>
      </w:tr>
      <w:tr>
        <w:tblPrEx>
          <w:tblCellMar>
            <w:top w:w="0" w:type="dxa"/>
            <w:left w:w="108" w:type="dxa"/>
            <w:bottom w:w="0" w:type="dxa"/>
            <w:right w:w="108" w:type="dxa"/>
          </w:tblCellMar>
        </w:tblPrEx>
        <w:trPr>
          <w:trHeight w:val="576" w:hRule="atLeast"/>
        </w:trPr>
        <w:tc>
          <w:tcPr>
            <w:tcW w:w="839" w:type="dxa"/>
            <w:vMerge w:val="continue"/>
            <w:tcBorders>
              <w:left w:val="single" w:color="000000" w:sz="8" w:space="0"/>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p>
        </w:tc>
        <w:tc>
          <w:tcPr>
            <w:tcW w:w="1576" w:type="dxa"/>
            <w:vMerge w:val="continue"/>
            <w:tcBorders>
              <w:top w:val="nil"/>
              <w:left w:val="single" w:color="000000" w:sz="8" w:space="0"/>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p>
        </w:tc>
        <w:tc>
          <w:tcPr>
            <w:tcW w:w="2688" w:type="dxa"/>
            <w:tcBorders>
              <w:top w:val="nil"/>
              <w:left w:val="nil"/>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会计核算数据</w:t>
            </w:r>
          </w:p>
        </w:tc>
        <w:tc>
          <w:tcPr>
            <w:tcW w:w="4019" w:type="dxa"/>
            <w:tcBorders>
              <w:top w:val="nil"/>
              <w:left w:val="nil"/>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老金财工程、用友核算系统、预算一体下行数据</w:t>
            </w:r>
          </w:p>
        </w:tc>
      </w:tr>
      <w:tr>
        <w:tblPrEx>
          <w:tblCellMar>
            <w:top w:w="0" w:type="dxa"/>
            <w:left w:w="108" w:type="dxa"/>
            <w:bottom w:w="0" w:type="dxa"/>
            <w:right w:w="108" w:type="dxa"/>
          </w:tblCellMar>
        </w:tblPrEx>
        <w:trPr>
          <w:trHeight w:val="303" w:hRule="atLeast"/>
        </w:trPr>
        <w:tc>
          <w:tcPr>
            <w:tcW w:w="839" w:type="dxa"/>
            <w:vMerge w:val="restart"/>
            <w:tcBorders>
              <w:top w:val="nil"/>
              <w:left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2</w:t>
            </w:r>
          </w:p>
        </w:tc>
        <w:tc>
          <w:tcPr>
            <w:tcW w:w="1576" w:type="dxa"/>
            <w:vMerge w:val="restart"/>
            <w:tcBorders>
              <w:top w:val="nil"/>
              <w:left w:val="single" w:color="000000" w:sz="8" w:space="0"/>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财政收支核算</w:t>
            </w:r>
          </w:p>
        </w:tc>
        <w:tc>
          <w:tcPr>
            <w:tcW w:w="2688" w:type="dxa"/>
            <w:tcBorders>
              <w:top w:val="nil"/>
              <w:left w:val="nil"/>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资金申拨数据</w:t>
            </w:r>
          </w:p>
        </w:tc>
        <w:tc>
          <w:tcPr>
            <w:tcW w:w="4019" w:type="dxa"/>
            <w:tcBorders>
              <w:top w:val="nil"/>
              <w:left w:val="nil"/>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老金财工程、省厅本地部署版、预算一体下行数据</w:t>
            </w:r>
          </w:p>
        </w:tc>
      </w:tr>
      <w:tr>
        <w:tblPrEx>
          <w:tblCellMar>
            <w:top w:w="0" w:type="dxa"/>
            <w:left w:w="108" w:type="dxa"/>
            <w:bottom w:w="0" w:type="dxa"/>
            <w:right w:w="108" w:type="dxa"/>
          </w:tblCellMar>
        </w:tblPrEx>
        <w:trPr>
          <w:trHeight w:val="591" w:hRule="atLeast"/>
        </w:trPr>
        <w:tc>
          <w:tcPr>
            <w:tcW w:w="839" w:type="dxa"/>
            <w:vMerge w:val="continue"/>
            <w:tcBorders>
              <w:left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p>
        </w:tc>
        <w:tc>
          <w:tcPr>
            <w:tcW w:w="1576" w:type="dxa"/>
            <w:vMerge w:val="continue"/>
            <w:tcBorders>
              <w:top w:val="nil"/>
              <w:left w:val="single" w:color="000000" w:sz="8" w:space="0"/>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p>
        </w:tc>
        <w:tc>
          <w:tcPr>
            <w:tcW w:w="2688" w:type="dxa"/>
            <w:tcBorders>
              <w:top w:val="nil"/>
              <w:left w:val="nil"/>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财政支出数据</w:t>
            </w:r>
          </w:p>
        </w:tc>
        <w:tc>
          <w:tcPr>
            <w:tcW w:w="4019" w:type="dxa"/>
            <w:tcBorders>
              <w:top w:val="nil"/>
              <w:left w:val="nil"/>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老金财工程、省厅本地部署版、预算一体下行数据</w:t>
            </w:r>
          </w:p>
        </w:tc>
      </w:tr>
      <w:tr>
        <w:tblPrEx>
          <w:tblCellMar>
            <w:top w:w="0" w:type="dxa"/>
            <w:left w:w="108" w:type="dxa"/>
            <w:bottom w:w="0" w:type="dxa"/>
            <w:right w:w="108" w:type="dxa"/>
          </w:tblCellMar>
        </w:tblPrEx>
        <w:trPr>
          <w:trHeight w:val="591" w:hRule="atLeast"/>
        </w:trPr>
        <w:tc>
          <w:tcPr>
            <w:tcW w:w="839" w:type="dxa"/>
            <w:vMerge w:val="continue"/>
            <w:tcBorders>
              <w:left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p>
        </w:tc>
        <w:tc>
          <w:tcPr>
            <w:tcW w:w="1576" w:type="dxa"/>
            <w:vMerge w:val="continue"/>
            <w:tcBorders>
              <w:top w:val="nil"/>
              <w:left w:val="single" w:color="000000" w:sz="8" w:space="0"/>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p>
        </w:tc>
        <w:tc>
          <w:tcPr>
            <w:tcW w:w="2688" w:type="dxa"/>
            <w:tcBorders>
              <w:top w:val="nil"/>
              <w:left w:val="nil"/>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财政总会计核算</w:t>
            </w:r>
          </w:p>
        </w:tc>
        <w:tc>
          <w:tcPr>
            <w:tcW w:w="4019" w:type="dxa"/>
            <w:tcBorders>
              <w:top w:val="nil"/>
              <w:left w:val="nil"/>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老金财工程、省厅本地部署版</w:t>
            </w:r>
          </w:p>
        </w:tc>
      </w:tr>
      <w:tr>
        <w:tblPrEx>
          <w:tblCellMar>
            <w:top w:w="0" w:type="dxa"/>
            <w:left w:w="108" w:type="dxa"/>
            <w:bottom w:w="0" w:type="dxa"/>
            <w:right w:w="108" w:type="dxa"/>
          </w:tblCellMar>
        </w:tblPrEx>
        <w:trPr>
          <w:trHeight w:val="591" w:hRule="atLeast"/>
        </w:trPr>
        <w:tc>
          <w:tcPr>
            <w:tcW w:w="839" w:type="dxa"/>
            <w:vMerge w:val="continue"/>
            <w:tcBorders>
              <w:left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p>
        </w:tc>
        <w:tc>
          <w:tcPr>
            <w:tcW w:w="1576" w:type="dxa"/>
            <w:vMerge w:val="continue"/>
            <w:tcBorders>
              <w:top w:val="nil"/>
              <w:left w:val="single" w:color="000000" w:sz="8" w:space="0"/>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p>
        </w:tc>
        <w:tc>
          <w:tcPr>
            <w:tcW w:w="2688" w:type="dxa"/>
            <w:tcBorders>
              <w:top w:val="nil"/>
              <w:left w:val="nil"/>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财政专户核算数据</w:t>
            </w:r>
          </w:p>
        </w:tc>
        <w:tc>
          <w:tcPr>
            <w:tcW w:w="4019" w:type="dxa"/>
            <w:tcBorders>
              <w:top w:val="nil"/>
              <w:left w:val="nil"/>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老金财工程、省厅本地部署版</w:t>
            </w:r>
          </w:p>
        </w:tc>
      </w:tr>
      <w:tr>
        <w:tblPrEx>
          <w:tblCellMar>
            <w:top w:w="0" w:type="dxa"/>
            <w:left w:w="108" w:type="dxa"/>
            <w:bottom w:w="0" w:type="dxa"/>
            <w:right w:w="108" w:type="dxa"/>
          </w:tblCellMar>
        </w:tblPrEx>
        <w:trPr>
          <w:trHeight w:val="591" w:hRule="atLeast"/>
        </w:trPr>
        <w:tc>
          <w:tcPr>
            <w:tcW w:w="839" w:type="dxa"/>
            <w:vMerge w:val="continue"/>
            <w:tcBorders>
              <w:left w:val="single" w:color="000000" w:sz="8" w:space="0"/>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p>
        </w:tc>
        <w:tc>
          <w:tcPr>
            <w:tcW w:w="1576" w:type="dxa"/>
            <w:vMerge w:val="continue"/>
            <w:tcBorders>
              <w:top w:val="nil"/>
              <w:left w:val="single" w:color="000000" w:sz="8" w:space="0"/>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p>
        </w:tc>
        <w:tc>
          <w:tcPr>
            <w:tcW w:w="2688" w:type="dxa"/>
            <w:tcBorders>
              <w:top w:val="nil"/>
              <w:left w:val="nil"/>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财政报表数据</w:t>
            </w:r>
          </w:p>
        </w:tc>
        <w:tc>
          <w:tcPr>
            <w:tcW w:w="4019" w:type="dxa"/>
            <w:tcBorders>
              <w:top w:val="nil"/>
              <w:left w:val="nil"/>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老金财工程、省厅本地部署版</w:t>
            </w:r>
          </w:p>
        </w:tc>
      </w:tr>
      <w:tr>
        <w:tblPrEx>
          <w:tblCellMar>
            <w:top w:w="0" w:type="dxa"/>
            <w:left w:w="108" w:type="dxa"/>
            <w:bottom w:w="0" w:type="dxa"/>
            <w:right w:w="108" w:type="dxa"/>
          </w:tblCellMar>
        </w:tblPrEx>
        <w:trPr>
          <w:trHeight w:val="303" w:hRule="atLeast"/>
        </w:trPr>
        <w:tc>
          <w:tcPr>
            <w:tcW w:w="839" w:type="dxa"/>
            <w:vMerge w:val="restart"/>
            <w:tcBorders>
              <w:top w:val="nil"/>
              <w:left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3</w:t>
            </w:r>
          </w:p>
        </w:tc>
        <w:tc>
          <w:tcPr>
            <w:tcW w:w="1576" w:type="dxa"/>
            <w:vMerge w:val="restart"/>
            <w:tcBorders>
              <w:top w:val="nil"/>
              <w:left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单位资产管理系统</w:t>
            </w:r>
          </w:p>
        </w:tc>
        <w:tc>
          <w:tcPr>
            <w:tcW w:w="2688" w:type="dxa"/>
            <w:tcBorders>
              <w:top w:val="nil"/>
              <w:left w:val="nil"/>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单位资产卡片数据</w:t>
            </w:r>
          </w:p>
        </w:tc>
        <w:tc>
          <w:tcPr>
            <w:tcW w:w="4019" w:type="dxa"/>
            <w:tcBorders>
              <w:top w:val="nil"/>
              <w:left w:val="nil"/>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久其资产管理系统</w:t>
            </w:r>
          </w:p>
        </w:tc>
      </w:tr>
      <w:tr>
        <w:tblPrEx>
          <w:tblCellMar>
            <w:top w:w="0" w:type="dxa"/>
            <w:left w:w="108" w:type="dxa"/>
            <w:bottom w:w="0" w:type="dxa"/>
            <w:right w:w="108" w:type="dxa"/>
          </w:tblCellMar>
        </w:tblPrEx>
        <w:trPr>
          <w:trHeight w:val="303" w:hRule="atLeast"/>
        </w:trPr>
        <w:tc>
          <w:tcPr>
            <w:tcW w:w="839" w:type="dxa"/>
            <w:vMerge w:val="continue"/>
            <w:tcBorders>
              <w:left w:val="single" w:color="000000" w:sz="8" w:space="0"/>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p>
        </w:tc>
        <w:tc>
          <w:tcPr>
            <w:tcW w:w="1576" w:type="dxa"/>
            <w:vMerge w:val="continue"/>
            <w:tcBorders>
              <w:left w:val="single" w:color="000000" w:sz="8" w:space="0"/>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p>
        </w:tc>
        <w:tc>
          <w:tcPr>
            <w:tcW w:w="2688" w:type="dxa"/>
            <w:tcBorders>
              <w:top w:val="nil"/>
              <w:left w:val="nil"/>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单位资产入库、出库、盘点、资产调拨、资产年报数据等</w:t>
            </w:r>
          </w:p>
        </w:tc>
        <w:tc>
          <w:tcPr>
            <w:tcW w:w="4019" w:type="dxa"/>
            <w:tcBorders>
              <w:top w:val="nil"/>
              <w:left w:val="nil"/>
              <w:bottom w:val="single" w:color="000000" w:sz="8" w:space="0"/>
              <w:right w:val="single" w:color="000000" w:sz="8" w:space="0"/>
            </w:tcBorders>
            <w:shd w:val="clear" w:color="auto" w:fill="FFFFFF"/>
            <w:vAlign w:val="center"/>
          </w:tcPr>
          <w:p>
            <w:pPr>
              <w:spacing w:line="460" w:lineRule="exact"/>
              <w:rPr>
                <w:rFonts w:hAnsi="宋体" w:cs="宋体"/>
                <w:color w:val="auto"/>
                <w:kern w:val="2"/>
                <w:sz w:val="21"/>
                <w:szCs w:val="21"/>
                <w:highlight w:val="none"/>
              </w:rPr>
            </w:pPr>
            <w:r>
              <w:rPr>
                <w:rFonts w:hint="eastAsia" w:hAnsi="宋体" w:cs="宋体"/>
                <w:color w:val="auto"/>
                <w:sz w:val="21"/>
                <w:szCs w:val="21"/>
                <w:highlight w:val="none"/>
              </w:rPr>
              <w:t>久其资产管理系统</w:t>
            </w:r>
          </w:p>
        </w:tc>
      </w:tr>
      <w:tr>
        <w:tblPrEx>
          <w:tblCellMar>
            <w:top w:w="0" w:type="dxa"/>
            <w:left w:w="108" w:type="dxa"/>
            <w:bottom w:w="0" w:type="dxa"/>
            <w:right w:w="108" w:type="dxa"/>
          </w:tblCellMar>
        </w:tblPrEx>
        <w:trPr>
          <w:trHeight w:val="303" w:hRule="atLeast"/>
        </w:trPr>
        <w:tc>
          <w:tcPr>
            <w:tcW w:w="839" w:type="dxa"/>
            <w:tcBorders>
              <w:left w:val="single" w:color="000000" w:sz="8" w:space="0"/>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4</w:t>
            </w:r>
          </w:p>
        </w:tc>
        <w:tc>
          <w:tcPr>
            <w:tcW w:w="1576" w:type="dxa"/>
            <w:tcBorders>
              <w:left w:val="single" w:color="000000" w:sz="8" w:space="0"/>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行政审批系统</w:t>
            </w:r>
          </w:p>
        </w:tc>
        <w:tc>
          <w:tcPr>
            <w:tcW w:w="2688" w:type="dxa"/>
            <w:tcBorders>
              <w:top w:val="nil"/>
              <w:left w:val="nil"/>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行政审批事项数据</w:t>
            </w:r>
          </w:p>
        </w:tc>
        <w:tc>
          <w:tcPr>
            <w:tcW w:w="4019" w:type="dxa"/>
            <w:tcBorders>
              <w:top w:val="nil"/>
              <w:left w:val="nil"/>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原财政对外使用的行政审批系统</w:t>
            </w:r>
          </w:p>
        </w:tc>
      </w:tr>
      <w:tr>
        <w:tblPrEx>
          <w:tblCellMar>
            <w:top w:w="0" w:type="dxa"/>
            <w:left w:w="108" w:type="dxa"/>
            <w:bottom w:w="0" w:type="dxa"/>
            <w:right w:w="108" w:type="dxa"/>
          </w:tblCellMar>
        </w:tblPrEx>
        <w:trPr>
          <w:trHeight w:val="303" w:hRule="atLeast"/>
        </w:trPr>
        <w:tc>
          <w:tcPr>
            <w:tcW w:w="839" w:type="dxa"/>
            <w:tcBorders>
              <w:left w:val="single" w:color="000000" w:sz="8" w:space="0"/>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5</w:t>
            </w:r>
          </w:p>
        </w:tc>
        <w:tc>
          <w:tcPr>
            <w:tcW w:w="1576" w:type="dxa"/>
            <w:tcBorders>
              <w:left w:val="single" w:color="000000" w:sz="8" w:space="0"/>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非税管理系统</w:t>
            </w:r>
          </w:p>
        </w:tc>
        <w:tc>
          <w:tcPr>
            <w:tcW w:w="2688" w:type="dxa"/>
            <w:tcBorders>
              <w:top w:val="nil"/>
              <w:left w:val="nil"/>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非税收入收缴数据</w:t>
            </w:r>
          </w:p>
        </w:tc>
        <w:tc>
          <w:tcPr>
            <w:tcW w:w="4019" w:type="dxa"/>
            <w:tcBorders>
              <w:top w:val="nil"/>
              <w:left w:val="nil"/>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老版非税管理系统</w:t>
            </w:r>
          </w:p>
        </w:tc>
      </w:tr>
      <w:tr>
        <w:tblPrEx>
          <w:tblCellMar>
            <w:top w:w="0" w:type="dxa"/>
            <w:left w:w="108" w:type="dxa"/>
            <w:bottom w:w="0" w:type="dxa"/>
            <w:right w:w="108" w:type="dxa"/>
          </w:tblCellMar>
        </w:tblPrEx>
        <w:trPr>
          <w:trHeight w:val="303" w:hRule="atLeast"/>
        </w:trPr>
        <w:tc>
          <w:tcPr>
            <w:tcW w:w="839" w:type="dxa"/>
            <w:tcBorders>
              <w:left w:val="single" w:color="000000" w:sz="8" w:space="0"/>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6</w:t>
            </w:r>
          </w:p>
        </w:tc>
        <w:tc>
          <w:tcPr>
            <w:tcW w:w="1576" w:type="dxa"/>
            <w:tcBorders>
              <w:left w:val="single" w:color="000000" w:sz="8" w:space="0"/>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土地出让金系统</w:t>
            </w:r>
          </w:p>
        </w:tc>
        <w:tc>
          <w:tcPr>
            <w:tcW w:w="2688" w:type="dxa"/>
            <w:tcBorders>
              <w:top w:val="nil"/>
              <w:left w:val="nil"/>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合同数据、合同分解数据、合同缴库数据等</w:t>
            </w:r>
          </w:p>
        </w:tc>
        <w:tc>
          <w:tcPr>
            <w:tcW w:w="4019" w:type="dxa"/>
            <w:tcBorders>
              <w:top w:val="nil"/>
              <w:left w:val="nil"/>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土地出让金系统数据</w:t>
            </w:r>
          </w:p>
        </w:tc>
      </w:tr>
      <w:tr>
        <w:tblPrEx>
          <w:tblCellMar>
            <w:top w:w="0" w:type="dxa"/>
            <w:left w:w="108" w:type="dxa"/>
            <w:bottom w:w="0" w:type="dxa"/>
            <w:right w:w="108" w:type="dxa"/>
          </w:tblCellMar>
        </w:tblPrEx>
        <w:trPr>
          <w:trHeight w:val="303" w:hRule="atLeast"/>
        </w:trPr>
        <w:tc>
          <w:tcPr>
            <w:tcW w:w="839" w:type="dxa"/>
            <w:tcBorders>
              <w:left w:val="single" w:color="000000" w:sz="8" w:space="0"/>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7</w:t>
            </w:r>
          </w:p>
        </w:tc>
        <w:tc>
          <w:tcPr>
            <w:tcW w:w="1576" w:type="dxa"/>
            <w:tcBorders>
              <w:left w:val="single" w:color="000000" w:sz="8" w:space="0"/>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政府采购系统数据</w:t>
            </w:r>
          </w:p>
        </w:tc>
        <w:tc>
          <w:tcPr>
            <w:tcW w:w="2688" w:type="dxa"/>
            <w:tcBorders>
              <w:top w:val="nil"/>
              <w:left w:val="nil"/>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采购项目信息、采购批复书信息、采购合同信息、采购合同支付信息等</w:t>
            </w:r>
          </w:p>
        </w:tc>
        <w:tc>
          <w:tcPr>
            <w:tcW w:w="4019" w:type="dxa"/>
            <w:tcBorders>
              <w:top w:val="nil"/>
              <w:left w:val="nil"/>
              <w:bottom w:val="single" w:color="000000" w:sz="8" w:space="0"/>
              <w:right w:val="single" w:color="000000" w:sz="8" w:space="0"/>
            </w:tcBorders>
            <w:shd w:val="clear" w:color="auto" w:fill="FFFFFF"/>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老版政府采购系统、省厅版采购系统下行数据</w:t>
            </w:r>
          </w:p>
        </w:tc>
      </w:tr>
    </w:tbl>
    <w:p>
      <w:pPr>
        <w:numPr>
          <w:ilvl w:val="255"/>
          <w:numId w:val="0"/>
        </w:numPr>
        <w:autoSpaceDE/>
        <w:autoSpaceDN/>
        <w:spacing w:line="500" w:lineRule="exact"/>
        <w:outlineLvl w:val="3"/>
        <w:rPr>
          <w:rFonts w:hAnsi="宋体" w:cs="宋体"/>
          <w:b/>
          <w:bCs/>
          <w:color w:val="auto"/>
          <w:sz w:val="21"/>
          <w:szCs w:val="21"/>
          <w:highlight w:val="none"/>
        </w:rPr>
      </w:pPr>
      <w:r>
        <w:rPr>
          <w:rFonts w:hint="eastAsia" w:hAnsi="宋体" w:cs="宋体"/>
          <w:b/>
          <w:bCs/>
          <w:color w:val="auto"/>
          <w:sz w:val="21"/>
          <w:szCs w:val="21"/>
          <w:highlight w:val="none"/>
        </w:rPr>
        <w:t>3.系统设置及基础资料管理</w:t>
      </w:r>
    </w:p>
    <w:p>
      <w:pPr>
        <w:numPr>
          <w:ilvl w:val="255"/>
          <w:numId w:val="0"/>
        </w:numPr>
        <w:autoSpaceDE/>
        <w:autoSpaceDN/>
        <w:spacing w:line="500" w:lineRule="exact"/>
        <w:outlineLvl w:val="4"/>
        <w:rPr>
          <w:rFonts w:hAnsi="宋体" w:cs="宋体"/>
          <w:color w:val="auto"/>
          <w:kern w:val="2"/>
          <w:sz w:val="21"/>
          <w:szCs w:val="21"/>
          <w:highlight w:val="none"/>
        </w:rPr>
      </w:pPr>
      <w:r>
        <w:rPr>
          <w:rFonts w:hint="eastAsia" w:hAnsi="宋体" w:cs="宋体"/>
          <w:color w:val="auto"/>
          <w:kern w:val="2"/>
          <w:sz w:val="21"/>
          <w:szCs w:val="21"/>
          <w:highlight w:val="none"/>
        </w:rPr>
        <w:t>（1）接入系统管理</w:t>
      </w:r>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对接入系统进行管理，提供增加、修改、删除、导出等操作，在数据展现上左边显示接入系统列表数据，在列表数据行点击后进行信息修改。在接入系统维护时可以定义对应的系统名称、系统接入URL、系统接入KEY等要素。</w:t>
      </w:r>
    </w:p>
    <w:p>
      <w:pPr>
        <w:numPr>
          <w:ilvl w:val="255"/>
          <w:numId w:val="0"/>
        </w:numPr>
        <w:autoSpaceDE/>
        <w:autoSpaceDN/>
        <w:spacing w:line="500" w:lineRule="exact"/>
        <w:outlineLvl w:val="4"/>
        <w:rPr>
          <w:rFonts w:hAnsi="宋体" w:cs="宋体"/>
          <w:color w:val="auto"/>
          <w:sz w:val="21"/>
          <w:szCs w:val="21"/>
          <w:highlight w:val="none"/>
        </w:rPr>
      </w:pPr>
      <w:r>
        <w:rPr>
          <w:rFonts w:hint="eastAsia" w:hAnsi="宋体" w:cs="宋体"/>
          <w:color w:val="auto"/>
          <w:kern w:val="2"/>
          <w:sz w:val="21"/>
          <w:szCs w:val="21"/>
          <w:highlight w:val="none"/>
        </w:rPr>
        <w:t>（2）接入规则管理</w:t>
      </w:r>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对接入的系统的提供黑白名单的动态管理，在黑名单里的系统将不能登系统，在白名单里的系统将允许登录系统，提供增加、修改、删除等操作。可以设置接入的时间、接入IP等要素进行配置维护。</w:t>
      </w:r>
    </w:p>
    <w:p>
      <w:pPr>
        <w:numPr>
          <w:ilvl w:val="255"/>
          <w:numId w:val="0"/>
        </w:numPr>
        <w:autoSpaceDE/>
        <w:autoSpaceDN/>
        <w:spacing w:line="500" w:lineRule="exact"/>
        <w:outlineLvl w:val="4"/>
        <w:rPr>
          <w:rFonts w:hAnsi="宋体" w:cs="宋体"/>
          <w:color w:val="auto"/>
          <w:sz w:val="21"/>
          <w:szCs w:val="21"/>
          <w:highlight w:val="none"/>
        </w:rPr>
      </w:pPr>
      <w:r>
        <w:rPr>
          <w:rFonts w:hint="eastAsia" w:hAnsi="宋体" w:cs="宋体"/>
          <w:color w:val="auto"/>
          <w:kern w:val="2"/>
          <w:sz w:val="21"/>
          <w:szCs w:val="21"/>
          <w:highlight w:val="none"/>
        </w:rPr>
        <w:t>（3）角色</w:t>
      </w:r>
      <w:r>
        <w:rPr>
          <w:rFonts w:hint="eastAsia" w:hAnsi="宋体" w:cs="宋体"/>
          <w:color w:val="auto"/>
          <w:sz w:val="21"/>
          <w:szCs w:val="21"/>
          <w:highlight w:val="none"/>
        </w:rPr>
        <w:t>信息管理</w:t>
      </w:r>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对系统角色进行管理，提供增加、修改、删除、导出等操作，在数据展现上左边显示角色的树型操作数据，在角色的数据行点击后显示对应的角色信息。</w:t>
      </w:r>
    </w:p>
    <w:p>
      <w:pPr>
        <w:numPr>
          <w:ilvl w:val="255"/>
          <w:numId w:val="0"/>
        </w:numPr>
        <w:autoSpaceDE/>
        <w:autoSpaceDN/>
        <w:spacing w:line="500" w:lineRule="exact"/>
        <w:outlineLvl w:val="4"/>
        <w:rPr>
          <w:rFonts w:hAnsi="宋体" w:cs="宋体"/>
          <w:color w:val="auto"/>
          <w:sz w:val="21"/>
          <w:szCs w:val="21"/>
          <w:highlight w:val="none"/>
        </w:rPr>
      </w:pPr>
      <w:r>
        <w:rPr>
          <w:rFonts w:hint="eastAsia" w:hAnsi="宋体" w:cs="宋体"/>
          <w:color w:val="auto"/>
          <w:kern w:val="2"/>
          <w:sz w:val="21"/>
          <w:szCs w:val="21"/>
          <w:highlight w:val="none"/>
        </w:rPr>
        <w:t>（4）菜单</w:t>
      </w:r>
      <w:r>
        <w:rPr>
          <w:rFonts w:hint="eastAsia" w:hAnsi="宋体" w:cs="宋体"/>
          <w:color w:val="auto"/>
          <w:sz w:val="21"/>
          <w:szCs w:val="21"/>
          <w:highlight w:val="none"/>
        </w:rPr>
        <w:t>管理</w:t>
      </w:r>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对系统菜单信息进行管理，提供增加、修改、删除、导出等操作，在数据展现上左边显示菜单的树型操作数据，在菜单的数据行点击后显示对应的菜单信息。</w:t>
      </w:r>
    </w:p>
    <w:p>
      <w:pPr>
        <w:numPr>
          <w:ilvl w:val="255"/>
          <w:numId w:val="0"/>
        </w:numPr>
        <w:autoSpaceDE/>
        <w:autoSpaceDN/>
        <w:spacing w:line="500" w:lineRule="exact"/>
        <w:outlineLvl w:val="4"/>
        <w:rPr>
          <w:rFonts w:hAnsi="宋体" w:cs="宋体"/>
          <w:color w:val="auto"/>
          <w:sz w:val="21"/>
          <w:szCs w:val="21"/>
          <w:highlight w:val="none"/>
        </w:rPr>
      </w:pPr>
      <w:r>
        <w:rPr>
          <w:rFonts w:hint="eastAsia" w:hAnsi="宋体" w:cs="宋体"/>
          <w:color w:val="auto"/>
          <w:kern w:val="2"/>
          <w:sz w:val="21"/>
          <w:szCs w:val="21"/>
          <w:highlight w:val="none"/>
        </w:rPr>
        <w:t>（5）用户</w:t>
      </w:r>
      <w:r>
        <w:rPr>
          <w:rFonts w:hint="eastAsia" w:hAnsi="宋体" w:cs="宋体"/>
          <w:color w:val="auto"/>
          <w:sz w:val="21"/>
          <w:szCs w:val="21"/>
          <w:highlight w:val="none"/>
        </w:rPr>
        <w:t>信息</w:t>
      </w:r>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对用户信息进度动态管理，提供增加、修改、删除、停用、启用、导出等操作，在数据展现上左边显示用户信息的树型操作数据，在用户信息的数据行点击后显示对应的用户信息。用户信息要素包括：用户代码、用户名称、用户类型、用户所属处室、用户所属单位、手机号码、备注等。</w:t>
      </w:r>
    </w:p>
    <w:p>
      <w:pPr>
        <w:numPr>
          <w:ilvl w:val="255"/>
          <w:numId w:val="0"/>
        </w:numPr>
        <w:autoSpaceDE/>
        <w:autoSpaceDN/>
        <w:spacing w:line="500" w:lineRule="exact"/>
        <w:outlineLvl w:val="4"/>
        <w:rPr>
          <w:rFonts w:hAnsi="宋体" w:cs="宋体"/>
          <w:color w:val="auto"/>
          <w:sz w:val="21"/>
          <w:szCs w:val="21"/>
          <w:highlight w:val="none"/>
        </w:rPr>
      </w:pPr>
      <w:r>
        <w:rPr>
          <w:rFonts w:hint="eastAsia" w:hAnsi="宋体" w:cs="宋体"/>
          <w:color w:val="auto"/>
          <w:sz w:val="21"/>
          <w:szCs w:val="21"/>
          <w:highlight w:val="none"/>
        </w:rPr>
        <w:t>（6）用户对应接入系统</w:t>
      </w:r>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对</w:t>
      </w:r>
      <w:r>
        <w:rPr>
          <w:rFonts w:hint="eastAsia" w:hAnsi="宋体" w:cs="宋体"/>
          <w:color w:val="auto"/>
          <w:kern w:val="2"/>
          <w:sz w:val="21"/>
          <w:szCs w:val="21"/>
          <w:highlight w:val="none"/>
        </w:rPr>
        <w:t>用户的接入系统进行动态配置管理</w:t>
      </w:r>
      <w:r>
        <w:rPr>
          <w:rFonts w:hint="eastAsia" w:hAnsi="宋体" w:cs="宋体"/>
          <w:color w:val="auto"/>
          <w:sz w:val="21"/>
          <w:szCs w:val="21"/>
          <w:highlight w:val="none"/>
        </w:rPr>
        <w:t>，提供授权、撤销授权、导出等操作，在数据展现上左边显示用户信息，右边显示对应的接入系统，用户只能选择一个，用户信息选择后再选择对应的接入系统，接入系统树中可以选择多个节点。</w:t>
      </w:r>
    </w:p>
    <w:p>
      <w:pPr>
        <w:numPr>
          <w:ilvl w:val="255"/>
          <w:numId w:val="0"/>
        </w:numPr>
        <w:autoSpaceDE/>
        <w:autoSpaceDN/>
        <w:spacing w:line="500" w:lineRule="exact"/>
        <w:outlineLvl w:val="4"/>
        <w:rPr>
          <w:rFonts w:hAnsi="宋体" w:cs="宋体"/>
          <w:color w:val="auto"/>
          <w:sz w:val="21"/>
          <w:szCs w:val="21"/>
          <w:highlight w:val="none"/>
        </w:rPr>
      </w:pPr>
      <w:r>
        <w:rPr>
          <w:rFonts w:hint="eastAsia" w:hAnsi="宋体" w:cs="宋体"/>
          <w:color w:val="auto"/>
          <w:sz w:val="21"/>
          <w:szCs w:val="21"/>
          <w:highlight w:val="none"/>
        </w:rPr>
        <w:t>（7）角色对应用户</w:t>
      </w:r>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kern w:val="2"/>
          <w:sz w:val="21"/>
          <w:szCs w:val="21"/>
          <w:highlight w:val="none"/>
        </w:rPr>
        <w:t>对角色对应的用户信息进行配置管理</w:t>
      </w:r>
      <w:r>
        <w:rPr>
          <w:rFonts w:hint="eastAsia" w:hAnsi="宋体" w:cs="宋体"/>
          <w:color w:val="auto"/>
          <w:sz w:val="21"/>
          <w:szCs w:val="21"/>
          <w:highlight w:val="none"/>
        </w:rPr>
        <w:t>，提供授权、撤销授权、导出等操作，在数据展现上左边显示角色信息，右边显示对应的用户信息，角色只能选择一个，角色信息选择后再选择对应的用户信息，用户信息树中可以选择多个节点。在数据保存后显示角色对应的用户信息。</w:t>
      </w:r>
    </w:p>
    <w:p>
      <w:pPr>
        <w:numPr>
          <w:ilvl w:val="255"/>
          <w:numId w:val="0"/>
        </w:numPr>
        <w:autoSpaceDE/>
        <w:autoSpaceDN/>
        <w:spacing w:line="500" w:lineRule="exact"/>
        <w:outlineLvl w:val="4"/>
        <w:rPr>
          <w:rFonts w:hAnsi="宋体" w:cs="宋体"/>
          <w:color w:val="auto"/>
          <w:sz w:val="21"/>
          <w:szCs w:val="21"/>
          <w:highlight w:val="none"/>
        </w:rPr>
      </w:pPr>
      <w:r>
        <w:rPr>
          <w:rFonts w:hint="eastAsia" w:hAnsi="宋体" w:cs="宋体"/>
          <w:color w:val="auto"/>
          <w:sz w:val="21"/>
          <w:szCs w:val="21"/>
          <w:highlight w:val="none"/>
        </w:rPr>
        <w:t>（8）角色对应菜单</w:t>
      </w:r>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kern w:val="2"/>
          <w:sz w:val="21"/>
          <w:szCs w:val="21"/>
          <w:highlight w:val="none"/>
        </w:rPr>
        <w:t>对角色对应的菜单信息进行配置管理</w:t>
      </w:r>
      <w:r>
        <w:rPr>
          <w:rFonts w:hint="eastAsia" w:hAnsi="宋体" w:cs="宋体"/>
          <w:color w:val="auto"/>
          <w:sz w:val="21"/>
          <w:szCs w:val="21"/>
          <w:highlight w:val="none"/>
        </w:rPr>
        <w:t>，提供授权、撤销授权、导出等操作，在数据展现上左边显示角色信息，右边显示对应的菜单信息，角色只能选择一个，角色信息选择后再选择对应的菜单信息，菜单信息树中可以选择多个节点。在数据保存后显示角色对应的菜单信息。</w:t>
      </w:r>
    </w:p>
    <w:p>
      <w:pPr>
        <w:numPr>
          <w:ilvl w:val="255"/>
          <w:numId w:val="0"/>
        </w:numPr>
        <w:autoSpaceDE/>
        <w:autoSpaceDN/>
        <w:spacing w:line="500" w:lineRule="exact"/>
        <w:outlineLvl w:val="4"/>
        <w:rPr>
          <w:rFonts w:hAnsi="宋体" w:cs="宋体"/>
          <w:color w:val="auto"/>
          <w:sz w:val="21"/>
          <w:szCs w:val="21"/>
          <w:highlight w:val="none"/>
        </w:rPr>
      </w:pPr>
      <w:r>
        <w:rPr>
          <w:rFonts w:hint="eastAsia" w:hAnsi="宋体" w:cs="宋体"/>
          <w:color w:val="auto"/>
          <w:sz w:val="21"/>
          <w:szCs w:val="21"/>
          <w:highlight w:val="none"/>
        </w:rPr>
        <w:t>（9）用户对应菜单</w:t>
      </w:r>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kern w:val="2"/>
          <w:sz w:val="21"/>
          <w:szCs w:val="21"/>
          <w:highlight w:val="none"/>
        </w:rPr>
        <w:t>对用户对应的菜单信息进行配置管理</w:t>
      </w:r>
      <w:r>
        <w:rPr>
          <w:rFonts w:hint="eastAsia" w:hAnsi="宋体" w:cs="宋体"/>
          <w:color w:val="auto"/>
          <w:sz w:val="21"/>
          <w:szCs w:val="21"/>
          <w:highlight w:val="none"/>
        </w:rPr>
        <w:t>，提供授权、撤销授权、导出等操作，在数据展现上左边显示用户信息，右边显示对应的菜单信息，用户只能选择一个，用户信息选择后再选择对应的菜单信息，菜单信息树中可以选择多个节点。在数据保存后显示用户对应的菜单信息。</w:t>
      </w:r>
    </w:p>
    <w:p>
      <w:pPr>
        <w:numPr>
          <w:ilvl w:val="255"/>
          <w:numId w:val="0"/>
        </w:numPr>
        <w:autoSpaceDE/>
        <w:autoSpaceDN/>
        <w:spacing w:line="500" w:lineRule="exact"/>
        <w:outlineLvl w:val="4"/>
        <w:rPr>
          <w:rFonts w:hAnsi="宋体" w:cs="宋体"/>
          <w:color w:val="auto"/>
          <w:sz w:val="21"/>
          <w:szCs w:val="21"/>
          <w:highlight w:val="none"/>
        </w:rPr>
      </w:pPr>
      <w:r>
        <w:rPr>
          <w:rFonts w:hint="eastAsia" w:hAnsi="宋体" w:cs="宋体"/>
          <w:color w:val="auto"/>
          <w:sz w:val="21"/>
          <w:szCs w:val="21"/>
          <w:highlight w:val="none"/>
        </w:rPr>
        <w:t>（10）部标资金性质管理</w:t>
      </w:r>
    </w:p>
    <w:p>
      <w:pPr>
        <w:numPr>
          <w:ilvl w:val="255"/>
          <w:numId w:val="0"/>
        </w:numPr>
        <w:autoSpaceDE/>
        <w:autoSpaceDN/>
        <w:spacing w:line="500" w:lineRule="exact"/>
        <w:ind w:firstLine="420" w:firstLineChars="200"/>
        <w:rPr>
          <w:rFonts w:hAnsi="宋体" w:cs="宋体"/>
          <w:color w:val="auto"/>
          <w:sz w:val="21"/>
          <w:szCs w:val="21"/>
          <w:highlight w:val="none"/>
        </w:rPr>
      </w:pPr>
      <w:r>
        <w:rPr>
          <w:rFonts w:hint="eastAsia" w:hAnsi="宋体" w:cs="宋体"/>
          <w:color w:val="auto"/>
          <w:kern w:val="2"/>
          <w:sz w:val="21"/>
          <w:szCs w:val="21"/>
          <w:highlight w:val="none"/>
        </w:rPr>
        <w:t>实现部标资金性质的管理和维护</w:t>
      </w:r>
      <w:r>
        <w:rPr>
          <w:rFonts w:hint="eastAsia" w:hAnsi="宋体" w:cs="宋体"/>
          <w:color w:val="auto"/>
          <w:sz w:val="21"/>
          <w:szCs w:val="21"/>
          <w:highlight w:val="none"/>
        </w:rPr>
        <w:t>，提供增加、修改、删除、查询、导出等操作。部标资金性质是分级次的，控制同一个级次下资金性质编码和名称不能车重复。</w:t>
      </w:r>
    </w:p>
    <w:p>
      <w:pPr>
        <w:numPr>
          <w:ilvl w:val="255"/>
          <w:numId w:val="0"/>
        </w:numPr>
        <w:autoSpaceDE/>
        <w:autoSpaceDN/>
        <w:spacing w:line="500" w:lineRule="exact"/>
        <w:outlineLvl w:val="3"/>
        <w:rPr>
          <w:rFonts w:hAnsi="宋体" w:cs="宋体"/>
          <w:b/>
          <w:bCs/>
          <w:color w:val="auto"/>
          <w:sz w:val="21"/>
          <w:szCs w:val="21"/>
          <w:highlight w:val="none"/>
        </w:rPr>
      </w:pPr>
      <w:bookmarkStart w:id="542" w:name="_Toc30185"/>
      <w:bookmarkStart w:id="543" w:name="_Toc19585"/>
      <w:r>
        <w:rPr>
          <w:rFonts w:hint="eastAsia" w:hAnsi="宋体" w:cs="宋体"/>
          <w:b/>
          <w:bCs/>
          <w:color w:val="auto"/>
          <w:sz w:val="21"/>
          <w:szCs w:val="21"/>
          <w:highlight w:val="none"/>
        </w:rPr>
        <w:t>4.预算一体化辅助助手</w:t>
      </w:r>
      <w:bookmarkEnd w:id="542"/>
      <w:bookmarkEnd w:id="543"/>
    </w:p>
    <w:p>
      <w:pPr>
        <w:numPr>
          <w:ilvl w:val="255"/>
          <w:numId w:val="0"/>
        </w:num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目前预算一体化中没有的相关功能的开发实现，如非税资金划转凭证管理、人员经费指标管理、财政申拨单批量打印、三公经费预算和执行分析等比较实用的业务场景。建立与预算一体化的数据对接机制，满足单位和业务处室日常业务开展及数据分析的需要。</w:t>
      </w:r>
    </w:p>
    <w:p>
      <w:pPr>
        <w:numPr>
          <w:ilvl w:val="255"/>
          <w:numId w:val="0"/>
        </w:numPr>
        <w:autoSpaceDE/>
        <w:autoSpaceDN/>
        <w:spacing w:line="500" w:lineRule="exact"/>
        <w:outlineLvl w:val="4"/>
        <w:rPr>
          <w:rFonts w:hAnsi="宋体" w:cs="宋体"/>
          <w:color w:val="auto"/>
          <w:sz w:val="21"/>
          <w:szCs w:val="21"/>
          <w:highlight w:val="none"/>
        </w:rPr>
      </w:pPr>
      <w:r>
        <w:rPr>
          <w:rFonts w:hint="eastAsia" w:hAnsi="宋体" w:cs="宋体"/>
          <w:color w:val="auto"/>
          <w:sz w:val="21"/>
          <w:szCs w:val="21"/>
          <w:highlight w:val="none"/>
        </w:rPr>
        <w:t>（1）项目类型管理</w:t>
      </w:r>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kern w:val="2"/>
          <w:sz w:val="21"/>
          <w:szCs w:val="21"/>
          <w:highlight w:val="none"/>
        </w:rPr>
        <w:t>对</w:t>
      </w:r>
      <w:r>
        <w:rPr>
          <w:rFonts w:hint="eastAsia" w:hAnsi="宋体" w:cs="宋体"/>
          <w:color w:val="auto"/>
          <w:sz w:val="21"/>
          <w:szCs w:val="21"/>
          <w:highlight w:val="none"/>
        </w:rPr>
        <w:t>项目</w:t>
      </w:r>
      <w:r>
        <w:rPr>
          <w:rFonts w:hint="eastAsia" w:hAnsi="宋体" w:cs="宋体"/>
          <w:color w:val="auto"/>
          <w:kern w:val="2"/>
          <w:sz w:val="21"/>
          <w:szCs w:val="21"/>
          <w:highlight w:val="none"/>
        </w:rPr>
        <w:t>类型信息进行动态显示</w:t>
      </w:r>
      <w:r>
        <w:rPr>
          <w:rFonts w:hint="eastAsia" w:hAnsi="宋体" w:cs="宋体"/>
          <w:color w:val="auto"/>
          <w:sz w:val="21"/>
          <w:szCs w:val="21"/>
          <w:highlight w:val="none"/>
        </w:rPr>
        <w:t>，提供增加、修改、删除、查询、打印、导出等操作，在数据展现上左边显示项目类型信息，用户点击左边数据节点后在右边显示对应的项目类型详细信息。数据要素包括：类型编码、类型名称、备注等。</w:t>
      </w:r>
    </w:p>
    <w:p>
      <w:pPr>
        <w:numPr>
          <w:ilvl w:val="255"/>
          <w:numId w:val="0"/>
        </w:numPr>
        <w:autoSpaceDE/>
        <w:autoSpaceDN/>
        <w:spacing w:line="500" w:lineRule="exact"/>
        <w:outlineLvl w:val="4"/>
        <w:rPr>
          <w:rFonts w:hAnsi="宋体" w:cs="宋体"/>
          <w:color w:val="auto"/>
          <w:sz w:val="21"/>
          <w:szCs w:val="21"/>
          <w:highlight w:val="none"/>
        </w:rPr>
      </w:pPr>
      <w:r>
        <w:rPr>
          <w:rFonts w:hint="eastAsia" w:hAnsi="宋体" w:cs="宋体"/>
          <w:color w:val="auto"/>
          <w:sz w:val="21"/>
          <w:szCs w:val="21"/>
          <w:highlight w:val="none"/>
        </w:rPr>
        <w:t>（2）资金性质对应会计科目</w:t>
      </w:r>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实现资金性质对应会计科目的管理，提供增加、修改、删除、查询、导出等操作；可以按查询条件如年度、账套信息查询。</w:t>
      </w:r>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数据要素包括：账套名称、借贷方向、账套性质、对应转出科目名称、对应转出的资金性质、是否本方科目等；控制账套性质是转出还是转入，如果为转入为往来款账套和教育收费时的控制逻辑变化。往来款对于转入账套对于到往来款会计科目，转入账套为教育收费时则要根据转出的资金性质进行会计科目对应。</w:t>
      </w:r>
    </w:p>
    <w:p>
      <w:pPr>
        <w:numPr>
          <w:ilvl w:val="255"/>
          <w:numId w:val="0"/>
        </w:numPr>
        <w:autoSpaceDE/>
        <w:autoSpaceDN/>
        <w:spacing w:line="500" w:lineRule="exact"/>
        <w:outlineLvl w:val="4"/>
        <w:rPr>
          <w:rFonts w:hAnsi="宋体" w:cs="宋体"/>
          <w:color w:val="auto"/>
          <w:sz w:val="21"/>
          <w:szCs w:val="21"/>
          <w:highlight w:val="none"/>
        </w:rPr>
      </w:pPr>
      <w:r>
        <w:rPr>
          <w:rFonts w:hint="eastAsia" w:hAnsi="宋体" w:cs="宋体"/>
          <w:color w:val="auto"/>
          <w:sz w:val="21"/>
          <w:szCs w:val="21"/>
          <w:highlight w:val="none"/>
        </w:rPr>
        <w:t>（3）单位分类经费标准管理</w:t>
      </w:r>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实现单位分类的经费标准管理，提供增加、修改、删除、查询、导出等操作。操作用户选择单位分类后，输入对应的行政经费标准和事业经费标准件数据保存，控制同一个单位分类同一年度不能重复。</w:t>
      </w:r>
    </w:p>
    <w:p>
      <w:pPr>
        <w:numPr>
          <w:ilvl w:val="255"/>
          <w:numId w:val="0"/>
        </w:numPr>
        <w:autoSpaceDE/>
        <w:autoSpaceDN/>
        <w:spacing w:line="500" w:lineRule="exact"/>
        <w:outlineLvl w:val="4"/>
        <w:rPr>
          <w:rFonts w:hAnsi="宋体" w:cs="宋体"/>
          <w:color w:val="auto"/>
          <w:sz w:val="21"/>
          <w:szCs w:val="21"/>
          <w:highlight w:val="none"/>
        </w:rPr>
      </w:pPr>
      <w:r>
        <w:rPr>
          <w:rFonts w:hint="eastAsia" w:hAnsi="宋体" w:cs="宋体"/>
          <w:color w:val="auto"/>
          <w:sz w:val="21"/>
          <w:szCs w:val="21"/>
          <w:highlight w:val="none"/>
        </w:rPr>
        <w:t>（4）单位人员项目管理</w:t>
      </w:r>
    </w:p>
    <w:p>
      <w:pPr>
        <w:spacing w:line="500" w:lineRule="exact"/>
        <w:ind w:firstLine="560"/>
        <w:rPr>
          <w:rFonts w:hAnsi="宋体" w:cs="宋体"/>
          <w:color w:val="auto"/>
          <w:sz w:val="21"/>
          <w:szCs w:val="21"/>
          <w:highlight w:val="none"/>
        </w:rPr>
      </w:pPr>
      <w:r>
        <w:rPr>
          <w:rFonts w:hint="eastAsia" w:hAnsi="宋体" w:cs="宋体"/>
          <w:color w:val="auto"/>
          <w:sz w:val="21"/>
          <w:szCs w:val="21"/>
          <w:highlight w:val="none"/>
        </w:rPr>
        <w:t>实现单位人员项目的日常管理，提供增加、修改、删除、查询、导出等操作。控制项目名称不能重复，数据要素包括:经费类型、项目代码、项目名称、排序号、项目类型、是否计算项、项目公式定义、项目说明等。公式定义允许动态配置。</w:t>
      </w:r>
    </w:p>
    <w:p>
      <w:pPr>
        <w:numPr>
          <w:ilvl w:val="255"/>
          <w:numId w:val="0"/>
        </w:numPr>
        <w:autoSpaceDE/>
        <w:autoSpaceDN/>
        <w:spacing w:line="500" w:lineRule="exact"/>
        <w:outlineLvl w:val="4"/>
        <w:rPr>
          <w:rFonts w:hAnsi="宋体" w:cs="宋体"/>
          <w:color w:val="auto"/>
          <w:sz w:val="21"/>
          <w:szCs w:val="21"/>
          <w:highlight w:val="none"/>
        </w:rPr>
      </w:pPr>
      <w:r>
        <w:rPr>
          <w:rFonts w:hint="eastAsia" w:hAnsi="宋体" w:cs="宋体"/>
          <w:color w:val="auto"/>
          <w:sz w:val="21"/>
          <w:szCs w:val="21"/>
          <w:highlight w:val="none"/>
        </w:rPr>
        <w:t>（5）单位人员公用公用经费标准管理</w:t>
      </w:r>
    </w:p>
    <w:p>
      <w:pPr>
        <w:spacing w:line="500" w:lineRule="exact"/>
        <w:ind w:firstLine="560"/>
        <w:rPr>
          <w:rFonts w:hAnsi="宋体" w:cs="宋体"/>
          <w:color w:val="auto"/>
          <w:sz w:val="21"/>
          <w:szCs w:val="21"/>
          <w:highlight w:val="none"/>
        </w:rPr>
      </w:pPr>
      <w:r>
        <w:rPr>
          <w:rFonts w:hint="eastAsia" w:hAnsi="宋体" w:cs="宋体"/>
          <w:color w:val="auto"/>
          <w:sz w:val="21"/>
          <w:szCs w:val="21"/>
          <w:highlight w:val="none"/>
        </w:rPr>
        <w:t>实现单位人员公用经费标准的管理和维护，提供增加、修改、删除、查询、导出等操作。查询条件可以默认按年度和单位分类进行查询。</w:t>
      </w:r>
    </w:p>
    <w:p>
      <w:pPr>
        <w:spacing w:line="500" w:lineRule="exact"/>
        <w:rPr>
          <w:rFonts w:hAnsi="宋体" w:cs="宋体"/>
          <w:color w:val="auto"/>
          <w:sz w:val="21"/>
          <w:szCs w:val="21"/>
          <w:highlight w:val="none"/>
        </w:rPr>
      </w:pPr>
      <w:r>
        <w:rPr>
          <w:rFonts w:hint="eastAsia" w:hAnsi="宋体" w:cs="宋体"/>
          <w:color w:val="auto"/>
          <w:sz w:val="21"/>
          <w:szCs w:val="21"/>
          <w:highlight w:val="none"/>
        </w:rPr>
        <w:t>数据要素包括：单位编码、单位名称、单位分类、行政标准、事业标准、备注等。控制在相同年度内单位标准不能重复多条定义。</w:t>
      </w:r>
    </w:p>
    <w:p>
      <w:pPr>
        <w:numPr>
          <w:ilvl w:val="255"/>
          <w:numId w:val="0"/>
        </w:numPr>
        <w:autoSpaceDE/>
        <w:autoSpaceDN/>
        <w:spacing w:line="500" w:lineRule="exact"/>
        <w:outlineLvl w:val="4"/>
        <w:rPr>
          <w:rFonts w:hAnsi="宋体" w:cs="宋体"/>
          <w:color w:val="auto"/>
          <w:sz w:val="21"/>
          <w:szCs w:val="21"/>
          <w:highlight w:val="none"/>
        </w:rPr>
      </w:pPr>
      <w:r>
        <w:rPr>
          <w:rFonts w:hint="eastAsia" w:hAnsi="宋体" w:cs="宋体"/>
          <w:color w:val="auto"/>
          <w:sz w:val="21"/>
          <w:szCs w:val="21"/>
          <w:highlight w:val="none"/>
        </w:rPr>
        <w:t>（6）人员经费对应部门经济科目管理</w:t>
      </w:r>
    </w:p>
    <w:p>
      <w:pPr>
        <w:spacing w:line="500" w:lineRule="exact"/>
        <w:ind w:firstLine="560"/>
        <w:rPr>
          <w:rFonts w:hAnsi="宋体" w:cs="宋体"/>
          <w:color w:val="auto"/>
          <w:sz w:val="21"/>
          <w:szCs w:val="21"/>
          <w:highlight w:val="none"/>
        </w:rPr>
      </w:pPr>
      <w:r>
        <w:rPr>
          <w:rFonts w:hint="eastAsia" w:hAnsi="宋体" w:cs="宋体"/>
          <w:color w:val="auto"/>
          <w:sz w:val="21"/>
          <w:szCs w:val="21"/>
          <w:highlight w:val="none"/>
        </w:rPr>
        <w:t>实现人员经费项目对应部门经济科目的对应管理，实现授权、撤销授权、查询、导出等操作。</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控制左边人员经费项目节点后，后边的部门经济科目可以进行多选并进行数据保存。</w:t>
      </w:r>
    </w:p>
    <w:p>
      <w:pPr>
        <w:numPr>
          <w:ilvl w:val="255"/>
          <w:numId w:val="0"/>
        </w:numPr>
        <w:autoSpaceDE/>
        <w:autoSpaceDN/>
        <w:spacing w:line="500" w:lineRule="exact"/>
        <w:outlineLvl w:val="4"/>
        <w:rPr>
          <w:rFonts w:hAnsi="宋体" w:cs="宋体"/>
          <w:color w:val="auto"/>
          <w:sz w:val="21"/>
          <w:szCs w:val="21"/>
          <w:highlight w:val="none"/>
        </w:rPr>
      </w:pPr>
      <w:r>
        <w:rPr>
          <w:rFonts w:hint="eastAsia" w:hAnsi="宋体" w:cs="宋体"/>
          <w:color w:val="auto"/>
          <w:sz w:val="21"/>
          <w:szCs w:val="21"/>
          <w:highlight w:val="none"/>
        </w:rPr>
        <w:t>（7）人员经费对应功能科目管理</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实现人员经费项目对应功能科目的对应管理，实现授权、撤销授权、查询、导出等操作。控制左边人员经费项目节点后，后边的功能科目可以进行多选并进行数据保存。</w:t>
      </w:r>
    </w:p>
    <w:p>
      <w:pPr>
        <w:numPr>
          <w:ilvl w:val="255"/>
          <w:numId w:val="0"/>
        </w:numPr>
        <w:autoSpaceDE/>
        <w:autoSpaceDN/>
        <w:spacing w:line="500" w:lineRule="exact"/>
        <w:outlineLvl w:val="4"/>
        <w:rPr>
          <w:rFonts w:hAnsi="宋体" w:cs="宋体"/>
          <w:color w:val="auto"/>
          <w:sz w:val="21"/>
          <w:szCs w:val="21"/>
          <w:highlight w:val="none"/>
        </w:rPr>
      </w:pPr>
      <w:r>
        <w:rPr>
          <w:rFonts w:hint="eastAsia" w:hAnsi="宋体" w:cs="宋体"/>
          <w:color w:val="auto"/>
          <w:sz w:val="21"/>
          <w:szCs w:val="21"/>
          <w:highlight w:val="none"/>
        </w:rPr>
        <w:t>（8）人员经费项目对应预算项目管理</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实现人员经费项目对应单位预算项目的对应管理，实现授权、撤销授权、查询、导出等操作。控制左边人员经费项目节点后，后边的单位预算项目可以进行多选并进行数据保存。</w:t>
      </w:r>
    </w:p>
    <w:p>
      <w:pPr>
        <w:numPr>
          <w:ilvl w:val="255"/>
          <w:numId w:val="0"/>
        </w:numPr>
        <w:autoSpaceDE/>
        <w:autoSpaceDN/>
        <w:spacing w:line="500" w:lineRule="exact"/>
        <w:outlineLvl w:val="4"/>
        <w:rPr>
          <w:rFonts w:hAnsi="宋体" w:cs="宋体"/>
          <w:color w:val="auto"/>
          <w:sz w:val="21"/>
          <w:szCs w:val="21"/>
          <w:highlight w:val="none"/>
        </w:rPr>
      </w:pPr>
      <w:r>
        <w:rPr>
          <w:rFonts w:hint="eastAsia" w:hAnsi="宋体" w:cs="宋体"/>
          <w:color w:val="auto"/>
          <w:sz w:val="21"/>
          <w:szCs w:val="21"/>
          <w:highlight w:val="none"/>
        </w:rPr>
        <w:t>（9）政府经费科目对应部门经济科目</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实现政府经济科目对应部门经济科目的对应管理，实现授权、撤销授权、查询、导出等操作。控制左边政府经济科目节点后，后边的部门经济科目可以进行多选并进行数据保存。</w:t>
      </w:r>
    </w:p>
    <w:p>
      <w:pPr>
        <w:numPr>
          <w:ilvl w:val="255"/>
          <w:numId w:val="0"/>
        </w:numPr>
        <w:autoSpaceDE/>
        <w:autoSpaceDN/>
        <w:spacing w:line="500" w:lineRule="exact"/>
        <w:outlineLvl w:val="4"/>
        <w:rPr>
          <w:rFonts w:hAnsi="宋体" w:cs="宋体"/>
          <w:color w:val="auto"/>
          <w:sz w:val="21"/>
          <w:szCs w:val="21"/>
          <w:highlight w:val="none"/>
        </w:rPr>
      </w:pPr>
      <w:r>
        <w:rPr>
          <w:rFonts w:hint="eastAsia" w:hAnsi="宋体" w:cs="宋体"/>
          <w:color w:val="auto"/>
          <w:sz w:val="21"/>
          <w:szCs w:val="21"/>
          <w:highlight w:val="none"/>
        </w:rPr>
        <w:t>（10）单位性质对应政府经济科目</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实现单位性质对应政府经济科目的对应管理，实现授权、撤销授权、查询、导出等操作。控制左边单位性质节点后，后边的政府经济科目可以进行多选并进行数据保存。同一年度中单位分类与政府经济科目保持一一对应的关系。</w:t>
      </w:r>
    </w:p>
    <w:p>
      <w:pPr>
        <w:numPr>
          <w:ilvl w:val="255"/>
          <w:numId w:val="0"/>
        </w:numPr>
        <w:autoSpaceDE/>
        <w:autoSpaceDN/>
        <w:spacing w:line="500" w:lineRule="exact"/>
        <w:outlineLvl w:val="4"/>
        <w:rPr>
          <w:rFonts w:hAnsi="宋体" w:cs="宋体"/>
          <w:color w:val="auto"/>
          <w:sz w:val="21"/>
          <w:szCs w:val="21"/>
          <w:highlight w:val="none"/>
        </w:rPr>
      </w:pPr>
      <w:r>
        <w:rPr>
          <w:rFonts w:hint="eastAsia" w:hAnsi="宋体" w:cs="宋体"/>
          <w:color w:val="auto"/>
          <w:sz w:val="21"/>
          <w:szCs w:val="21"/>
          <w:highlight w:val="none"/>
        </w:rPr>
        <w:t>（11）申拨单批量打印</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实现申拨单的批量打印功能，提供申拨数据获取、查询、打印模版维护、打印、数据导出等。默认查询条件按照年度、月份、申拨类型等条件；申拨数据获取从预算一体化系统实时分析数据，通过数据接口定时提取数据，申拨数据包括：</w:t>
      </w:r>
    </w:p>
    <w:p>
      <w:pPr>
        <w:numPr>
          <w:ilvl w:val="255"/>
          <w:numId w:val="0"/>
        </w:numPr>
        <w:autoSpaceDE/>
        <w:autoSpaceDN/>
        <w:spacing w:line="500" w:lineRule="exact"/>
        <w:rPr>
          <w:rFonts w:hAnsi="宋体" w:cs="宋体"/>
          <w:color w:val="auto"/>
          <w:sz w:val="21"/>
          <w:szCs w:val="21"/>
          <w:highlight w:val="none"/>
        </w:rPr>
      </w:pPr>
      <w:r>
        <w:rPr>
          <w:rFonts w:hint="eastAsia" w:hAnsi="宋体" w:cs="宋体"/>
          <w:color w:val="auto"/>
          <w:sz w:val="21"/>
          <w:szCs w:val="21"/>
          <w:highlight w:val="none"/>
        </w:rPr>
        <w:t>①申拨主表：申拨单号码、申拨日期、归口处室名称、经办人、申拨类型、申拨总金额、审核人、审核总金额、批复人、批复总金额、拨款标志等；</w:t>
      </w:r>
    </w:p>
    <w:p>
      <w:pPr>
        <w:numPr>
          <w:ilvl w:val="255"/>
          <w:numId w:val="0"/>
        </w:numPr>
        <w:autoSpaceDE/>
        <w:autoSpaceDN/>
        <w:spacing w:line="500" w:lineRule="exact"/>
        <w:rPr>
          <w:rFonts w:hAnsi="宋体" w:cs="宋体"/>
          <w:color w:val="auto"/>
          <w:sz w:val="21"/>
          <w:szCs w:val="21"/>
          <w:highlight w:val="none"/>
        </w:rPr>
      </w:pPr>
      <w:r>
        <w:rPr>
          <w:rFonts w:hint="eastAsia" w:hAnsi="宋体" w:cs="宋体"/>
          <w:color w:val="auto"/>
          <w:sz w:val="21"/>
          <w:szCs w:val="21"/>
          <w:highlight w:val="none"/>
        </w:rPr>
        <w:t>②申拨明细：单位代码、单位名称、资金来源、预算科目(类）、预算科目（款）、预算科目（项)、预算项目、  部门经济科目、政府经济科目、申报明细金额、付款账户、付款账号、收款账户、收款账号、收款账户开户银行名称等；</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数据分析申拨主单和申拨明细，在申拨主单行选择后点击显示申拨的明细数据；打印维护主要是提供拨款单模版的设置管理，打印模版中的数据可以根据实物拨款单数据要素的变化进行调整，在模版要素位置调整后进行位置要素保存。</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批量选择打印数据行后，跳转到批量打印预览界面，展现数据列包括:年度、月份、日期、拨款单号、付款账户名称、付款账号、付款人开户行、收款人账户名称、收款人账号、收款银行名称、拨款总金额等。</w:t>
      </w:r>
    </w:p>
    <w:p>
      <w:pPr>
        <w:numPr>
          <w:ilvl w:val="255"/>
          <w:numId w:val="0"/>
        </w:numPr>
        <w:autoSpaceDE/>
        <w:autoSpaceDN/>
        <w:spacing w:line="500" w:lineRule="exact"/>
        <w:outlineLvl w:val="4"/>
        <w:rPr>
          <w:rFonts w:hAnsi="宋体" w:cs="宋体"/>
          <w:color w:val="auto"/>
          <w:sz w:val="21"/>
          <w:szCs w:val="21"/>
          <w:highlight w:val="none"/>
        </w:rPr>
      </w:pPr>
      <w:r>
        <w:rPr>
          <w:rFonts w:hint="eastAsia" w:hAnsi="宋体" w:cs="宋体"/>
          <w:color w:val="auto"/>
          <w:sz w:val="21"/>
          <w:szCs w:val="21"/>
          <w:highlight w:val="none"/>
        </w:rPr>
        <w:t>（12）非税资金凭证拆分管理</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实现非税资金划转的会计核算拆分，提供查询、拆分数据导入、拆分数据录入、转成凭证生成、转出凭证删除、转入凭证生成、转入凭证删除功能；查询条件默认为年度、月份、资金申拨类型等；业务控制逻辑大致如所示：</w:t>
      </w:r>
    </w:p>
    <w:p>
      <w:pPr>
        <w:numPr>
          <w:ilvl w:val="255"/>
          <w:numId w:val="0"/>
        </w:numPr>
        <w:autoSpaceDE/>
        <w:autoSpaceDN/>
        <w:spacing w:line="500" w:lineRule="exact"/>
        <w:rPr>
          <w:rFonts w:hAnsi="宋体" w:cs="宋体"/>
          <w:color w:val="auto"/>
          <w:sz w:val="21"/>
          <w:szCs w:val="21"/>
          <w:highlight w:val="none"/>
        </w:rPr>
      </w:pPr>
      <w:r>
        <w:rPr>
          <w:rFonts w:hint="eastAsia" w:hAnsi="宋体" w:cs="宋体"/>
          <w:color w:val="auto"/>
          <w:sz w:val="21"/>
          <w:szCs w:val="21"/>
          <w:highlight w:val="none"/>
        </w:rPr>
        <w:t>①数据分为非税资金申拨主表区、申报明细区（分为申报明细和拆分明细两个面板）；</w:t>
      </w:r>
    </w:p>
    <w:p>
      <w:pPr>
        <w:numPr>
          <w:ilvl w:val="255"/>
          <w:numId w:val="0"/>
        </w:numPr>
        <w:autoSpaceDE/>
        <w:autoSpaceDN/>
        <w:spacing w:line="500" w:lineRule="exact"/>
        <w:rPr>
          <w:rFonts w:hAnsi="宋体" w:cs="宋体"/>
          <w:color w:val="auto"/>
          <w:sz w:val="21"/>
          <w:szCs w:val="21"/>
          <w:highlight w:val="none"/>
        </w:rPr>
      </w:pPr>
      <w:r>
        <w:rPr>
          <w:rFonts w:hint="eastAsia" w:hAnsi="宋体" w:cs="宋体"/>
          <w:color w:val="auto"/>
          <w:sz w:val="21"/>
          <w:szCs w:val="21"/>
          <w:highlight w:val="none"/>
        </w:rPr>
        <w:t>②非税资金申拨主表区的行选择后，可以查询对应的申报明细数据及拆分明细数据。</w:t>
      </w:r>
    </w:p>
    <w:p>
      <w:pPr>
        <w:numPr>
          <w:ilvl w:val="255"/>
          <w:numId w:val="0"/>
        </w:numPr>
        <w:autoSpaceDE/>
        <w:autoSpaceDN/>
        <w:spacing w:line="500" w:lineRule="exact"/>
        <w:rPr>
          <w:rFonts w:hAnsi="宋体" w:cs="宋体"/>
          <w:color w:val="auto"/>
          <w:sz w:val="21"/>
          <w:szCs w:val="21"/>
          <w:highlight w:val="none"/>
        </w:rPr>
      </w:pPr>
      <w:r>
        <w:rPr>
          <w:rFonts w:hint="eastAsia" w:hAnsi="宋体" w:cs="宋体"/>
          <w:color w:val="auto"/>
          <w:sz w:val="21"/>
          <w:szCs w:val="21"/>
          <w:highlight w:val="none"/>
        </w:rPr>
        <w:t>③在对申拨主表进行资金明细拆分时输入单位编码、单位名称、资金性质、拆分金额、备注等，行数据可以增行和删除行操作；</w:t>
      </w:r>
    </w:p>
    <w:p>
      <w:pPr>
        <w:numPr>
          <w:ilvl w:val="255"/>
          <w:numId w:val="0"/>
        </w:numPr>
        <w:autoSpaceDE/>
        <w:autoSpaceDN/>
        <w:spacing w:line="500" w:lineRule="exact"/>
        <w:rPr>
          <w:rFonts w:hAnsi="宋体" w:cs="宋体"/>
          <w:color w:val="auto"/>
          <w:sz w:val="21"/>
          <w:szCs w:val="21"/>
          <w:highlight w:val="none"/>
        </w:rPr>
      </w:pPr>
      <w:r>
        <w:rPr>
          <w:rFonts w:hint="eastAsia" w:hAnsi="宋体" w:cs="宋体"/>
          <w:color w:val="auto"/>
          <w:sz w:val="21"/>
          <w:szCs w:val="21"/>
          <w:highlight w:val="none"/>
        </w:rPr>
        <w:t>④导入时控制单位编码、单位名称、资金性质、拆分金额列不能为空；</w:t>
      </w:r>
    </w:p>
    <w:p>
      <w:pPr>
        <w:numPr>
          <w:ilvl w:val="255"/>
          <w:numId w:val="0"/>
        </w:numPr>
        <w:autoSpaceDE/>
        <w:autoSpaceDN/>
        <w:spacing w:line="500" w:lineRule="exact"/>
        <w:rPr>
          <w:rFonts w:hAnsi="宋体" w:cs="宋体"/>
          <w:color w:val="auto"/>
          <w:sz w:val="21"/>
          <w:szCs w:val="21"/>
          <w:highlight w:val="none"/>
        </w:rPr>
      </w:pPr>
      <w:r>
        <w:rPr>
          <w:rFonts w:hint="eastAsia" w:hAnsi="宋体" w:cs="宋体"/>
          <w:color w:val="auto"/>
          <w:sz w:val="21"/>
          <w:szCs w:val="21"/>
          <w:highlight w:val="none"/>
        </w:rPr>
        <w:t>⑤转出凭证生成和转入凭证生成时需要获取预算一体化非税账套的最新凭证号码，用户点击保存后弹出选择账套信息的提示框，待用户选择好队友的账套信息后与预算一体化的财政专户核算系统进行数据交互，</w:t>
      </w:r>
    </w:p>
    <w:p>
      <w:pPr>
        <w:numPr>
          <w:ilvl w:val="255"/>
          <w:numId w:val="0"/>
        </w:numPr>
        <w:autoSpaceDE/>
        <w:autoSpaceDN/>
        <w:spacing w:line="500" w:lineRule="exact"/>
        <w:rPr>
          <w:rFonts w:hAnsi="宋体" w:cs="宋体"/>
          <w:color w:val="auto"/>
          <w:sz w:val="21"/>
          <w:szCs w:val="21"/>
          <w:highlight w:val="none"/>
        </w:rPr>
      </w:pPr>
      <w:r>
        <w:rPr>
          <w:rFonts w:hint="eastAsia" w:hAnsi="宋体" w:cs="宋体"/>
          <w:color w:val="auto"/>
          <w:sz w:val="21"/>
          <w:szCs w:val="21"/>
          <w:highlight w:val="none"/>
        </w:rPr>
        <w:t>⑥生成凭证户返回对应的凭证号码并回写非税资金申拨主表的对应的转出凭证信息；</w:t>
      </w:r>
    </w:p>
    <w:p>
      <w:pPr>
        <w:numPr>
          <w:ilvl w:val="255"/>
          <w:numId w:val="0"/>
        </w:numPr>
        <w:autoSpaceDE/>
        <w:autoSpaceDN/>
        <w:spacing w:line="500" w:lineRule="exact"/>
        <w:rPr>
          <w:rFonts w:hAnsi="宋体" w:cs="宋体"/>
          <w:color w:val="auto"/>
          <w:sz w:val="21"/>
          <w:szCs w:val="21"/>
          <w:highlight w:val="none"/>
        </w:rPr>
      </w:pPr>
      <w:r>
        <w:rPr>
          <w:rFonts w:hint="eastAsia" w:hAnsi="宋体" w:cs="宋体"/>
          <w:color w:val="auto"/>
          <w:sz w:val="21"/>
          <w:szCs w:val="21"/>
          <w:highlight w:val="none"/>
        </w:rPr>
        <w:t>⑦在删除转出凭证和转入凭证时，需要判断预算一体化平台财政专户核算系统返回的信息，如果转出凭证和转入凭证在对应的会计核算账套中已经登账则不能进行撤销操作。</w:t>
      </w:r>
    </w:p>
    <w:p>
      <w:pPr>
        <w:numPr>
          <w:ilvl w:val="255"/>
          <w:numId w:val="0"/>
        </w:numPr>
        <w:autoSpaceDE/>
        <w:autoSpaceDN/>
        <w:spacing w:line="500" w:lineRule="exact"/>
        <w:outlineLvl w:val="4"/>
        <w:rPr>
          <w:rFonts w:hAnsi="宋体" w:cs="宋体"/>
          <w:color w:val="auto"/>
          <w:sz w:val="21"/>
          <w:szCs w:val="21"/>
          <w:highlight w:val="none"/>
        </w:rPr>
      </w:pPr>
      <w:r>
        <w:rPr>
          <w:rFonts w:hint="eastAsia" w:hAnsi="宋体" w:cs="宋体"/>
          <w:color w:val="auto"/>
          <w:sz w:val="21"/>
          <w:szCs w:val="21"/>
          <w:highlight w:val="none"/>
        </w:rPr>
        <w:t>（13）三公经费预算明细查询</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实现三公经费的预算明细分析，提供查询、导出全部数据、导出部门数据、导出单位数据等功能。默认查询条件可以按照年度、月份、资金性质、单位等条件；</w:t>
      </w:r>
    </w:p>
    <w:p>
      <w:pPr>
        <w:numPr>
          <w:ilvl w:val="255"/>
          <w:numId w:val="0"/>
        </w:numPr>
        <w:autoSpaceDE/>
        <w:autoSpaceDN/>
        <w:spacing w:line="500" w:lineRule="exact"/>
        <w:rPr>
          <w:rFonts w:hAnsi="宋体" w:cs="宋体"/>
          <w:color w:val="auto"/>
          <w:sz w:val="21"/>
          <w:szCs w:val="21"/>
          <w:highlight w:val="none"/>
        </w:rPr>
      </w:pPr>
      <w:r>
        <w:rPr>
          <w:rFonts w:hint="eastAsia" w:hAnsi="宋体" w:cs="宋体"/>
          <w:color w:val="auto"/>
          <w:sz w:val="21"/>
          <w:szCs w:val="21"/>
          <w:highlight w:val="none"/>
        </w:rPr>
        <w:t>①数据要求有合计行，点击查询默认显示部门的数据，在部门行点击可以看下部门下属单位的三公经费明细数据；</w:t>
      </w:r>
    </w:p>
    <w:p>
      <w:pPr>
        <w:numPr>
          <w:ilvl w:val="255"/>
          <w:numId w:val="0"/>
        </w:numPr>
        <w:autoSpaceDE/>
        <w:autoSpaceDN/>
        <w:spacing w:line="500" w:lineRule="exact"/>
        <w:rPr>
          <w:rFonts w:hAnsi="宋体" w:cs="宋体"/>
          <w:color w:val="auto"/>
          <w:sz w:val="21"/>
          <w:szCs w:val="21"/>
          <w:highlight w:val="none"/>
        </w:rPr>
      </w:pPr>
      <w:r>
        <w:rPr>
          <w:rFonts w:hint="eastAsia" w:hAnsi="宋体" w:cs="宋体"/>
          <w:color w:val="auto"/>
          <w:sz w:val="21"/>
          <w:szCs w:val="21"/>
          <w:highlight w:val="none"/>
        </w:rPr>
        <w:t>②数据列包括：单位编码、单位名称、三公经费本年预算指标情况（因公出国经费、公务接待费、公务用车购置、公务用车运维维护费、会议费、培训费等）、上年同期三公经费情况（因公出国经费、公务接待费、公务用车购置、公务用车运维维护费、会议费、培训费等）。</w:t>
      </w:r>
    </w:p>
    <w:p>
      <w:pPr>
        <w:numPr>
          <w:ilvl w:val="255"/>
          <w:numId w:val="0"/>
        </w:numPr>
        <w:autoSpaceDE/>
        <w:autoSpaceDN/>
        <w:spacing w:line="500" w:lineRule="exact"/>
        <w:outlineLvl w:val="4"/>
        <w:rPr>
          <w:rFonts w:hAnsi="宋体" w:cs="宋体"/>
          <w:color w:val="auto"/>
          <w:sz w:val="21"/>
          <w:szCs w:val="21"/>
          <w:highlight w:val="none"/>
        </w:rPr>
      </w:pPr>
      <w:r>
        <w:rPr>
          <w:rFonts w:hint="eastAsia" w:hAnsi="宋体" w:cs="宋体"/>
          <w:color w:val="auto"/>
          <w:sz w:val="21"/>
          <w:szCs w:val="21"/>
          <w:highlight w:val="none"/>
        </w:rPr>
        <w:t>（14）三公经费支出明细查询</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实现三公经费的支出明细分析，提供查询、导出全部数据、导出部门数据、导出单位数据等功能。默认查询条件可以按照年度、月份、资金性质、单位等条件；</w:t>
      </w:r>
    </w:p>
    <w:p>
      <w:pPr>
        <w:numPr>
          <w:ilvl w:val="255"/>
          <w:numId w:val="0"/>
        </w:numPr>
        <w:autoSpaceDE/>
        <w:autoSpaceDN/>
        <w:spacing w:line="500" w:lineRule="exact"/>
        <w:rPr>
          <w:rFonts w:hAnsi="宋体" w:cs="宋体"/>
          <w:color w:val="auto"/>
          <w:sz w:val="21"/>
          <w:szCs w:val="21"/>
          <w:highlight w:val="none"/>
        </w:rPr>
      </w:pPr>
      <w:r>
        <w:rPr>
          <w:rFonts w:hint="eastAsia" w:hAnsi="宋体" w:cs="宋体"/>
          <w:color w:val="auto"/>
          <w:sz w:val="21"/>
          <w:szCs w:val="21"/>
          <w:highlight w:val="none"/>
        </w:rPr>
        <w:t>①数据要求有合计行，点击查询默认显示部门的数据，在部门行点击可以看下部门下属单位的三公经费支出数据；</w:t>
      </w:r>
    </w:p>
    <w:p>
      <w:pPr>
        <w:numPr>
          <w:ilvl w:val="255"/>
          <w:numId w:val="0"/>
        </w:numPr>
        <w:autoSpaceDE/>
        <w:autoSpaceDN/>
        <w:spacing w:line="500" w:lineRule="exact"/>
        <w:rPr>
          <w:rFonts w:hAnsi="宋体" w:cs="宋体"/>
          <w:color w:val="auto"/>
          <w:sz w:val="21"/>
          <w:szCs w:val="21"/>
          <w:highlight w:val="none"/>
        </w:rPr>
      </w:pPr>
      <w:r>
        <w:rPr>
          <w:rFonts w:hint="eastAsia" w:hAnsi="宋体" w:cs="宋体"/>
          <w:color w:val="auto"/>
          <w:sz w:val="21"/>
          <w:szCs w:val="21"/>
          <w:highlight w:val="none"/>
        </w:rPr>
        <w:t>②数据列包括：单位编码、单位名称、三公经费本年支出执行情况（因公出国经费、公务接待费、公务用车购置、公务用车运维维护费、会议费、培训费等）、上年同期三公支出情况（因公出国经费、公务接待费、公务用车购置、公务用车运维维护费、会议费、培训费等）。</w:t>
      </w:r>
    </w:p>
    <w:p>
      <w:pPr>
        <w:numPr>
          <w:ilvl w:val="255"/>
          <w:numId w:val="0"/>
        </w:numPr>
        <w:autoSpaceDE/>
        <w:autoSpaceDN/>
        <w:spacing w:line="500" w:lineRule="exact"/>
        <w:ind w:left="-420"/>
        <w:outlineLvl w:val="4"/>
        <w:rPr>
          <w:rFonts w:hAnsi="宋体" w:cs="宋体"/>
          <w:color w:val="auto"/>
          <w:sz w:val="21"/>
          <w:szCs w:val="21"/>
          <w:highlight w:val="none"/>
        </w:rPr>
      </w:pPr>
      <w:r>
        <w:rPr>
          <w:rFonts w:hint="eastAsia" w:hAnsi="宋体" w:cs="宋体"/>
          <w:color w:val="auto"/>
          <w:sz w:val="21"/>
          <w:szCs w:val="21"/>
          <w:highlight w:val="none"/>
        </w:rPr>
        <w:t>（15）人员经费管理</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实现单位人员日常经费的测算和经费追加，提供查询、增加、修改、删除、导出等操作。查询条件按照单位信息和年度进行查询。数据显示分为行政（参公人员）、事业人员、经费汇总表共三个数据面板。行政（参公人员）和事业人员面板区显示数据要素列包括：单位编码、单位名称、姓名、人员经费组成（动态根据人员类型进行获取，如：岗位工资、薪级工资、养老保险、医疗保险、职业年金等）。</w:t>
      </w:r>
    </w:p>
    <w:p>
      <w:pPr>
        <w:numPr>
          <w:ilvl w:val="255"/>
          <w:numId w:val="0"/>
        </w:numPr>
        <w:autoSpaceDE/>
        <w:autoSpaceDN/>
        <w:spacing w:line="500" w:lineRule="exact"/>
        <w:ind w:left="-420"/>
        <w:rPr>
          <w:rFonts w:hAnsi="宋体" w:cs="宋体"/>
          <w:color w:val="auto"/>
          <w:sz w:val="21"/>
          <w:szCs w:val="21"/>
          <w:highlight w:val="none"/>
        </w:rPr>
      </w:pPr>
      <w:r>
        <w:rPr>
          <w:rFonts w:hint="eastAsia" w:ascii="微软雅黑" w:hAnsi="微软雅黑" w:eastAsia="微软雅黑" w:cs="微软雅黑"/>
          <w:color w:val="auto"/>
          <w:sz w:val="21"/>
          <w:szCs w:val="21"/>
          <w:highlight w:val="none"/>
        </w:rPr>
        <w:t>①</w:t>
      </w:r>
      <w:r>
        <w:rPr>
          <w:rFonts w:hint="eastAsia" w:hAnsi="宋体" w:cs="宋体"/>
          <w:color w:val="auto"/>
          <w:sz w:val="21"/>
          <w:szCs w:val="21"/>
          <w:highlight w:val="none"/>
        </w:rPr>
        <w:t>在人员经费数据录入时按照人员经费项目基本信息（岗位工资、级别工资、生活性补贴、工作性补贴、临时补贴、无线通信补贴、警衔工资、特岗津贴、车改补贴标准、公用定额标准、计算月份、住房公积金比例（单位部分）、年头天数、基础绩效奖、十三月工资、年休报酬、单位工资合计、年终奖（年）等；</w:t>
      </w:r>
    </w:p>
    <w:p>
      <w:pPr>
        <w:numPr>
          <w:ilvl w:val="255"/>
          <w:numId w:val="0"/>
        </w:numPr>
        <w:autoSpaceDE/>
        <w:autoSpaceDN/>
        <w:spacing w:line="500" w:lineRule="exact"/>
        <w:ind w:left="-420"/>
        <w:rPr>
          <w:rFonts w:hAnsi="宋体" w:cs="宋体"/>
          <w:color w:val="auto"/>
          <w:sz w:val="21"/>
          <w:szCs w:val="21"/>
          <w:highlight w:val="none"/>
        </w:rPr>
      </w:pPr>
      <w:r>
        <w:rPr>
          <w:rFonts w:hint="eastAsia" w:ascii="微软雅黑" w:hAnsi="微软雅黑" w:eastAsia="微软雅黑" w:cs="微软雅黑"/>
          <w:color w:val="auto"/>
          <w:sz w:val="21"/>
          <w:szCs w:val="21"/>
          <w:highlight w:val="none"/>
        </w:rPr>
        <w:t>②</w:t>
      </w:r>
      <w:r>
        <w:rPr>
          <w:rFonts w:hint="eastAsia" w:hAnsi="宋体" w:cs="宋体"/>
          <w:color w:val="auto"/>
          <w:sz w:val="21"/>
          <w:szCs w:val="21"/>
          <w:highlight w:val="none"/>
        </w:rPr>
        <w:t>实际经费计算要素中:工资合计、基础绩效奖、养老保险、职业年金、在职医保金、工伤、住房公积金（单位部分）、车改补贴、日常公用定额、福利费、工会经费、其他经费、其他交通费等；</w:t>
      </w:r>
    </w:p>
    <w:p>
      <w:pPr>
        <w:numPr>
          <w:ilvl w:val="255"/>
          <w:numId w:val="0"/>
        </w:numPr>
        <w:autoSpaceDE/>
        <w:autoSpaceDN/>
        <w:spacing w:line="500" w:lineRule="exact"/>
        <w:ind w:left="-420"/>
        <w:rPr>
          <w:rFonts w:hAnsi="宋体" w:cs="宋体"/>
          <w:color w:val="auto"/>
          <w:sz w:val="21"/>
          <w:szCs w:val="21"/>
          <w:highlight w:val="none"/>
        </w:rPr>
      </w:pPr>
      <w:r>
        <w:rPr>
          <w:rFonts w:hint="eastAsia" w:ascii="微软雅黑" w:hAnsi="微软雅黑" w:eastAsia="微软雅黑" w:cs="微软雅黑"/>
          <w:color w:val="auto"/>
          <w:sz w:val="21"/>
          <w:szCs w:val="21"/>
          <w:highlight w:val="none"/>
        </w:rPr>
        <w:t>③</w:t>
      </w:r>
      <w:r>
        <w:rPr>
          <w:rFonts w:hint="eastAsia" w:hAnsi="宋体" w:cs="宋体"/>
          <w:color w:val="auto"/>
          <w:sz w:val="21"/>
          <w:szCs w:val="21"/>
          <w:highlight w:val="none"/>
        </w:rPr>
        <w:t>用户点击计算时可以根据人员经费项目的计算公式动态计算相关计算公式项目的数据值；</w:t>
      </w:r>
    </w:p>
    <w:p>
      <w:pPr>
        <w:numPr>
          <w:ilvl w:val="255"/>
          <w:numId w:val="0"/>
        </w:numPr>
        <w:autoSpaceDE/>
        <w:autoSpaceDN/>
        <w:spacing w:line="500" w:lineRule="exact"/>
        <w:ind w:left="-420"/>
        <w:rPr>
          <w:rFonts w:hAnsi="宋体" w:cs="宋体"/>
          <w:color w:val="auto"/>
          <w:sz w:val="21"/>
          <w:szCs w:val="21"/>
          <w:highlight w:val="none"/>
        </w:rPr>
      </w:pPr>
      <w:r>
        <w:rPr>
          <w:rFonts w:hint="eastAsia" w:ascii="微软雅黑" w:hAnsi="微软雅黑" w:eastAsia="微软雅黑" w:cs="微软雅黑"/>
          <w:color w:val="auto"/>
          <w:sz w:val="21"/>
          <w:szCs w:val="21"/>
          <w:highlight w:val="none"/>
        </w:rPr>
        <w:t>④</w:t>
      </w:r>
      <w:r>
        <w:rPr>
          <w:rFonts w:hint="eastAsia" w:hAnsi="宋体" w:cs="宋体"/>
          <w:color w:val="auto"/>
          <w:sz w:val="21"/>
          <w:szCs w:val="21"/>
          <w:highlight w:val="none"/>
        </w:rPr>
        <w:t>用户点击保存后对录入的人员经费项目组成要素保存入库；</w:t>
      </w:r>
    </w:p>
    <w:p>
      <w:pPr>
        <w:numPr>
          <w:ilvl w:val="255"/>
          <w:numId w:val="0"/>
        </w:numPr>
        <w:autoSpaceDE/>
        <w:autoSpaceDN/>
        <w:spacing w:line="500" w:lineRule="exact"/>
        <w:ind w:left="-420"/>
        <w:rPr>
          <w:rFonts w:hAnsi="宋体" w:cs="宋体"/>
          <w:color w:val="auto"/>
          <w:sz w:val="21"/>
          <w:szCs w:val="21"/>
          <w:highlight w:val="none"/>
        </w:rPr>
      </w:pPr>
      <w:r>
        <w:rPr>
          <w:rFonts w:hint="eastAsia" w:ascii="微软雅黑" w:hAnsi="微软雅黑" w:eastAsia="微软雅黑" w:cs="微软雅黑"/>
          <w:color w:val="auto"/>
          <w:sz w:val="21"/>
          <w:szCs w:val="21"/>
          <w:highlight w:val="none"/>
        </w:rPr>
        <w:t>⑤</w:t>
      </w:r>
      <w:r>
        <w:rPr>
          <w:rFonts w:hint="eastAsia" w:hAnsi="宋体" w:cs="宋体"/>
          <w:color w:val="auto"/>
          <w:sz w:val="21"/>
          <w:szCs w:val="21"/>
          <w:highlight w:val="none"/>
        </w:rPr>
        <w:t>经费汇总表是比较直观的反映单位行政和事业人员的汇总数据情况，行政人员和事业人员根据经费项目的类型进行去除组合显示，显示行政和事业的人数及对应的经费总金额。</w:t>
      </w:r>
    </w:p>
    <w:p>
      <w:pPr>
        <w:numPr>
          <w:ilvl w:val="255"/>
          <w:numId w:val="0"/>
        </w:numPr>
        <w:autoSpaceDE/>
        <w:autoSpaceDN/>
        <w:spacing w:line="500" w:lineRule="exact"/>
        <w:ind w:left="-420"/>
        <w:outlineLvl w:val="4"/>
        <w:rPr>
          <w:rFonts w:hAnsi="宋体" w:cs="宋体"/>
          <w:color w:val="auto"/>
          <w:sz w:val="21"/>
          <w:szCs w:val="21"/>
          <w:highlight w:val="none"/>
        </w:rPr>
      </w:pPr>
      <w:r>
        <w:rPr>
          <w:rFonts w:hint="eastAsia" w:hAnsi="宋体" w:cs="宋体"/>
          <w:color w:val="auto"/>
          <w:sz w:val="21"/>
          <w:szCs w:val="21"/>
          <w:highlight w:val="none"/>
        </w:rPr>
        <w:t>（16）人员经费指标管理</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实现单位经费追加，与预算一体化平台的预算调整调剂模块进行数据衔接，提供生成指标、撤销生成指标等操作。查询条件按照单位信息和年度及指标生成标志进行查询;数据显示分为行政（参公人员）、事业人员、经费汇总表共三个数据面板；行政（参公人员）和事业人员面板区显示数据要素列包括：单位编码、单位名称、姓名、人员经费组成（动态根据人员类型进行获取，如：岗位工资、薪级工资、养老保险、医疗保险、职业年金等）；</w:t>
      </w:r>
    </w:p>
    <w:p>
      <w:pPr>
        <w:numPr>
          <w:ilvl w:val="255"/>
          <w:numId w:val="0"/>
        </w:numPr>
        <w:autoSpaceDE/>
        <w:autoSpaceDN/>
        <w:spacing w:line="500" w:lineRule="exact"/>
        <w:rPr>
          <w:rFonts w:hAnsi="宋体" w:cs="宋体"/>
          <w:color w:val="auto"/>
          <w:sz w:val="21"/>
          <w:szCs w:val="21"/>
          <w:highlight w:val="none"/>
        </w:rPr>
      </w:pPr>
      <w:r>
        <w:rPr>
          <w:rFonts w:hint="eastAsia" w:hAnsi="宋体" w:cs="宋体"/>
          <w:color w:val="auto"/>
          <w:sz w:val="21"/>
          <w:szCs w:val="21"/>
          <w:highlight w:val="none"/>
        </w:rPr>
        <w:t>①在人员经费数据录入时按照人员经费项目基本信息（岗位工资、级别工资、生活性补贴、工作性补贴、临时补贴、无线通信补贴、警衔工资、特岗津贴、车改补贴标准、公用定额标准、计算月份、住房公积金比例（单位部分）、年头天数、基础绩效奖、十三月工资、年休报酬、单位工资合计、年终奖（年）等；</w:t>
      </w:r>
    </w:p>
    <w:p>
      <w:pPr>
        <w:numPr>
          <w:ilvl w:val="255"/>
          <w:numId w:val="0"/>
        </w:numPr>
        <w:autoSpaceDE/>
        <w:autoSpaceDN/>
        <w:spacing w:line="500" w:lineRule="exact"/>
        <w:rPr>
          <w:rFonts w:hAnsi="宋体" w:cs="宋体"/>
          <w:color w:val="auto"/>
          <w:sz w:val="21"/>
          <w:szCs w:val="21"/>
          <w:highlight w:val="none"/>
        </w:rPr>
      </w:pPr>
      <w:r>
        <w:rPr>
          <w:rFonts w:hint="eastAsia" w:hAnsi="宋体" w:cs="宋体"/>
          <w:color w:val="auto"/>
          <w:sz w:val="21"/>
          <w:szCs w:val="21"/>
          <w:highlight w:val="none"/>
        </w:rPr>
        <w:t>②实际经费计算要素中:工资合计、基础绩效奖、养老保险、职业年金、在职医保金、工伤、住房公积金（单位部分）、车改补贴、日常公用定额、福利费、工会经费、其他经费、其他交通费等；</w:t>
      </w:r>
    </w:p>
    <w:p>
      <w:pPr>
        <w:numPr>
          <w:ilvl w:val="255"/>
          <w:numId w:val="0"/>
        </w:numPr>
        <w:autoSpaceDE/>
        <w:autoSpaceDN/>
        <w:spacing w:line="500" w:lineRule="exact"/>
        <w:rPr>
          <w:rFonts w:hAnsi="宋体" w:cs="宋体"/>
          <w:color w:val="auto"/>
          <w:sz w:val="21"/>
          <w:szCs w:val="21"/>
          <w:highlight w:val="none"/>
        </w:rPr>
      </w:pPr>
      <w:r>
        <w:rPr>
          <w:rFonts w:hint="eastAsia" w:hAnsi="宋体" w:cs="宋体"/>
          <w:color w:val="auto"/>
          <w:sz w:val="21"/>
          <w:szCs w:val="21"/>
          <w:highlight w:val="none"/>
        </w:rPr>
        <w:t>③经费汇总表是比较直观的反映单位行政和事业人员的汇总数据情况，行政人员和事业人员根据经费项目的类型进行去除组合显示，显示行政和事业的人数及对应的经费总金额；</w:t>
      </w:r>
    </w:p>
    <w:p>
      <w:pPr>
        <w:numPr>
          <w:ilvl w:val="255"/>
          <w:numId w:val="0"/>
        </w:numPr>
        <w:autoSpaceDE/>
        <w:autoSpaceDN/>
        <w:spacing w:line="500" w:lineRule="exact"/>
        <w:rPr>
          <w:rFonts w:hAnsi="宋体" w:cs="宋体"/>
          <w:color w:val="auto"/>
          <w:sz w:val="21"/>
          <w:szCs w:val="21"/>
          <w:highlight w:val="none"/>
        </w:rPr>
      </w:pPr>
      <w:r>
        <w:rPr>
          <w:rFonts w:hint="eastAsia" w:hAnsi="宋体" w:cs="宋体"/>
          <w:color w:val="auto"/>
          <w:sz w:val="21"/>
          <w:szCs w:val="21"/>
          <w:highlight w:val="none"/>
        </w:rPr>
        <w:t>用户点击生成指标时控制如果为已经生成指标则提示不能重复生成指标，如果状态为未生成指标则提交数据到预算一体化系统并记录预算一体化对应的指标主单GUID，业务人员在生成指标成功后在预算一体化的预算调整调剂模块进行下一步的其他操作；</w:t>
      </w:r>
    </w:p>
    <w:p>
      <w:pPr>
        <w:numPr>
          <w:ilvl w:val="255"/>
          <w:numId w:val="0"/>
        </w:numPr>
        <w:autoSpaceDE/>
        <w:autoSpaceDN/>
        <w:spacing w:line="500" w:lineRule="exact"/>
        <w:rPr>
          <w:rFonts w:hAnsi="宋体" w:cs="宋体"/>
          <w:color w:val="auto"/>
          <w:sz w:val="21"/>
          <w:szCs w:val="21"/>
          <w:highlight w:val="none"/>
        </w:rPr>
      </w:pPr>
      <w:r>
        <w:rPr>
          <w:rFonts w:hint="eastAsia" w:hAnsi="宋体" w:cs="宋体"/>
          <w:color w:val="auto"/>
          <w:sz w:val="21"/>
          <w:szCs w:val="21"/>
          <w:highlight w:val="none"/>
        </w:rPr>
        <w:t>用户点击撤销指标时需要控制如果预算一体化的预算调整调剂模块已经进行了分口指标挂接则不能进行撤销。</w:t>
      </w:r>
    </w:p>
    <w:p>
      <w:pPr>
        <w:numPr>
          <w:ilvl w:val="255"/>
          <w:numId w:val="0"/>
        </w:numPr>
        <w:autoSpaceDE/>
        <w:autoSpaceDN/>
        <w:spacing w:line="500" w:lineRule="exact"/>
        <w:ind w:left="-420"/>
        <w:outlineLvl w:val="4"/>
        <w:rPr>
          <w:rFonts w:hAnsi="宋体" w:cs="宋体"/>
          <w:color w:val="auto"/>
          <w:sz w:val="21"/>
          <w:szCs w:val="21"/>
          <w:highlight w:val="none"/>
        </w:rPr>
      </w:pPr>
      <w:r>
        <w:rPr>
          <w:rFonts w:hint="eastAsia" w:hAnsi="宋体" w:cs="宋体"/>
          <w:color w:val="auto"/>
          <w:sz w:val="21"/>
          <w:szCs w:val="21"/>
          <w:highlight w:val="none"/>
        </w:rPr>
        <w:t>（17）人员经费查询</w:t>
      </w:r>
    </w:p>
    <w:p>
      <w:pPr>
        <w:numPr>
          <w:ilvl w:val="255"/>
          <w:numId w:val="0"/>
        </w:num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实现人员经费数据的汇总分析，提供查询、导出等操作；查询条件默认为年度、单位名称、人员类型（行政及参公、事业）等；数据列包括：单位编码、单位名称、姓名、人员类型（行政及参公、事业）、岗位工资、级别工资、生活性补贴、工作性补贴、临时补贴、无线通信补贴、警衔工资、特岗津贴、车改补贴标准、公用定额标准、计算月份、住房公积金比例（单位部分）、年头天数、基础绩效奖、十三月工资、年休报酬、单位工资合计、年终奖（年）等。</w:t>
      </w:r>
    </w:p>
    <w:p>
      <w:pPr>
        <w:numPr>
          <w:ilvl w:val="255"/>
          <w:numId w:val="0"/>
        </w:numPr>
        <w:autoSpaceDE/>
        <w:autoSpaceDN/>
        <w:spacing w:line="500" w:lineRule="exact"/>
        <w:outlineLvl w:val="3"/>
        <w:rPr>
          <w:rFonts w:hAnsi="宋体" w:cs="宋体"/>
          <w:b/>
          <w:bCs/>
          <w:color w:val="auto"/>
          <w:sz w:val="21"/>
          <w:szCs w:val="21"/>
          <w:highlight w:val="none"/>
        </w:rPr>
      </w:pPr>
      <w:r>
        <w:rPr>
          <w:rFonts w:hint="eastAsia" w:hAnsi="宋体" w:cs="宋体"/>
          <w:b/>
          <w:bCs/>
          <w:color w:val="auto"/>
          <w:sz w:val="21"/>
          <w:szCs w:val="21"/>
          <w:highlight w:val="none"/>
        </w:rPr>
        <w:t>5.数据传输交互接口</w:t>
      </w:r>
    </w:p>
    <w:p>
      <w:pPr>
        <w:numPr>
          <w:ilvl w:val="255"/>
          <w:numId w:val="0"/>
        </w:numPr>
        <w:spacing w:line="500" w:lineRule="exact"/>
        <w:outlineLvl w:val="4"/>
        <w:rPr>
          <w:rFonts w:hAnsi="宋体" w:cs="宋体"/>
          <w:color w:val="auto"/>
          <w:sz w:val="21"/>
          <w:szCs w:val="21"/>
          <w:highlight w:val="none"/>
        </w:rPr>
      </w:pPr>
      <w:r>
        <w:rPr>
          <w:rFonts w:hint="eastAsia" w:hAnsi="宋体" w:cs="宋体"/>
          <w:color w:val="auto"/>
          <w:sz w:val="21"/>
          <w:szCs w:val="21"/>
          <w:highlight w:val="none"/>
        </w:rPr>
        <w:t>（1）单位报表数据清洗加工</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从老系统和金财系统通过程序代码实现，对单位的科目会计报表数据进行标准化，主要反映单位资金负债表、单位往来款明细表、单位公开表及其他财务相关报表。市本级预算单位300多家。对在财政系统账务核算并存在报表数据的进行单位报表数据清洗和标准化。支持按照单位和年度进行配置更新机制。</w:t>
      </w:r>
    </w:p>
    <w:p>
      <w:pPr>
        <w:numPr>
          <w:ilvl w:val="255"/>
          <w:numId w:val="0"/>
        </w:numPr>
        <w:spacing w:line="500" w:lineRule="exact"/>
        <w:outlineLvl w:val="4"/>
        <w:rPr>
          <w:rFonts w:hAnsi="宋体" w:cs="宋体"/>
          <w:color w:val="auto"/>
          <w:sz w:val="21"/>
          <w:szCs w:val="21"/>
          <w:highlight w:val="none"/>
        </w:rPr>
      </w:pPr>
      <w:r>
        <w:rPr>
          <w:rFonts w:hint="eastAsia" w:hAnsi="宋体" w:cs="宋体"/>
          <w:color w:val="auto"/>
          <w:sz w:val="21"/>
          <w:szCs w:val="21"/>
          <w:highlight w:val="none"/>
        </w:rPr>
        <w:t>（2）财政报表数据清洗加工</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从老系统和金财系统通过程序代码实现，对财政的科目会计报表数据进行标准化，主要反映资金负债表、收入费用及财务相关报表。对财政总会计和财政专户账套，账套为50多个左右，从2002年开始的财政报表数据进行清洗和转换。在设计上支持按照财政账套和年度的数据更新机制。</w:t>
      </w:r>
    </w:p>
    <w:p>
      <w:pPr>
        <w:numPr>
          <w:ilvl w:val="255"/>
          <w:numId w:val="0"/>
        </w:numPr>
        <w:spacing w:line="500" w:lineRule="exact"/>
        <w:outlineLvl w:val="4"/>
        <w:rPr>
          <w:rFonts w:hAnsi="宋体" w:cs="宋体"/>
          <w:color w:val="auto"/>
          <w:sz w:val="21"/>
          <w:szCs w:val="21"/>
          <w:highlight w:val="none"/>
        </w:rPr>
      </w:pPr>
      <w:r>
        <w:rPr>
          <w:rFonts w:hint="eastAsia" w:hAnsi="宋体" w:cs="宋体"/>
          <w:color w:val="auto"/>
          <w:sz w:val="21"/>
          <w:szCs w:val="21"/>
          <w:highlight w:val="none"/>
        </w:rPr>
        <w:t>（3）单位工资统发数据清洗加工</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通过程序代码实现，对单位工资发放的数据进行清洗，以工资清册数据、工资发放数据等为数据维度，单位编码需要统一进行转换，需要从老金财系统及用友工资系统和新金财系统这3个系统进行数据清洗。支持按照单位和年度的数据更新机制。</w:t>
      </w:r>
    </w:p>
    <w:p>
      <w:pPr>
        <w:numPr>
          <w:ilvl w:val="255"/>
          <w:numId w:val="0"/>
        </w:numPr>
        <w:spacing w:line="500" w:lineRule="exact"/>
        <w:outlineLvl w:val="4"/>
        <w:rPr>
          <w:rFonts w:hAnsi="宋体" w:cs="宋体"/>
          <w:color w:val="auto"/>
          <w:sz w:val="21"/>
          <w:szCs w:val="21"/>
          <w:highlight w:val="none"/>
        </w:rPr>
      </w:pPr>
      <w:r>
        <w:rPr>
          <w:rFonts w:hint="eastAsia" w:hAnsi="宋体" w:cs="宋体"/>
          <w:color w:val="auto"/>
          <w:sz w:val="21"/>
          <w:szCs w:val="21"/>
          <w:highlight w:val="none"/>
        </w:rPr>
        <w:t>（4）省厅大平台数据清洗加工</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从原来的tuxedo交易码交易适配改造成通过程序代码实现，分析省厅大平台下行数据的分析和清洗，以大平台业务主线的数据进行归类，如项目库数据、转移支付数据、项目热点等为主线，定时进行数据清洗。可以根据数据分类的数据更新机制。</w:t>
      </w:r>
    </w:p>
    <w:p>
      <w:pPr>
        <w:numPr>
          <w:ilvl w:val="255"/>
          <w:numId w:val="0"/>
        </w:numPr>
        <w:spacing w:line="500" w:lineRule="exact"/>
        <w:outlineLvl w:val="4"/>
        <w:rPr>
          <w:rFonts w:hAnsi="宋体" w:cs="宋体"/>
          <w:color w:val="auto"/>
          <w:sz w:val="21"/>
          <w:szCs w:val="21"/>
          <w:highlight w:val="none"/>
        </w:rPr>
      </w:pPr>
      <w:r>
        <w:rPr>
          <w:rFonts w:hint="eastAsia" w:hAnsi="宋体" w:cs="宋体"/>
          <w:color w:val="auto"/>
          <w:sz w:val="21"/>
          <w:szCs w:val="21"/>
          <w:highlight w:val="none"/>
        </w:rPr>
        <w:t>（5）行政审批数据清洗加工</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通过程序代码实现，分析行政审批系统的数据，以审批事件、审批重要流程节点、审批节点进度等重要维度为抓手，对数据进行归类清洗。</w:t>
      </w:r>
    </w:p>
    <w:p>
      <w:pPr>
        <w:numPr>
          <w:ilvl w:val="255"/>
          <w:numId w:val="0"/>
        </w:numPr>
        <w:spacing w:line="500" w:lineRule="exact"/>
        <w:outlineLvl w:val="4"/>
        <w:rPr>
          <w:rFonts w:hAnsi="宋体" w:cs="宋体"/>
          <w:color w:val="auto"/>
          <w:sz w:val="21"/>
          <w:szCs w:val="21"/>
          <w:highlight w:val="none"/>
        </w:rPr>
      </w:pPr>
      <w:r>
        <w:rPr>
          <w:rFonts w:hint="eastAsia" w:hAnsi="宋体" w:cs="宋体"/>
          <w:color w:val="auto"/>
          <w:sz w:val="21"/>
          <w:szCs w:val="21"/>
          <w:highlight w:val="none"/>
        </w:rPr>
        <w:t>（5）数据内外网传输</w:t>
      </w:r>
    </w:p>
    <w:p>
      <w:pPr>
        <w:pStyle w:val="6"/>
        <w:spacing w:line="500" w:lineRule="exact"/>
        <w:ind w:firstLine="0"/>
        <w:rPr>
          <w:rFonts w:ascii="宋体" w:hAnsi="宋体" w:cs="宋体"/>
          <w:color w:val="auto"/>
          <w:szCs w:val="21"/>
          <w:highlight w:val="none"/>
        </w:rPr>
      </w:pPr>
      <w:r>
        <w:rPr>
          <w:rFonts w:hint="eastAsia" w:ascii="宋体" w:hAnsi="宋体" w:cs="宋体"/>
          <w:color w:val="auto"/>
          <w:szCs w:val="21"/>
          <w:highlight w:val="none"/>
        </w:rPr>
        <w:t xml:space="preserve">   对业务增量产生的数据，需要从内网中间库同步数据到信创云数据服务器。数据包括：预算编制数据、指标数据、用款计划数据、单位支出数据、财政支出数据、单位业务流水数据、财务业务流水数据、财政申拨数据、单位会计科目数据、单位科目明细账数据、单位科目总账数据、单位科目余额表数据、财政会计科目数据、财政科目明细账数据、财政科目总账数据、财政科目余额表数据、大平台下行数据、单位工资发放数据、行政审批数据等。</w:t>
      </w:r>
    </w:p>
    <w:p>
      <w:pPr>
        <w:numPr>
          <w:ilvl w:val="255"/>
          <w:numId w:val="0"/>
        </w:numPr>
        <w:autoSpaceDE/>
        <w:autoSpaceDN/>
        <w:spacing w:line="500" w:lineRule="exact"/>
        <w:outlineLvl w:val="3"/>
        <w:rPr>
          <w:rFonts w:hAnsi="宋体" w:cs="宋体"/>
          <w:b/>
          <w:bCs/>
          <w:color w:val="auto"/>
          <w:sz w:val="21"/>
          <w:szCs w:val="21"/>
          <w:highlight w:val="none"/>
        </w:rPr>
      </w:pPr>
      <w:bookmarkStart w:id="544" w:name="_Toc13849"/>
      <w:bookmarkStart w:id="545" w:name="_Toc2554"/>
      <w:bookmarkStart w:id="546" w:name="_Toc6706"/>
      <w:bookmarkStart w:id="547" w:name="_Toc31282"/>
      <w:bookmarkStart w:id="548" w:name="_Toc21926"/>
      <w:bookmarkStart w:id="549" w:name="_Toc9780"/>
      <w:bookmarkStart w:id="550" w:name="_Toc17277"/>
      <w:bookmarkStart w:id="551" w:name="_Toc22745"/>
      <w:r>
        <w:rPr>
          <w:rFonts w:hint="eastAsia" w:hAnsi="宋体" w:cs="宋体"/>
          <w:b/>
          <w:bCs/>
          <w:color w:val="auto"/>
          <w:sz w:val="21"/>
          <w:szCs w:val="21"/>
          <w:highlight w:val="none"/>
        </w:rPr>
        <w:t>6.数据分析</w:t>
      </w:r>
    </w:p>
    <w:p>
      <w:pPr>
        <w:numPr>
          <w:ilvl w:val="0"/>
          <w:numId w:val="8"/>
        </w:numPr>
        <w:autoSpaceDE/>
        <w:autoSpaceDN/>
        <w:spacing w:line="500" w:lineRule="exact"/>
        <w:ind w:left="0"/>
        <w:outlineLvl w:val="3"/>
        <w:rPr>
          <w:rFonts w:hAnsi="宋体" w:cs="宋体"/>
          <w:color w:val="auto"/>
          <w:sz w:val="21"/>
          <w:szCs w:val="21"/>
          <w:highlight w:val="none"/>
        </w:rPr>
      </w:pPr>
      <w:r>
        <w:rPr>
          <w:rFonts w:hint="eastAsia" w:hAnsi="宋体" w:cs="宋体"/>
          <w:color w:val="auto"/>
          <w:sz w:val="21"/>
          <w:szCs w:val="21"/>
          <w:highlight w:val="none"/>
        </w:rPr>
        <w:t>科目年初数分析</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实现单位会计核算账务数据的查询分析，以单位和年度为数据索引，具体某个科目可以下钻分析对应的辅助项的年初余额。提供查询、导出、导出、辅助余额下钻等功能。</w:t>
      </w:r>
    </w:p>
    <w:p>
      <w:pPr>
        <w:numPr>
          <w:ilvl w:val="0"/>
          <w:numId w:val="8"/>
        </w:numPr>
        <w:autoSpaceDE/>
        <w:autoSpaceDN/>
        <w:spacing w:line="500" w:lineRule="exact"/>
        <w:ind w:left="0"/>
        <w:outlineLvl w:val="3"/>
        <w:rPr>
          <w:rFonts w:hAnsi="宋体" w:cs="宋体"/>
          <w:color w:val="auto"/>
          <w:sz w:val="21"/>
          <w:szCs w:val="21"/>
          <w:highlight w:val="none"/>
        </w:rPr>
      </w:pPr>
      <w:r>
        <w:rPr>
          <w:rFonts w:hint="eastAsia" w:hAnsi="宋体" w:cs="宋体"/>
          <w:color w:val="auto"/>
          <w:sz w:val="21"/>
          <w:szCs w:val="21"/>
          <w:highlight w:val="none"/>
        </w:rPr>
        <w:t>单位会计凭证分析</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实现单位会计凭证的浏览分析，按照凭证种类、凭证日期等条件进行查询条件过滤，具体可以下钻查看原始凭证进行打印和导出等。提供查询、凭证打印、凭证批量导出等功能。</w:t>
      </w:r>
    </w:p>
    <w:p>
      <w:pPr>
        <w:numPr>
          <w:ilvl w:val="0"/>
          <w:numId w:val="8"/>
        </w:numPr>
        <w:autoSpaceDE/>
        <w:autoSpaceDN/>
        <w:spacing w:line="500" w:lineRule="exact"/>
        <w:ind w:left="0"/>
        <w:outlineLvl w:val="3"/>
        <w:rPr>
          <w:rFonts w:hAnsi="宋体" w:cs="宋体"/>
          <w:color w:val="auto"/>
          <w:sz w:val="21"/>
          <w:szCs w:val="21"/>
          <w:highlight w:val="none"/>
        </w:rPr>
      </w:pPr>
      <w:r>
        <w:rPr>
          <w:rFonts w:hint="eastAsia" w:hAnsi="宋体" w:cs="宋体"/>
          <w:color w:val="auto"/>
          <w:sz w:val="21"/>
          <w:szCs w:val="21"/>
          <w:highlight w:val="none"/>
        </w:rPr>
        <w:t>科目总账分析</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实现科目总账的浏览分析，按照科目代码、年度、月份等条件进行查询条件过滤，具体可以下钻查看具体科目对应的科目明细账数据。提供查询、导出、打印、数据下钻等操作。</w:t>
      </w:r>
    </w:p>
    <w:p>
      <w:pPr>
        <w:numPr>
          <w:ilvl w:val="0"/>
          <w:numId w:val="8"/>
        </w:numPr>
        <w:autoSpaceDE/>
        <w:autoSpaceDN/>
        <w:spacing w:line="500" w:lineRule="exact"/>
        <w:ind w:left="0"/>
        <w:outlineLvl w:val="3"/>
        <w:rPr>
          <w:rFonts w:hAnsi="宋体" w:cs="宋体"/>
          <w:color w:val="auto"/>
          <w:sz w:val="21"/>
          <w:szCs w:val="21"/>
          <w:highlight w:val="none"/>
        </w:rPr>
      </w:pPr>
      <w:r>
        <w:rPr>
          <w:rFonts w:hint="eastAsia" w:hAnsi="宋体" w:cs="宋体"/>
          <w:color w:val="auto"/>
          <w:sz w:val="21"/>
          <w:szCs w:val="21"/>
          <w:highlight w:val="none"/>
        </w:rPr>
        <w:t>科目明细账分析</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实现科目明细账的浏览分析，按照科目代码、年度、月份等条件进行查询条件过滤，具体可以下钻查看具体科目对应的会计凭证数据，会计凭证可以继续下钻看对应的支付凭证数据。提供查询、打印、导出、下钻凭证分析等操作。</w:t>
      </w:r>
    </w:p>
    <w:p>
      <w:pPr>
        <w:numPr>
          <w:ilvl w:val="0"/>
          <w:numId w:val="8"/>
        </w:numPr>
        <w:autoSpaceDE/>
        <w:autoSpaceDN/>
        <w:spacing w:line="500" w:lineRule="exact"/>
        <w:ind w:left="0"/>
        <w:outlineLvl w:val="3"/>
        <w:rPr>
          <w:rFonts w:hAnsi="宋体" w:cs="宋体"/>
          <w:color w:val="auto"/>
          <w:sz w:val="21"/>
          <w:szCs w:val="21"/>
          <w:highlight w:val="none"/>
        </w:rPr>
      </w:pPr>
      <w:r>
        <w:rPr>
          <w:rFonts w:hint="eastAsia" w:hAnsi="宋体" w:cs="宋体"/>
          <w:color w:val="auto"/>
          <w:sz w:val="21"/>
          <w:szCs w:val="21"/>
          <w:highlight w:val="none"/>
        </w:rPr>
        <w:t>单位账册数据分析</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分析单位账册数据的分析，如批量的科目明细账、科目总账、科目账册索引等。提供查询、导出、打印等操作。</w:t>
      </w:r>
    </w:p>
    <w:p>
      <w:pPr>
        <w:numPr>
          <w:ilvl w:val="0"/>
          <w:numId w:val="8"/>
        </w:numPr>
        <w:autoSpaceDE/>
        <w:autoSpaceDN/>
        <w:spacing w:line="500" w:lineRule="exact"/>
        <w:ind w:left="0"/>
        <w:outlineLvl w:val="3"/>
        <w:rPr>
          <w:rFonts w:hAnsi="宋体" w:cs="宋体"/>
          <w:color w:val="auto"/>
          <w:sz w:val="21"/>
          <w:szCs w:val="21"/>
          <w:highlight w:val="none"/>
        </w:rPr>
      </w:pPr>
      <w:r>
        <w:rPr>
          <w:rFonts w:hint="eastAsia" w:hAnsi="宋体" w:cs="宋体"/>
          <w:color w:val="auto"/>
          <w:sz w:val="21"/>
          <w:szCs w:val="21"/>
          <w:highlight w:val="none"/>
        </w:rPr>
        <w:t>单位常用会计报表分析</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实现单位会计报表的浏览分析，按照年度、月份、报表种类、报表名称等条件进行查询条件过滤。如资产负债表、单位收入费用表、单位往来款表、单位财务公开表需要按照单位会计对外出具的报表格式进行数据展现。提供查询、导出、打印等操作。</w:t>
      </w:r>
    </w:p>
    <w:p>
      <w:pPr>
        <w:numPr>
          <w:ilvl w:val="0"/>
          <w:numId w:val="8"/>
        </w:numPr>
        <w:autoSpaceDE/>
        <w:autoSpaceDN/>
        <w:spacing w:line="500" w:lineRule="exact"/>
        <w:ind w:left="0"/>
        <w:outlineLvl w:val="3"/>
        <w:rPr>
          <w:rFonts w:hAnsi="宋体" w:cs="宋体"/>
          <w:color w:val="auto"/>
          <w:sz w:val="21"/>
          <w:szCs w:val="21"/>
          <w:highlight w:val="none"/>
        </w:rPr>
      </w:pPr>
      <w:r>
        <w:rPr>
          <w:rFonts w:hint="eastAsia" w:hAnsi="宋体" w:cs="宋体"/>
          <w:color w:val="auto"/>
          <w:sz w:val="21"/>
          <w:szCs w:val="21"/>
          <w:highlight w:val="none"/>
        </w:rPr>
        <w:t>财政科目年初数分析</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实现财政会计核算账务数据的查询分析，以账套和年度为数据索引，具体某个科目可以下钻分析对应的辅助项的年初余额（科目单位辅助、科目收费项目辅助）。提供查询、打印、导出、下钻辅助余额分析等操作。</w:t>
      </w:r>
    </w:p>
    <w:p>
      <w:pPr>
        <w:numPr>
          <w:ilvl w:val="0"/>
          <w:numId w:val="8"/>
        </w:numPr>
        <w:autoSpaceDE/>
        <w:autoSpaceDN/>
        <w:spacing w:line="500" w:lineRule="exact"/>
        <w:ind w:left="0"/>
        <w:outlineLvl w:val="3"/>
        <w:rPr>
          <w:rFonts w:hAnsi="宋体" w:cs="宋体"/>
          <w:color w:val="auto"/>
          <w:sz w:val="21"/>
          <w:szCs w:val="21"/>
          <w:highlight w:val="none"/>
        </w:rPr>
      </w:pPr>
      <w:r>
        <w:rPr>
          <w:rFonts w:hint="eastAsia" w:hAnsi="宋体" w:cs="宋体"/>
          <w:color w:val="auto"/>
          <w:sz w:val="21"/>
          <w:szCs w:val="21"/>
          <w:highlight w:val="none"/>
        </w:rPr>
        <w:t>财政会计凭证分析</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实现财政会计凭证的浏览分析，按照凭证种类、凭证日期等条件进行查询条件过滤，具体可以下钻查看原始凭证进行打印和导出等。提供查询、打印、批量打印、导出等操作。</w:t>
      </w:r>
    </w:p>
    <w:p>
      <w:pPr>
        <w:numPr>
          <w:ilvl w:val="0"/>
          <w:numId w:val="8"/>
        </w:numPr>
        <w:autoSpaceDE/>
        <w:autoSpaceDN/>
        <w:spacing w:line="500" w:lineRule="exact"/>
        <w:ind w:left="0"/>
        <w:outlineLvl w:val="3"/>
        <w:rPr>
          <w:rFonts w:hAnsi="宋体" w:cs="宋体"/>
          <w:color w:val="auto"/>
          <w:sz w:val="21"/>
          <w:szCs w:val="21"/>
          <w:highlight w:val="none"/>
        </w:rPr>
      </w:pPr>
      <w:r>
        <w:rPr>
          <w:rFonts w:hint="eastAsia" w:hAnsi="宋体" w:cs="宋体"/>
          <w:color w:val="auto"/>
          <w:sz w:val="21"/>
          <w:szCs w:val="21"/>
          <w:highlight w:val="none"/>
        </w:rPr>
        <w:t>财政科目总账分析</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实现科目总账的浏览分析，按照科目代码、年度、月份等条件进行查询条件过滤，具体可以下钻查看具体科目对应的科目明细账数据。提供查询、打印、导出、下钻明细分析等操作。</w:t>
      </w:r>
    </w:p>
    <w:p>
      <w:pPr>
        <w:numPr>
          <w:ilvl w:val="0"/>
          <w:numId w:val="8"/>
        </w:numPr>
        <w:autoSpaceDE/>
        <w:autoSpaceDN/>
        <w:spacing w:line="500" w:lineRule="exact"/>
        <w:ind w:left="0"/>
        <w:outlineLvl w:val="3"/>
        <w:rPr>
          <w:rFonts w:hAnsi="宋体" w:cs="宋体"/>
          <w:color w:val="auto"/>
          <w:sz w:val="21"/>
          <w:szCs w:val="21"/>
          <w:highlight w:val="none"/>
        </w:rPr>
      </w:pPr>
      <w:r>
        <w:rPr>
          <w:rFonts w:hint="eastAsia" w:hAnsi="宋体" w:cs="宋体"/>
          <w:color w:val="auto"/>
          <w:sz w:val="21"/>
          <w:szCs w:val="21"/>
          <w:highlight w:val="none"/>
        </w:rPr>
        <w:t>财政科目明细账分析</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实现科目明细账的浏览分析，按照科目代码、年度、月份等条件进行查询条件过滤，具体可以下钻查看具体科目对应的会计凭证数据，会计凭证可以继续下钻看对应的支付凭证数据。提供查询、打印、导出、下钻凭证分析等操作。</w:t>
      </w:r>
    </w:p>
    <w:p>
      <w:pPr>
        <w:numPr>
          <w:ilvl w:val="0"/>
          <w:numId w:val="8"/>
        </w:numPr>
        <w:autoSpaceDE/>
        <w:autoSpaceDN/>
        <w:spacing w:line="500" w:lineRule="exact"/>
        <w:ind w:left="0"/>
        <w:outlineLvl w:val="3"/>
        <w:rPr>
          <w:rFonts w:hAnsi="宋体" w:cs="宋体"/>
          <w:color w:val="auto"/>
          <w:sz w:val="21"/>
          <w:szCs w:val="21"/>
          <w:highlight w:val="none"/>
        </w:rPr>
      </w:pPr>
      <w:r>
        <w:rPr>
          <w:rFonts w:hint="eastAsia" w:hAnsi="宋体" w:cs="宋体"/>
          <w:color w:val="auto"/>
          <w:sz w:val="21"/>
          <w:szCs w:val="21"/>
          <w:highlight w:val="none"/>
        </w:rPr>
        <w:t>财政会计报表分析。</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实现单位会计报表的浏览分析，按照年度、月份、报表种类、报表名称等条件进行查询条件过滤。如资产负债表、财政收入支出明细表需要按照单位会计对外出具的报表格式进行数据展现。提供查询、打印、导出、报表展示等操作。</w:t>
      </w:r>
    </w:p>
    <w:p>
      <w:pPr>
        <w:numPr>
          <w:ilvl w:val="0"/>
          <w:numId w:val="8"/>
        </w:numPr>
        <w:autoSpaceDE/>
        <w:autoSpaceDN/>
        <w:spacing w:line="500" w:lineRule="exact"/>
        <w:ind w:left="0"/>
        <w:outlineLvl w:val="3"/>
        <w:rPr>
          <w:rFonts w:hAnsi="宋体" w:cs="宋体"/>
          <w:color w:val="auto"/>
          <w:sz w:val="21"/>
          <w:szCs w:val="21"/>
          <w:highlight w:val="none"/>
        </w:rPr>
      </w:pPr>
      <w:r>
        <w:rPr>
          <w:rFonts w:hint="eastAsia" w:hAnsi="宋体" w:cs="宋体"/>
          <w:color w:val="auto"/>
          <w:sz w:val="21"/>
          <w:szCs w:val="21"/>
          <w:highlight w:val="none"/>
        </w:rPr>
        <w:t>行政审批件分析。</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实现行政审批件的数据分析，按照事项名称、审批日期、事项内容、审批人等条件进行过滤。点击数据行可以下钻具体的审批件详情提供查询、导出、打印等操作。</w:t>
      </w:r>
    </w:p>
    <w:p>
      <w:pPr>
        <w:numPr>
          <w:ilvl w:val="0"/>
          <w:numId w:val="8"/>
        </w:numPr>
        <w:autoSpaceDE/>
        <w:autoSpaceDN/>
        <w:spacing w:line="500" w:lineRule="exact"/>
        <w:ind w:left="0"/>
        <w:outlineLvl w:val="3"/>
        <w:rPr>
          <w:rFonts w:hAnsi="宋体" w:cs="宋体"/>
          <w:color w:val="auto"/>
          <w:sz w:val="21"/>
          <w:szCs w:val="21"/>
          <w:highlight w:val="none"/>
        </w:rPr>
      </w:pPr>
      <w:r>
        <w:rPr>
          <w:rFonts w:hint="eastAsia" w:hAnsi="宋体" w:cs="宋体"/>
          <w:color w:val="auto"/>
          <w:sz w:val="21"/>
          <w:szCs w:val="21"/>
          <w:highlight w:val="none"/>
        </w:rPr>
        <w:t>审批办件量分析。</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提供行政审批历史年的审批办件量的数据分析，可以按照办件事项类型、办件日期区间等条件进行数据过滤。提供查询、导出、打印等操作。</w:t>
      </w:r>
    </w:p>
    <w:p>
      <w:pPr>
        <w:numPr>
          <w:ilvl w:val="255"/>
          <w:numId w:val="0"/>
        </w:numPr>
        <w:autoSpaceDE/>
        <w:autoSpaceDN/>
        <w:spacing w:line="500" w:lineRule="exact"/>
        <w:ind w:firstLine="420" w:firstLineChars="200"/>
        <w:rPr>
          <w:rFonts w:hAnsi="宋体" w:cs="宋体"/>
          <w:b/>
          <w:bCs/>
          <w:color w:val="auto"/>
          <w:sz w:val="21"/>
          <w:szCs w:val="21"/>
          <w:highlight w:val="none"/>
        </w:rPr>
      </w:pPr>
      <w:r>
        <w:rPr>
          <w:rFonts w:hint="eastAsia" w:hAnsi="宋体" w:cs="宋体"/>
          <w:color w:val="auto"/>
          <w:sz w:val="21"/>
          <w:szCs w:val="21"/>
          <w:highlight w:val="none"/>
        </w:rPr>
        <w:t>7.</w:t>
      </w:r>
      <w:r>
        <w:rPr>
          <w:rFonts w:hint="eastAsia" w:hAnsi="宋体" w:cs="宋体"/>
          <w:b/>
          <w:bCs/>
          <w:color w:val="auto"/>
          <w:sz w:val="21"/>
          <w:szCs w:val="21"/>
          <w:highlight w:val="none"/>
        </w:rPr>
        <w:t>共同富裕</w:t>
      </w:r>
    </w:p>
    <w:p>
      <w:pPr>
        <w:numPr>
          <w:ilvl w:val="255"/>
          <w:numId w:val="0"/>
        </w:numPr>
        <w:autoSpaceDE/>
        <w:autoSpaceDN/>
        <w:spacing w:line="500" w:lineRule="exact"/>
        <w:outlineLvl w:val="4"/>
        <w:rPr>
          <w:rFonts w:hAnsi="宋体" w:cs="宋体"/>
          <w:color w:val="auto"/>
          <w:sz w:val="21"/>
          <w:szCs w:val="21"/>
          <w:highlight w:val="none"/>
        </w:rPr>
      </w:pPr>
      <w:r>
        <w:rPr>
          <w:rFonts w:hint="eastAsia" w:hAnsi="宋体" w:cs="宋体"/>
          <w:color w:val="auto"/>
          <w:sz w:val="21"/>
          <w:szCs w:val="21"/>
          <w:highlight w:val="none"/>
        </w:rPr>
        <w:t>（1）共同富裕数据管理</w:t>
      </w:r>
    </w:p>
    <w:p>
      <w:pPr>
        <w:pStyle w:val="6"/>
        <w:spacing w:line="500" w:lineRule="exact"/>
        <w:rPr>
          <w:rFonts w:ascii="宋体" w:hAnsi="宋体" w:cs="宋体"/>
          <w:color w:val="auto"/>
          <w:szCs w:val="21"/>
          <w:highlight w:val="none"/>
        </w:rPr>
      </w:pPr>
      <w:r>
        <w:rPr>
          <w:rFonts w:hint="eastAsia" w:ascii="宋体" w:hAnsi="宋体" w:cs="宋体"/>
          <w:color w:val="auto"/>
          <w:szCs w:val="21"/>
          <w:highlight w:val="none"/>
        </w:rPr>
        <w:t>实现政策数据、家庭受益人基础数据、家庭受益人医保年度缴纳数据、家庭受益人医保就医明细数据、受益人医保补助申请及补助兑现清册数据的数据导入。提供数据导入、数据删除、数据列表查询、数据导出等操作。</w:t>
      </w:r>
    </w:p>
    <w:p>
      <w:pPr>
        <w:numPr>
          <w:ilvl w:val="255"/>
          <w:numId w:val="0"/>
        </w:numPr>
        <w:autoSpaceDE/>
        <w:autoSpaceDN/>
        <w:spacing w:line="500" w:lineRule="exact"/>
        <w:outlineLvl w:val="4"/>
        <w:rPr>
          <w:rFonts w:hAnsi="宋体" w:cs="宋体"/>
          <w:color w:val="auto"/>
          <w:sz w:val="21"/>
          <w:szCs w:val="21"/>
          <w:highlight w:val="none"/>
        </w:rPr>
      </w:pPr>
      <w:r>
        <w:rPr>
          <w:rFonts w:hint="eastAsia" w:hAnsi="宋体" w:cs="宋体"/>
          <w:color w:val="auto"/>
          <w:sz w:val="21"/>
          <w:szCs w:val="21"/>
          <w:highlight w:val="none"/>
        </w:rPr>
        <w:t>（2）共富政策分析</w:t>
      </w:r>
    </w:p>
    <w:p>
      <w:pPr>
        <w:pStyle w:val="6"/>
        <w:spacing w:line="500" w:lineRule="exact"/>
        <w:rPr>
          <w:rFonts w:ascii="宋体" w:hAnsi="宋体" w:cs="宋体"/>
          <w:color w:val="auto"/>
          <w:szCs w:val="21"/>
          <w:highlight w:val="none"/>
        </w:rPr>
      </w:pPr>
      <w:r>
        <w:rPr>
          <w:rFonts w:hint="eastAsia" w:ascii="宋体" w:hAnsi="宋体" w:cs="宋体"/>
          <w:color w:val="auto"/>
          <w:szCs w:val="21"/>
          <w:highlight w:val="none"/>
        </w:rPr>
        <w:t>提供政策的查询分析，可以根据政策的条件进行过滤数据。可以按照县市区划、政策、家庭户分布区间等多种条件进行分析，设计上支持大市和县市的数据统计分析。</w:t>
      </w:r>
    </w:p>
    <w:p>
      <w:pPr>
        <w:numPr>
          <w:ilvl w:val="255"/>
          <w:numId w:val="0"/>
        </w:numPr>
        <w:autoSpaceDE/>
        <w:autoSpaceDN/>
        <w:spacing w:line="500" w:lineRule="exact"/>
        <w:outlineLvl w:val="4"/>
        <w:rPr>
          <w:rFonts w:hAnsi="宋体" w:cs="宋体"/>
          <w:color w:val="auto"/>
          <w:sz w:val="21"/>
          <w:szCs w:val="21"/>
          <w:highlight w:val="none"/>
        </w:rPr>
      </w:pPr>
      <w:r>
        <w:rPr>
          <w:rFonts w:hint="eastAsia" w:hAnsi="宋体" w:cs="宋体"/>
          <w:color w:val="auto"/>
          <w:sz w:val="21"/>
          <w:szCs w:val="21"/>
          <w:highlight w:val="none"/>
        </w:rPr>
        <w:t>（3）政策受益情况分析</w:t>
      </w:r>
    </w:p>
    <w:p>
      <w:pPr>
        <w:pStyle w:val="6"/>
        <w:spacing w:line="500" w:lineRule="exact"/>
        <w:rPr>
          <w:rFonts w:ascii="宋体" w:hAnsi="宋体" w:cs="宋体"/>
          <w:color w:val="auto"/>
          <w:szCs w:val="21"/>
          <w:highlight w:val="none"/>
        </w:rPr>
      </w:pPr>
      <w:r>
        <w:rPr>
          <w:rFonts w:hint="eastAsia" w:ascii="宋体" w:hAnsi="宋体" w:cs="宋体"/>
          <w:color w:val="auto"/>
          <w:szCs w:val="21"/>
          <w:highlight w:val="none"/>
        </w:rPr>
        <w:t>实现政策受益情况的数据分析，可以按照大市、县市、受益家庭类型等条件进行分析。提供查询、打印、导出等操作。</w:t>
      </w:r>
    </w:p>
    <w:p>
      <w:pPr>
        <w:numPr>
          <w:ilvl w:val="255"/>
          <w:numId w:val="0"/>
        </w:numPr>
        <w:autoSpaceDE/>
        <w:autoSpaceDN/>
        <w:spacing w:line="500" w:lineRule="exact"/>
        <w:outlineLvl w:val="4"/>
        <w:rPr>
          <w:rFonts w:hAnsi="宋体" w:cs="宋体"/>
          <w:color w:val="auto"/>
          <w:sz w:val="21"/>
          <w:szCs w:val="21"/>
          <w:highlight w:val="none"/>
        </w:rPr>
      </w:pPr>
      <w:r>
        <w:rPr>
          <w:rFonts w:hint="eastAsia" w:hAnsi="宋体" w:cs="宋体"/>
          <w:color w:val="auto"/>
          <w:sz w:val="21"/>
          <w:szCs w:val="21"/>
          <w:highlight w:val="none"/>
        </w:rPr>
        <w:t>（4）扩中家庭库接口</w:t>
      </w:r>
    </w:p>
    <w:p>
      <w:pPr>
        <w:pStyle w:val="6"/>
        <w:spacing w:line="500" w:lineRule="exact"/>
        <w:rPr>
          <w:rFonts w:ascii="宋体" w:hAnsi="宋体" w:cs="宋体"/>
          <w:color w:val="auto"/>
          <w:szCs w:val="21"/>
          <w:highlight w:val="none"/>
        </w:rPr>
      </w:pPr>
      <w:r>
        <w:rPr>
          <w:rFonts w:hint="eastAsia" w:ascii="宋体" w:hAnsi="宋体" w:cs="宋体"/>
          <w:color w:val="auto"/>
          <w:szCs w:val="21"/>
          <w:highlight w:val="none"/>
        </w:rPr>
        <w:t>实现提供扩中家庭库接口的对接开发，提供标准的扩展家庭的数据共享接口，功能包括：token获取、数据获取接口等。</w:t>
      </w:r>
    </w:p>
    <w:p>
      <w:pPr>
        <w:numPr>
          <w:ilvl w:val="255"/>
          <w:numId w:val="0"/>
        </w:numPr>
        <w:autoSpaceDE/>
        <w:autoSpaceDN/>
        <w:spacing w:line="500" w:lineRule="exact"/>
        <w:outlineLvl w:val="4"/>
        <w:rPr>
          <w:rFonts w:hAnsi="宋体" w:cs="宋体"/>
          <w:color w:val="auto"/>
          <w:sz w:val="21"/>
          <w:szCs w:val="21"/>
          <w:highlight w:val="none"/>
        </w:rPr>
      </w:pPr>
      <w:r>
        <w:rPr>
          <w:rFonts w:hint="eastAsia" w:hAnsi="宋体" w:cs="宋体"/>
          <w:color w:val="auto"/>
          <w:sz w:val="21"/>
          <w:szCs w:val="21"/>
          <w:highlight w:val="none"/>
        </w:rPr>
        <w:t>（5）共富驾驶舱</w:t>
      </w:r>
    </w:p>
    <w:p>
      <w:pPr>
        <w:pStyle w:val="6"/>
        <w:spacing w:line="500" w:lineRule="exact"/>
        <w:rPr>
          <w:rFonts w:ascii="宋体" w:hAnsi="宋体" w:cs="宋体"/>
          <w:color w:val="auto"/>
          <w:szCs w:val="21"/>
          <w:highlight w:val="none"/>
        </w:rPr>
      </w:pPr>
      <w:r>
        <w:rPr>
          <w:rFonts w:hint="eastAsia" w:ascii="宋体" w:hAnsi="宋体" w:cs="宋体"/>
          <w:color w:val="auto"/>
          <w:szCs w:val="21"/>
          <w:highlight w:val="none"/>
        </w:rPr>
        <w:t>实现共同富裕驾驶舱的数据展示，从共同富裕区域分布地图、共同富裕排名及共同富裕态势图等多个维度信息分析，相关的图形数据可以进行数据下钻分析。</w:t>
      </w:r>
    </w:p>
    <w:p>
      <w:pPr>
        <w:numPr>
          <w:ilvl w:val="255"/>
          <w:numId w:val="0"/>
        </w:numPr>
        <w:autoSpaceDE/>
        <w:autoSpaceDN/>
        <w:outlineLvl w:val="3"/>
        <w:rPr>
          <w:rFonts w:hAnsi="宋体" w:cs="宋体"/>
          <w:b/>
          <w:bCs/>
          <w:color w:val="auto"/>
          <w:sz w:val="21"/>
          <w:szCs w:val="21"/>
          <w:highlight w:val="none"/>
        </w:rPr>
      </w:pPr>
      <w:r>
        <w:rPr>
          <w:rFonts w:hint="eastAsia" w:hAnsi="宋体" w:cs="宋体"/>
          <w:b/>
          <w:bCs/>
          <w:color w:val="auto"/>
          <w:sz w:val="21"/>
          <w:szCs w:val="21"/>
          <w:highlight w:val="none"/>
        </w:rPr>
        <w:t>8.IRS数据共享</w:t>
      </w:r>
    </w:p>
    <w:tbl>
      <w:tblPr>
        <w:tblStyle w:val="46"/>
        <w:tblW w:w="10224" w:type="dxa"/>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264"/>
        <w:gridCol w:w="1638"/>
        <w:gridCol w:w="750"/>
        <w:gridCol w:w="1095"/>
        <w:gridCol w:w="1710"/>
        <w:gridCol w:w="1275"/>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blHeader/>
        </w:trPr>
        <w:tc>
          <w:tcPr>
            <w:tcW w:w="833" w:type="dxa"/>
            <w:vAlign w:val="center"/>
          </w:tcPr>
          <w:p>
            <w:pPr>
              <w:pStyle w:val="158"/>
              <w:spacing w:line="500" w:lineRule="exact"/>
              <w:rPr>
                <w:rFonts w:ascii="宋体" w:hAnsi="宋体" w:cs="宋体"/>
                <w:color w:val="auto"/>
                <w:kern w:val="0"/>
                <w:sz w:val="21"/>
                <w:highlight w:val="none"/>
              </w:rPr>
            </w:pPr>
            <w:r>
              <w:rPr>
                <w:rFonts w:hint="eastAsia" w:ascii="宋体" w:hAnsi="宋体" w:cs="宋体"/>
                <w:color w:val="auto"/>
                <w:kern w:val="0"/>
                <w:sz w:val="21"/>
                <w:highlight w:val="none"/>
              </w:rPr>
              <w:t>序号</w:t>
            </w:r>
          </w:p>
        </w:tc>
        <w:tc>
          <w:tcPr>
            <w:tcW w:w="1264" w:type="dxa"/>
            <w:vAlign w:val="center"/>
          </w:tcPr>
          <w:p>
            <w:pPr>
              <w:pStyle w:val="158"/>
              <w:spacing w:line="500" w:lineRule="exact"/>
              <w:rPr>
                <w:rFonts w:ascii="宋体" w:hAnsi="宋体" w:cs="宋体"/>
                <w:color w:val="auto"/>
                <w:kern w:val="0"/>
                <w:sz w:val="21"/>
                <w:highlight w:val="none"/>
              </w:rPr>
            </w:pPr>
            <w:r>
              <w:rPr>
                <w:rFonts w:hint="eastAsia" w:ascii="宋体" w:hAnsi="宋体" w:cs="宋体"/>
                <w:color w:val="auto"/>
                <w:kern w:val="0"/>
                <w:sz w:val="21"/>
                <w:highlight w:val="none"/>
              </w:rPr>
              <w:t>数据内容</w:t>
            </w:r>
          </w:p>
        </w:tc>
        <w:tc>
          <w:tcPr>
            <w:tcW w:w="1638" w:type="dxa"/>
            <w:vAlign w:val="center"/>
          </w:tcPr>
          <w:p>
            <w:pPr>
              <w:pStyle w:val="158"/>
              <w:spacing w:line="500" w:lineRule="exact"/>
              <w:rPr>
                <w:rFonts w:ascii="宋体" w:hAnsi="宋体" w:cs="宋体"/>
                <w:color w:val="auto"/>
                <w:kern w:val="0"/>
                <w:sz w:val="21"/>
                <w:highlight w:val="none"/>
              </w:rPr>
            </w:pPr>
            <w:r>
              <w:rPr>
                <w:rFonts w:hint="eastAsia" w:ascii="宋体" w:hAnsi="宋体" w:cs="宋体"/>
                <w:color w:val="auto"/>
                <w:kern w:val="0"/>
                <w:sz w:val="21"/>
                <w:highlight w:val="none"/>
              </w:rPr>
              <w:t>数据项</w:t>
            </w:r>
          </w:p>
        </w:tc>
        <w:tc>
          <w:tcPr>
            <w:tcW w:w="750" w:type="dxa"/>
            <w:vAlign w:val="center"/>
          </w:tcPr>
          <w:p>
            <w:pPr>
              <w:pStyle w:val="158"/>
              <w:spacing w:line="500" w:lineRule="exact"/>
              <w:rPr>
                <w:rFonts w:ascii="宋体" w:hAnsi="宋体" w:cs="宋体"/>
                <w:color w:val="auto"/>
                <w:kern w:val="0"/>
                <w:sz w:val="21"/>
                <w:highlight w:val="none"/>
              </w:rPr>
            </w:pPr>
            <w:r>
              <w:rPr>
                <w:rFonts w:hint="eastAsia" w:ascii="宋体" w:hAnsi="宋体" w:cs="宋体"/>
                <w:color w:val="auto"/>
                <w:kern w:val="0"/>
                <w:sz w:val="21"/>
                <w:highlight w:val="none"/>
              </w:rPr>
              <w:t>数源部门</w:t>
            </w:r>
          </w:p>
        </w:tc>
        <w:tc>
          <w:tcPr>
            <w:tcW w:w="1095" w:type="dxa"/>
            <w:vAlign w:val="center"/>
          </w:tcPr>
          <w:p>
            <w:pPr>
              <w:pStyle w:val="158"/>
              <w:spacing w:line="500" w:lineRule="exact"/>
              <w:rPr>
                <w:rFonts w:ascii="宋体" w:hAnsi="宋体" w:cs="宋体"/>
                <w:color w:val="auto"/>
                <w:kern w:val="0"/>
                <w:sz w:val="21"/>
                <w:highlight w:val="none"/>
              </w:rPr>
            </w:pPr>
            <w:r>
              <w:rPr>
                <w:rFonts w:hint="eastAsia" w:ascii="宋体" w:hAnsi="宋体" w:cs="宋体"/>
                <w:color w:val="auto"/>
                <w:kern w:val="0"/>
                <w:sz w:val="21"/>
                <w:highlight w:val="none"/>
              </w:rPr>
              <w:t>类型</w:t>
            </w:r>
          </w:p>
        </w:tc>
        <w:tc>
          <w:tcPr>
            <w:tcW w:w="1710" w:type="dxa"/>
            <w:vAlign w:val="center"/>
          </w:tcPr>
          <w:p>
            <w:pPr>
              <w:pStyle w:val="158"/>
              <w:spacing w:line="500" w:lineRule="exact"/>
              <w:rPr>
                <w:rFonts w:ascii="宋体" w:hAnsi="宋体" w:cs="宋体"/>
                <w:color w:val="auto"/>
                <w:kern w:val="0"/>
                <w:sz w:val="21"/>
                <w:highlight w:val="none"/>
              </w:rPr>
            </w:pPr>
            <w:r>
              <w:rPr>
                <w:rFonts w:hint="eastAsia" w:ascii="宋体" w:hAnsi="宋体" w:cs="宋体"/>
                <w:color w:val="auto"/>
                <w:kern w:val="0"/>
                <w:sz w:val="21"/>
                <w:highlight w:val="none"/>
              </w:rPr>
              <w:t>存储位置</w:t>
            </w:r>
          </w:p>
        </w:tc>
        <w:tc>
          <w:tcPr>
            <w:tcW w:w="1275" w:type="dxa"/>
            <w:vAlign w:val="center"/>
          </w:tcPr>
          <w:p>
            <w:pPr>
              <w:pStyle w:val="158"/>
              <w:spacing w:line="500" w:lineRule="exact"/>
              <w:rPr>
                <w:rFonts w:ascii="宋体" w:hAnsi="宋体" w:cs="宋体"/>
                <w:color w:val="auto"/>
                <w:kern w:val="0"/>
                <w:sz w:val="21"/>
                <w:highlight w:val="none"/>
              </w:rPr>
            </w:pPr>
            <w:r>
              <w:rPr>
                <w:rFonts w:hint="eastAsia" w:ascii="宋体" w:hAnsi="宋体" w:cs="宋体"/>
                <w:color w:val="auto"/>
                <w:kern w:val="0"/>
                <w:sz w:val="21"/>
                <w:highlight w:val="none"/>
              </w:rPr>
              <w:t>共享方式</w:t>
            </w:r>
          </w:p>
        </w:tc>
        <w:tc>
          <w:tcPr>
            <w:tcW w:w="1659" w:type="dxa"/>
            <w:vAlign w:val="center"/>
          </w:tcPr>
          <w:p>
            <w:pPr>
              <w:pStyle w:val="158"/>
              <w:spacing w:line="500" w:lineRule="exact"/>
              <w:rPr>
                <w:rFonts w:ascii="宋体" w:hAnsi="宋体" w:cs="宋体"/>
                <w:color w:val="auto"/>
                <w:kern w:val="0"/>
                <w:sz w:val="21"/>
                <w:highlight w:val="none"/>
              </w:rPr>
            </w:pPr>
            <w:r>
              <w:rPr>
                <w:rFonts w:hint="eastAsia" w:ascii="宋体" w:hAnsi="宋体" w:cs="宋体"/>
                <w:color w:val="auto"/>
                <w:kern w:val="0"/>
                <w:sz w:val="21"/>
                <w:highlight w:val="none"/>
              </w:rPr>
              <w:t>更新周期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3" w:type="dxa"/>
            <w:vAlign w:val="center"/>
          </w:tcPr>
          <w:p>
            <w:pPr>
              <w:widowControl/>
              <w:spacing w:line="500" w:lineRule="exact"/>
              <w:jc w:val="center"/>
              <w:textAlignment w:val="center"/>
              <w:rPr>
                <w:rFonts w:hAnsi="宋体" w:cs="宋体"/>
                <w:b/>
                <w:color w:val="auto"/>
                <w:sz w:val="21"/>
                <w:szCs w:val="21"/>
                <w:highlight w:val="none"/>
              </w:rPr>
            </w:pPr>
            <w:r>
              <w:rPr>
                <w:rFonts w:hint="eastAsia" w:hAnsi="宋体" w:cs="宋体"/>
                <w:color w:val="auto"/>
                <w:sz w:val="21"/>
                <w:szCs w:val="21"/>
                <w:highlight w:val="none"/>
              </w:rPr>
              <w:t>1</w:t>
            </w:r>
          </w:p>
        </w:tc>
        <w:tc>
          <w:tcPr>
            <w:tcW w:w="1264" w:type="dxa"/>
            <w:vAlign w:val="center"/>
          </w:tcPr>
          <w:p>
            <w:pPr>
              <w:widowControl/>
              <w:spacing w:line="500" w:lineRule="exact"/>
              <w:jc w:val="center"/>
              <w:textAlignment w:val="center"/>
              <w:rPr>
                <w:rFonts w:hAnsi="宋体" w:cs="宋体"/>
                <w:b/>
                <w:color w:val="auto"/>
                <w:sz w:val="21"/>
                <w:szCs w:val="21"/>
                <w:highlight w:val="none"/>
              </w:rPr>
            </w:pPr>
            <w:r>
              <w:rPr>
                <w:rFonts w:hint="eastAsia" w:hAnsi="宋体" w:cs="宋体"/>
                <w:color w:val="auto"/>
                <w:sz w:val="21"/>
                <w:szCs w:val="21"/>
                <w:highlight w:val="none"/>
              </w:rPr>
              <w:t>单位预算批复公开信息</w:t>
            </w:r>
          </w:p>
        </w:tc>
        <w:tc>
          <w:tcPr>
            <w:tcW w:w="1638" w:type="dxa"/>
            <w:vAlign w:val="center"/>
          </w:tcPr>
          <w:p>
            <w:pPr>
              <w:widowControl/>
              <w:spacing w:line="500" w:lineRule="exact"/>
              <w:jc w:val="center"/>
              <w:textAlignment w:val="center"/>
              <w:rPr>
                <w:rFonts w:hAnsi="宋体" w:cs="宋体"/>
                <w:b/>
                <w:color w:val="auto"/>
                <w:sz w:val="21"/>
                <w:szCs w:val="21"/>
                <w:highlight w:val="none"/>
              </w:rPr>
            </w:pPr>
            <w:r>
              <w:rPr>
                <w:rFonts w:hint="eastAsia" w:hAnsi="宋体" w:cs="宋体"/>
                <w:color w:val="auto"/>
                <w:sz w:val="21"/>
                <w:szCs w:val="21"/>
                <w:highlight w:val="none"/>
              </w:rPr>
              <w:t>单位信息、预算批复明细数据</w:t>
            </w:r>
          </w:p>
        </w:tc>
        <w:tc>
          <w:tcPr>
            <w:tcW w:w="750" w:type="dxa"/>
            <w:vAlign w:val="center"/>
          </w:tcPr>
          <w:p>
            <w:pPr>
              <w:widowControl/>
              <w:spacing w:line="500" w:lineRule="exact"/>
              <w:jc w:val="both"/>
              <w:textAlignment w:val="center"/>
              <w:rPr>
                <w:rFonts w:hAnsi="宋体" w:cs="宋体"/>
                <w:b/>
                <w:color w:val="auto"/>
                <w:sz w:val="21"/>
                <w:szCs w:val="21"/>
                <w:highlight w:val="none"/>
              </w:rPr>
            </w:pPr>
            <w:r>
              <w:rPr>
                <w:rFonts w:hint="eastAsia" w:hAnsi="宋体" w:cs="宋体"/>
                <w:color w:val="auto"/>
                <w:sz w:val="21"/>
                <w:szCs w:val="21"/>
                <w:highlight w:val="none"/>
              </w:rPr>
              <w:t>财政部门</w:t>
            </w:r>
          </w:p>
        </w:tc>
        <w:tc>
          <w:tcPr>
            <w:tcW w:w="1095" w:type="dxa"/>
            <w:vAlign w:val="center"/>
          </w:tcPr>
          <w:p>
            <w:pPr>
              <w:widowControl/>
              <w:spacing w:line="500" w:lineRule="exact"/>
              <w:jc w:val="center"/>
              <w:textAlignment w:val="center"/>
              <w:rPr>
                <w:rFonts w:hAnsi="宋体" w:cs="宋体"/>
                <w:b/>
                <w:color w:val="auto"/>
                <w:sz w:val="21"/>
                <w:szCs w:val="21"/>
                <w:highlight w:val="none"/>
              </w:rPr>
            </w:pPr>
            <w:r>
              <w:rPr>
                <w:rFonts w:hint="eastAsia" w:hAnsi="宋体" w:cs="宋体"/>
                <w:color w:val="auto"/>
                <w:sz w:val="21"/>
                <w:szCs w:val="21"/>
                <w:highlight w:val="none"/>
              </w:rPr>
              <w:t>数据库表</w:t>
            </w:r>
          </w:p>
        </w:tc>
        <w:tc>
          <w:tcPr>
            <w:tcW w:w="1710" w:type="dxa"/>
            <w:vAlign w:val="center"/>
          </w:tcPr>
          <w:p>
            <w:pPr>
              <w:widowControl/>
              <w:spacing w:line="500" w:lineRule="exact"/>
              <w:jc w:val="center"/>
              <w:textAlignment w:val="center"/>
              <w:rPr>
                <w:rFonts w:hAnsi="宋体" w:cs="宋体"/>
                <w:b/>
                <w:color w:val="auto"/>
                <w:sz w:val="21"/>
                <w:szCs w:val="21"/>
                <w:highlight w:val="none"/>
              </w:rPr>
            </w:pPr>
            <w:r>
              <w:rPr>
                <w:rFonts w:hint="eastAsia" w:hAnsi="宋体" w:cs="宋体"/>
                <w:color w:val="auto"/>
                <w:sz w:val="21"/>
                <w:szCs w:val="21"/>
                <w:highlight w:val="none"/>
              </w:rPr>
              <w:t>财政深化应用分析数据仓</w:t>
            </w:r>
          </w:p>
        </w:tc>
        <w:tc>
          <w:tcPr>
            <w:tcW w:w="1275" w:type="dxa"/>
            <w:vAlign w:val="center"/>
          </w:tcPr>
          <w:p>
            <w:pPr>
              <w:widowControl/>
              <w:spacing w:line="500" w:lineRule="exact"/>
              <w:jc w:val="center"/>
              <w:textAlignment w:val="center"/>
              <w:rPr>
                <w:rFonts w:hAnsi="宋体" w:cs="宋体"/>
                <w:b/>
                <w:color w:val="auto"/>
                <w:sz w:val="21"/>
                <w:szCs w:val="21"/>
                <w:highlight w:val="none"/>
              </w:rPr>
            </w:pPr>
            <w:r>
              <w:rPr>
                <w:rFonts w:hint="eastAsia" w:hAnsi="宋体" w:cs="宋体"/>
                <w:color w:val="auto"/>
                <w:sz w:val="21"/>
                <w:szCs w:val="21"/>
                <w:highlight w:val="none"/>
              </w:rPr>
              <w:t>库表、数据接口</w:t>
            </w:r>
          </w:p>
        </w:tc>
        <w:tc>
          <w:tcPr>
            <w:tcW w:w="1659" w:type="dxa"/>
            <w:vAlign w:val="center"/>
          </w:tcPr>
          <w:p>
            <w:pPr>
              <w:widowControl/>
              <w:spacing w:line="500" w:lineRule="exact"/>
              <w:jc w:val="center"/>
              <w:textAlignment w:val="center"/>
              <w:rPr>
                <w:rFonts w:hAnsi="宋体" w:cs="宋体"/>
                <w:b/>
                <w:color w:val="auto"/>
                <w:sz w:val="21"/>
                <w:szCs w:val="21"/>
                <w:highlight w:val="none"/>
              </w:rPr>
            </w:pPr>
            <w:r>
              <w:rPr>
                <w:rFonts w:hint="eastAsia" w:hAnsi="宋体" w:cs="宋体"/>
                <w:color w:val="auto"/>
                <w:sz w:val="21"/>
                <w:szCs w:val="21"/>
                <w:highlight w:val="none"/>
              </w:rPr>
              <w:t>定期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3" w:type="dxa"/>
            <w:vAlign w:val="center"/>
          </w:tcPr>
          <w:p>
            <w:pPr>
              <w:widowControl/>
              <w:spacing w:line="500" w:lineRule="exact"/>
              <w:jc w:val="center"/>
              <w:textAlignment w:val="center"/>
              <w:rPr>
                <w:rFonts w:hAnsi="宋体" w:cs="宋体"/>
                <w:b/>
                <w:color w:val="auto"/>
                <w:sz w:val="21"/>
                <w:szCs w:val="21"/>
                <w:highlight w:val="none"/>
              </w:rPr>
            </w:pPr>
            <w:r>
              <w:rPr>
                <w:rFonts w:hint="eastAsia" w:hAnsi="宋体" w:cs="宋体"/>
                <w:color w:val="auto"/>
                <w:sz w:val="21"/>
                <w:szCs w:val="21"/>
                <w:highlight w:val="none"/>
              </w:rPr>
              <w:t>2</w:t>
            </w:r>
          </w:p>
        </w:tc>
        <w:tc>
          <w:tcPr>
            <w:tcW w:w="1264" w:type="dxa"/>
            <w:vAlign w:val="center"/>
          </w:tcPr>
          <w:p>
            <w:pPr>
              <w:widowControl/>
              <w:spacing w:line="500" w:lineRule="exact"/>
              <w:jc w:val="center"/>
              <w:textAlignment w:val="center"/>
              <w:rPr>
                <w:rFonts w:hAnsi="宋体" w:cs="宋体"/>
                <w:b/>
                <w:color w:val="auto"/>
                <w:sz w:val="21"/>
                <w:szCs w:val="21"/>
                <w:highlight w:val="none"/>
              </w:rPr>
            </w:pPr>
            <w:r>
              <w:rPr>
                <w:rFonts w:hint="eastAsia" w:hAnsi="宋体" w:cs="宋体"/>
                <w:color w:val="auto"/>
                <w:sz w:val="21"/>
                <w:szCs w:val="21"/>
                <w:highlight w:val="none"/>
              </w:rPr>
              <w:t>单位财务公开数据</w:t>
            </w:r>
          </w:p>
        </w:tc>
        <w:tc>
          <w:tcPr>
            <w:tcW w:w="1638" w:type="dxa"/>
            <w:vAlign w:val="center"/>
          </w:tcPr>
          <w:p>
            <w:pPr>
              <w:widowControl/>
              <w:spacing w:line="500" w:lineRule="exact"/>
              <w:jc w:val="center"/>
              <w:textAlignment w:val="center"/>
              <w:rPr>
                <w:rFonts w:hAnsi="宋体" w:cs="宋体"/>
                <w:b/>
                <w:color w:val="auto"/>
                <w:sz w:val="21"/>
                <w:szCs w:val="21"/>
                <w:highlight w:val="none"/>
              </w:rPr>
            </w:pPr>
            <w:r>
              <w:rPr>
                <w:rFonts w:hint="eastAsia" w:hAnsi="宋体" w:cs="宋体"/>
                <w:color w:val="auto"/>
                <w:sz w:val="21"/>
                <w:szCs w:val="21"/>
                <w:highlight w:val="none"/>
              </w:rPr>
              <w:t>单位信息、年度、财务公开事项、财务公开明细数据等</w:t>
            </w:r>
          </w:p>
        </w:tc>
        <w:tc>
          <w:tcPr>
            <w:tcW w:w="750" w:type="dxa"/>
            <w:vAlign w:val="center"/>
          </w:tcPr>
          <w:p>
            <w:pPr>
              <w:widowControl/>
              <w:spacing w:line="500" w:lineRule="exact"/>
              <w:jc w:val="center"/>
              <w:textAlignment w:val="center"/>
              <w:rPr>
                <w:rFonts w:hAnsi="宋体" w:cs="宋体"/>
                <w:b/>
                <w:color w:val="auto"/>
                <w:sz w:val="21"/>
                <w:szCs w:val="21"/>
                <w:highlight w:val="none"/>
              </w:rPr>
            </w:pPr>
            <w:r>
              <w:rPr>
                <w:rFonts w:hint="eastAsia" w:hAnsi="宋体" w:cs="宋体"/>
                <w:color w:val="auto"/>
                <w:sz w:val="21"/>
                <w:szCs w:val="21"/>
                <w:highlight w:val="none"/>
              </w:rPr>
              <w:t>财政部门</w:t>
            </w:r>
          </w:p>
        </w:tc>
        <w:tc>
          <w:tcPr>
            <w:tcW w:w="1095" w:type="dxa"/>
            <w:vAlign w:val="center"/>
          </w:tcPr>
          <w:p>
            <w:pPr>
              <w:widowControl/>
              <w:spacing w:line="500" w:lineRule="exact"/>
              <w:jc w:val="center"/>
              <w:textAlignment w:val="center"/>
              <w:rPr>
                <w:rFonts w:hAnsi="宋体" w:cs="宋体"/>
                <w:b/>
                <w:color w:val="auto"/>
                <w:sz w:val="21"/>
                <w:szCs w:val="21"/>
                <w:highlight w:val="none"/>
              </w:rPr>
            </w:pPr>
            <w:r>
              <w:rPr>
                <w:rFonts w:hint="eastAsia" w:hAnsi="宋体" w:cs="宋体"/>
                <w:color w:val="auto"/>
                <w:sz w:val="21"/>
                <w:szCs w:val="21"/>
                <w:highlight w:val="none"/>
              </w:rPr>
              <w:t>数据库表</w:t>
            </w:r>
          </w:p>
        </w:tc>
        <w:tc>
          <w:tcPr>
            <w:tcW w:w="1710" w:type="dxa"/>
            <w:vAlign w:val="center"/>
          </w:tcPr>
          <w:p>
            <w:pPr>
              <w:widowControl/>
              <w:spacing w:line="500" w:lineRule="exact"/>
              <w:jc w:val="center"/>
              <w:textAlignment w:val="center"/>
              <w:rPr>
                <w:rFonts w:hAnsi="宋体" w:cs="宋体"/>
                <w:b/>
                <w:color w:val="auto"/>
                <w:sz w:val="21"/>
                <w:szCs w:val="21"/>
                <w:highlight w:val="none"/>
              </w:rPr>
            </w:pPr>
            <w:r>
              <w:rPr>
                <w:rFonts w:hint="eastAsia" w:hAnsi="宋体" w:cs="宋体"/>
                <w:color w:val="auto"/>
                <w:sz w:val="21"/>
                <w:szCs w:val="21"/>
                <w:highlight w:val="none"/>
              </w:rPr>
              <w:t>金华市国土空间基础信息平台数据仓</w:t>
            </w:r>
          </w:p>
        </w:tc>
        <w:tc>
          <w:tcPr>
            <w:tcW w:w="1275" w:type="dxa"/>
            <w:vAlign w:val="center"/>
          </w:tcPr>
          <w:p>
            <w:pPr>
              <w:widowControl/>
              <w:spacing w:line="500" w:lineRule="exact"/>
              <w:jc w:val="center"/>
              <w:textAlignment w:val="center"/>
              <w:rPr>
                <w:rFonts w:hAnsi="宋体" w:cs="宋体"/>
                <w:b/>
                <w:color w:val="auto"/>
                <w:sz w:val="21"/>
                <w:szCs w:val="21"/>
                <w:highlight w:val="none"/>
              </w:rPr>
            </w:pPr>
            <w:r>
              <w:rPr>
                <w:rFonts w:hint="eastAsia" w:hAnsi="宋体" w:cs="宋体"/>
                <w:color w:val="auto"/>
                <w:sz w:val="21"/>
                <w:szCs w:val="21"/>
                <w:highlight w:val="none"/>
              </w:rPr>
              <w:t>库表、数据接口</w:t>
            </w:r>
          </w:p>
        </w:tc>
        <w:tc>
          <w:tcPr>
            <w:tcW w:w="1659" w:type="dxa"/>
            <w:vAlign w:val="center"/>
          </w:tcPr>
          <w:p>
            <w:pPr>
              <w:widowControl/>
              <w:spacing w:line="500" w:lineRule="exact"/>
              <w:jc w:val="center"/>
              <w:textAlignment w:val="center"/>
              <w:rPr>
                <w:rFonts w:hAnsi="宋体" w:cs="宋体"/>
                <w:b/>
                <w:color w:val="auto"/>
                <w:sz w:val="21"/>
                <w:szCs w:val="21"/>
                <w:highlight w:val="none"/>
              </w:rPr>
            </w:pPr>
            <w:r>
              <w:rPr>
                <w:rFonts w:hint="eastAsia" w:hAnsi="宋体" w:cs="宋体"/>
                <w:color w:val="auto"/>
                <w:sz w:val="21"/>
                <w:szCs w:val="21"/>
                <w:highlight w:val="none"/>
              </w:rPr>
              <w:t>定期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3"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3</w:t>
            </w:r>
          </w:p>
        </w:tc>
        <w:tc>
          <w:tcPr>
            <w:tcW w:w="1264"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单位支出数据</w:t>
            </w:r>
          </w:p>
        </w:tc>
        <w:tc>
          <w:tcPr>
            <w:tcW w:w="1638"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单位信息、年度、单位支出明细数据项等</w:t>
            </w:r>
          </w:p>
        </w:tc>
        <w:tc>
          <w:tcPr>
            <w:tcW w:w="750"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财政部门</w:t>
            </w:r>
          </w:p>
        </w:tc>
        <w:tc>
          <w:tcPr>
            <w:tcW w:w="1095"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数据库表</w:t>
            </w:r>
          </w:p>
        </w:tc>
        <w:tc>
          <w:tcPr>
            <w:tcW w:w="1710"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财政深化应用分析数据仓</w:t>
            </w:r>
          </w:p>
        </w:tc>
        <w:tc>
          <w:tcPr>
            <w:tcW w:w="1275"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库表、数据接口</w:t>
            </w:r>
          </w:p>
        </w:tc>
        <w:tc>
          <w:tcPr>
            <w:tcW w:w="1659"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定期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3"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4</w:t>
            </w:r>
          </w:p>
        </w:tc>
        <w:tc>
          <w:tcPr>
            <w:tcW w:w="1264"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单位会计凭证数据</w:t>
            </w:r>
          </w:p>
        </w:tc>
        <w:tc>
          <w:tcPr>
            <w:tcW w:w="1638"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单位信息、会计年度、会计凭证明细数据项等</w:t>
            </w:r>
          </w:p>
        </w:tc>
        <w:tc>
          <w:tcPr>
            <w:tcW w:w="750"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财政部门</w:t>
            </w:r>
          </w:p>
        </w:tc>
        <w:tc>
          <w:tcPr>
            <w:tcW w:w="1095"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数据库表</w:t>
            </w:r>
          </w:p>
        </w:tc>
        <w:tc>
          <w:tcPr>
            <w:tcW w:w="1710"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金华市国土空间基础信息平台数据仓</w:t>
            </w:r>
          </w:p>
        </w:tc>
        <w:tc>
          <w:tcPr>
            <w:tcW w:w="1275"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库表、数据接口</w:t>
            </w:r>
          </w:p>
        </w:tc>
        <w:tc>
          <w:tcPr>
            <w:tcW w:w="1659"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定期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3"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5</w:t>
            </w:r>
          </w:p>
        </w:tc>
        <w:tc>
          <w:tcPr>
            <w:tcW w:w="1264"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单位报表数据</w:t>
            </w:r>
          </w:p>
        </w:tc>
        <w:tc>
          <w:tcPr>
            <w:tcW w:w="1638"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单位信息、报表年度、报表明细数据项等</w:t>
            </w:r>
          </w:p>
        </w:tc>
        <w:tc>
          <w:tcPr>
            <w:tcW w:w="750"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财政部门</w:t>
            </w:r>
          </w:p>
        </w:tc>
        <w:tc>
          <w:tcPr>
            <w:tcW w:w="1095"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数据库表</w:t>
            </w:r>
          </w:p>
        </w:tc>
        <w:tc>
          <w:tcPr>
            <w:tcW w:w="1710"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财政深化应用分析数据仓</w:t>
            </w:r>
          </w:p>
        </w:tc>
        <w:tc>
          <w:tcPr>
            <w:tcW w:w="1275"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库表、数据接口</w:t>
            </w:r>
          </w:p>
        </w:tc>
        <w:tc>
          <w:tcPr>
            <w:tcW w:w="1659"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定期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3"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6</w:t>
            </w:r>
          </w:p>
        </w:tc>
        <w:tc>
          <w:tcPr>
            <w:tcW w:w="1264"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单位预算执行率数据</w:t>
            </w:r>
          </w:p>
        </w:tc>
        <w:tc>
          <w:tcPr>
            <w:tcW w:w="1638"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单位信息、单位指标ID、指标金额、预算项目、资金性质、预算执行率等</w:t>
            </w:r>
          </w:p>
        </w:tc>
        <w:tc>
          <w:tcPr>
            <w:tcW w:w="750"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财政部门</w:t>
            </w:r>
          </w:p>
        </w:tc>
        <w:tc>
          <w:tcPr>
            <w:tcW w:w="1095"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数据库表</w:t>
            </w:r>
          </w:p>
        </w:tc>
        <w:tc>
          <w:tcPr>
            <w:tcW w:w="1710"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金华市国土空间基础信息平台数据仓</w:t>
            </w:r>
          </w:p>
        </w:tc>
        <w:tc>
          <w:tcPr>
            <w:tcW w:w="1275"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库表、数据接口</w:t>
            </w:r>
          </w:p>
        </w:tc>
        <w:tc>
          <w:tcPr>
            <w:tcW w:w="1659"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定期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3"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7</w:t>
            </w:r>
          </w:p>
        </w:tc>
        <w:tc>
          <w:tcPr>
            <w:tcW w:w="1264"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单位流水数据</w:t>
            </w:r>
          </w:p>
        </w:tc>
        <w:tc>
          <w:tcPr>
            <w:tcW w:w="1638"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单位信息、单位流水明细数据项等</w:t>
            </w:r>
          </w:p>
        </w:tc>
        <w:tc>
          <w:tcPr>
            <w:tcW w:w="750"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财政部门</w:t>
            </w:r>
          </w:p>
        </w:tc>
        <w:tc>
          <w:tcPr>
            <w:tcW w:w="1095"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数据库表</w:t>
            </w:r>
          </w:p>
        </w:tc>
        <w:tc>
          <w:tcPr>
            <w:tcW w:w="1710"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财政深化应用分析数据仓</w:t>
            </w:r>
          </w:p>
        </w:tc>
        <w:tc>
          <w:tcPr>
            <w:tcW w:w="1275"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库表、数据接口</w:t>
            </w:r>
          </w:p>
        </w:tc>
        <w:tc>
          <w:tcPr>
            <w:tcW w:w="1659" w:type="dxa"/>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定期</w:t>
            </w:r>
          </w:p>
        </w:tc>
      </w:tr>
    </w:tbl>
    <w:p>
      <w:pPr>
        <w:numPr>
          <w:ilvl w:val="0"/>
          <w:numId w:val="9"/>
        </w:numPr>
        <w:autoSpaceDE/>
        <w:autoSpaceDN/>
        <w:spacing w:line="500" w:lineRule="exact"/>
        <w:outlineLvl w:val="3"/>
        <w:rPr>
          <w:rFonts w:hAnsi="宋体" w:cs="宋体"/>
          <w:color w:val="auto"/>
          <w:sz w:val="21"/>
          <w:szCs w:val="21"/>
          <w:highlight w:val="none"/>
        </w:rPr>
      </w:pPr>
      <w:r>
        <w:rPr>
          <w:rFonts w:hint="eastAsia" w:hAnsi="宋体" w:cs="宋体"/>
          <w:color w:val="auto"/>
          <w:sz w:val="21"/>
          <w:szCs w:val="21"/>
          <w:highlight w:val="none"/>
        </w:rPr>
        <w:t>单位预算批复公开信息接口</w:t>
      </w:r>
    </w:p>
    <w:p>
      <w:pPr>
        <w:numPr>
          <w:ilvl w:val="255"/>
          <w:numId w:val="0"/>
        </w:num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提供单位预算批复的公开信息的IRS共享对接，数据要素包括：预算年度、单位编码、单位名称、项目名称、资金性质、功能科目、部门经济科目、政府经济科目、预算金额、预算级次、指标类型等。数据按天同步数据到IRS平台。</w:t>
      </w:r>
    </w:p>
    <w:p>
      <w:pPr>
        <w:numPr>
          <w:ilvl w:val="0"/>
          <w:numId w:val="9"/>
        </w:numPr>
        <w:autoSpaceDE/>
        <w:autoSpaceDN/>
        <w:spacing w:line="500" w:lineRule="exact"/>
        <w:outlineLvl w:val="3"/>
        <w:rPr>
          <w:rFonts w:hAnsi="宋体" w:cs="宋体"/>
          <w:color w:val="auto"/>
          <w:sz w:val="21"/>
          <w:szCs w:val="21"/>
          <w:highlight w:val="none"/>
        </w:rPr>
      </w:pPr>
      <w:r>
        <w:rPr>
          <w:rFonts w:hint="eastAsia" w:hAnsi="宋体" w:cs="宋体"/>
          <w:color w:val="auto"/>
          <w:sz w:val="21"/>
          <w:szCs w:val="21"/>
          <w:highlight w:val="none"/>
        </w:rPr>
        <w:t>单位财务公开数据接口</w:t>
      </w:r>
    </w:p>
    <w:p>
      <w:pPr>
        <w:numPr>
          <w:ilvl w:val="255"/>
          <w:numId w:val="0"/>
        </w:num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提供单位财务公开表数据的IRS共享对接。数据要素包括：年度、单位编码、单位名称、月份、明细序号、事项名称、事项金额、事项说明等。在数据结构上应支持数据主从分布的机构。数据按天同步数据到IRS平台。</w:t>
      </w:r>
    </w:p>
    <w:p>
      <w:pPr>
        <w:numPr>
          <w:ilvl w:val="0"/>
          <w:numId w:val="9"/>
        </w:numPr>
        <w:autoSpaceDE/>
        <w:autoSpaceDN/>
        <w:spacing w:line="500" w:lineRule="exact"/>
        <w:outlineLvl w:val="3"/>
        <w:rPr>
          <w:rFonts w:hAnsi="宋体" w:cs="宋体"/>
          <w:color w:val="auto"/>
          <w:sz w:val="21"/>
          <w:szCs w:val="21"/>
          <w:highlight w:val="none"/>
        </w:rPr>
      </w:pPr>
      <w:r>
        <w:rPr>
          <w:rFonts w:hint="eastAsia" w:hAnsi="宋体" w:cs="宋体"/>
          <w:color w:val="auto"/>
          <w:sz w:val="21"/>
          <w:szCs w:val="21"/>
          <w:highlight w:val="none"/>
        </w:rPr>
        <w:t>单位支出数据接口</w:t>
      </w:r>
    </w:p>
    <w:p>
      <w:pPr>
        <w:numPr>
          <w:ilvl w:val="255"/>
          <w:numId w:val="0"/>
        </w:num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提供单位支出的数据IRS共享对接，数据要素包括：年度、单位编码、单位名称、月份、支付凭证号码、支付日期、支付用途、明细序号、预算项目、功能科目、部门经济科目、政府经济科目、资金性质、摘要等。在数据结构应支持支出主表和支出明细的主从结构。数据按天同步数据到IRS平台。</w:t>
      </w:r>
    </w:p>
    <w:p>
      <w:pPr>
        <w:numPr>
          <w:ilvl w:val="0"/>
          <w:numId w:val="9"/>
        </w:numPr>
        <w:autoSpaceDE/>
        <w:autoSpaceDN/>
        <w:spacing w:line="500" w:lineRule="exact"/>
        <w:outlineLvl w:val="3"/>
        <w:rPr>
          <w:rFonts w:hAnsi="宋体" w:cs="宋体"/>
          <w:color w:val="auto"/>
          <w:sz w:val="21"/>
          <w:szCs w:val="21"/>
          <w:highlight w:val="none"/>
        </w:rPr>
      </w:pPr>
      <w:r>
        <w:rPr>
          <w:rFonts w:hint="eastAsia" w:hAnsi="宋体" w:cs="宋体"/>
          <w:color w:val="auto"/>
          <w:sz w:val="21"/>
          <w:szCs w:val="21"/>
          <w:highlight w:val="none"/>
        </w:rPr>
        <w:t>单位预算执行率数据接口</w:t>
      </w:r>
    </w:p>
    <w:p>
      <w:pPr>
        <w:numPr>
          <w:ilvl w:val="255"/>
          <w:numId w:val="0"/>
        </w:num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提供单位预算执行率的数据通过IRS共享对接，数据要素包括：单位指标信息、对应支出明细、执行率。数据按天同步数据到IRS平台。</w:t>
      </w:r>
    </w:p>
    <w:p>
      <w:pPr>
        <w:numPr>
          <w:ilvl w:val="0"/>
          <w:numId w:val="9"/>
        </w:numPr>
        <w:autoSpaceDE/>
        <w:autoSpaceDN/>
        <w:spacing w:line="500" w:lineRule="exact"/>
        <w:outlineLvl w:val="3"/>
        <w:rPr>
          <w:rFonts w:hAnsi="宋体" w:cs="宋体"/>
          <w:color w:val="auto"/>
          <w:sz w:val="21"/>
          <w:szCs w:val="21"/>
          <w:highlight w:val="none"/>
        </w:rPr>
      </w:pPr>
      <w:r>
        <w:rPr>
          <w:rFonts w:hint="eastAsia" w:hAnsi="宋体" w:cs="宋体"/>
          <w:color w:val="auto"/>
          <w:sz w:val="21"/>
          <w:szCs w:val="21"/>
          <w:highlight w:val="none"/>
        </w:rPr>
        <w:t>单位会计凭证数据接口</w:t>
      </w:r>
    </w:p>
    <w:p>
      <w:pPr>
        <w:numPr>
          <w:ilvl w:val="255"/>
          <w:numId w:val="0"/>
        </w:num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提供单位会计凭证的数据与IRS共享对接。数据要素包括：凭证 主表和凭证明细信息。数据按天同步到IRS共享平台。</w:t>
      </w:r>
    </w:p>
    <w:p>
      <w:pPr>
        <w:numPr>
          <w:ilvl w:val="0"/>
          <w:numId w:val="9"/>
        </w:numPr>
        <w:autoSpaceDE/>
        <w:autoSpaceDN/>
        <w:spacing w:line="500" w:lineRule="exact"/>
        <w:outlineLvl w:val="3"/>
        <w:rPr>
          <w:rFonts w:hAnsi="宋体" w:cs="宋体"/>
          <w:color w:val="auto"/>
          <w:sz w:val="21"/>
          <w:szCs w:val="21"/>
          <w:highlight w:val="none"/>
        </w:rPr>
      </w:pPr>
      <w:r>
        <w:rPr>
          <w:rFonts w:hint="eastAsia" w:hAnsi="宋体" w:cs="宋体"/>
          <w:color w:val="auto"/>
          <w:sz w:val="21"/>
          <w:szCs w:val="21"/>
          <w:highlight w:val="none"/>
        </w:rPr>
        <w:t>单位报表数据接口</w:t>
      </w:r>
    </w:p>
    <w:p>
      <w:pPr>
        <w:numPr>
          <w:ilvl w:val="255"/>
          <w:numId w:val="0"/>
        </w:num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提供单位报表数据与IRS共享对接。数据要素包括：年度、月份、报表名称、单位编码、单位名称、报表明细数据。数据按天同步到IRS共享平台。</w:t>
      </w:r>
    </w:p>
    <w:p>
      <w:pPr>
        <w:numPr>
          <w:ilvl w:val="0"/>
          <w:numId w:val="9"/>
        </w:numPr>
        <w:autoSpaceDE/>
        <w:autoSpaceDN/>
        <w:spacing w:line="500" w:lineRule="exact"/>
        <w:outlineLvl w:val="3"/>
        <w:rPr>
          <w:rFonts w:hAnsi="宋体" w:cs="宋体"/>
          <w:color w:val="auto"/>
          <w:sz w:val="21"/>
          <w:szCs w:val="21"/>
          <w:highlight w:val="none"/>
        </w:rPr>
      </w:pPr>
      <w:r>
        <w:rPr>
          <w:rFonts w:hint="eastAsia" w:hAnsi="宋体" w:cs="宋体"/>
          <w:color w:val="auto"/>
          <w:sz w:val="21"/>
          <w:szCs w:val="21"/>
          <w:highlight w:val="none"/>
        </w:rPr>
        <w:t>单位流水数据接口</w:t>
      </w:r>
    </w:p>
    <w:p>
      <w:pPr>
        <w:pStyle w:val="6"/>
        <w:spacing w:line="500" w:lineRule="exact"/>
        <w:rPr>
          <w:rFonts w:ascii="宋体" w:hAnsi="宋体" w:cs="宋体"/>
          <w:color w:val="auto"/>
          <w:szCs w:val="21"/>
          <w:highlight w:val="none"/>
        </w:rPr>
      </w:pPr>
      <w:r>
        <w:rPr>
          <w:rFonts w:hint="eastAsia" w:ascii="宋体" w:hAnsi="宋体" w:cs="宋体"/>
          <w:color w:val="auto"/>
          <w:szCs w:val="21"/>
          <w:highlight w:val="none"/>
        </w:rPr>
        <w:t>提供单位日常财务核算的业务流水数据通过IRS进行共享对接。数据包括 ：流水主表和流水明细数据。数据按天同步到IRS共享平台。</w:t>
      </w:r>
    </w:p>
    <w:p>
      <w:pPr>
        <w:numPr>
          <w:ilvl w:val="255"/>
          <w:numId w:val="0"/>
        </w:numPr>
        <w:autoSpaceDE/>
        <w:autoSpaceDN/>
        <w:spacing w:line="500" w:lineRule="exact"/>
        <w:outlineLvl w:val="3"/>
        <w:rPr>
          <w:rFonts w:hAnsi="宋体" w:cs="宋体"/>
          <w:b/>
          <w:bCs/>
          <w:color w:val="auto"/>
          <w:sz w:val="21"/>
          <w:szCs w:val="21"/>
          <w:highlight w:val="none"/>
        </w:rPr>
      </w:pPr>
      <w:r>
        <w:rPr>
          <w:rFonts w:hint="eastAsia" w:hAnsi="宋体" w:cs="宋体"/>
          <w:b/>
          <w:bCs/>
          <w:color w:val="auto"/>
          <w:sz w:val="21"/>
          <w:szCs w:val="21"/>
          <w:highlight w:val="none"/>
        </w:rPr>
        <w:t>9.其他相关功能改造</w:t>
      </w:r>
    </w:p>
    <w:p>
      <w:pPr>
        <w:numPr>
          <w:ilvl w:val="0"/>
          <w:numId w:val="10"/>
        </w:numPr>
        <w:spacing w:line="500" w:lineRule="exact"/>
        <w:outlineLvl w:val="3"/>
        <w:rPr>
          <w:rFonts w:hAnsi="宋体" w:cs="宋体"/>
          <w:color w:val="auto"/>
          <w:sz w:val="21"/>
          <w:szCs w:val="21"/>
          <w:highlight w:val="none"/>
        </w:rPr>
      </w:pPr>
      <w:r>
        <w:rPr>
          <w:rFonts w:hint="eastAsia" w:hAnsi="宋体" w:cs="宋体"/>
          <w:color w:val="auto"/>
          <w:sz w:val="21"/>
          <w:szCs w:val="21"/>
          <w:highlight w:val="none"/>
        </w:rPr>
        <w:t>数据脱敏</w:t>
      </w:r>
    </w:p>
    <w:p>
      <w:pPr>
        <w:numPr>
          <w:ilvl w:val="255"/>
          <w:numId w:val="0"/>
        </w:num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财政历史数据中包含重要敏感信息，数据清洗及传输过程中都要求进行脱敏处理。比如人员手机号码、工资清单、公务卡消费金额、消费地点、消费商户名称等。</w:t>
      </w:r>
    </w:p>
    <w:p>
      <w:pPr>
        <w:numPr>
          <w:ilvl w:val="0"/>
          <w:numId w:val="10"/>
        </w:numPr>
        <w:spacing w:line="500" w:lineRule="exact"/>
        <w:outlineLvl w:val="3"/>
        <w:rPr>
          <w:rFonts w:hAnsi="宋体" w:cs="宋体"/>
          <w:color w:val="auto"/>
          <w:sz w:val="21"/>
          <w:szCs w:val="21"/>
          <w:highlight w:val="none"/>
        </w:rPr>
      </w:pPr>
      <w:r>
        <w:rPr>
          <w:rFonts w:hint="eastAsia" w:hAnsi="宋体" w:cs="宋体"/>
          <w:color w:val="auto"/>
          <w:sz w:val="21"/>
          <w:szCs w:val="21"/>
          <w:highlight w:val="none"/>
        </w:rPr>
        <w:t>预算一体化登录接口</w:t>
      </w:r>
    </w:p>
    <w:p>
      <w:pPr>
        <w:pStyle w:val="6"/>
        <w:spacing w:line="500" w:lineRule="exact"/>
        <w:rPr>
          <w:rFonts w:ascii="宋体" w:hAnsi="宋体" w:cs="宋体"/>
          <w:color w:val="auto"/>
          <w:szCs w:val="21"/>
          <w:highlight w:val="none"/>
        </w:rPr>
      </w:pPr>
      <w:r>
        <w:rPr>
          <w:rFonts w:hint="eastAsia" w:ascii="宋体" w:hAnsi="宋体" w:cs="宋体"/>
          <w:color w:val="auto"/>
          <w:szCs w:val="21"/>
          <w:highlight w:val="none"/>
        </w:rPr>
        <w:t>实现系统与预算一体化的登录接口，实现在预算一体化中通过浙政钉扫描或者短信验证码登录后，能免登录到深化应用系统。</w:t>
      </w:r>
    </w:p>
    <w:p>
      <w:pPr>
        <w:numPr>
          <w:ilvl w:val="0"/>
          <w:numId w:val="10"/>
        </w:numPr>
        <w:spacing w:line="500" w:lineRule="exact"/>
        <w:outlineLvl w:val="3"/>
        <w:rPr>
          <w:rFonts w:hAnsi="宋体" w:cs="宋体"/>
          <w:color w:val="auto"/>
          <w:sz w:val="21"/>
          <w:szCs w:val="21"/>
          <w:highlight w:val="none"/>
        </w:rPr>
      </w:pPr>
      <w:r>
        <w:rPr>
          <w:rFonts w:hint="eastAsia" w:hAnsi="宋体" w:cs="宋体"/>
          <w:color w:val="auto"/>
          <w:sz w:val="21"/>
          <w:szCs w:val="21"/>
          <w:highlight w:val="none"/>
        </w:rPr>
        <w:t>用户同步</w:t>
      </w:r>
    </w:p>
    <w:p>
      <w:pPr>
        <w:pStyle w:val="6"/>
        <w:spacing w:line="500" w:lineRule="exact"/>
        <w:rPr>
          <w:rFonts w:ascii="宋体" w:hAnsi="宋体" w:cs="宋体"/>
          <w:color w:val="auto"/>
          <w:szCs w:val="21"/>
          <w:highlight w:val="none"/>
        </w:rPr>
      </w:pPr>
      <w:r>
        <w:rPr>
          <w:rFonts w:hint="eastAsia" w:ascii="宋体" w:hAnsi="宋体" w:cs="宋体"/>
          <w:color w:val="auto"/>
          <w:szCs w:val="21"/>
          <w:highlight w:val="none"/>
        </w:rPr>
        <w:t>实现用户与预算一体化系统用户信息的同步，调用一体化数据同步接口，提供用户同步、数据差异更新等操作。</w:t>
      </w:r>
    </w:p>
    <w:p>
      <w:pPr>
        <w:numPr>
          <w:ilvl w:val="0"/>
          <w:numId w:val="10"/>
        </w:numPr>
        <w:spacing w:line="500" w:lineRule="exact"/>
        <w:outlineLvl w:val="3"/>
        <w:rPr>
          <w:rFonts w:hAnsi="宋体" w:cs="宋体"/>
          <w:color w:val="auto"/>
          <w:sz w:val="21"/>
          <w:szCs w:val="21"/>
          <w:highlight w:val="none"/>
        </w:rPr>
      </w:pPr>
      <w:r>
        <w:rPr>
          <w:rFonts w:hint="eastAsia" w:hAnsi="宋体" w:cs="宋体"/>
          <w:color w:val="auto"/>
          <w:sz w:val="21"/>
          <w:szCs w:val="21"/>
          <w:highlight w:val="none"/>
        </w:rPr>
        <w:t>系统日志</w:t>
      </w:r>
    </w:p>
    <w:p>
      <w:pPr>
        <w:pStyle w:val="6"/>
        <w:spacing w:line="500" w:lineRule="exact"/>
        <w:rPr>
          <w:rFonts w:ascii="宋体" w:hAnsi="宋体" w:cs="宋体"/>
          <w:color w:val="auto"/>
          <w:szCs w:val="21"/>
          <w:highlight w:val="none"/>
        </w:rPr>
      </w:pPr>
      <w:r>
        <w:rPr>
          <w:rFonts w:hint="eastAsia" w:ascii="宋体" w:hAnsi="宋体" w:cs="宋体"/>
          <w:color w:val="auto"/>
          <w:szCs w:val="21"/>
          <w:highlight w:val="none"/>
        </w:rPr>
        <w:t>根据金华市大数据发展管理局《关于开展全市应用日志数据采集和归集工作的通知》规范建设日志功能。根据《应用日志数据采集规范》的相关要求，做好本应用系统的应用日志规范建设及改造、数据采集和归集工作。</w:t>
      </w:r>
    </w:p>
    <w:p>
      <w:pPr>
        <w:numPr>
          <w:ilvl w:val="255"/>
          <w:numId w:val="0"/>
        </w:numPr>
        <w:spacing w:line="500" w:lineRule="exact"/>
        <w:outlineLvl w:val="3"/>
        <w:rPr>
          <w:rFonts w:hAnsi="宋体" w:cs="宋体"/>
          <w:color w:val="auto"/>
          <w:sz w:val="21"/>
          <w:szCs w:val="21"/>
          <w:highlight w:val="none"/>
        </w:rPr>
      </w:pPr>
      <w:r>
        <w:rPr>
          <w:rFonts w:hint="eastAsia" w:hAnsi="宋体" w:cs="宋体"/>
          <w:color w:val="auto"/>
          <w:sz w:val="21"/>
          <w:szCs w:val="21"/>
          <w:highlight w:val="none"/>
        </w:rPr>
        <w:t>①操作类日志</w:t>
      </w:r>
    </w:p>
    <w:p>
      <w:pPr>
        <w:pStyle w:val="6"/>
        <w:spacing w:line="500" w:lineRule="exact"/>
        <w:rPr>
          <w:rFonts w:ascii="宋体" w:hAnsi="宋体" w:cs="宋体"/>
          <w:color w:val="auto"/>
          <w:szCs w:val="21"/>
          <w:highlight w:val="none"/>
          <w:lang w:val="zh-CN"/>
        </w:rPr>
      </w:pPr>
      <w:r>
        <w:rPr>
          <w:rFonts w:hint="eastAsia" w:ascii="宋体" w:hAnsi="宋体" w:cs="宋体"/>
          <w:color w:val="auto"/>
          <w:szCs w:val="21"/>
          <w:highlight w:val="none"/>
          <w:lang w:val="zh-CN"/>
        </w:rPr>
        <w:t>对用户角色在各功能模块的操作都进行</w:t>
      </w:r>
      <w:r>
        <w:rPr>
          <w:rFonts w:hint="eastAsia" w:ascii="宋体" w:hAnsi="宋体" w:cs="宋体"/>
          <w:color w:val="auto"/>
          <w:szCs w:val="21"/>
          <w:highlight w:val="none"/>
        </w:rPr>
        <w:t>日志</w:t>
      </w:r>
      <w:r>
        <w:rPr>
          <w:rFonts w:hint="eastAsia" w:ascii="宋体" w:hAnsi="宋体" w:cs="宋体"/>
          <w:color w:val="auto"/>
          <w:szCs w:val="21"/>
          <w:highlight w:val="none"/>
          <w:lang w:val="zh-CN"/>
        </w:rPr>
        <w:t>记录，形成详细的日志信息，</w:t>
      </w:r>
      <w:r>
        <w:rPr>
          <w:rFonts w:hint="eastAsia" w:ascii="宋体" w:hAnsi="宋体" w:cs="宋体"/>
          <w:color w:val="auto"/>
          <w:szCs w:val="21"/>
          <w:highlight w:val="none"/>
        </w:rPr>
        <w:t>包括</w:t>
      </w:r>
      <w:r>
        <w:rPr>
          <w:rFonts w:hint="eastAsia" w:ascii="宋体" w:hAnsi="宋体" w:cs="宋体"/>
          <w:color w:val="auto"/>
          <w:szCs w:val="21"/>
          <w:highlight w:val="none"/>
          <w:lang w:val="zh-CN"/>
        </w:rPr>
        <w:t>IRS应用编码、用户标识、用户类型、地 区编码、操作类型、操作标识、操作时间、操作时长、操作状态以及所进行的操作等信息，可通过日志查找</w:t>
      </w:r>
      <w:r>
        <w:rPr>
          <w:rFonts w:hint="eastAsia" w:ascii="宋体" w:hAnsi="宋体" w:cs="宋体"/>
          <w:color w:val="auto"/>
          <w:szCs w:val="21"/>
          <w:highlight w:val="none"/>
        </w:rPr>
        <w:t>和溯源</w:t>
      </w:r>
      <w:r>
        <w:rPr>
          <w:rFonts w:hint="eastAsia" w:ascii="宋体" w:hAnsi="宋体" w:cs="宋体"/>
          <w:color w:val="auto"/>
          <w:szCs w:val="21"/>
          <w:highlight w:val="none"/>
          <w:lang w:val="zh-CN"/>
        </w:rPr>
        <w:t>。</w:t>
      </w:r>
    </w:p>
    <w:p>
      <w:pPr>
        <w:numPr>
          <w:ilvl w:val="255"/>
          <w:numId w:val="0"/>
        </w:numPr>
        <w:spacing w:line="500" w:lineRule="exact"/>
        <w:outlineLvl w:val="3"/>
        <w:rPr>
          <w:rFonts w:hAnsi="宋体" w:cs="宋体"/>
          <w:color w:val="auto"/>
          <w:sz w:val="21"/>
          <w:szCs w:val="21"/>
          <w:highlight w:val="none"/>
        </w:rPr>
      </w:pPr>
      <w:r>
        <w:rPr>
          <w:rFonts w:hint="eastAsia" w:hAnsi="宋体" w:cs="宋体"/>
          <w:color w:val="auto"/>
          <w:sz w:val="21"/>
          <w:szCs w:val="21"/>
          <w:highlight w:val="none"/>
        </w:rPr>
        <w:t>②系统类日志</w:t>
      </w:r>
    </w:p>
    <w:p>
      <w:pPr>
        <w:pStyle w:val="6"/>
        <w:spacing w:line="500" w:lineRule="exact"/>
        <w:rPr>
          <w:rFonts w:ascii="宋体" w:hAnsi="宋体" w:cs="宋体"/>
          <w:color w:val="auto"/>
          <w:szCs w:val="21"/>
          <w:highlight w:val="none"/>
        </w:rPr>
      </w:pPr>
      <w:r>
        <w:rPr>
          <w:rFonts w:hint="eastAsia" w:ascii="宋体" w:hAnsi="宋体" w:cs="宋体"/>
          <w:color w:val="auto"/>
          <w:szCs w:val="21"/>
          <w:highlight w:val="none"/>
        </w:rPr>
        <w:t>对系统运行状态进行日志归集</w:t>
      </w:r>
      <w:r>
        <w:rPr>
          <w:rFonts w:hint="eastAsia" w:ascii="宋体" w:hAnsi="宋体" w:cs="宋体"/>
          <w:color w:val="auto"/>
          <w:szCs w:val="21"/>
          <w:highlight w:val="none"/>
          <w:lang w:val="zh-CN"/>
        </w:rPr>
        <w:t>，采取全面的日志管理机制，对系统的</w:t>
      </w:r>
      <w:r>
        <w:rPr>
          <w:rFonts w:hint="eastAsia" w:ascii="宋体" w:hAnsi="宋体" w:cs="宋体"/>
          <w:color w:val="auto"/>
          <w:szCs w:val="21"/>
          <w:highlight w:val="none"/>
        </w:rPr>
        <w:t>日志</w:t>
      </w:r>
      <w:r>
        <w:rPr>
          <w:rFonts w:hint="eastAsia" w:ascii="宋体" w:hAnsi="宋体" w:cs="宋体"/>
          <w:color w:val="auto"/>
          <w:szCs w:val="21"/>
          <w:highlight w:val="none"/>
          <w:lang w:val="zh-CN"/>
        </w:rPr>
        <w:t>记录提供事后的</w:t>
      </w:r>
      <w:r>
        <w:rPr>
          <w:rFonts w:hint="eastAsia" w:ascii="宋体" w:hAnsi="宋体" w:cs="宋体"/>
          <w:color w:val="auto"/>
          <w:szCs w:val="21"/>
          <w:highlight w:val="none"/>
        </w:rPr>
        <w:t>查询</w:t>
      </w:r>
      <w:r>
        <w:rPr>
          <w:rFonts w:hint="eastAsia" w:ascii="宋体" w:hAnsi="宋体" w:cs="宋体"/>
          <w:color w:val="auto"/>
          <w:szCs w:val="21"/>
          <w:highlight w:val="none"/>
          <w:lang w:val="zh-CN"/>
        </w:rPr>
        <w:t>统计。日志记录可以全部或按条件部分进行显示与浏览，以方便对数据变更情况的准确掌握和分析，保证系统操作的可追溯性和安全性。</w:t>
      </w:r>
    </w:p>
    <w:p>
      <w:pPr>
        <w:pStyle w:val="4"/>
        <w:numPr>
          <w:ilvl w:val="0"/>
          <w:numId w:val="7"/>
        </w:numPr>
        <w:tabs>
          <w:tab w:val="left" w:pos="1003"/>
        </w:tabs>
        <w:spacing w:line="500" w:lineRule="exact"/>
        <w:ind w:firstLine="0"/>
        <w:rPr>
          <w:rFonts w:ascii="宋体" w:hAnsi="宋体" w:cs="宋体"/>
          <w:bCs/>
          <w:color w:val="auto"/>
          <w:sz w:val="21"/>
          <w:szCs w:val="21"/>
          <w:highlight w:val="none"/>
        </w:rPr>
      </w:pPr>
      <w:r>
        <w:rPr>
          <w:rFonts w:hint="eastAsia" w:ascii="宋体" w:hAnsi="宋体" w:cs="宋体"/>
          <w:bCs/>
          <w:color w:val="auto"/>
          <w:sz w:val="21"/>
          <w:szCs w:val="21"/>
          <w:highlight w:val="none"/>
        </w:rPr>
        <w:t>信创改造</w:t>
      </w:r>
      <w:bookmarkEnd w:id="544"/>
      <w:bookmarkEnd w:id="545"/>
      <w:bookmarkEnd w:id="546"/>
      <w:bookmarkEnd w:id="547"/>
      <w:bookmarkEnd w:id="548"/>
      <w:bookmarkEnd w:id="549"/>
      <w:bookmarkEnd w:id="550"/>
      <w:bookmarkEnd w:id="551"/>
      <w:r>
        <w:rPr>
          <w:rFonts w:hint="eastAsia" w:ascii="宋体" w:hAnsi="宋体" w:cs="宋体"/>
          <w:bCs/>
          <w:color w:val="auto"/>
          <w:sz w:val="21"/>
          <w:szCs w:val="21"/>
          <w:highlight w:val="none"/>
        </w:rPr>
        <w:t>要求</w:t>
      </w:r>
    </w:p>
    <w:p>
      <w:pPr>
        <w:numPr>
          <w:ilvl w:val="255"/>
          <w:numId w:val="0"/>
        </w:num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本项目需符合信创要求。深化应用系统的现有系统的服务器中间件包括：tomcat、redis、nginx、tuxedo，其中tuxedo交易中间件主要负责数据交易码的通讯交互。迁移到信创环境下后原有的tuxedo交易中间件需要改造成通过程序交互进行数据展现。服务中间件需符合信创要求。</w:t>
      </w:r>
    </w:p>
    <w:p>
      <w:pPr>
        <w:pStyle w:val="3"/>
        <w:autoSpaceDE/>
        <w:autoSpaceDN/>
        <w:adjustRightInd/>
        <w:spacing w:line="500" w:lineRule="exact"/>
        <w:textAlignment w:val="auto"/>
        <w:rPr>
          <w:rFonts w:ascii="宋体" w:hAnsi="宋体" w:eastAsia="宋体" w:cs="宋体"/>
          <w:color w:val="auto"/>
          <w:sz w:val="21"/>
          <w:szCs w:val="21"/>
          <w:highlight w:val="none"/>
        </w:rPr>
      </w:pPr>
      <w:bookmarkStart w:id="552" w:name="_Toc16460"/>
      <w:bookmarkStart w:id="553" w:name="_Toc4867"/>
      <w:bookmarkStart w:id="554" w:name="_Toc10481"/>
      <w:bookmarkStart w:id="555" w:name="_Toc31263"/>
      <w:bookmarkStart w:id="556" w:name="_Toc6164"/>
      <w:bookmarkStart w:id="557" w:name="_Toc18183"/>
      <w:bookmarkStart w:id="558" w:name="_Toc14857"/>
      <w:bookmarkStart w:id="559" w:name="_Toc8985"/>
      <w:bookmarkStart w:id="560" w:name="_Toc11086"/>
      <w:bookmarkStart w:id="561" w:name="_Toc24479"/>
      <w:bookmarkStart w:id="562" w:name="_Toc10371"/>
      <w:bookmarkStart w:id="563" w:name="_Toc5697"/>
      <w:bookmarkStart w:id="564" w:name="_Toc15685"/>
      <w:bookmarkStart w:id="565" w:name="_Toc3"/>
      <w:bookmarkStart w:id="566" w:name="_Toc18877"/>
      <w:r>
        <w:rPr>
          <w:rFonts w:hint="eastAsia" w:ascii="宋体" w:hAnsi="宋体" w:eastAsia="宋体" w:cs="宋体"/>
          <w:color w:val="auto"/>
          <w:sz w:val="21"/>
          <w:szCs w:val="21"/>
          <w:highlight w:val="none"/>
        </w:rPr>
        <w:t>八、平台部署环境</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本项目建设将利用财政内网省厅下行库系统和上线后部署在信创云的深化应用平台作为系统支撑，提供统一的用户身份认证、应用接入、组件支撑和其他的系统安全保障。</w:t>
      </w:r>
    </w:p>
    <w:p>
      <w:pPr>
        <w:numPr>
          <w:ilvl w:val="255"/>
          <w:numId w:val="0"/>
        </w:numPr>
        <w:autoSpaceDE/>
        <w:autoSpaceDN/>
        <w:spacing w:line="500" w:lineRule="exact"/>
        <w:outlineLvl w:val="2"/>
        <w:rPr>
          <w:rFonts w:hAnsi="宋体" w:cs="宋体"/>
          <w:color w:val="auto"/>
          <w:sz w:val="21"/>
          <w:szCs w:val="21"/>
          <w:highlight w:val="none"/>
        </w:rPr>
      </w:pPr>
      <w:bookmarkStart w:id="567" w:name="_Toc21281"/>
      <w:bookmarkStart w:id="568" w:name="_Toc10929"/>
      <w:bookmarkStart w:id="569" w:name="_Toc15004"/>
      <w:bookmarkStart w:id="570" w:name="_Toc23405"/>
      <w:bookmarkStart w:id="571" w:name="_Toc24159"/>
      <w:bookmarkStart w:id="572" w:name="_Toc10985"/>
      <w:bookmarkStart w:id="573" w:name="_Toc19632"/>
      <w:bookmarkStart w:id="574" w:name="_Toc9003"/>
      <w:bookmarkStart w:id="575" w:name="_Toc2196"/>
      <w:bookmarkStart w:id="576" w:name="_Toc28509"/>
      <w:bookmarkStart w:id="577" w:name="_Toc917"/>
      <w:bookmarkStart w:id="578" w:name="_Toc19888"/>
      <w:bookmarkStart w:id="579" w:name="_Toc7169"/>
      <w:bookmarkStart w:id="580" w:name="_Toc6493"/>
      <w:bookmarkStart w:id="581" w:name="_Toc16946"/>
      <w:r>
        <w:rPr>
          <w:rFonts w:hint="eastAsia" w:hAnsi="宋体" w:cs="宋体"/>
          <w:color w:val="auto"/>
          <w:sz w:val="21"/>
          <w:szCs w:val="21"/>
          <w:highlight w:val="none"/>
        </w:rPr>
        <w:t>1.网络拓扑情况</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本项目是部署在金华市政务信创云上的，应用服务器和数据服务器部署云上，在信创云与财政专网进行数据通讯交互。中标单位需对该环境进行安装调制，并保证本项目建设成果顺利部署到该环境中。</w:t>
      </w:r>
    </w:p>
    <w:p>
      <w:pPr>
        <w:rPr>
          <w:rFonts w:hAnsi="宋体" w:cs="宋体"/>
          <w:color w:val="auto"/>
          <w:sz w:val="21"/>
          <w:szCs w:val="21"/>
          <w:highlight w:val="none"/>
        </w:rPr>
      </w:pPr>
      <w:r>
        <w:rPr>
          <w:rFonts w:hint="eastAsia" w:hAnsi="宋体" w:cs="宋体"/>
          <w:color w:val="auto"/>
          <w:sz w:val="21"/>
          <w:szCs w:val="21"/>
          <w:highlight w:val="none"/>
        </w:rPr>
        <w:drawing>
          <wp:inline distT="0" distB="0" distL="114300" distR="114300">
            <wp:extent cx="5697855" cy="3042920"/>
            <wp:effectExtent l="0" t="0" r="1905" b="5080"/>
            <wp:docPr id="5" name="图片 5" descr="系统网络拓扑图（20230517） 金财工程适配改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系统网络拓扑图（20230517） 金财工程适配改造"/>
                    <pic:cNvPicPr>
                      <a:picLocks noChangeAspect="1"/>
                    </pic:cNvPicPr>
                  </pic:nvPicPr>
                  <pic:blipFill>
                    <a:blip r:embed="rId12"/>
                    <a:stretch>
                      <a:fillRect/>
                    </a:stretch>
                  </pic:blipFill>
                  <pic:spPr>
                    <a:xfrm>
                      <a:off x="0" y="0"/>
                      <a:ext cx="5697855" cy="3042920"/>
                    </a:xfrm>
                    <a:prstGeom prst="rect">
                      <a:avLst/>
                    </a:prstGeom>
                  </pic:spPr>
                </pic:pic>
              </a:graphicData>
            </a:graphic>
          </wp:inline>
        </w:drawing>
      </w:r>
    </w:p>
    <w:p>
      <w:pPr>
        <w:numPr>
          <w:ilvl w:val="255"/>
          <w:numId w:val="0"/>
        </w:numPr>
        <w:autoSpaceDE/>
        <w:autoSpaceDN/>
        <w:rPr>
          <w:rFonts w:hAnsi="宋体" w:cs="宋体"/>
          <w:color w:val="auto"/>
          <w:sz w:val="21"/>
          <w:szCs w:val="21"/>
          <w:highlight w:val="none"/>
        </w:rPr>
      </w:pPr>
      <w:r>
        <w:rPr>
          <w:rFonts w:hint="eastAsia" w:hAnsi="宋体" w:cs="宋体"/>
          <w:color w:val="auto"/>
          <w:sz w:val="21"/>
          <w:szCs w:val="21"/>
          <w:highlight w:val="none"/>
        </w:rPr>
        <w:t xml:space="preserve">2.软硬件配置选型 </w:t>
      </w:r>
    </w:p>
    <w:tbl>
      <w:tblPr>
        <w:tblStyle w:val="46"/>
        <w:tblW w:w="8873" w:type="dxa"/>
        <w:tblInd w:w="93" w:type="dxa"/>
        <w:tblLayout w:type="fixed"/>
        <w:tblCellMar>
          <w:top w:w="0" w:type="dxa"/>
          <w:left w:w="108" w:type="dxa"/>
          <w:bottom w:w="0" w:type="dxa"/>
          <w:right w:w="108" w:type="dxa"/>
        </w:tblCellMar>
      </w:tblPr>
      <w:tblGrid>
        <w:gridCol w:w="473"/>
        <w:gridCol w:w="1215"/>
        <w:gridCol w:w="2070"/>
        <w:gridCol w:w="4095"/>
        <w:gridCol w:w="1020"/>
      </w:tblGrid>
      <w:tr>
        <w:tblPrEx>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hAnsi="宋体" w:cs="宋体"/>
                <w:b/>
                <w:bCs/>
                <w:color w:val="auto"/>
                <w:sz w:val="21"/>
                <w:szCs w:val="21"/>
                <w:highlight w:val="none"/>
              </w:rPr>
            </w:pPr>
            <w:r>
              <w:rPr>
                <w:rFonts w:hint="eastAsia" w:hAnsi="宋体" w:cs="宋体"/>
                <w:b/>
                <w:bCs/>
                <w:color w:val="auto"/>
                <w:sz w:val="21"/>
                <w:szCs w:val="21"/>
                <w:highlight w:val="none"/>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hAnsi="宋体" w:cs="宋体"/>
                <w:b/>
                <w:bCs/>
                <w:color w:val="auto"/>
                <w:sz w:val="21"/>
                <w:szCs w:val="21"/>
                <w:highlight w:val="none"/>
              </w:rPr>
            </w:pPr>
            <w:r>
              <w:rPr>
                <w:rFonts w:hint="eastAsia" w:hAnsi="宋体" w:cs="宋体"/>
                <w:b/>
                <w:bCs/>
                <w:color w:val="auto"/>
                <w:sz w:val="21"/>
                <w:szCs w:val="21"/>
                <w:highlight w:val="none"/>
              </w:rPr>
              <w:t>名称</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hAnsi="宋体" w:cs="宋体"/>
                <w:b/>
                <w:bCs/>
                <w:color w:val="auto"/>
                <w:sz w:val="21"/>
                <w:szCs w:val="21"/>
                <w:highlight w:val="none"/>
              </w:rPr>
            </w:pPr>
            <w:r>
              <w:rPr>
                <w:rFonts w:hint="eastAsia" w:hAnsi="宋体" w:cs="宋体"/>
                <w:b/>
                <w:bCs/>
                <w:color w:val="auto"/>
                <w:sz w:val="21"/>
                <w:szCs w:val="21"/>
                <w:highlight w:val="none"/>
              </w:rPr>
              <w:t>内容</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hAnsi="宋体" w:cs="宋体"/>
                <w:b/>
                <w:bCs/>
                <w:color w:val="auto"/>
                <w:sz w:val="21"/>
                <w:szCs w:val="21"/>
                <w:highlight w:val="none"/>
              </w:rPr>
            </w:pPr>
            <w:r>
              <w:rPr>
                <w:rFonts w:hint="eastAsia" w:hAnsi="宋体" w:cs="宋体"/>
                <w:b/>
                <w:bCs/>
                <w:color w:val="auto"/>
                <w:sz w:val="21"/>
                <w:szCs w:val="21"/>
                <w:highlight w:val="none"/>
              </w:rPr>
              <w:t>配置</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hAnsi="宋体" w:cs="宋体"/>
                <w:b/>
                <w:bCs/>
                <w:color w:val="auto"/>
                <w:sz w:val="21"/>
                <w:szCs w:val="21"/>
                <w:highlight w:val="none"/>
              </w:rPr>
            </w:pPr>
            <w:r>
              <w:rPr>
                <w:rFonts w:hint="eastAsia" w:hAnsi="宋体" w:cs="宋体"/>
                <w:b/>
                <w:bCs/>
                <w:color w:val="auto"/>
                <w:sz w:val="21"/>
                <w:szCs w:val="21"/>
                <w:highlight w:val="none"/>
              </w:rPr>
              <w:t>数量</w:t>
            </w:r>
          </w:p>
        </w:tc>
      </w:tr>
      <w:tr>
        <w:tblPrEx>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hAnsi="宋体" w:cs="宋体"/>
                <w:color w:val="auto"/>
                <w:sz w:val="21"/>
                <w:szCs w:val="21"/>
                <w:highlight w:val="none"/>
              </w:rPr>
            </w:pPr>
            <w:r>
              <w:rPr>
                <w:rFonts w:hint="eastAsia" w:hAnsi="宋体" w:cs="宋体"/>
                <w:color w:val="auto"/>
                <w:sz w:val="21"/>
                <w:szCs w:val="21"/>
                <w:highlight w:val="none"/>
              </w:rPr>
              <w:t>信创服务</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hAnsi="宋体" w:cs="宋体"/>
                <w:color w:val="auto"/>
                <w:sz w:val="21"/>
                <w:szCs w:val="21"/>
                <w:highlight w:val="none"/>
              </w:rPr>
            </w:pPr>
            <w:r>
              <w:rPr>
                <w:rFonts w:hint="eastAsia" w:hAnsi="宋体" w:cs="宋体"/>
                <w:color w:val="auto"/>
                <w:sz w:val="21"/>
                <w:szCs w:val="21"/>
                <w:highlight w:val="none"/>
              </w:rPr>
              <w:t>云主机</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hAnsi="宋体" w:cs="宋体"/>
                <w:color w:val="auto"/>
                <w:sz w:val="21"/>
                <w:szCs w:val="21"/>
                <w:highlight w:val="none"/>
              </w:rPr>
            </w:pPr>
            <w:r>
              <w:rPr>
                <w:rFonts w:hint="eastAsia" w:hAnsi="宋体" w:cs="宋体"/>
                <w:color w:val="auto"/>
                <w:sz w:val="21"/>
                <w:szCs w:val="21"/>
                <w:highlight w:val="none"/>
              </w:rPr>
              <w:t>4核16G</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1</w:t>
            </w:r>
          </w:p>
        </w:tc>
      </w:tr>
      <w:tr>
        <w:tblPrEx>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hAnsi="宋体" w:cs="宋体"/>
                <w:color w:val="auto"/>
                <w:sz w:val="21"/>
                <w:szCs w:val="21"/>
                <w:highlight w:val="none"/>
              </w:rPr>
            </w:pPr>
            <w:r>
              <w:rPr>
                <w:rFonts w:hint="eastAsia" w:hAnsi="宋体" w:cs="宋体"/>
                <w:color w:val="auto"/>
                <w:sz w:val="21"/>
                <w:szCs w:val="21"/>
                <w:highlight w:val="none"/>
              </w:rPr>
              <w:t>信创服务</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hAnsi="宋体" w:cs="宋体"/>
                <w:color w:val="auto"/>
                <w:sz w:val="21"/>
                <w:szCs w:val="21"/>
                <w:highlight w:val="none"/>
              </w:rPr>
            </w:pPr>
            <w:r>
              <w:rPr>
                <w:rFonts w:hint="eastAsia" w:hAnsi="宋体" w:cs="宋体"/>
                <w:color w:val="auto"/>
                <w:sz w:val="21"/>
                <w:szCs w:val="21"/>
                <w:highlight w:val="none"/>
              </w:rPr>
              <w:t>云主机数据盘</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hAnsi="宋体" w:cs="宋体"/>
                <w:color w:val="auto"/>
                <w:sz w:val="21"/>
                <w:szCs w:val="21"/>
                <w:highlight w:val="none"/>
              </w:rPr>
            </w:pPr>
            <w:r>
              <w:rPr>
                <w:rFonts w:hint="eastAsia" w:hAnsi="宋体" w:cs="宋体"/>
                <w:color w:val="auto"/>
                <w:sz w:val="21"/>
                <w:szCs w:val="21"/>
                <w:highlight w:val="none"/>
              </w:rPr>
              <w:t>SATA盘，以100GB为单价,100GB</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2</w:t>
            </w:r>
          </w:p>
        </w:tc>
      </w:tr>
      <w:tr>
        <w:tblPrEx>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hAnsi="宋体" w:cs="宋体"/>
                <w:color w:val="auto"/>
                <w:sz w:val="21"/>
                <w:szCs w:val="21"/>
                <w:highlight w:val="none"/>
              </w:rPr>
            </w:pPr>
            <w:r>
              <w:rPr>
                <w:rFonts w:hint="eastAsia" w:hAnsi="宋体" w:cs="宋体"/>
                <w:color w:val="auto"/>
                <w:sz w:val="21"/>
                <w:szCs w:val="21"/>
                <w:highlight w:val="none"/>
              </w:rPr>
              <w:t>信创服务</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hAnsi="宋体" w:cs="宋体"/>
                <w:color w:val="auto"/>
                <w:sz w:val="21"/>
                <w:szCs w:val="21"/>
                <w:highlight w:val="none"/>
              </w:rPr>
            </w:pPr>
            <w:r>
              <w:rPr>
                <w:rFonts w:hint="eastAsia" w:hAnsi="宋体" w:cs="宋体"/>
                <w:color w:val="auto"/>
                <w:sz w:val="21"/>
                <w:szCs w:val="21"/>
                <w:highlight w:val="none"/>
              </w:rPr>
              <w:t>信创服务器操作系统</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hAnsi="宋体" w:cs="宋体"/>
                <w:color w:val="auto"/>
                <w:sz w:val="21"/>
                <w:szCs w:val="21"/>
                <w:highlight w:val="none"/>
              </w:rPr>
            </w:pPr>
            <w:r>
              <w:rPr>
                <w:rFonts w:hint="eastAsia" w:hAnsi="宋体" w:cs="宋体"/>
                <w:color w:val="auto"/>
                <w:sz w:val="21"/>
                <w:szCs w:val="21"/>
                <w:highlight w:val="none"/>
              </w:rPr>
              <w:t>信创操作系统</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1</w:t>
            </w:r>
          </w:p>
        </w:tc>
      </w:tr>
      <w:tr>
        <w:tblPrEx>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hAnsi="宋体" w:cs="宋体"/>
                <w:color w:val="auto"/>
                <w:sz w:val="21"/>
                <w:szCs w:val="21"/>
                <w:highlight w:val="none"/>
              </w:rPr>
            </w:pPr>
            <w:r>
              <w:rPr>
                <w:rFonts w:hint="eastAsia" w:hAnsi="宋体" w:cs="宋体"/>
                <w:color w:val="auto"/>
                <w:sz w:val="21"/>
                <w:szCs w:val="21"/>
                <w:highlight w:val="none"/>
              </w:rPr>
              <w:t>信创服务</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hAnsi="宋体" w:cs="宋体"/>
                <w:color w:val="auto"/>
                <w:sz w:val="21"/>
                <w:szCs w:val="21"/>
                <w:highlight w:val="none"/>
              </w:rPr>
            </w:pPr>
            <w:r>
              <w:rPr>
                <w:rFonts w:hint="eastAsia" w:hAnsi="宋体" w:cs="宋体"/>
                <w:color w:val="auto"/>
                <w:sz w:val="21"/>
                <w:szCs w:val="21"/>
                <w:highlight w:val="none"/>
              </w:rPr>
              <w:t>高性能云数据库mysql兼容</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hAnsi="宋体" w:cs="宋体"/>
                <w:color w:val="auto"/>
                <w:sz w:val="21"/>
                <w:szCs w:val="21"/>
                <w:highlight w:val="none"/>
              </w:rPr>
            </w:pPr>
            <w:r>
              <w:rPr>
                <w:rFonts w:hint="eastAsia" w:hAnsi="宋体" w:cs="宋体"/>
                <w:color w:val="auto"/>
                <w:sz w:val="21"/>
                <w:szCs w:val="21"/>
                <w:highlight w:val="none"/>
              </w:rPr>
              <w:t>4核8G，最大连接数2000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1</w:t>
            </w:r>
          </w:p>
        </w:tc>
      </w:tr>
      <w:tr>
        <w:tblPrEx>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hAnsi="宋体" w:cs="宋体"/>
                <w:color w:val="auto"/>
                <w:sz w:val="21"/>
                <w:szCs w:val="21"/>
                <w:highlight w:val="none"/>
              </w:rPr>
            </w:pPr>
            <w:r>
              <w:rPr>
                <w:rFonts w:hint="eastAsia" w:hAnsi="宋体" w:cs="宋体"/>
                <w:color w:val="auto"/>
                <w:sz w:val="21"/>
                <w:szCs w:val="21"/>
                <w:highlight w:val="none"/>
              </w:rPr>
              <w:t>信创服务</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hAnsi="宋体" w:cs="宋体"/>
                <w:color w:val="auto"/>
                <w:sz w:val="21"/>
                <w:szCs w:val="21"/>
                <w:highlight w:val="none"/>
              </w:rPr>
            </w:pPr>
            <w:r>
              <w:rPr>
                <w:rFonts w:hint="eastAsia" w:hAnsi="宋体" w:cs="宋体"/>
                <w:color w:val="auto"/>
                <w:sz w:val="21"/>
                <w:szCs w:val="21"/>
                <w:highlight w:val="none"/>
              </w:rPr>
              <w:t>数据库存储空间</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hAnsi="宋体" w:cs="宋体"/>
                <w:color w:val="auto"/>
                <w:sz w:val="21"/>
                <w:szCs w:val="21"/>
                <w:highlight w:val="none"/>
              </w:rPr>
            </w:pPr>
            <w:r>
              <w:rPr>
                <w:rFonts w:hint="eastAsia" w:hAnsi="宋体" w:cs="宋体"/>
                <w:color w:val="auto"/>
                <w:sz w:val="21"/>
                <w:szCs w:val="21"/>
                <w:highlight w:val="none"/>
              </w:rPr>
              <w:t>以100GB为单价,100GB</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2</w:t>
            </w:r>
          </w:p>
        </w:tc>
      </w:tr>
      <w:tr>
        <w:tblPrEx>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hAnsi="宋体" w:cs="宋体"/>
                <w:color w:val="auto"/>
                <w:sz w:val="21"/>
                <w:szCs w:val="21"/>
                <w:highlight w:val="none"/>
              </w:rPr>
            </w:pPr>
            <w:r>
              <w:rPr>
                <w:rFonts w:hint="eastAsia" w:hAnsi="宋体" w:cs="宋体"/>
                <w:color w:val="auto"/>
                <w:sz w:val="21"/>
                <w:szCs w:val="21"/>
                <w:highlight w:val="none"/>
              </w:rPr>
              <w:t>SLB</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hAnsi="宋体" w:cs="宋体"/>
                <w:color w:val="auto"/>
                <w:sz w:val="21"/>
                <w:szCs w:val="21"/>
                <w:highlight w:val="none"/>
              </w:rPr>
            </w:pPr>
            <w:r>
              <w:rPr>
                <w:rFonts w:hint="eastAsia" w:hAnsi="宋体" w:cs="宋体"/>
                <w:color w:val="auto"/>
                <w:sz w:val="21"/>
                <w:szCs w:val="21"/>
                <w:highlight w:val="none"/>
              </w:rPr>
              <w:t>SLB</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hAnsi="宋体" w:cs="宋体"/>
                <w:color w:val="auto"/>
                <w:sz w:val="21"/>
                <w:szCs w:val="21"/>
                <w:highlight w:val="none"/>
              </w:rPr>
            </w:pPr>
            <w:r>
              <w:rPr>
                <w:rFonts w:hint="eastAsia" w:hAnsi="宋体" w:cs="宋体"/>
                <w:color w:val="auto"/>
                <w:sz w:val="21"/>
                <w:szCs w:val="21"/>
                <w:highlight w:val="none"/>
              </w:rPr>
              <w:t>SLB租用</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1</w:t>
            </w:r>
          </w:p>
        </w:tc>
      </w:tr>
      <w:tr>
        <w:tblPrEx>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hAnsi="宋体" w:cs="宋体"/>
                <w:color w:val="auto"/>
                <w:sz w:val="21"/>
                <w:szCs w:val="21"/>
                <w:highlight w:val="none"/>
              </w:rPr>
            </w:pPr>
            <w:r>
              <w:rPr>
                <w:rFonts w:hint="eastAsia" w:hAnsi="宋体" w:cs="宋体"/>
                <w:color w:val="auto"/>
                <w:sz w:val="21"/>
                <w:szCs w:val="21"/>
                <w:highlight w:val="none"/>
              </w:rPr>
              <w:t>安全服务</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hAnsi="宋体" w:cs="宋体"/>
                <w:color w:val="auto"/>
                <w:sz w:val="21"/>
                <w:szCs w:val="21"/>
                <w:highlight w:val="none"/>
              </w:rPr>
            </w:pPr>
            <w:r>
              <w:rPr>
                <w:rFonts w:hint="eastAsia" w:hAnsi="宋体" w:cs="宋体"/>
                <w:color w:val="auto"/>
                <w:sz w:val="21"/>
                <w:szCs w:val="21"/>
                <w:highlight w:val="none"/>
              </w:rPr>
              <w:t>堡垒机服务（独占堡垒）</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hAnsi="宋体" w:cs="宋体"/>
                <w:color w:val="auto"/>
                <w:sz w:val="21"/>
                <w:szCs w:val="21"/>
                <w:highlight w:val="none"/>
              </w:rPr>
            </w:pPr>
            <w:r>
              <w:rPr>
                <w:rFonts w:hint="eastAsia" w:hAnsi="宋体" w:cs="宋体"/>
                <w:color w:val="auto"/>
                <w:sz w:val="21"/>
                <w:szCs w:val="21"/>
                <w:highlight w:val="none"/>
              </w:rPr>
              <w:t>单核，2G内存，100G硬盘，20资产服务费用</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1</w:t>
            </w:r>
          </w:p>
        </w:tc>
      </w:tr>
      <w:tr>
        <w:tblPrEx>
          <w:tblCellMar>
            <w:top w:w="0" w:type="dxa"/>
            <w:left w:w="108" w:type="dxa"/>
            <w:bottom w:w="0" w:type="dxa"/>
            <w:right w:w="108" w:type="dxa"/>
          </w:tblCellMar>
        </w:tblPrEx>
        <w:trPr>
          <w:trHeight w:val="81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hAnsi="宋体" w:cs="宋体"/>
                <w:color w:val="auto"/>
                <w:sz w:val="21"/>
                <w:szCs w:val="21"/>
                <w:highlight w:val="none"/>
              </w:rPr>
            </w:pPr>
            <w:r>
              <w:rPr>
                <w:rFonts w:hint="eastAsia" w:hAnsi="宋体" w:cs="宋体"/>
                <w:color w:val="auto"/>
                <w:sz w:val="21"/>
                <w:szCs w:val="21"/>
                <w:highlight w:val="none"/>
              </w:rPr>
              <w:t>安全服务</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hAnsi="宋体" w:cs="宋体"/>
                <w:color w:val="auto"/>
                <w:sz w:val="21"/>
                <w:szCs w:val="21"/>
                <w:highlight w:val="none"/>
              </w:rPr>
            </w:pPr>
            <w:r>
              <w:rPr>
                <w:rFonts w:hint="eastAsia" w:hAnsi="宋体" w:cs="宋体"/>
                <w:color w:val="auto"/>
                <w:sz w:val="21"/>
                <w:szCs w:val="21"/>
                <w:highlight w:val="none"/>
              </w:rPr>
              <w:t>云WAF</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textAlignment w:val="center"/>
              <w:rPr>
                <w:rFonts w:hAnsi="宋体" w:cs="宋体"/>
                <w:color w:val="auto"/>
                <w:sz w:val="21"/>
                <w:szCs w:val="21"/>
                <w:highlight w:val="none"/>
              </w:rPr>
            </w:pPr>
            <w:r>
              <w:rPr>
                <w:rFonts w:hint="eastAsia" w:hAnsi="宋体" w:cs="宋体"/>
                <w:color w:val="auto"/>
                <w:sz w:val="21"/>
                <w:szCs w:val="21"/>
                <w:highlight w:val="none"/>
              </w:rPr>
              <w:t>保护域名授权上限16个，新建10000，并发150000，防护流量100Mbps</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1</w:t>
            </w:r>
          </w:p>
        </w:tc>
      </w:tr>
      <w:tr>
        <w:tblPrEx>
          <w:tblCellMar>
            <w:top w:w="0" w:type="dxa"/>
            <w:left w:w="108" w:type="dxa"/>
            <w:bottom w:w="0" w:type="dxa"/>
            <w:right w:w="108" w:type="dxa"/>
          </w:tblCellMar>
        </w:tblPrEx>
        <w:trPr>
          <w:trHeight w:val="135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hAnsi="宋体" w:cs="宋体"/>
                <w:color w:val="auto"/>
                <w:sz w:val="21"/>
                <w:szCs w:val="21"/>
                <w:highlight w:val="none"/>
              </w:rPr>
            </w:pPr>
            <w:r>
              <w:rPr>
                <w:rFonts w:hint="eastAsia" w:hAnsi="宋体" w:cs="宋体"/>
                <w:color w:val="auto"/>
                <w:sz w:val="21"/>
                <w:szCs w:val="21"/>
                <w:highlight w:val="none"/>
              </w:rPr>
              <w:t>安全服务</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hAnsi="宋体" w:cs="宋体"/>
                <w:color w:val="auto"/>
                <w:sz w:val="21"/>
                <w:szCs w:val="21"/>
                <w:highlight w:val="none"/>
              </w:rPr>
            </w:pPr>
            <w:r>
              <w:rPr>
                <w:rFonts w:hint="eastAsia" w:hAnsi="宋体" w:cs="宋体"/>
                <w:color w:val="auto"/>
                <w:sz w:val="21"/>
                <w:szCs w:val="21"/>
                <w:highlight w:val="none"/>
              </w:rPr>
              <w:t>云数据库审计</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textAlignment w:val="center"/>
              <w:rPr>
                <w:rFonts w:hAnsi="宋体" w:cs="宋体"/>
                <w:color w:val="auto"/>
                <w:sz w:val="21"/>
                <w:szCs w:val="21"/>
                <w:highlight w:val="none"/>
              </w:rPr>
            </w:pPr>
            <w:r>
              <w:rPr>
                <w:rFonts w:hint="eastAsia" w:hAnsi="宋体" w:cs="宋体"/>
                <w:color w:val="auto"/>
                <w:sz w:val="21"/>
                <w:szCs w:val="21"/>
                <w:highlight w:val="none"/>
              </w:rPr>
              <w:t>最多可提供4个数据库实例审计，纯数据库流量上限：200Mbs</w:t>
            </w:r>
            <w:r>
              <w:rPr>
                <w:rFonts w:hint="eastAsia" w:hAnsi="宋体" w:cs="宋体"/>
                <w:color w:val="auto"/>
                <w:sz w:val="21"/>
                <w:szCs w:val="21"/>
                <w:highlight w:val="none"/>
              </w:rPr>
              <w:br w:type="textWrapping"/>
            </w:r>
            <w:r>
              <w:rPr>
                <w:rFonts w:hint="eastAsia" w:hAnsi="宋体" w:cs="宋体"/>
                <w:color w:val="auto"/>
                <w:sz w:val="21"/>
                <w:szCs w:val="21"/>
                <w:highlight w:val="none"/>
              </w:rPr>
              <w:t>峰值事务处理能力:20000(条/秒)</w:t>
            </w:r>
            <w:r>
              <w:rPr>
                <w:rFonts w:hint="eastAsia" w:hAnsi="宋体" w:cs="宋体"/>
                <w:color w:val="auto"/>
                <w:sz w:val="21"/>
                <w:szCs w:val="21"/>
                <w:highlight w:val="none"/>
              </w:rPr>
              <w:br w:type="textWrapping"/>
            </w:r>
            <w:r>
              <w:rPr>
                <w:rFonts w:hint="eastAsia" w:hAnsi="宋体" w:cs="宋体"/>
                <w:color w:val="auto"/>
                <w:sz w:val="21"/>
                <w:szCs w:val="21"/>
                <w:highlight w:val="none"/>
              </w:rPr>
              <w:t>日志数量存储:4亿条 含软件基本模块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1</w:t>
            </w:r>
          </w:p>
        </w:tc>
      </w:tr>
      <w:tr>
        <w:tblPrEx>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hAnsi="宋体" w:cs="宋体"/>
                <w:color w:val="auto"/>
                <w:sz w:val="21"/>
                <w:szCs w:val="21"/>
                <w:highlight w:val="none"/>
              </w:rPr>
            </w:pPr>
            <w:r>
              <w:rPr>
                <w:rFonts w:hint="eastAsia" w:hAnsi="宋体" w:cs="宋体"/>
                <w:color w:val="auto"/>
                <w:sz w:val="21"/>
                <w:szCs w:val="21"/>
                <w:highlight w:val="none"/>
              </w:rPr>
              <w:t>安全服务</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hAnsi="宋体" w:cs="宋体"/>
                <w:color w:val="auto"/>
                <w:sz w:val="21"/>
                <w:szCs w:val="21"/>
                <w:highlight w:val="none"/>
              </w:rPr>
            </w:pPr>
            <w:r>
              <w:rPr>
                <w:rFonts w:hint="eastAsia" w:hAnsi="宋体" w:cs="宋体"/>
                <w:color w:val="auto"/>
                <w:sz w:val="21"/>
                <w:szCs w:val="21"/>
                <w:highlight w:val="none"/>
              </w:rPr>
              <w:t>云日志审计</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hAnsi="宋体" w:cs="宋体"/>
                <w:color w:val="auto"/>
                <w:sz w:val="21"/>
                <w:szCs w:val="21"/>
                <w:highlight w:val="none"/>
              </w:rPr>
            </w:pPr>
            <w:r>
              <w:rPr>
                <w:rFonts w:hint="eastAsia" w:hAnsi="宋体" w:cs="宋体"/>
                <w:color w:val="auto"/>
                <w:sz w:val="21"/>
                <w:szCs w:val="21"/>
                <w:highlight w:val="none"/>
              </w:rPr>
              <w:t>最多支持20个日志源</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1</w:t>
            </w:r>
          </w:p>
        </w:tc>
      </w:tr>
      <w:tr>
        <w:tblPrEx>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11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hAnsi="宋体" w:cs="宋体"/>
                <w:color w:val="auto"/>
                <w:sz w:val="21"/>
                <w:szCs w:val="21"/>
                <w:highlight w:val="none"/>
              </w:rPr>
            </w:pPr>
            <w:r>
              <w:rPr>
                <w:rFonts w:hint="eastAsia" w:hAnsi="宋体" w:cs="宋体"/>
                <w:color w:val="auto"/>
                <w:sz w:val="21"/>
                <w:szCs w:val="21"/>
                <w:highlight w:val="none"/>
              </w:rPr>
              <w:t>安全服务</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hAnsi="宋体" w:cs="宋体"/>
                <w:color w:val="auto"/>
                <w:sz w:val="21"/>
                <w:szCs w:val="21"/>
                <w:highlight w:val="none"/>
              </w:rPr>
            </w:pPr>
            <w:r>
              <w:rPr>
                <w:rFonts w:hint="eastAsia" w:hAnsi="宋体" w:cs="宋体"/>
                <w:color w:val="auto"/>
                <w:sz w:val="21"/>
                <w:szCs w:val="21"/>
                <w:highlight w:val="none"/>
              </w:rPr>
              <w:t>杀毒服务</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hAnsi="宋体" w:cs="宋体"/>
                <w:color w:val="auto"/>
                <w:sz w:val="21"/>
                <w:szCs w:val="21"/>
                <w:highlight w:val="none"/>
              </w:rPr>
            </w:pPr>
            <w:r>
              <w:rPr>
                <w:rFonts w:hint="eastAsia" w:hAnsi="宋体" w:cs="宋体"/>
                <w:color w:val="auto"/>
                <w:sz w:val="21"/>
                <w:szCs w:val="21"/>
                <w:highlight w:val="none"/>
              </w:rPr>
              <w:t>单台杀毒服务每月服务费</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1</w:t>
            </w:r>
          </w:p>
        </w:tc>
      </w:tr>
      <w:tr>
        <w:tblPrEx>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12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hAnsi="宋体" w:cs="宋体"/>
                <w:color w:val="auto"/>
                <w:sz w:val="21"/>
                <w:szCs w:val="21"/>
                <w:highlight w:val="none"/>
              </w:rPr>
            </w:pPr>
            <w:r>
              <w:rPr>
                <w:rFonts w:hint="eastAsia" w:hAnsi="宋体" w:cs="宋体"/>
                <w:color w:val="auto"/>
                <w:sz w:val="21"/>
                <w:szCs w:val="21"/>
                <w:highlight w:val="none"/>
              </w:rPr>
              <w:t>安全服务</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hAnsi="宋体" w:cs="宋体"/>
                <w:color w:val="auto"/>
                <w:sz w:val="21"/>
                <w:szCs w:val="21"/>
                <w:highlight w:val="none"/>
              </w:rPr>
            </w:pPr>
            <w:r>
              <w:rPr>
                <w:rFonts w:hint="eastAsia" w:hAnsi="宋体" w:cs="宋体"/>
                <w:color w:val="auto"/>
                <w:sz w:val="21"/>
                <w:szCs w:val="21"/>
                <w:highlight w:val="none"/>
              </w:rPr>
              <w:t>上线前检测</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textAlignment w:val="center"/>
              <w:rPr>
                <w:rFonts w:hAnsi="宋体" w:cs="宋体"/>
                <w:color w:val="auto"/>
                <w:sz w:val="21"/>
                <w:szCs w:val="21"/>
                <w:highlight w:val="none"/>
              </w:rPr>
            </w:pPr>
            <w:r>
              <w:rPr>
                <w:rFonts w:hint="eastAsia" w:hAnsi="宋体" w:cs="宋体"/>
                <w:color w:val="auto"/>
                <w:sz w:val="21"/>
                <w:szCs w:val="21"/>
                <w:highlight w:val="none"/>
              </w:rPr>
              <w:t>上线前检测费用</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1</w:t>
            </w:r>
          </w:p>
        </w:tc>
      </w:tr>
    </w:tbl>
    <w:p>
      <w:pPr>
        <w:pStyle w:val="3"/>
        <w:autoSpaceDE/>
        <w:autoSpaceDN/>
        <w:adjustRightInd/>
        <w:spacing w:line="500" w:lineRule="exact"/>
        <w:textAlignment w:val="auto"/>
        <w:rPr>
          <w:rFonts w:ascii="宋体" w:hAnsi="宋体" w:eastAsia="宋体" w:cs="宋体"/>
          <w:color w:val="auto"/>
          <w:sz w:val="21"/>
          <w:szCs w:val="21"/>
          <w:highlight w:val="none"/>
        </w:rPr>
      </w:pPr>
      <w:bookmarkStart w:id="582" w:name="_Toc46"/>
      <w:bookmarkStart w:id="583" w:name="_Toc16058"/>
      <w:bookmarkStart w:id="584" w:name="_Toc943"/>
      <w:bookmarkStart w:id="585" w:name="_Toc11212"/>
      <w:bookmarkStart w:id="586" w:name="_Toc7288"/>
      <w:bookmarkStart w:id="587" w:name="_Toc12515"/>
      <w:bookmarkStart w:id="588" w:name="_Toc17411"/>
      <w:bookmarkStart w:id="589" w:name="_Toc31003"/>
      <w:bookmarkStart w:id="590" w:name="_Toc11709"/>
      <w:bookmarkStart w:id="591" w:name="_Toc7565"/>
      <w:bookmarkStart w:id="592" w:name="_Toc20120"/>
      <w:bookmarkStart w:id="593" w:name="_Toc9363"/>
      <w:bookmarkStart w:id="594" w:name="_Toc3063"/>
      <w:bookmarkStart w:id="595" w:name="_Toc26603"/>
      <w:bookmarkStart w:id="596" w:name="_Toc31817"/>
      <w:r>
        <w:rPr>
          <w:rFonts w:hint="eastAsia" w:ascii="宋体" w:hAnsi="宋体" w:eastAsia="宋体" w:cs="宋体"/>
          <w:color w:val="auto"/>
          <w:sz w:val="21"/>
          <w:szCs w:val="21"/>
          <w:highlight w:val="none"/>
        </w:rPr>
        <w:t>九、网络安全</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Pr>
          <w:rFonts w:hint="eastAsia" w:ascii="宋体" w:hAnsi="宋体" w:eastAsia="宋体" w:cs="宋体"/>
          <w:color w:val="auto"/>
          <w:sz w:val="21"/>
          <w:szCs w:val="21"/>
          <w:highlight w:val="none"/>
        </w:rPr>
        <w:t>要求</w:t>
      </w:r>
    </w:p>
    <w:p>
      <w:pPr>
        <w:pStyle w:val="4"/>
        <w:numPr>
          <w:ilvl w:val="0"/>
          <w:numId w:val="11"/>
        </w:numPr>
        <w:tabs>
          <w:tab w:val="left" w:pos="1003"/>
        </w:tabs>
        <w:spacing w:line="500" w:lineRule="exact"/>
        <w:ind w:firstLine="0"/>
        <w:rPr>
          <w:rFonts w:ascii="宋体" w:hAnsi="宋体" w:cs="宋体"/>
          <w:color w:val="auto"/>
          <w:sz w:val="21"/>
          <w:szCs w:val="21"/>
          <w:highlight w:val="none"/>
        </w:rPr>
      </w:pPr>
      <w:bookmarkStart w:id="597" w:name="_Toc14861"/>
      <w:bookmarkStart w:id="598" w:name="_Toc29541"/>
      <w:bookmarkStart w:id="599" w:name="_Toc3463"/>
      <w:bookmarkStart w:id="600" w:name="_Toc26068"/>
      <w:bookmarkStart w:id="601" w:name="_Toc3621"/>
      <w:bookmarkStart w:id="602" w:name="_Toc26903"/>
      <w:bookmarkStart w:id="603" w:name="_Toc15616"/>
      <w:bookmarkStart w:id="604" w:name="_Toc29144"/>
      <w:bookmarkStart w:id="605" w:name="_Toc30132"/>
      <w:bookmarkStart w:id="606" w:name="_Toc15629"/>
      <w:bookmarkStart w:id="607" w:name="_Toc18112"/>
      <w:bookmarkStart w:id="608" w:name="_Toc24916"/>
      <w:bookmarkStart w:id="609" w:name="_Toc23125"/>
      <w:bookmarkStart w:id="610" w:name="_Toc31994"/>
      <w:bookmarkStart w:id="611" w:name="_Toc20226"/>
      <w:r>
        <w:rPr>
          <w:rFonts w:hint="eastAsia" w:ascii="宋体" w:hAnsi="宋体" w:cs="宋体"/>
          <w:color w:val="auto"/>
          <w:sz w:val="21"/>
          <w:szCs w:val="21"/>
          <w:highlight w:val="none"/>
        </w:rPr>
        <w:t>信息系统安全等级定级</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pPr>
        <w:numPr>
          <w:ilvl w:val="255"/>
          <w:numId w:val="0"/>
        </w:numPr>
        <w:autoSpaceDE/>
        <w:autoSpaceDN/>
        <w:spacing w:line="500" w:lineRule="exact"/>
        <w:outlineLvl w:val="3"/>
        <w:rPr>
          <w:rFonts w:hAnsi="宋体" w:cs="宋体"/>
          <w:color w:val="auto"/>
          <w:sz w:val="21"/>
          <w:szCs w:val="21"/>
          <w:highlight w:val="none"/>
        </w:rPr>
      </w:pPr>
      <w:r>
        <w:rPr>
          <w:rFonts w:hint="eastAsia" w:hAnsi="宋体" w:cs="宋体"/>
          <w:color w:val="auto"/>
          <w:sz w:val="21"/>
          <w:szCs w:val="21"/>
          <w:highlight w:val="none"/>
        </w:rPr>
        <w:t>1.等保定级</w:t>
      </w:r>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财政深化应用平台</w:t>
      </w:r>
      <w:r>
        <w:rPr>
          <w:rFonts w:hint="eastAsia" w:hAnsi="宋体" w:cs="宋体"/>
          <w:color w:val="auto"/>
          <w:sz w:val="21"/>
          <w:szCs w:val="21"/>
          <w:highlight w:val="none"/>
          <w:lang w:val="zh-CN"/>
        </w:rPr>
        <w:t>属于</w:t>
      </w:r>
      <w:r>
        <w:rPr>
          <w:rFonts w:hint="eastAsia" w:hAnsi="宋体" w:cs="宋体"/>
          <w:color w:val="auto"/>
          <w:sz w:val="21"/>
          <w:szCs w:val="21"/>
          <w:highlight w:val="none"/>
        </w:rPr>
        <w:t>数据查询分析类应用</w:t>
      </w:r>
      <w:r>
        <w:rPr>
          <w:rFonts w:hint="eastAsia" w:hAnsi="宋体" w:cs="宋体"/>
          <w:color w:val="auto"/>
          <w:sz w:val="21"/>
          <w:szCs w:val="21"/>
          <w:highlight w:val="none"/>
          <w:lang w:val="zh-CN"/>
        </w:rPr>
        <w:t>，主要服务于市</w:t>
      </w:r>
      <w:r>
        <w:rPr>
          <w:rFonts w:hint="eastAsia" w:hAnsi="宋体" w:cs="宋体"/>
          <w:color w:val="auto"/>
          <w:sz w:val="21"/>
          <w:szCs w:val="21"/>
          <w:highlight w:val="none"/>
        </w:rPr>
        <w:t>本级行政事业单位的历史数据查询，提供财政主要业务以外的特色服务，系统实时性要求较低，</w:t>
      </w:r>
      <w:r>
        <w:rPr>
          <w:rFonts w:hint="eastAsia" w:hAnsi="宋体" w:cs="宋体"/>
          <w:color w:val="auto"/>
          <w:sz w:val="21"/>
          <w:szCs w:val="21"/>
          <w:highlight w:val="none"/>
          <w:lang w:val="zh-CN"/>
        </w:rPr>
        <w:t>其信息系统受到破坏后，</w:t>
      </w:r>
      <w:r>
        <w:rPr>
          <w:rFonts w:hint="eastAsia" w:hAnsi="宋体" w:cs="宋体"/>
          <w:color w:val="auto"/>
          <w:sz w:val="21"/>
          <w:szCs w:val="21"/>
          <w:highlight w:val="none"/>
        </w:rPr>
        <w:t>对财政业务不会造成重大影响，不会对</w:t>
      </w:r>
      <w:r>
        <w:rPr>
          <w:rFonts w:hint="eastAsia" w:hAnsi="宋体" w:cs="宋体"/>
          <w:color w:val="auto"/>
          <w:sz w:val="21"/>
          <w:szCs w:val="21"/>
          <w:highlight w:val="none"/>
          <w:lang w:val="zh-CN"/>
        </w:rPr>
        <w:t>社会秩序和公共利益造成严重损害，</w:t>
      </w:r>
      <w:r>
        <w:rPr>
          <w:rFonts w:hint="eastAsia" w:hAnsi="宋体" w:cs="宋体"/>
          <w:color w:val="auto"/>
          <w:sz w:val="21"/>
          <w:szCs w:val="21"/>
          <w:highlight w:val="none"/>
        </w:rPr>
        <w:t>通过基本软件、数据恢复手段可以基本上恢复全部功能</w:t>
      </w:r>
      <w:r>
        <w:rPr>
          <w:rFonts w:hint="eastAsia" w:hAnsi="宋体" w:cs="宋体"/>
          <w:color w:val="auto"/>
          <w:sz w:val="21"/>
          <w:szCs w:val="21"/>
          <w:highlight w:val="none"/>
          <w:lang w:val="zh-CN"/>
        </w:rPr>
        <w:t>，</w:t>
      </w:r>
      <w:r>
        <w:rPr>
          <w:rFonts w:hint="eastAsia" w:hAnsi="宋体" w:cs="宋体"/>
          <w:color w:val="auto"/>
          <w:sz w:val="21"/>
          <w:szCs w:val="21"/>
          <w:highlight w:val="none"/>
        </w:rPr>
        <w:t>故等保</w:t>
      </w:r>
      <w:r>
        <w:rPr>
          <w:rFonts w:hint="eastAsia" w:hAnsi="宋体" w:cs="宋体"/>
          <w:color w:val="auto"/>
          <w:sz w:val="21"/>
          <w:szCs w:val="21"/>
          <w:highlight w:val="none"/>
          <w:lang w:val="zh-CN"/>
        </w:rPr>
        <w:t>定级为</w:t>
      </w:r>
      <w:r>
        <w:rPr>
          <w:rFonts w:hint="eastAsia" w:hAnsi="宋体" w:cs="宋体"/>
          <w:color w:val="auto"/>
          <w:sz w:val="21"/>
          <w:szCs w:val="21"/>
          <w:highlight w:val="none"/>
        </w:rPr>
        <w:t>二级。</w:t>
      </w:r>
    </w:p>
    <w:p>
      <w:pPr>
        <w:numPr>
          <w:ilvl w:val="255"/>
          <w:numId w:val="0"/>
        </w:numPr>
        <w:autoSpaceDE/>
        <w:autoSpaceDN/>
        <w:spacing w:line="500" w:lineRule="exact"/>
        <w:outlineLvl w:val="3"/>
        <w:rPr>
          <w:rFonts w:hAnsi="宋体" w:cs="宋体"/>
          <w:color w:val="auto"/>
          <w:sz w:val="21"/>
          <w:szCs w:val="21"/>
          <w:highlight w:val="none"/>
        </w:rPr>
      </w:pPr>
      <w:r>
        <w:rPr>
          <w:rFonts w:hint="eastAsia" w:hAnsi="宋体" w:cs="宋体"/>
          <w:color w:val="auto"/>
          <w:sz w:val="21"/>
          <w:szCs w:val="21"/>
          <w:highlight w:val="none"/>
        </w:rPr>
        <w:t>2.测评计划</w:t>
      </w:r>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计划在开发实施完成，进入试运行阶段进行等保相关测评工作。</w:t>
      </w:r>
    </w:p>
    <w:p>
      <w:pPr>
        <w:pStyle w:val="4"/>
        <w:numPr>
          <w:ilvl w:val="0"/>
          <w:numId w:val="11"/>
        </w:numPr>
        <w:tabs>
          <w:tab w:val="left" w:pos="1003"/>
        </w:tabs>
        <w:spacing w:line="500" w:lineRule="exact"/>
        <w:ind w:firstLine="0"/>
        <w:rPr>
          <w:rFonts w:ascii="宋体" w:hAnsi="宋体" w:cs="宋体"/>
          <w:color w:val="auto"/>
          <w:sz w:val="21"/>
          <w:szCs w:val="21"/>
          <w:highlight w:val="none"/>
        </w:rPr>
      </w:pPr>
      <w:bookmarkStart w:id="612" w:name="_Toc7960"/>
      <w:bookmarkStart w:id="613" w:name="_Toc18827"/>
      <w:bookmarkStart w:id="614" w:name="_Toc2284"/>
      <w:bookmarkStart w:id="615" w:name="_Toc20421"/>
      <w:bookmarkStart w:id="616" w:name="_Toc20583"/>
      <w:bookmarkStart w:id="617" w:name="_Toc6935"/>
      <w:bookmarkStart w:id="618" w:name="_Toc4340"/>
      <w:bookmarkStart w:id="619" w:name="_Toc7001"/>
      <w:bookmarkStart w:id="620" w:name="_Toc28995"/>
      <w:bookmarkStart w:id="621" w:name="_Toc16693"/>
      <w:bookmarkStart w:id="622" w:name="_Toc32027"/>
      <w:bookmarkStart w:id="623" w:name="_Toc9849"/>
      <w:bookmarkStart w:id="624" w:name="_Toc17796"/>
      <w:bookmarkStart w:id="625" w:name="_Toc745"/>
      <w:bookmarkStart w:id="626" w:name="_Toc8439"/>
      <w:r>
        <w:rPr>
          <w:rFonts w:hint="eastAsia" w:ascii="宋体" w:hAnsi="宋体" w:cs="宋体"/>
          <w:color w:val="auto"/>
          <w:sz w:val="21"/>
          <w:szCs w:val="21"/>
          <w:highlight w:val="none"/>
        </w:rPr>
        <w:t>商用密码应用设计</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根据《中华人民共和国密码法》文件要求，本次项目将在软件开发完成后，由第三方具备密评资质机构按照《GB/T 39786-2021 信息安全技术信息系统密码应用基本要求》、《信息系统密码应用高风险判定指引》等相关国家标准，对项目相关内容开展是商用密码应用安全性评估工作，并要求项目建设符合《GB/T 39786-2021 信息安全技术信息系统密码应用基本要求》中物理和环境安全、网络和通信安全、设备和计算安全、应用和数据安全要求的相关内容。由于系统部署在金华市信创云上，物理和环境安全以及设备和计算安全部分（即系统部署的机房以及部署和运维系统的设备部分）由云平台部分负责进行建设改造，不含在本项目建设内容中。</w:t>
      </w:r>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对于网络和通信安全、应用和数据安全相关密码应用安全性建设要求在实现信息系统的鉴别信息、访问控制信息、重要业务数据、日志信息等数据实现数据完整性以及机密性保护的算法为国密算法（如SM2、SM3、ZUC、SM4）。</w:t>
      </w:r>
    </w:p>
    <w:p>
      <w:pPr>
        <w:pStyle w:val="4"/>
        <w:numPr>
          <w:ilvl w:val="0"/>
          <w:numId w:val="11"/>
        </w:numPr>
        <w:tabs>
          <w:tab w:val="left" w:pos="1003"/>
        </w:tabs>
        <w:spacing w:line="500" w:lineRule="exact"/>
        <w:ind w:firstLine="0"/>
        <w:rPr>
          <w:rFonts w:ascii="宋体" w:hAnsi="宋体" w:cs="宋体"/>
          <w:color w:val="auto"/>
          <w:sz w:val="21"/>
          <w:szCs w:val="21"/>
          <w:highlight w:val="none"/>
        </w:rPr>
      </w:pPr>
      <w:bookmarkStart w:id="627" w:name="_Toc4540"/>
      <w:bookmarkStart w:id="628" w:name="_Toc5125"/>
      <w:bookmarkStart w:id="629" w:name="_Toc9615"/>
      <w:bookmarkStart w:id="630" w:name="_Toc17553"/>
      <w:bookmarkStart w:id="631" w:name="_Toc17727"/>
      <w:bookmarkStart w:id="632" w:name="_Toc28"/>
      <w:bookmarkStart w:id="633" w:name="_Toc604"/>
      <w:bookmarkStart w:id="634" w:name="_Toc15841"/>
      <w:bookmarkStart w:id="635" w:name="_Toc25146"/>
      <w:bookmarkStart w:id="636" w:name="_Toc22990"/>
      <w:bookmarkStart w:id="637" w:name="_Toc23004"/>
      <w:bookmarkStart w:id="638" w:name="_Toc10451"/>
      <w:bookmarkStart w:id="639" w:name="_Toc4839"/>
      <w:bookmarkStart w:id="640" w:name="_Toc19553"/>
      <w:bookmarkStart w:id="641" w:name="_Toc11628"/>
      <w:r>
        <w:rPr>
          <w:rFonts w:hint="eastAsia" w:ascii="宋体" w:hAnsi="宋体" w:cs="宋体"/>
          <w:color w:val="auto"/>
          <w:sz w:val="21"/>
          <w:szCs w:val="21"/>
          <w:highlight w:val="none"/>
        </w:rPr>
        <w:t>安全防护软件和设备</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根据信创工作要求，中标单位需对系统安全防护软件和设备进行安装调制，并保证安全服务软件正常运行。</w:t>
      </w:r>
    </w:p>
    <w:tbl>
      <w:tblPr>
        <w:tblStyle w:val="46"/>
        <w:tblW w:w="8472" w:type="dxa"/>
        <w:tblInd w:w="-22" w:type="dxa"/>
        <w:tblLayout w:type="fixed"/>
        <w:tblCellMar>
          <w:top w:w="0" w:type="dxa"/>
          <w:left w:w="108" w:type="dxa"/>
          <w:bottom w:w="0" w:type="dxa"/>
          <w:right w:w="108" w:type="dxa"/>
        </w:tblCellMar>
      </w:tblPr>
      <w:tblGrid>
        <w:gridCol w:w="588"/>
        <w:gridCol w:w="1215"/>
        <w:gridCol w:w="1810"/>
        <w:gridCol w:w="3646"/>
        <w:gridCol w:w="1213"/>
      </w:tblGrid>
      <w:tr>
        <w:tblPrEx>
          <w:tblCellMar>
            <w:top w:w="0" w:type="dxa"/>
            <w:left w:w="108" w:type="dxa"/>
            <w:bottom w:w="0" w:type="dxa"/>
            <w:right w:w="108" w:type="dxa"/>
          </w:tblCellMar>
        </w:tblPrEx>
        <w:trPr>
          <w:trHeight w:val="27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hAnsi="宋体" w:cs="宋体"/>
                <w:b/>
                <w:bCs/>
                <w:color w:val="auto"/>
                <w:sz w:val="21"/>
                <w:szCs w:val="21"/>
                <w:highlight w:val="none"/>
              </w:rPr>
            </w:pPr>
            <w:r>
              <w:rPr>
                <w:rFonts w:hint="eastAsia" w:hAnsi="宋体" w:cs="宋体"/>
                <w:b/>
                <w:bCs/>
                <w:color w:val="auto"/>
                <w:sz w:val="21"/>
                <w:szCs w:val="21"/>
                <w:highlight w:val="none"/>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hAnsi="宋体" w:cs="宋体"/>
                <w:b/>
                <w:bCs/>
                <w:color w:val="auto"/>
                <w:sz w:val="21"/>
                <w:szCs w:val="21"/>
                <w:highlight w:val="none"/>
              </w:rPr>
            </w:pPr>
            <w:r>
              <w:rPr>
                <w:rFonts w:hint="eastAsia" w:hAnsi="宋体" w:cs="宋体"/>
                <w:b/>
                <w:bCs/>
                <w:color w:val="auto"/>
                <w:sz w:val="21"/>
                <w:szCs w:val="21"/>
                <w:highlight w:val="none"/>
              </w:rPr>
              <w:t>名称</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hAnsi="宋体" w:cs="宋体"/>
                <w:b/>
                <w:bCs/>
                <w:color w:val="auto"/>
                <w:sz w:val="21"/>
                <w:szCs w:val="21"/>
                <w:highlight w:val="none"/>
              </w:rPr>
            </w:pPr>
            <w:r>
              <w:rPr>
                <w:rFonts w:hint="eastAsia" w:hAnsi="宋体" w:cs="宋体"/>
                <w:b/>
                <w:bCs/>
                <w:color w:val="auto"/>
                <w:sz w:val="21"/>
                <w:szCs w:val="21"/>
                <w:highlight w:val="none"/>
              </w:rPr>
              <w:t>内容</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hAnsi="宋体" w:cs="宋体"/>
                <w:b/>
                <w:bCs/>
                <w:color w:val="auto"/>
                <w:sz w:val="21"/>
                <w:szCs w:val="21"/>
                <w:highlight w:val="none"/>
              </w:rPr>
            </w:pPr>
            <w:r>
              <w:rPr>
                <w:rFonts w:hint="eastAsia" w:hAnsi="宋体" w:cs="宋体"/>
                <w:b/>
                <w:bCs/>
                <w:color w:val="auto"/>
                <w:sz w:val="21"/>
                <w:szCs w:val="21"/>
                <w:highlight w:val="none"/>
              </w:rPr>
              <w:t>配置</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hAnsi="宋体" w:cs="宋体"/>
                <w:b/>
                <w:bCs/>
                <w:color w:val="auto"/>
                <w:sz w:val="21"/>
                <w:szCs w:val="21"/>
                <w:highlight w:val="none"/>
              </w:rPr>
            </w:pPr>
            <w:r>
              <w:rPr>
                <w:rFonts w:hint="eastAsia" w:hAnsi="宋体" w:cs="宋体"/>
                <w:b/>
                <w:bCs/>
                <w:color w:val="auto"/>
                <w:sz w:val="21"/>
                <w:szCs w:val="21"/>
                <w:highlight w:val="none"/>
              </w:rPr>
              <w:t>数量</w:t>
            </w:r>
          </w:p>
        </w:tc>
      </w:tr>
      <w:tr>
        <w:tblPrEx>
          <w:tblCellMar>
            <w:top w:w="0" w:type="dxa"/>
            <w:left w:w="108" w:type="dxa"/>
            <w:bottom w:w="0" w:type="dxa"/>
            <w:right w:w="108" w:type="dxa"/>
          </w:tblCellMar>
        </w:tblPrEx>
        <w:trPr>
          <w:trHeight w:val="27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textAlignment w:val="center"/>
              <w:rPr>
                <w:rFonts w:hAnsi="宋体" w:cs="宋体"/>
                <w:color w:val="auto"/>
                <w:sz w:val="21"/>
                <w:szCs w:val="21"/>
                <w:highlight w:val="none"/>
              </w:rPr>
            </w:pPr>
            <w:r>
              <w:rPr>
                <w:rFonts w:hint="eastAsia" w:hAnsi="宋体" w:cs="宋体"/>
                <w:color w:val="auto"/>
                <w:sz w:val="21"/>
                <w:szCs w:val="21"/>
                <w:highlight w:val="none"/>
              </w:rPr>
              <w:t>安全服务</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textAlignment w:val="center"/>
              <w:rPr>
                <w:rFonts w:hAnsi="宋体" w:cs="宋体"/>
                <w:color w:val="auto"/>
                <w:sz w:val="21"/>
                <w:szCs w:val="21"/>
                <w:highlight w:val="none"/>
              </w:rPr>
            </w:pPr>
            <w:r>
              <w:rPr>
                <w:rFonts w:hint="eastAsia" w:hAnsi="宋体" w:cs="宋体"/>
                <w:color w:val="auto"/>
                <w:sz w:val="21"/>
                <w:szCs w:val="21"/>
                <w:highlight w:val="none"/>
              </w:rPr>
              <w:t>堡垒机服务（独占堡垒）</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textAlignment w:val="center"/>
              <w:rPr>
                <w:rFonts w:hAnsi="宋体" w:cs="宋体"/>
                <w:color w:val="auto"/>
                <w:sz w:val="21"/>
                <w:szCs w:val="21"/>
                <w:highlight w:val="none"/>
              </w:rPr>
            </w:pPr>
            <w:r>
              <w:rPr>
                <w:rFonts w:hint="eastAsia" w:hAnsi="宋体" w:cs="宋体"/>
                <w:color w:val="auto"/>
                <w:sz w:val="21"/>
                <w:szCs w:val="21"/>
                <w:highlight w:val="none"/>
              </w:rPr>
              <w:t>单核，2G内存，100G硬盘，20资产服务费用</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1</w:t>
            </w:r>
          </w:p>
        </w:tc>
      </w:tr>
      <w:tr>
        <w:tblPrEx>
          <w:tblCellMar>
            <w:top w:w="0" w:type="dxa"/>
            <w:left w:w="108" w:type="dxa"/>
            <w:bottom w:w="0" w:type="dxa"/>
            <w:right w:w="108" w:type="dxa"/>
          </w:tblCellMar>
        </w:tblPrEx>
        <w:trPr>
          <w:trHeight w:val="81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textAlignment w:val="center"/>
              <w:rPr>
                <w:rFonts w:hAnsi="宋体" w:cs="宋体"/>
                <w:color w:val="auto"/>
                <w:sz w:val="21"/>
                <w:szCs w:val="21"/>
                <w:highlight w:val="none"/>
              </w:rPr>
            </w:pPr>
            <w:r>
              <w:rPr>
                <w:rFonts w:hint="eastAsia" w:hAnsi="宋体" w:cs="宋体"/>
                <w:color w:val="auto"/>
                <w:sz w:val="21"/>
                <w:szCs w:val="21"/>
                <w:highlight w:val="none"/>
              </w:rPr>
              <w:t>安全服务</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textAlignment w:val="center"/>
              <w:rPr>
                <w:rFonts w:hAnsi="宋体" w:cs="宋体"/>
                <w:color w:val="auto"/>
                <w:sz w:val="21"/>
                <w:szCs w:val="21"/>
                <w:highlight w:val="none"/>
              </w:rPr>
            </w:pPr>
            <w:r>
              <w:rPr>
                <w:rFonts w:hint="eastAsia" w:hAnsi="宋体" w:cs="宋体"/>
                <w:color w:val="auto"/>
                <w:sz w:val="21"/>
                <w:szCs w:val="21"/>
                <w:highlight w:val="none"/>
              </w:rPr>
              <w:t>云WAF</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textAlignment w:val="center"/>
              <w:rPr>
                <w:rFonts w:hAnsi="宋体" w:cs="宋体"/>
                <w:color w:val="auto"/>
                <w:sz w:val="21"/>
                <w:szCs w:val="21"/>
                <w:highlight w:val="none"/>
              </w:rPr>
            </w:pPr>
            <w:r>
              <w:rPr>
                <w:rFonts w:hint="eastAsia" w:hAnsi="宋体" w:cs="宋体"/>
                <w:color w:val="auto"/>
                <w:sz w:val="21"/>
                <w:szCs w:val="21"/>
                <w:highlight w:val="none"/>
              </w:rPr>
              <w:t>保护域名授权上限16个，新建10000，并发150000，防护流量100Mbps</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1</w:t>
            </w:r>
          </w:p>
        </w:tc>
      </w:tr>
      <w:tr>
        <w:tblPrEx>
          <w:tblCellMar>
            <w:top w:w="0" w:type="dxa"/>
            <w:left w:w="108" w:type="dxa"/>
            <w:bottom w:w="0" w:type="dxa"/>
            <w:right w:w="108" w:type="dxa"/>
          </w:tblCellMar>
        </w:tblPrEx>
        <w:trPr>
          <w:trHeight w:val="135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textAlignment w:val="center"/>
              <w:rPr>
                <w:rFonts w:hAnsi="宋体" w:cs="宋体"/>
                <w:color w:val="auto"/>
                <w:sz w:val="21"/>
                <w:szCs w:val="21"/>
                <w:highlight w:val="none"/>
              </w:rPr>
            </w:pPr>
            <w:r>
              <w:rPr>
                <w:rFonts w:hint="eastAsia" w:hAnsi="宋体" w:cs="宋体"/>
                <w:color w:val="auto"/>
                <w:sz w:val="21"/>
                <w:szCs w:val="21"/>
                <w:highlight w:val="none"/>
              </w:rPr>
              <w:t>安全服务</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textAlignment w:val="center"/>
              <w:rPr>
                <w:rFonts w:hAnsi="宋体" w:cs="宋体"/>
                <w:color w:val="auto"/>
                <w:sz w:val="21"/>
                <w:szCs w:val="21"/>
                <w:highlight w:val="none"/>
              </w:rPr>
            </w:pPr>
            <w:r>
              <w:rPr>
                <w:rFonts w:hint="eastAsia" w:hAnsi="宋体" w:cs="宋体"/>
                <w:color w:val="auto"/>
                <w:sz w:val="21"/>
                <w:szCs w:val="21"/>
                <w:highlight w:val="none"/>
              </w:rPr>
              <w:t>云数据库审计</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textAlignment w:val="center"/>
              <w:rPr>
                <w:rFonts w:hAnsi="宋体" w:cs="宋体"/>
                <w:color w:val="auto"/>
                <w:sz w:val="21"/>
                <w:szCs w:val="21"/>
                <w:highlight w:val="none"/>
              </w:rPr>
            </w:pPr>
            <w:r>
              <w:rPr>
                <w:rFonts w:hint="eastAsia" w:hAnsi="宋体" w:cs="宋体"/>
                <w:color w:val="auto"/>
                <w:sz w:val="21"/>
                <w:szCs w:val="21"/>
                <w:highlight w:val="none"/>
              </w:rPr>
              <w:t>最多可提供4个数据库实例审计，纯数据库流量上限：200Mbs</w:t>
            </w:r>
            <w:r>
              <w:rPr>
                <w:rFonts w:hint="eastAsia" w:hAnsi="宋体" w:cs="宋体"/>
                <w:color w:val="auto"/>
                <w:sz w:val="21"/>
                <w:szCs w:val="21"/>
                <w:highlight w:val="none"/>
              </w:rPr>
              <w:br w:type="textWrapping"/>
            </w:r>
            <w:r>
              <w:rPr>
                <w:rFonts w:hint="eastAsia" w:hAnsi="宋体" w:cs="宋体"/>
                <w:color w:val="auto"/>
                <w:sz w:val="21"/>
                <w:szCs w:val="21"/>
                <w:highlight w:val="none"/>
              </w:rPr>
              <w:t>峰值事务处理能力:20000(条/秒)</w:t>
            </w:r>
            <w:r>
              <w:rPr>
                <w:rFonts w:hint="eastAsia" w:hAnsi="宋体" w:cs="宋体"/>
                <w:color w:val="auto"/>
                <w:sz w:val="21"/>
                <w:szCs w:val="21"/>
                <w:highlight w:val="none"/>
              </w:rPr>
              <w:br w:type="textWrapping"/>
            </w:r>
            <w:r>
              <w:rPr>
                <w:rFonts w:hint="eastAsia" w:hAnsi="宋体" w:cs="宋体"/>
                <w:color w:val="auto"/>
                <w:sz w:val="21"/>
                <w:szCs w:val="21"/>
                <w:highlight w:val="none"/>
              </w:rPr>
              <w:t>日志数量存储:4亿条 含软件基本模块</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1</w:t>
            </w:r>
          </w:p>
        </w:tc>
      </w:tr>
      <w:tr>
        <w:tblPrEx>
          <w:tblCellMar>
            <w:top w:w="0" w:type="dxa"/>
            <w:left w:w="108" w:type="dxa"/>
            <w:bottom w:w="0" w:type="dxa"/>
            <w:right w:w="108" w:type="dxa"/>
          </w:tblCellMar>
        </w:tblPrEx>
        <w:trPr>
          <w:trHeight w:val="27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textAlignment w:val="center"/>
              <w:rPr>
                <w:rFonts w:hAnsi="宋体" w:cs="宋体"/>
                <w:color w:val="auto"/>
                <w:sz w:val="21"/>
                <w:szCs w:val="21"/>
                <w:highlight w:val="none"/>
              </w:rPr>
            </w:pPr>
            <w:r>
              <w:rPr>
                <w:rFonts w:hint="eastAsia" w:hAnsi="宋体" w:cs="宋体"/>
                <w:color w:val="auto"/>
                <w:sz w:val="21"/>
                <w:szCs w:val="21"/>
                <w:highlight w:val="none"/>
              </w:rPr>
              <w:t>安全服务</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textAlignment w:val="center"/>
              <w:rPr>
                <w:rFonts w:hAnsi="宋体" w:cs="宋体"/>
                <w:color w:val="auto"/>
                <w:sz w:val="21"/>
                <w:szCs w:val="21"/>
                <w:highlight w:val="none"/>
              </w:rPr>
            </w:pPr>
            <w:r>
              <w:rPr>
                <w:rFonts w:hint="eastAsia" w:hAnsi="宋体" w:cs="宋体"/>
                <w:color w:val="auto"/>
                <w:sz w:val="21"/>
                <w:szCs w:val="21"/>
                <w:highlight w:val="none"/>
              </w:rPr>
              <w:t>云日志审计</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textAlignment w:val="center"/>
              <w:rPr>
                <w:rFonts w:hAnsi="宋体" w:cs="宋体"/>
                <w:color w:val="auto"/>
                <w:sz w:val="21"/>
                <w:szCs w:val="21"/>
                <w:highlight w:val="none"/>
              </w:rPr>
            </w:pPr>
            <w:r>
              <w:rPr>
                <w:rFonts w:hint="eastAsia" w:hAnsi="宋体" w:cs="宋体"/>
                <w:color w:val="auto"/>
                <w:sz w:val="21"/>
                <w:szCs w:val="21"/>
                <w:highlight w:val="none"/>
              </w:rPr>
              <w:t>最多支持20个日志源</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1</w:t>
            </w:r>
          </w:p>
        </w:tc>
      </w:tr>
      <w:tr>
        <w:tblPrEx>
          <w:tblCellMar>
            <w:top w:w="0" w:type="dxa"/>
            <w:left w:w="108" w:type="dxa"/>
            <w:bottom w:w="0" w:type="dxa"/>
            <w:right w:w="108" w:type="dxa"/>
          </w:tblCellMar>
        </w:tblPrEx>
        <w:trPr>
          <w:trHeight w:val="27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textAlignment w:val="center"/>
              <w:rPr>
                <w:rFonts w:hAnsi="宋体" w:cs="宋体"/>
                <w:color w:val="auto"/>
                <w:sz w:val="21"/>
                <w:szCs w:val="21"/>
                <w:highlight w:val="none"/>
              </w:rPr>
            </w:pPr>
            <w:r>
              <w:rPr>
                <w:rFonts w:hint="eastAsia" w:hAnsi="宋体" w:cs="宋体"/>
                <w:color w:val="auto"/>
                <w:sz w:val="21"/>
                <w:szCs w:val="21"/>
                <w:highlight w:val="none"/>
              </w:rPr>
              <w:t>安全服务</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textAlignment w:val="center"/>
              <w:rPr>
                <w:rFonts w:hAnsi="宋体" w:cs="宋体"/>
                <w:color w:val="auto"/>
                <w:sz w:val="21"/>
                <w:szCs w:val="21"/>
                <w:highlight w:val="none"/>
              </w:rPr>
            </w:pPr>
            <w:r>
              <w:rPr>
                <w:rFonts w:hint="eastAsia" w:hAnsi="宋体" w:cs="宋体"/>
                <w:color w:val="auto"/>
                <w:sz w:val="21"/>
                <w:szCs w:val="21"/>
                <w:highlight w:val="none"/>
              </w:rPr>
              <w:t>杀毒服务</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textAlignment w:val="center"/>
              <w:rPr>
                <w:rFonts w:hAnsi="宋体" w:cs="宋体"/>
                <w:color w:val="auto"/>
                <w:sz w:val="21"/>
                <w:szCs w:val="21"/>
                <w:highlight w:val="none"/>
              </w:rPr>
            </w:pPr>
            <w:r>
              <w:rPr>
                <w:rFonts w:hint="eastAsia" w:hAnsi="宋体" w:cs="宋体"/>
                <w:color w:val="auto"/>
                <w:sz w:val="21"/>
                <w:szCs w:val="21"/>
                <w:highlight w:val="none"/>
              </w:rPr>
              <w:t>单台杀毒服务每月服务费</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1</w:t>
            </w:r>
          </w:p>
        </w:tc>
      </w:tr>
      <w:tr>
        <w:tblPrEx>
          <w:tblCellMar>
            <w:top w:w="0" w:type="dxa"/>
            <w:left w:w="108" w:type="dxa"/>
            <w:bottom w:w="0" w:type="dxa"/>
            <w:right w:w="108" w:type="dxa"/>
          </w:tblCellMar>
        </w:tblPrEx>
        <w:trPr>
          <w:trHeight w:val="27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textAlignment w:val="center"/>
              <w:rPr>
                <w:rFonts w:hAnsi="宋体" w:cs="宋体"/>
                <w:color w:val="auto"/>
                <w:sz w:val="21"/>
                <w:szCs w:val="21"/>
                <w:highlight w:val="none"/>
              </w:rPr>
            </w:pPr>
            <w:r>
              <w:rPr>
                <w:rFonts w:hint="eastAsia" w:hAnsi="宋体" w:cs="宋体"/>
                <w:color w:val="auto"/>
                <w:sz w:val="21"/>
                <w:szCs w:val="21"/>
                <w:highlight w:val="none"/>
              </w:rPr>
              <w:t>安全服务</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textAlignment w:val="center"/>
              <w:rPr>
                <w:rFonts w:hAnsi="宋体" w:cs="宋体"/>
                <w:color w:val="auto"/>
                <w:sz w:val="21"/>
                <w:szCs w:val="21"/>
                <w:highlight w:val="none"/>
              </w:rPr>
            </w:pPr>
            <w:r>
              <w:rPr>
                <w:rFonts w:hint="eastAsia" w:hAnsi="宋体" w:cs="宋体"/>
                <w:color w:val="auto"/>
                <w:sz w:val="21"/>
                <w:szCs w:val="21"/>
                <w:highlight w:val="none"/>
              </w:rPr>
              <w:t>上线前检测</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textAlignment w:val="center"/>
              <w:rPr>
                <w:rFonts w:hAnsi="宋体" w:cs="宋体"/>
                <w:color w:val="auto"/>
                <w:sz w:val="21"/>
                <w:szCs w:val="21"/>
                <w:highlight w:val="none"/>
              </w:rPr>
            </w:pPr>
            <w:r>
              <w:rPr>
                <w:rFonts w:hint="eastAsia" w:hAnsi="宋体" w:cs="宋体"/>
                <w:color w:val="auto"/>
                <w:sz w:val="21"/>
                <w:szCs w:val="21"/>
                <w:highlight w:val="none"/>
              </w:rPr>
              <w:t>上线前检测费用</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hAnsi="宋体" w:cs="宋体"/>
                <w:color w:val="auto"/>
                <w:sz w:val="21"/>
                <w:szCs w:val="21"/>
                <w:highlight w:val="none"/>
              </w:rPr>
            </w:pPr>
            <w:r>
              <w:rPr>
                <w:rFonts w:hint="eastAsia" w:hAnsi="宋体" w:cs="宋体"/>
                <w:color w:val="auto"/>
                <w:sz w:val="21"/>
                <w:szCs w:val="21"/>
                <w:highlight w:val="none"/>
              </w:rPr>
              <w:t>1</w:t>
            </w:r>
          </w:p>
        </w:tc>
      </w:tr>
    </w:tbl>
    <w:p>
      <w:pPr>
        <w:pStyle w:val="3"/>
        <w:autoSpaceDE/>
        <w:autoSpaceDN/>
        <w:adjustRightInd/>
        <w:spacing w:line="500" w:lineRule="exact"/>
        <w:ind w:left="420"/>
        <w:textAlignment w:val="auto"/>
        <w:rPr>
          <w:rFonts w:ascii="宋体" w:hAnsi="宋体" w:eastAsia="宋体" w:cs="宋体"/>
          <w:color w:val="auto"/>
          <w:sz w:val="21"/>
          <w:szCs w:val="21"/>
          <w:highlight w:val="none"/>
        </w:rPr>
      </w:pPr>
      <w:bookmarkStart w:id="642" w:name="_Toc28409"/>
      <w:bookmarkStart w:id="643" w:name="_Toc6557"/>
      <w:bookmarkStart w:id="644" w:name="_Toc27781"/>
      <w:bookmarkStart w:id="645" w:name="_Toc22641"/>
      <w:bookmarkStart w:id="646" w:name="_Toc12752"/>
      <w:bookmarkStart w:id="647" w:name="_Toc22621"/>
      <w:bookmarkStart w:id="648" w:name="_Toc23981"/>
      <w:bookmarkStart w:id="649" w:name="_Toc19552"/>
      <w:bookmarkStart w:id="650" w:name="_Toc6970"/>
      <w:bookmarkStart w:id="651" w:name="_Toc24059"/>
      <w:bookmarkStart w:id="652" w:name="_Toc20911"/>
      <w:bookmarkStart w:id="653" w:name="_Toc10950"/>
      <w:bookmarkStart w:id="654" w:name="_Toc13575"/>
      <w:bookmarkStart w:id="655" w:name="_Toc21832"/>
      <w:bookmarkStart w:id="656" w:name="_Toc18413"/>
      <w:r>
        <w:rPr>
          <w:rFonts w:hint="eastAsia" w:ascii="宋体" w:hAnsi="宋体" w:eastAsia="宋体" w:cs="宋体"/>
          <w:color w:val="auto"/>
          <w:sz w:val="21"/>
          <w:szCs w:val="21"/>
          <w:highlight w:val="none"/>
        </w:rPr>
        <w:t>十、人员配置要求</w:t>
      </w:r>
    </w:p>
    <w:p>
      <w:pPr>
        <w:autoSpaceDE/>
        <w:autoSpaceDN/>
        <w:adjustRightInd/>
        <w:spacing w:line="500" w:lineRule="exact"/>
        <w:ind w:firstLine="420"/>
        <w:textAlignment w:val="auto"/>
        <w:rPr>
          <w:rFonts w:hAnsi="宋体" w:cs="宋体"/>
          <w:color w:val="auto"/>
          <w:sz w:val="21"/>
          <w:szCs w:val="21"/>
          <w:highlight w:val="none"/>
        </w:rPr>
      </w:pPr>
      <w:r>
        <w:rPr>
          <w:rFonts w:hint="eastAsia" w:hAnsi="宋体" w:cs="宋体"/>
          <w:color w:val="auto"/>
          <w:sz w:val="21"/>
          <w:szCs w:val="21"/>
          <w:highlight w:val="none"/>
        </w:rPr>
        <w:t>为保障项目服务质量，要求成交人提供一支专业服务团队提供项目保障服务，包含项目经理、开发工程师若干名。</w:t>
      </w:r>
    </w:p>
    <w:p>
      <w:pPr>
        <w:numPr>
          <w:ilvl w:val="255"/>
          <w:numId w:val="0"/>
        </w:numPr>
        <w:spacing w:line="500" w:lineRule="exact"/>
        <w:rPr>
          <w:rFonts w:hAnsi="宋体" w:cs="宋体"/>
          <w:color w:val="auto"/>
          <w:sz w:val="21"/>
          <w:szCs w:val="21"/>
          <w:highlight w:val="none"/>
        </w:rPr>
      </w:pPr>
      <w:r>
        <w:rPr>
          <w:rFonts w:hint="eastAsia" w:hAnsi="宋体" w:cs="宋体"/>
          <w:color w:val="auto"/>
          <w:sz w:val="21"/>
          <w:szCs w:val="21"/>
          <w:highlight w:val="none"/>
        </w:rPr>
        <w:t>1.项目经理</w:t>
      </w:r>
    </w:p>
    <w:p>
      <w:pPr>
        <w:autoSpaceDE/>
        <w:autoSpaceDN/>
        <w:adjustRightInd/>
        <w:spacing w:line="500" w:lineRule="exact"/>
        <w:ind w:firstLine="420"/>
        <w:textAlignment w:val="auto"/>
        <w:rPr>
          <w:rFonts w:hAnsi="宋体" w:cs="宋体"/>
          <w:color w:val="auto"/>
          <w:sz w:val="21"/>
          <w:szCs w:val="21"/>
          <w:highlight w:val="none"/>
        </w:rPr>
      </w:pPr>
      <w:r>
        <w:rPr>
          <w:rFonts w:hint="eastAsia" w:hAnsi="宋体" w:cs="宋体"/>
          <w:color w:val="auto"/>
          <w:sz w:val="21"/>
          <w:szCs w:val="21"/>
          <w:highlight w:val="none"/>
        </w:rPr>
        <w:t>项目经理1名，需全程跟踪管理该项目。应具备财政业务运维服务项目管理经验，熟知预算管理一体化系统、市本级金财工程系统及相关业务知识、政策法规。具备良好的沟通能力、项目管理能力，能协调工程师、用户相关资源把握项目进度，按质按量完成项目工作。</w:t>
      </w:r>
    </w:p>
    <w:p>
      <w:pPr>
        <w:numPr>
          <w:ilvl w:val="255"/>
          <w:numId w:val="0"/>
        </w:numPr>
        <w:spacing w:line="500" w:lineRule="exact"/>
        <w:rPr>
          <w:rFonts w:hAnsi="宋体" w:cs="宋体"/>
          <w:color w:val="auto"/>
          <w:sz w:val="21"/>
          <w:szCs w:val="21"/>
          <w:highlight w:val="none"/>
        </w:rPr>
      </w:pPr>
      <w:r>
        <w:rPr>
          <w:rFonts w:hint="eastAsia" w:hAnsi="宋体" w:cs="宋体"/>
          <w:color w:val="auto"/>
          <w:sz w:val="21"/>
          <w:szCs w:val="21"/>
          <w:highlight w:val="none"/>
        </w:rPr>
        <w:t>2.开发工程师</w:t>
      </w:r>
    </w:p>
    <w:p>
      <w:pPr>
        <w:autoSpaceDE/>
        <w:autoSpaceDN/>
        <w:adjustRightInd/>
        <w:spacing w:line="500" w:lineRule="exact"/>
        <w:ind w:firstLine="420"/>
        <w:textAlignment w:val="auto"/>
        <w:rPr>
          <w:rFonts w:hAnsi="宋体" w:cs="宋体"/>
          <w:color w:val="auto"/>
          <w:sz w:val="21"/>
          <w:szCs w:val="21"/>
          <w:highlight w:val="none"/>
        </w:rPr>
      </w:pPr>
      <w:r>
        <w:rPr>
          <w:rFonts w:hint="eastAsia" w:hAnsi="宋体" w:cs="宋体"/>
          <w:color w:val="auto"/>
          <w:sz w:val="21"/>
          <w:szCs w:val="21"/>
          <w:highlight w:val="none"/>
        </w:rPr>
        <w:t>开发工程师人数以保障项目开发为目标，人数不少于3名。应具备熟悉财政业务基础知识，熟练掌握相关业务流程；具备信创环境开发的相关经验；有专业的服务意识和责任心，并能对用户业务管理和数据严格保密。</w:t>
      </w:r>
    </w:p>
    <w:p>
      <w:pPr>
        <w:numPr>
          <w:ilvl w:val="255"/>
          <w:numId w:val="0"/>
        </w:numPr>
        <w:spacing w:line="500" w:lineRule="exact"/>
        <w:rPr>
          <w:rFonts w:hAnsi="宋体" w:cs="宋体"/>
          <w:color w:val="auto"/>
          <w:sz w:val="21"/>
          <w:szCs w:val="21"/>
          <w:highlight w:val="none"/>
        </w:rPr>
      </w:pPr>
      <w:r>
        <w:rPr>
          <w:rFonts w:hint="eastAsia" w:hAnsi="宋体" w:cs="宋体"/>
          <w:color w:val="auto"/>
          <w:sz w:val="21"/>
          <w:szCs w:val="21"/>
          <w:highlight w:val="none"/>
        </w:rPr>
        <w:t>3.培训及运维工程师</w:t>
      </w:r>
    </w:p>
    <w:p>
      <w:pPr>
        <w:autoSpaceDE/>
        <w:autoSpaceDN/>
        <w:adjustRightInd/>
        <w:spacing w:line="500" w:lineRule="exact"/>
        <w:ind w:firstLine="420"/>
        <w:textAlignment w:val="auto"/>
        <w:rPr>
          <w:color w:val="auto"/>
          <w:sz w:val="21"/>
          <w:szCs w:val="21"/>
          <w:highlight w:val="none"/>
        </w:rPr>
      </w:pPr>
      <w:r>
        <w:rPr>
          <w:rFonts w:hint="eastAsia" w:hAnsi="宋体" w:cs="宋体"/>
          <w:color w:val="auto"/>
          <w:sz w:val="21"/>
          <w:szCs w:val="21"/>
          <w:highlight w:val="none"/>
        </w:rPr>
        <w:t>按我局培训计划要求提供培训师资及助教若干名；运维期间除配备参与本项目开发的开发工程师参与运维外，还应提供运维工程师若干名，主要负责系统应用问题解答、协助操作人员熟练使用系统等；能通过QQ、微信、钉订、视频培训等多种方式开展运维工作；有专业的服务意识和责任心，并能对用户业务管理和数据严格保密。</w:t>
      </w:r>
    </w:p>
    <w:p>
      <w:pPr>
        <w:pStyle w:val="3"/>
        <w:autoSpaceDE/>
        <w:autoSpaceDN/>
        <w:adjustRightInd/>
        <w:spacing w:line="500" w:lineRule="exac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十一、用户培训</w:t>
      </w:r>
    </w:p>
    <w:p>
      <w:pPr>
        <w:autoSpaceDE/>
        <w:autoSpaceDN/>
        <w:adjustRightInd/>
        <w:spacing w:line="500" w:lineRule="exact"/>
        <w:ind w:firstLine="420"/>
        <w:textAlignment w:val="auto"/>
        <w:rPr>
          <w:rFonts w:hAnsi="宋体" w:cs="宋体"/>
          <w:color w:val="auto"/>
          <w:sz w:val="21"/>
          <w:szCs w:val="21"/>
          <w:highlight w:val="none"/>
        </w:rPr>
      </w:pPr>
      <w:r>
        <w:rPr>
          <w:rFonts w:hint="eastAsia" w:hAnsi="宋体" w:cs="宋体"/>
          <w:color w:val="auto"/>
          <w:sz w:val="21"/>
          <w:szCs w:val="21"/>
          <w:highlight w:val="none"/>
        </w:rPr>
        <w:t>要求供应商编制系统使用手册、录制操作视频，并能按我局要求对财政及预算单位用户开展不限于现场、网络等操作培训，能通过QQ、微信、钉订、视频培训等多种方式协助操作人员熟练使用系统功能。</w:t>
      </w:r>
    </w:p>
    <w:p>
      <w:pPr>
        <w:pStyle w:val="3"/>
        <w:autoSpaceDE/>
        <w:autoSpaceDN/>
        <w:adjustRightInd/>
        <w:spacing w:line="500" w:lineRule="exac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十二、质量保证</w:t>
      </w:r>
    </w:p>
    <w:p>
      <w:pPr>
        <w:pStyle w:val="44"/>
        <w:numPr>
          <w:ilvl w:val="255"/>
          <w:numId w:val="0"/>
        </w:numPr>
        <w:tabs>
          <w:tab w:val="left" w:pos="-5"/>
        </w:tabs>
        <w:spacing w:line="500" w:lineRule="exact"/>
        <w:rPr>
          <w:rFonts w:ascii="宋体" w:hAnsi="宋体"/>
          <w:color w:val="auto"/>
          <w:highlight w:val="none"/>
        </w:rPr>
      </w:pPr>
      <w:r>
        <w:rPr>
          <w:rFonts w:hint="eastAsia" w:ascii="宋体" w:hAnsi="宋体"/>
          <w:color w:val="auto"/>
          <w:highlight w:val="none"/>
        </w:rPr>
        <w:t>1.免费质保期：从项目验收合格之日起1年。</w:t>
      </w:r>
    </w:p>
    <w:p>
      <w:pPr>
        <w:pStyle w:val="44"/>
        <w:numPr>
          <w:ilvl w:val="255"/>
          <w:numId w:val="0"/>
        </w:numPr>
        <w:tabs>
          <w:tab w:val="left" w:pos="-5"/>
        </w:tabs>
        <w:spacing w:line="500" w:lineRule="exact"/>
        <w:rPr>
          <w:rFonts w:ascii="宋体" w:hAnsi="宋体"/>
          <w:color w:val="auto"/>
          <w:highlight w:val="none"/>
        </w:rPr>
      </w:pPr>
      <w:r>
        <w:rPr>
          <w:rFonts w:hint="eastAsia" w:ascii="宋体" w:hAnsi="宋体"/>
          <w:color w:val="auto"/>
          <w:highlight w:val="none"/>
        </w:rPr>
        <w:t>2.需至少1名参与该项目开发的开发工程师参与运维工作；</w:t>
      </w:r>
    </w:p>
    <w:p>
      <w:pPr>
        <w:pStyle w:val="44"/>
        <w:numPr>
          <w:ilvl w:val="255"/>
          <w:numId w:val="0"/>
        </w:numPr>
        <w:tabs>
          <w:tab w:val="left" w:pos="-5"/>
        </w:tabs>
        <w:spacing w:line="500" w:lineRule="exact"/>
        <w:rPr>
          <w:rFonts w:ascii="宋体" w:hAnsi="宋体"/>
          <w:color w:val="auto"/>
          <w:highlight w:val="none"/>
        </w:rPr>
      </w:pPr>
      <w:r>
        <w:rPr>
          <w:rFonts w:hint="eastAsia" w:ascii="宋体" w:hAnsi="宋体"/>
          <w:color w:val="auto"/>
          <w:highlight w:val="none"/>
        </w:rPr>
        <w:t>3.免费质保期内，根据采购方的需要提供免费升级服务，供应商在接到采购方的维护需求后，需要在1小时内响应，4小时内解决问题，如未解决则需要在12小时之内派出合格的维护人员到用户现场进行维护服务，超过24小时不能排除故障，供应商应承担由于故障所造成的全部损失。</w:t>
      </w:r>
    </w:p>
    <w:p>
      <w:pPr>
        <w:pStyle w:val="44"/>
        <w:numPr>
          <w:ilvl w:val="255"/>
          <w:numId w:val="0"/>
        </w:numPr>
        <w:tabs>
          <w:tab w:val="left" w:pos="-5"/>
        </w:tabs>
        <w:spacing w:line="500" w:lineRule="exact"/>
        <w:rPr>
          <w:rFonts w:ascii="宋体" w:hAnsi="宋体"/>
          <w:color w:val="auto"/>
          <w:highlight w:val="none"/>
        </w:rPr>
      </w:pPr>
      <w:r>
        <w:rPr>
          <w:rFonts w:hint="eastAsia" w:ascii="宋体" w:hAnsi="宋体"/>
          <w:color w:val="auto"/>
          <w:highlight w:val="none"/>
        </w:rPr>
        <w:t>4.供应商须向采购方确定其现场服务联系机构的电话和联系人姓名。提供全天候（7×24小时）的热线电话响应服务，并定期为采购人提供巡检、培训等服务。</w:t>
      </w:r>
    </w:p>
    <w:p>
      <w:pPr>
        <w:pStyle w:val="44"/>
        <w:numPr>
          <w:ilvl w:val="255"/>
          <w:numId w:val="0"/>
        </w:numPr>
        <w:tabs>
          <w:tab w:val="left" w:pos="-5"/>
        </w:tabs>
        <w:spacing w:line="500" w:lineRule="exact"/>
        <w:rPr>
          <w:color w:val="auto"/>
          <w:highlight w:val="none"/>
        </w:rPr>
      </w:pPr>
      <w:r>
        <w:rPr>
          <w:rFonts w:hint="eastAsia" w:ascii="宋体" w:hAnsi="宋体"/>
          <w:color w:val="auto"/>
          <w:highlight w:val="none"/>
        </w:rPr>
        <w:t>5.免费质保期结束后，供应商有责任对采购方的系统提供良好的维护服务，在维护、升级、服务响应上给予最优惠待遇。项目如由采购方落实维护的，成交方应给予相应的协助。</w:t>
      </w:r>
    </w:p>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Pr>
        <w:pStyle w:val="3"/>
        <w:autoSpaceDE/>
        <w:autoSpaceDN/>
        <w:adjustRightInd/>
        <w:spacing w:line="500" w:lineRule="exact"/>
        <w:textAlignment w:val="auto"/>
        <w:rPr>
          <w:rFonts w:ascii="宋体" w:hAnsi="宋体" w:eastAsia="宋体" w:cs="宋体"/>
          <w:color w:val="auto"/>
          <w:sz w:val="21"/>
          <w:szCs w:val="21"/>
          <w:highlight w:val="none"/>
        </w:rPr>
      </w:pPr>
      <w:bookmarkStart w:id="657" w:name="_Toc91075822"/>
      <w:r>
        <w:rPr>
          <w:rFonts w:hint="eastAsia" w:ascii="宋体" w:hAnsi="宋体" w:eastAsia="宋体" w:cs="宋体"/>
          <w:color w:val="auto"/>
          <w:sz w:val="21"/>
          <w:szCs w:val="21"/>
          <w:highlight w:val="none"/>
        </w:rPr>
        <w:t>十三、保密要求</w:t>
      </w:r>
      <w:bookmarkEnd w:id="657"/>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 中标商获取成交资格后须与采购人签订保密协议，并承担在服务过程中接触的技术情报和数据资料的保密责任。与本项目有关的资料及数据中涉及国家秘密的内容，均要求按照《国家保密法》及相关法律法规执行。中标商在服务过程中所涉及的所有资料（包括：文字、图纸、电子数据）均须承担保密责任，除为项目服务本身使用外，不得作其它用途，任何未经采购单位同意的拷贝、修改、传播、公开发布等行为都将承担法律责任。</w:t>
      </w:r>
    </w:p>
    <w:p>
      <w:pPr>
        <w:pStyle w:val="3"/>
        <w:autoSpaceDE/>
        <w:autoSpaceDN/>
        <w:adjustRightInd/>
        <w:spacing w:line="500" w:lineRule="exac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十四、完成时间</w:t>
      </w:r>
    </w:p>
    <w:p>
      <w:p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 本项目需在2024年11月底前完成主体开发并实施上线。</w:t>
      </w:r>
    </w:p>
    <w:p>
      <w:pPr>
        <w:spacing w:line="500" w:lineRule="exact"/>
        <w:rPr>
          <w:rFonts w:hAnsi="宋体" w:cs="宋体"/>
          <w:b/>
          <w:color w:val="auto"/>
          <w:sz w:val="21"/>
          <w:szCs w:val="21"/>
          <w:highlight w:val="none"/>
        </w:rPr>
      </w:pPr>
      <w:bookmarkStart w:id="658" w:name="_Toc118209214"/>
      <w:r>
        <w:rPr>
          <w:rFonts w:hint="eastAsia" w:hAnsi="宋体" w:cs="宋体"/>
          <w:b/>
          <w:color w:val="auto"/>
          <w:sz w:val="21"/>
          <w:szCs w:val="21"/>
          <w:highlight w:val="none"/>
        </w:rPr>
        <w:t>十五、项目验收要求</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本项目要求提交的交付物包括：软件系统、源代码、系统需求文档、系统设计文档、数据库设计文档、系统测试报告、试运行记录、系统操作手册、培训资料、项目开发总结报告等。成交人按照项目建设要求完成系统开发、通过测试和试运行后，各项指标达到合同要求的，由采购人组织最终验收。</w:t>
      </w:r>
    </w:p>
    <w:bookmarkEnd w:id="658"/>
    <w:p>
      <w:pPr>
        <w:spacing w:line="500" w:lineRule="exact"/>
        <w:rPr>
          <w:rFonts w:hAnsi="宋体" w:cs="宋体"/>
          <w:b/>
          <w:bCs/>
          <w:color w:val="auto"/>
          <w:sz w:val="21"/>
          <w:szCs w:val="21"/>
          <w:highlight w:val="none"/>
          <w:lang w:val="zh-CN"/>
        </w:rPr>
      </w:pPr>
      <w:r>
        <w:rPr>
          <w:rFonts w:hint="eastAsia" w:hAnsi="宋体" w:cs="宋体"/>
          <w:b/>
          <w:bCs/>
          <w:color w:val="auto"/>
          <w:sz w:val="21"/>
          <w:szCs w:val="21"/>
          <w:highlight w:val="none"/>
        </w:rPr>
        <w:t>十六</w:t>
      </w:r>
      <w:r>
        <w:rPr>
          <w:rFonts w:hint="eastAsia" w:hAnsi="宋体" w:cs="宋体"/>
          <w:b/>
          <w:bCs/>
          <w:color w:val="auto"/>
          <w:sz w:val="21"/>
          <w:szCs w:val="21"/>
          <w:highlight w:val="none"/>
          <w:lang w:val="zh-CN"/>
        </w:rPr>
        <w:t>、付款方式</w:t>
      </w:r>
    </w:p>
    <w:p>
      <w:pPr>
        <w:spacing w:line="500" w:lineRule="exact"/>
        <w:ind w:firstLine="420" w:firstLineChars="200"/>
        <w:rPr>
          <w:rFonts w:hAnsi="宋体" w:cs="宋体"/>
          <w:color w:val="auto"/>
          <w:sz w:val="21"/>
          <w:szCs w:val="21"/>
          <w:highlight w:val="none"/>
          <w:lang w:val="zh-CN"/>
        </w:rPr>
      </w:pPr>
      <w:r>
        <w:rPr>
          <w:rFonts w:hint="eastAsia" w:hAnsi="宋体" w:cs="宋体"/>
          <w:color w:val="auto"/>
          <w:sz w:val="21"/>
          <w:szCs w:val="21"/>
          <w:highlight w:val="none"/>
        </w:rPr>
        <w:t>本</w:t>
      </w:r>
      <w:r>
        <w:rPr>
          <w:rFonts w:hint="eastAsia" w:hAnsi="宋体" w:cs="宋体"/>
          <w:color w:val="auto"/>
          <w:sz w:val="21"/>
          <w:szCs w:val="21"/>
          <w:highlight w:val="none"/>
          <w:lang w:val="zh-CN"/>
        </w:rPr>
        <w:t>项目采用分期付款，</w:t>
      </w:r>
      <w:r>
        <w:rPr>
          <w:rFonts w:hint="eastAsia" w:hAnsi="宋体" w:cs="宋体"/>
          <w:color w:val="auto"/>
          <w:sz w:val="21"/>
          <w:szCs w:val="21"/>
          <w:highlight w:val="none"/>
        </w:rPr>
        <w:t>具体约定如下</w:t>
      </w:r>
      <w:r>
        <w:rPr>
          <w:rFonts w:hint="eastAsia" w:hAnsi="宋体" w:cs="宋体"/>
          <w:color w:val="auto"/>
          <w:sz w:val="21"/>
          <w:szCs w:val="21"/>
          <w:highlight w:val="none"/>
          <w:lang w:val="zh-CN"/>
        </w:rPr>
        <w:t>：</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zh-CN"/>
        </w:rPr>
        <w:t>合同签订且具备实施条件后</w:t>
      </w:r>
      <w:r>
        <w:rPr>
          <w:rFonts w:hint="eastAsia" w:hAnsi="宋体" w:cs="宋体"/>
          <w:color w:val="auto"/>
          <w:sz w:val="21"/>
          <w:szCs w:val="21"/>
          <w:highlight w:val="none"/>
        </w:rPr>
        <w:t>7</w:t>
      </w:r>
      <w:r>
        <w:rPr>
          <w:rFonts w:hint="eastAsia" w:hAnsi="宋体" w:cs="宋体"/>
          <w:color w:val="auto"/>
          <w:sz w:val="21"/>
          <w:szCs w:val="21"/>
          <w:highlight w:val="none"/>
          <w:lang w:val="zh-CN"/>
        </w:rPr>
        <w:t>个工作日内，</w:t>
      </w:r>
      <w:r>
        <w:rPr>
          <w:rFonts w:hint="eastAsia" w:hAnsi="宋体" w:cs="宋体"/>
          <w:color w:val="auto"/>
          <w:sz w:val="21"/>
          <w:szCs w:val="21"/>
          <w:highlight w:val="none"/>
        </w:rPr>
        <w:t>采购方向成交人</w:t>
      </w:r>
      <w:r>
        <w:rPr>
          <w:rFonts w:hint="eastAsia" w:hAnsi="宋体" w:cs="宋体"/>
          <w:color w:val="auto"/>
          <w:sz w:val="21"/>
          <w:szCs w:val="21"/>
          <w:highlight w:val="none"/>
          <w:lang w:val="zh-CN"/>
        </w:rPr>
        <w:t>支付合同总价的</w:t>
      </w:r>
      <w:r>
        <w:rPr>
          <w:rFonts w:hAnsi="宋体" w:cs="宋体"/>
          <w:color w:val="auto"/>
          <w:sz w:val="21"/>
          <w:szCs w:val="21"/>
          <w:highlight w:val="none"/>
        </w:rPr>
        <w:t>4</w:t>
      </w:r>
      <w:r>
        <w:rPr>
          <w:rFonts w:hint="eastAsia" w:hAnsi="宋体" w:cs="宋体"/>
          <w:color w:val="auto"/>
          <w:sz w:val="21"/>
          <w:szCs w:val="21"/>
          <w:highlight w:val="none"/>
          <w:lang w:val="zh-CN"/>
        </w:rPr>
        <w:t>0%</w:t>
      </w:r>
      <w:r>
        <w:rPr>
          <w:rFonts w:hint="eastAsia" w:hAnsi="宋体" w:cs="宋体"/>
          <w:color w:val="auto"/>
          <w:sz w:val="21"/>
          <w:szCs w:val="21"/>
          <w:highlight w:val="none"/>
        </w:rPr>
        <w:t>作为预付款。如在签订合同时，</w:t>
      </w:r>
      <w:r>
        <w:rPr>
          <w:rFonts w:hint="eastAsia" w:hAnsi="宋体" w:cs="宋体"/>
          <w:bCs/>
          <w:color w:val="auto"/>
          <w:sz w:val="21"/>
          <w:szCs w:val="21"/>
          <w:highlight w:val="none"/>
        </w:rPr>
        <w:t>成交人</w:t>
      </w:r>
      <w:r>
        <w:rPr>
          <w:rFonts w:hint="eastAsia" w:hAnsi="宋体" w:cs="宋体"/>
          <w:color w:val="auto"/>
          <w:sz w:val="21"/>
          <w:szCs w:val="21"/>
          <w:highlight w:val="none"/>
        </w:rPr>
        <w:t>明确表示无需预付款或者主动要求降低预付款比例的，可降低预付款比例，且须在合同签订前与采购方沟通确定，并提供无需预付款或者降低预付款比例的承诺，双方就此条款可对合同中的支付方式进行调整；</w:t>
      </w:r>
    </w:p>
    <w:p>
      <w:pPr>
        <w:snapToGrid w:val="0"/>
        <w:spacing w:line="500" w:lineRule="exact"/>
        <w:ind w:firstLine="420" w:firstLineChars="200"/>
        <w:rPr>
          <w:rFonts w:hAnsi="宋体" w:cs="宋体"/>
          <w:color w:val="auto"/>
          <w:sz w:val="21"/>
          <w:szCs w:val="21"/>
          <w:highlight w:val="none"/>
          <w:lang w:val="zh-CN"/>
        </w:rPr>
      </w:pPr>
      <w:r>
        <w:rPr>
          <w:rStyle w:val="143"/>
          <w:rFonts w:hint="eastAsia" w:hAnsi="宋体" w:cs="宋体"/>
          <w:color w:val="auto"/>
          <w:sz w:val="21"/>
          <w:szCs w:val="21"/>
          <w:highlight w:val="none"/>
        </w:rPr>
        <w:t>2.</w:t>
      </w:r>
      <w:r>
        <w:rPr>
          <w:rFonts w:hint="eastAsia" w:hAnsi="宋体" w:cs="宋体"/>
          <w:color w:val="auto"/>
          <w:sz w:val="21"/>
          <w:szCs w:val="21"/>
          <w:highlight w:val="none"/>
          <w:lang w:val="zh-CN"/>
        </w:rPr>
        <w:t>系统开发完成，正常上线运行，由成交人申请验收。验收合格后，采购方在</w:t>
      </w:r>
      <w:r>
        <w:rPr>
          <w:rFonts w:hint="eastAsia" w:hAnsi="宋体" w:cs="宋体"/>
          <w:color w:val="auto"/>
          <w:sz w:val="21"/>
          <w:szCs w:val="21"/>
          <w:highlight w:val="none"/>
        </w:rPr>
        <w:t>7个工作日内支付</w:t>
      </w:r>
      <w:r>
        <w:rPr>
          <w:rFonts w:hint="eastAsia" w:hAnsi="宋体" w:cs="宋体"/>
          <w:color w:val="auto"/>
          <w:sz w:val="21"/>
          <w:szCs w:val="21"/>
          <w:highlight w:val="none"/>
          <w:lang w:val="zh-CN"/>
        </w:rPr>
        <w:t>合同总价的50%；系统正常运行满一年后，支付合同总价10%的剩余款项。</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3.成交单位在结算合同价款时需提供正式的税务发票。</w:t>
      </w:r>
    </w:p>
    <w:p>
      <w:pPr>
        <w:rPr>
          <w:rFonts w:hAnsi="宋体" w:cs="宋体"/>
          <w:color w:val="auto"/>
          <w:sz w:val="21"/>
          <w:szCs w:val="21"/>
          <w:highlight w:val="none"/>
        </w:rPr>
      </w:pPr>
    </w:p>
    <w:p>
      <w:pPr>
        <w:pStyle w:val="2"/>
        <w:keepNext w:val="0"/>
        <w:pageBreakBefore/>
        <w:spacing w:line="360" w:lineRule="auto"/>
        <w:jc w:val="center"/>
        <w:rPr>
          <w:rFonts w:hAnsi="宋体" w:cs="宋体"/>
          <w:color w:val="auto"/>
          <w:sz w:val="30"/>
          <w:szCs w:val="30"/>
          <w:highlight w:val="none"/>
        </w:rPr>
      </w:pPr>
      <w:r>
        <w:rPr>
          <w:rFonts w:hint="eastAsia" w:hAnsi="宋体" w:cs="宋体"/>
          <w:color w:val="auto"/>
          <w:sz w:val="30"/>
          <w:szCs w:val="30"/>
          <w:highlight w:val="none"/>
        </w:rPr>
        <w:t>第三部分</w:t>
      </w:r>
      <w:bookmarkEnd w:id="32"/>
      <w:bookmarkEnd w:id="33"/>
      <w:bookmarkEnd w:id="34"/>
      <w:r>
        <w:rPr>
          <w:rFonts w:hint="eastAsia" w:hAnsi="宋体" w:cs="宋体"/>
          <w:color w:val="auto"/>
          <w:sz w:val="30"/>
          <w:szCs w:val="30"/>
          <w:highlight w:val="none"/>
        </w:rPr>
        <w:t xml:space="preserve">  响应供应商须知</w:t>
      </w:r>
      <w:bookmarkEnd w:id="35"/>
      <w:bookmarkEnd w:id="36"/>
      <w:bookmarkEnd w:id="37"/>
      <w:bookmarkEnd w:id="38"/>
      <w:bookmarkEnd w:id="39"/>
      <w:bookmarkEnd w:id="40"/>
      <w:bookmarkEnd w:id="41"/>
      <w:bookmarkEnd w:id="42"/>
      <w:bookmarkEnd w:id="43"/>
      <w:bookmarkEnd w:id="44"/>
      <w:bookmarkEnd w:id="45"/>
      <w:bookmarkEnd w:id="46"/>
      <w:bookmarkEnd w:id="48"/>
    </w:p>
    <w:p>
      <w:pPr>
        <w:snapToGrid w:val="0"/>
        <w:spacing w:beforeLines="50" w:afterLines="50" w:line="276" w:lineRule="auto"/>
        <w:ind w:left="238"/>
        <w:jc w:val="center"/>
        <w:outlineLvl w:val="1"/>
        <w:rPr>
          <w:rFonts w:hAnsi="宋体" w:cs="宋体"/>
          <w:b/>
          <w:color w:val="auto"/>
          <w:sz w:val="30"/>
          <w:szCs w:val="30"/>
          <w:highlight w:val="none"/>
        </w:rPr>
      </w:pPr>
      <w:bookmarkStart w:id="659" w:name="_Toc519072689"/>
      <w:bookmarkStart w:id="660" w:name="_Toc421647255"/>
      <w:bookmarkStart w:id="661" w:name="_Toc374366047"/>
      <w:bookmarkStart w:id="662" w:name="_Toc30749"/>
      <w:r>
        <w:rPr>
          <w:rFonts w:hint="eastAsia" w:hAnsi="宋体" w:cs="宋体"/>
          <w:b/>
          <w:color w:val="auto"/>
          <w:sz w:val="30"/>
          <w:szCs w:val="30"/>
          <w:highlight w:val="none"/>
        </w:rPr>
        <w:t>前附表</w:t>
      </w:r>
      <w:bookmarkEnd w:id="659"/>
      <w:bookmarkEnd w:id="660"/>
      <w:bookmarkEnd w:id="661"/>
      <w:bookmarkEnd w:id="662"/>
    </w:p>
    <w:tbl>
      <w:tblPr>
        <w:tblStyle w:val="46"/>
        <w:tblW w:w="97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2222"/>
        <w:gridCol w:w="66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序号</w:t>
            </w:r>
          </w:p>
        </w:tc>
        <w:tc>
          <w:tcPr>
            <w:tcW w:w="8878" w:type="dxa"/>
            <w:gridSpan w:val="2"/>
            <w:tcBorders>
              <w:top w:val="single" w:color="auto" w:sz="4" w:space="0"/>
              <w:left w:val="single" w:color="auto" w:sz="4" w:space="0"/>
              <w:bottom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w:t>
            </w:r>
          </w:p>
        </w:tc>
        <w:tc>
          <w:tcPr>
            <w:tcW w:w="8878" w:type="dxa"/>
            <w:gridSpan w:val="2"/>
            <w:tcBorders>
              <w:top w:val="single" w:color="auto" w:sz="4" w:space="0"/>
              <w:left w:val="single" w:color="auto" w:sz="4" w:space="0"/>
              <w:bottom w:val="single" w:color="auto" w:sz="4" w:space="0"/>
            </w:tcBorders>
            <w:vAlign w:val="center"/>
          </w:tcPr>
          <w:p>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项目名称：财政深化应用平台信创改造项目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2</w:t>
            </w:r>
          </w:p>
        </w:tc>
        <w:tc>
          <w:tcPr>
            <w:tcW w:w="8878" w:type="dxa"/>
            <w:gridSpan w:val="2"/>
            <w:tcBorders>
              <w:top w:val="single" w:color="auto" w:sz="4" w:space="0"/>
              <w:left w:val="single" w:color="auto" w:sz="4" w:space="0"/>
              <w:bottom w:val="single" w:color="auto" w:sz="4" w:space="0"/>
            </w:tcBorders>
            <w:vAlign w:val="center"/>
          </w:tcPr>
          <w:p>
            <w:pPr>
              <w:snapToGrid w:val="0"/>
              <w:spacing w:line="460" w:lineRule="exact"/>
              <w:rPr>
                <w:rFonts w:hAnsi="宋体" w:cs="宋体"/>
                <w:b/>
                <w:color w:val="auto"/>
                <w:sz w:val="21"/>
                <w:szCs w:val="21"/>
                <w:highlight w:val="none"/>
              </w:rPr>
            </w:pPr>
            <w:r>
              <w:rPr>
                <w:rFonts w:hint="eastAsia" w:hAnsi="宋体" w:cs="宋体"/>
                <w:b/>
                <w:color w:val="auto"/>
                <w:sz w:val="21"/>
                <w:szCs w:val="21"/>
                <w:highlight w:val="none"/>
              </w:rPr>
              <w:t>磋商报价及费用：</w:t>
            </w:r>
          </w:p>
          <w:p>
            <w:pPr>
              <w:spacing w:line="460" w:lineRule="exact"/>
              <w:rPr>
                <w:rFonts w:hAnsi="宋体" w:cs="宋体"/>
                <w:color w:val="auto"/>
                <w:sz w:val="21"/>
                <w:szCs w:val="21"/>
                <w:highlight w:val="none"/>
              </w:rPr>
            </w:pPr>
            <w:r>
              <w:rPr>
                <w:rFonts w:hint="eastAsia" w:hAnsi="宋体" w:cs="宋体"/>
                <w:color w:val="auto"/>
                <w:sz w:val="21"/>
                <w:szCs w:val="21"/>
                <w:highlight w:val="none"/>
              </w:rPr>
              <w:t>1.本项目竞争性磋商应以人民币报价；</w:t>
            </w:r>
          </w:p>
          <w:p>
            <w:pPr>
              <w:snapToGrid w:val="0"/>
              <w:spacing w:line="460" w:lineRule="exact"/>
              <w:rPr>
                <w:rFonts w:hAnsi="宋体" w:cs="宋体"/>
                <w:b/>
                <w:color w:val="auto"/>
                <w:sz w:val="21"/>
                <w:szCs w:val="21"/>
                <w:highlight w:val="none"/>
              </w:rPr>
            </w:pPr>
            <w:r>
              <w:rPr>
                <w:rFonts w:hint="eastAsia" w:hAnsi="宋体" w:cs="宋体"/>
                <w:b/>
                <w:color w:val="auto"/>
                <w:sz w:val="21"/>
                <w:szCs w:val="21"/>
                <w:highlight w:val="none"/>
              </w:rPr>
              <w:t>2.不论磋商结果如何，响应供应商均应自行承担所有与竞争性磋商有关的全部费用；</w:t>
            </w:r>
          </w:p>
          <w:p>
            <w:pPr>
              <w:snapToGrid w:val="0"/>
              <w:spacing w:line="460" w:lineRule="exact"/>
              <w:rPr>
                <w:rFonts w:hAnsi="宋体" w:cs="宋体"/>
                <w:color w:val="auto"/>
                <w:sz w:val="21"/>
                <w:szCs w:val="21"/>
                <w:highlight w:val="none"/>
              </w:rPr>
            </w:pPr>
            <w:r>
              <w:rPr>
                <w:rFonts w:hint="eastAsia" w:hAnsi="宋体" w:cs="宋体"/>
                <w:b/>
                <w:color w:val="auto"/>
                <w:sz w:val="21"/>
                <w:szCs w:val="21"/>
                <w:highlight w:val="none"/>
              </w:rPr>
              <w:t>3.响应供应商取得成交资格后，须向招标代理机构支付合同金额1.5%的采购代理服务费，成交人在收到中标通知书的同时向招标代理机构以银行转账等形式支付采购代理服务费： 户名：金华市天盈招标代理有限公司  开户银行：金华银行股份有限公司多湖支行  银行账号：0188990822000064。（汇款用途请注明“采购代理服务费”及项目编号）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3</w:t>
            </w:r>
          </w:p>
        </w:tc>
        <w:tc>
          <w:tcPr>
            <w:tcW w:w="8878" w:type="dxa"/>
            <w:gridSpan w:val="2"/>
            <w:tcBorders>
              <w:top w:val="single" w:color="auto" w:sz="4" w:space="0"/>
              <w:left w:val="single" w:color="auto" w:sz="4" w:space="0"/>
              <w:bottom w:val="single" w:color="auto" w:sz="4" w:space="0"/>
            </w:tcBorders>
            <w:vAlign w:val="center"/>
          </w:tcPr>
          <w:p>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答疑与澄清：</w:t>
            </w:r>
          </w:p>
          <w:p>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响应供应商如认为磋商采购文件表述不清晰、存在歧视性、排他性或者其他违法内容的，应当于磋商响应文件递交截止时间5日前，以书面形式要求磋商采购单位作出书面解释、澄清；磋商采购单位将于磋商响应文件递交截止时间5日前答疑；答疑内容是磋商采购文件的组成部份，并将以书面形式送达所有已报名的响应供应商；因其他紧急情况影响本项目正常磋商采购活动的，磋商采购单位将于磋商响应文件递交截止日期3天前书面通知所有已报名的响应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4</w:t>
            </w:r>
          </w:p>
        </w:tc>
        <w:tc>
          <w:tcPr>
            <w:tcW w:w="8878" w:type="dxa"/>
            <w:gridSpan w:val="2"/>
            <w:tcBorders>
              <w:top w:val="single" w:color="auto" w:sz="4" w:space="0"/>
              <w:left w:val="single" w:color="auto" w:sz="4" w:space="0"/>
              <w:bottom w:val="single" w:color="auto" w:sz="4" w:space="0"/>
            </w:tcBorders>
            <w:vAlign w:val="center"/>
          </w:tcPr>
          <w:p>
            <w:pPr>
              <w:widowControl/>
              <w:snapToGrid w:val="0"/>
              <w:spacing w:line="460" w:lineRule="exact"/>
              <w:rPr>
                <w:rFonts w:hAnsi="宋体" w:cs="宋体"/>
                <w:b/>
                <w:bCs/>
                <w:color w:val="auto"/>
                <w:sz w:val="21"/>
                <w:szCs w:val="21"/>
                <w:highlight w:val="none"/>
              </w:rPr>
            </w:pPr>
            <w:r>
              <w:rPr>
                <w:rFonts w:hint="eastAsia" w:hAnsi="宋体" w:cs="宋体"/>
                <w:b/>
                <w:bCs/>
                <w:color w:val="auto"/>
                <w:sz w:val="21"/>
                <w:szCs w:val="21"/>
                <w:highlight w:val="none"/>
              </w:rPr>
              <w:t>政策落实：</w:t>
            </w:r>
          </w:p>
          <w:p>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1.扶持中小企业（监狱企业、残疾人福利性单位）：</w:t>
            </w:r>
          </w:p>
          <w:p>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（1）项目预算（人民币）：</w:t>
            </w:r>
            <w:r>
              <w:rPr>
                <w:rFonts w:hint="eastAsia" w:hAnsi="宋体" w:cs="宋体"/>
                <w:color w:val="auto"/>
                <w:sz w:val="21"/>
                <w:szCs w:val="21"/>
                <w:highlight w:val="none"/>
                <w:u w:val="none"/>
              </w:rPr>
              <w:t xml:space="preserve"> </w:t>
            </w:r>
            <w:r>
              <w:rPr>
                <w:rFonts w:hint="eastAsia"/>
                <w:color w:val="auto"/>
                <w:sz w:val="21"/>
                <w:szCs w:val="21"/>
                <w:highlight w:val="none"/>
              </w:rPr>
              <w:t>62.8</w:t>
            </w:r>
            <w:r>
              <w:rPr>
                <w:rFonts w:hint="eastAsia" w:hAnsi="宋体" w:cs="宋体"/>
                <w:color w:val="auto"/>
                <w:sz w:val="21"/>
                <w:szCs w:val="21"/>
                <w:highlight w:val="none"/>
              </w:rPr>
              <w:t>万元；</w:t>
            </w:r>
          </w:p>
          <w:p>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（2）项目属性：</w:t>
            </w:r>
            <w:r>
              <w:rPr>
                <w:rFonts w:hint="eastAsia" w:hAnsi="宋体" w:cs="宋体"/>
                <w:color w:val="auto"/>
                <w:sz w:val="21"/>
                <w:szCs w:val="21"/>
                <w:highlight w:val="none"/>
                <w:u w:val="single"/>
              </w:rPr>
              <w:t xml:space="preserve"> ②    </w:t>
            </w:r>
            <w:r>
              <w:rPr>
                <w:rFonts w:hint="eastAsia" w:hAnsi="宋体" w:cs="宋体"/>
                <w:color w:val="auto"/>
                <w:sz w:val="21"/>
                <w:szCs w:val="21"/>
                <w:highlight w:val="none"/>
              </w:rPr>
              <w:t>（①货物类/②服务类/③工程类）</w:t>
            </w:r>
          </w:p>
          <w:p>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（3）项目对应的中小企业划分标准所属行业：</w:t>
            </w:r>
            <w:r>
              <w:rPr>
                <w:rFonts w:hint="eastAsia" w:hAnsi="宋体" w:cs="宋体"/>
                <w:color w:val="auto"/>
                <w:sz w:val="21"/>
                <w:szCs w:val="21"/>
                <w:highlight w:val="none"/>
                <w:u w:val="single"/>
              </w:rPr>
              <w:t xml:space="preserve">  软件和信息技术服务业  </w:t>
            </w:r>
            <w:r>
              <w:rPr>
                <w:rFonts w:hint="eastAsia" w:hAnsi="宋体" w:cs="宋体"/>
                <w:color w:val="auto"/>
                <w:sz w:val="21"/>
                <w:szCs w:val="21"/>
                <w:highlight w:val="none"/>
              </w:rPr>
              <w:t>（具体根据《中小企业划型标准规定》执行）</w:t>
            </w:r>
          </w:p>
          <w:p>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（4）本项目</w:t>
            </w:r>
            <w:r>
              <w:rPr>
                <w:rFonts w:hint="eastAsia" w:hAnsi="宋体" w:cs="宋体"/>
                <w:color w:val="auto"/>
                <w:sz w:val="21"/>
                <w:szCs w:val="21"/>
                <w:highlight w:val="none"/>
                <w:u w:val="single"/>
              </w:rPr>
              <w:t xml:space="preserve"> 是  </w:t>
            </w:r>
            <w:r>
              <w:rPr>
                <w:rFonts w:hint="eastAsia" w:hAnsi="宋体" w:cs="宋体"/>
                <w:color w:val="auto"/>
                <w:sz w:val="21"/>
                <w:szCs w:val="21"/>
                <w:highlight w:val="none"/>
              </w:rPr>
              <w:t>（是/否）属于预留份额专门面向中小企业采购的项目。</w:t>
            </w:r>
          </w:p>
          <w:p>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（5）上述第4项中确定为“是”的采购项目，预留份额通过</w:t>
            </w:r>
            <w:r>
              <w:rPr>
                <w:rFonts w:hint="eastAsia" w:hAnsi="宋体" w:cs="宋体"/>
                <w:color w:val="auto"/>
                <w:sz w:val="21"/>
                <w:szCs w:val="21"/>
                <w:highlight w:val="none"/>
                <w:u w:val="single"/>
              </w:rPr>
              <w:t xml:space="preserve">  （①）  </w:t>
            </w:r>
            <w:r>
              <w:rPr>
                <w:rFonts w:hint="eastAsia" w:hAnsi="宋体" w:cs="宋体"/>
                <w:color w:val="auto"/>
                <w:sz w:val="21"/>
                <w:szCs w:val="21"/>
                <w:highlight w:val="none"/>
              </w:rPr>
              <w:t>措施进行：</w:t>
            </w:r>
          </w:p>
          <w:p>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①将采购项目整体或者设置采购包专门面向中小企业采购； </w:t>
            </w:r>
          </w:p>
          <w:p>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②要求供应商以联合体形式参加采购活动，且联合体中中小企业承担的部分达到</w:t>
            </w:r>
            <w:r>
              <w:rPr>
                <w:rFonts w:hint="eastAsia" w:hAnsi="宋体" w:cs="宋体"/>
                <w:color w:val="auto"/>
                <w:sz w:val="21"/>
                <w:szCs w:val="21"/>
                <w:highlight w:val="none"/>
                <w:u w:val="single"/>
              </w:rPr>
              <w:t> / </w:t>
            </w:r>
            <w:r>
              <w:rPr>
                <w:rFonts w:hint="eastAsia" w:hAnsi="宋体" w:cs="宋体"/>
                <w:color w:val="auto"/>
                <w:sz w:val="21"/>
                <w:szCs w:val="21"/>
                <w:highlight w:val="none"/>
              </w:rPr>
              <w:t xml:space="preserve">(比例)； </w:t>
            </w:r>
          </w:p>
          <w:p>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③要求获得采购合同的供应商将采购项目中的</w:t>
            </w:r>
            <w:r>
              <w:rPr>
                <w:rFonts w:hint="eastAsia" w:hAnsi="宋体" w:cs="宋体"/>
                <w:color w:val="auto"/>
                <w:sz w:val="21"/>
                <w:szCs w:val="21"/>
                <w:highlight w:val="none"/>
                <w:u w:val="single"/>
              </w:rPr>
              <w:t xml:space="preserve"> / </w:t>
            </w:r>
            <w:r>
              <w:rPr>
                <w:rFonts w:hint="eastAsia" w:hAnsi="宋体" w:cs="宋体"/>
                <w:color w:val="auto"/>
                <w:sz w:val="21"/>
                <w:szCs w:val="21"/>
                <w:highlight w:val="none"/>
              </w:rPr>
              <w:t>(比例)分包给一家或者多家中小企业。</w:t>
            </w:r>
          </w:p>
          <w:p>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专门面向中小企业采购的项目或者标项，不再执行价格评审优惠的扶持政策。</w:t>
            </w:r>
          </w:p>
          <w:p>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2.节能产品、环境标志产品的强制采购政策</w:t>
            </w:r>
          </w:p>
          <w:p>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不适用。）</w:t>
            </w:r>
          </w:p>
          <w:p>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3.节能产品、环境标志产品的优先采购政策</w:t>
            </w:r>
          </w:p>
          <w:p>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5</w:t>
            </w:r>
          </w:p>
        </w:tc>
        <w:tc>
          <w:tcPr>
            <w:tcW w:w="8878" w:type="dxa"/>
            <w:gridSpan w:val="2"/>
            <w:tcBorders>
              <w:top w:val="single" w:color="auto" w:sz="4" w:space="0"/>
              <w:left w:val="single" w:color="auto" w:sz="4" w:space="0"/>
              <w:bottom w:val="single" w:color="auto" w:sz="4" w:space="0"/>
            </w:tcBorders>
            <w:vAlign w:val="center"/>
          </w:tcPr>
          <w:p>
            <w:pPr>
              <w:snapToGrid w:val="0"/>
              <w:spacing w:line="460" w:lineRule="exact"/>
              <w:rPr>
                <w:rFonts w:hAnsi="宋体" w:cs="宋体"/>
                <w:color w:val="auto"/>
                <w:sz w:val="21"/>
                <w:szCs w:val="21"/>
                <w:highlight w:val="none"/>
              </w:rPr>
            </w:pPr>
            <w:r>
              <w:rPr>
                <w:rFonts w:hint="eastAsia" w:hAnsi="宋体" w:cs="宋体"/>
                <w:b/>
                <w:bCs/>
                <w:color w:val="auto"/>
                <w:sz w:val="21"/>
                <w:szCs w:val="21"/>
                <w:highlight w:val="none"/>
              </w:rPr>
              <w:t>信用查询：</w:t>
            </w:r>
          </w:p>
          <w:p>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根据《关于在政府采购活动中查询及使用信用记录有关问题的通知》财库[2016]125号的规定：</w:t>
            </w:r>
          </w:p>
          <w:p>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（1）招标人或采购代理机构将对本项目供应商的信用记录进行查询。查询渠道为信用中国网站（www.creditchina.gov.cn）、中国政府采购网（www.ccgp.gov.cn）；</w:t>
            </w:r>
          </w:p>
          <w:p>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（2）截止时点：提交投标文件（响应文件）截止时间前3年内；</w:t>
            </w:r>
          </w:p>
          <w:p>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（3）查询记录和证据的留存：信用信息查询记录和证据以网页截图等方式留存。</w:t>
            </w:r>
          </w:p>
          <w:p>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（5）联合体成员任意一方存在不良信用记录的，视同联合体存在不良信用记录。（注：本项目不接受联合体投标）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6</w:t>
            </w:r>
          </w:p>
        </w:tc>
        <w:tc>
          <w:tcPr>
            <w:tcW w:w="2222" w:type="dxa"/>
            <w:tcBorders>
              <w:top w:val="single" w:color="auto" w:sz="4" w:space="0"/>
              <w:left w:val="single" w:color="auto" w:sz="4" w:space="0"/>
              <w:bottom w:val="single" w:color="auto" w:sz="4" w:space="0"/>
            </w:tcBorders>
            <w:vAlign w:val="center"/>
          </w:tcPr>
          <w:p>
            <w:pPr>
              <w:snapToGrid w:val="0"/>
              <w:spacing w:line="460" w:lineRule="exact"/>
              <w:rPr>
                <w:rFonts w:hAnsi="宋体" w:cs="宋体"/>
                <w:color w:val="auto"/>
                <w:sz w:val="21"/>
                <w:szCs w:val="21"/>
                <w:highlight w:val="none"/>
              </w:rPr>
            </w:pPr>
            <w:r>
              <w:rPr>
                <w:rFonts w:hint="eastAsia" w:hAnsi="宋体" w:cs="宋体"/>
                <w:snapToGrid w:val="0"/>
                <w:color w:val="auto"/>
                <w:sz w:val="21"/>
                <w:szCs w:val="21"/>
                <w:highlight w:val="none"/>
              </w:rPr>
              <w:t>本项目对应的中小企业划分标准所属行业</w:t>
            </w:r>
          </w:p>
        </w:tc>
        <w:tc>
          <w:tcPr>
            <w:tcW w:w="6656" w:type="dxa"/>
            <w:tcBorders>
              <w:top w:val="single" w:color="auto" w:sz="4" w:space="0"/>
              <w:left w:val="single" w:color="auto" w:sz="4" w:space="0"/>
              <w:bottom w:val="single" w:color="auto" w:sz="4" w:space="0"/>
            </w:tcBorders>
            <w:vAlign w:val="center"/>
          </w:tcPr>
          <w:p>
            <w:pPr>
              <w:snapToGrid w:val="0"/>
              <w:spacing w:line="460" w:lineRule="exact"/>
              <w:rPr>
                <w:rFonts w:hAnsi="宋体" w:cs="宋体"/>
                <w:color w:val="auto"/>
                <w:highlight w:val="none"/>
              </w:rPr>
            </w:pPr>
            <w:r>
              <w:rPr>
                <w:rFonts w:hint="eastAsia" w:hAnsi="宋体" w:cs="宋体"/>
                <w:color w:val="auto"/>
                <w:sz w:val="21"/>
                <w:szCs w:val="21"/>
                <w:highlight w:val="none"/>
              </w:rPr>
              <w:t>根据《关于印发中小企业划型标准规定的通知》（工信部联企业〔2011〕300号），本项目</w:t>
            </w:r>
            <w:r>
              <w:rPr>
                <w:rFonts w:hint="eastAsia" w:hAnsi="宋体" w:cs="宋体"/>
                <w:snapToGrid w:val="0"/>
                <w:color w:val="auto"/>
                <w:sz w:val="21"/>
                <w:szCs w:val="21"/>
                <w:highlight w:val="none"/>
              </w:rPr>
              <w:t>对应的中小企业</w:t>
            </w:r>
            <w:r>
              <w:rPr>
                <w:rFonts w:hint="eastAsia" w:hAnsi="宋体" w:cs="宋体"/>
                <w:color w:val="auto"/>
                <w:sz w:val="21"/>
                <w:szCs w:val="21"/>
                <w:highlight w:val="none"/>
              </w:rPr>
              <w:t>按所属行业为“软件和信息技术服务业”。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7</w:t>
            </w:r>
          </w:p>
        </w:tc>
        <w:tc>
          <w:tcPr>
            <w:tcW w:w="2222" w:type="dxa"/>
            <w:tcBorders>
              <w:top w:val="single" w:color="auto" w:sz="4" w:space="0"/>
              <w:left w:val="single" w:color="auto" w:sz="4" w:space="0"/>
              <w:bottom w:val="single" w:color="auto" w:sz="4" w:space="0"/>
            </w:tcBorders>
            <w:vAlign w:val="center"/>
          </w:tcPr>
          <w:p>
            <w:pPr>
              <w:snapToGrid w:val="0"/>
              <w:spacing w:line="460" w:lineRule="exact"/>
              <w:rPr>
                <w:rFonts w:hAnsi="宋体" w:cs="宋体"/>
                <w:color w:val="auto"/>
                <w:sz w:val="21"/>
                <w:szCs w:val="21"/>
                <w:highlight w:val="none"/>
              </w:rPr>
            </w:pPr>
            <w:r>
              <w:rPr>
                <w:rFonts w:hint="eastAsia" w:hAnsi="宋体" w:cs="宋体"/>
                <w:snapToGrid w:val="0"/>
                <w:color w:val="auto"/>
                <w:sz w:val="21"/>
                <w:szCs w:val="21"/>
                <w:highlight w:val="none"/>
              </w:rPr>
              <w:t>节能产品</w:t>
            </w:r>
          </w:p>
        </w:tc>
        <w:tc>
          <w:tcPr>
            <w:tcW w:w="6656" w:type="dxa"/>
            <w:tcBorders>
              <w:top w:val="single" w:color="auto" w:sz="4" w:space="0"/>
              <w:left w:val="single" w:color="auto" w:sz="4" w:space="0"/>
              <w:bottom w:val="single" w:color="auto" w:sz="4" w:space="0"/>
            </w:tcBorders>
            <w:vAlign w:val="center"/>
          </w:tcPr>
          <w:p>
            <w:pPr>
              <w:snapToGrid w:val="0"/>
              <w:spacing w:line="460" w:lineRule="exact"/>
              <w:rPr>
                <w:rFonts w:hAnsi="宋体" w:cs="宋体"/>
                <w:color w:val="auto"/>
                <w:sz w:val="21"/>
                <w:szCs w:val="21"/>
                <w:highlight w:val="none"/>
              </w:rPr>
            </w:pPr>
            <w:r>
              <w:rPr>
                <w:rFonts w:hint="eastAsia" w:hAnsi="宋体" w:cs="宋体"/>
                <w:color w:val="auto"/>
                <w:kern w:val="2"/>
                <w:sz w:val="21"/>
                <w:highlight w:val="none"/>
              </w:rPr>
              <w:t>□</w:t>
            </w:r>
            <w:r>
              <w:rPr>
                <w:rFonts w:hint="eastAsia" w:hAnsi="宋体" w:cs="宋体"/>
                <w:color w:val="auto"/>
                <w:sz w:val="21"/>
                <w:szCs w:val="21"/>
                <w:highlight w:val="none"/>
              </w:rPr>
              <w:t xml:space="preserve"> 强制采购节能产品</w:t>
            </w:r>
          </w:p>
          <w:p>
            <w:pPr>
              <w:pStyle w:val="106"/>
              <w:adjustRightInd w:val="0"/>
              <w:snapToGrid w:val="0"/>
              <w:spacing w:before="0" w:line="460" w:lineRule="exact"/>
              <w:ind w:firstLine="0" w:firstLineChars="0"/>
              <w:jc w:val="left"/>
              <w:rPr>
                <w:rFonts w:ascii="宋体" w:hAnsi="宋体" w:eastAsia="宋体" w:cs="宋体"/>
                <w:color w:val="auto"/>
                <w:sz w:val="21"/>
                <w:highlight w:val="none"/>
              </w:rPr>
            </w:pPr>
            <w:r>
              <w:rPr>
                <w:rFonts w:hint="eastAsia" w:ascii="宋体" w:hAnsi="宋体" w:eastAsia="宋体" w:cs="宋体"/>
                <w:color w:val="auto"/>
                <w:sz w:val="21"/>
                <w:highlight w:val="none"/>
              </w:rPr>
              <w:t>□ 优先采购节能产品</w:t>
            </w:r>
          </w:p>
          <w:p>
            <w:pPr>
              <w:snapToGrid w:val="0"/>
              <w:spacing w:line="460" w:lineRule="exact"/>
              <w:rPr>
                <w:rFonts w:hAnsi="宋体" w:cs="宋体"/>
                <w:color w:val="auto"/>
                <w:highlight w:val="none"/>
              </w:rPr>
            </w:pPr>
            <w:r>
              <w:rPr>
                <w:rFonts w:hint="eastAsia" w:hAnsi="宋体" w:cs="宋体"/>
                <w:color w:val="auto"/>
                <w:kern w:val="2"/>
                <w:sz w:val="21"/>
                <w:szCs w:val="21"/>
                <w:highlight w:val="none"/>
              </w:rPr>
              <w:sym w:font="Wingdings" w:char="00FE"/>
            </w:r>
            <w:r>
              <w:rPr>
                <w:rFonts w:hint="eastAsia" w:hAnsi="宋体" w:cs="宋体"/>
                <w:color w:val="auto"/>
                <w:kern w:val="2"/>
                <w:sz w:val="21"/>
                <w:szCs w:val="21"/>
                <w:highlight w:val="none"/>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8</w:t>
            </w:r>
          </w:p>
        </w:tc>
        <w:tc>
          <w:tcPr>
            <w:tcW w:w="2222" w:type="dxa"/>
            <w:tcBorders>
              <w:top w:val="single" w:color="auto" w:sz="4" w:space="0"/>
              <w:left w:val="single" w:color="auto" w:sz="4" w:space="0"/>
              <w:bottom w:val="single" w:color="auto" w:sz="4" w:space="0"/>
            </w:tcBorders>
            <w:vAlign w:val="center"/>
          </w:tcPr>
          <w:p>
            <w:pPr>
              <w:snapToGrid w:val="0"/>
              <w:spacing w:line="460" w:lineRule="exact"/>
              <w:rPr>
                <w:rFonts w:hAnsi="宋体" w:cs="宋体"/>
                <w:color w:val="auto"/>
                <w:sz w:val="21"/>
                <w:szCs w:val="21"/>
                <w:highlight w:val="none"/>
              </w:rPr>
            </w:pPr>
            <w:r>
              <w:rPr>
                <w:rFonts w:hint="eastAsia" w:hAnsi="宋体" w:cs="宋体"/>
                <w:snapToGrid w:val="0"/>
                <w:color w:val="auto"/>
                <w:sz w:val="21"/>
                <w:szCs w:val="21"/>
                <w:highlight w:val="none"/>
              </w:rPr>
              <w:t>环境标志产品</w:t>
            </w:r>
          </w:p>
        </w:tc>
        <w:tc>
          <w:tcPr>
            <w:tcW w:w="6656" w:type="dxa"/>
            <w:tcBorders>
              <w:top w:val="single" w:color="auto" w:sz="4" w:space="0"/>
              <w:left w:val="single" w:color="auto" w:sz="4" w:space="0"/>
              <w:bottom w:val="single" w:color="auto" w:sz="4" w:space="0"/>
            </w:tcBorders>
            <w:vAlign w:val="center"/>
          </w:tcPr>
          <w:p>
            <w:pPr>
              <w:pStyle w:val="106"/>
              <w:adjustRightInd w:val="0"/>
              <w:snapToGrid w:val="0"/>
              <w:spacing w:before="0" w:line="460" w:lineRule="exact"/>
              <w:ind w:firstLine="0" w:firstLineChars="0"/>
              <w:rPr>
                <w:rFonts w:ascii="宋体" w:hAnsi="宋体" w:eastAsia="宋体" w:cs="宋体"/>
                <w:color w:val="auto"/>
                <w:sz w:val="21"/>
                <w:highlight w:val="none"/>
              </w:rPr>
            </w:pPr>
            <w:r>
              <w:rPr>
                <w:rFonts w:hint="eastAsia" w:ascii="宋体" w:hAnsi="宋体" w:eastAsia="宋体" w:cs="宋体"/>
                <w:color w:val="auto"/>
                <w:sz w:val="21"/>
                <w:highlight w:val="none"/>
              </w:rPr>
              <w:t>□ 优先采购环境标志产品</w:t>
            </w:r>
          </w:p>
          <w:p>
            <w:pPr>
              <w:snapToGrid w:val="0"/>
              <w:spacing w:line="460" w:lineRule="exact"/>
              <w:rPr>
                <w:rFonts w:hAnsi="宋体" w:cs="宋体"/>
                <w:color w:val="auto"/>
                <w:highlight w:val="none"/>
              </w:rPr>
            </w:pPr>
            <w:r>
              <w:rPr>
                <w:rFonts w:hint="eastAsia" w:hAnsi="宋体" w:cs="宋体"/>
                <w:color w:val="auto"/>
                <w:sz w:val="21"/>
                <w:szCs w:val="21"/>
                <w:highlight w:val="none"/>
              </w:rPr>
              <w:sym w:font="Wingdings" w:char="00FE"/>
            </w:r>
            <w:r>
              <w:rPr>
                <w:rFonts w:hint="eastAsia" w:hAnsi="宋体" w:cs="宋体"/>
                <w:color w:val="auto"/>
                <w:sz w:val="21"/>
                <w:szCs w:val="21"/>
                <w:highlight w:val="none"/>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9</w:t>
            </w:r>
          </w:p>
        </w:tc>
        <w:tc>
          <w:tcPr>
            <w:tcW w:w="8878" w:type="dxa"/>
            <w:gridSpan w:val="2"/>
            <w:tcBorders>
              <w:top w:val="single" w:color="auto" w:sz="4" w:space="0"/>
              <w:left w:val="single" w:color="auto" w:sz="4" w:space="0"/>
              <w:bottom w:val="single" w:color="auto" w:sz="4" w:space="0"/>
            </w:tcBorders>
            <w:vAlign w:val="center"/>
          </w:tcPr>
          <w:p>
            <w:pPr>
              <w:tabs>
                <w:tab w:val="left" w:pos="1260"/>
              </w:tabs>
              <w:autoSpaceDE/>
              <w:autoSpaceDN/>
              <w:spacing w:line="460" w:lineRule="exact"/>
              <w:jc w:val="both"/>
              <w:textAlignment w:val="auto"/>
              <w:rPr>
                <w:rFonts w:hAnsi="宋体" w:cs="宋体"/>
                <w:color w:val="auto"/>
                <w:sz w:val="21"/>
                <w:szCs w:val="21"/>
                <w:highlight w:val="none"/>
              </w:rPr>
            </w:pPr>
            <w:r>
              <w:rPr>
                <w:rFonts w:hint="eastAsia" w:hAnsi="宋体" w:cs="宋体"/>
                <w:color w:val="auto"/>
                <w:sz w:val="21"/>
                <w:szCs w:val="21"/>
                <w:highlight w:val="none"/>
              </w:rPr>
              <w:t>磋商响应文件（磋商响应文件）的递交：</w:t>
            </w:r>
          </w:p>
          <w:p>
            <w:pPr>
              <w:tabs>
                <w:tab w:val="left" w:pos="1260"/>
              </w:tabs>
              <w:autoSpaceDE/>
              <w:autoSpaceDN/>
              <w:spacing w:line="460" w:lineRule="exact"/>
              <w:jc w:val="both"/>
              <w:textAlignment w:val="auto"/>
              <w:rPr>
                <w:rFonts w:hAnsi="宋体" w:cs="宋体"/>
                <w:color w:val="auto"/>
                <w:sz w:val="21"/>
                <w:szCs w:val="21"/>
                <w:highlight w:val="none"/>
              </w:rPr>
            </w:pPr>
            <w:r>
              <w:rPr>
                <w:rFonts w:hint="eastAsia" w:hAnsi="宋体" w:cs="宋体"/>
                <w:color w:val="auto"/>
                <w:sz w:val="21"/>
                <w:szCs w:val="21"/>
                <w:highlight w:val="none"/>
              </w:rPr>
              <w:t>本项目磋商响应文件分资格文件、商务技术文件、报价文件三部分。磋商响应供应商应以以下方式递交磋商响应文件：</w:t>
            </w:r>
          </w:p>
          <w:p>
            <w:pPr>
              <w:numPr>
                <w:ilvl w:val="255"/>
                <w:numId w:val="0"/>
              </w:numPr>
              <w:tabs>
                <w:tab w:val="left" w:pos="1260"/>
              </w:tabs>
              <w:autoSpaceDE/>
              <w:autoSpaceDN/>
              <w:spacing w:line="460" w:lineRule="exact"/>
              <w:jc w:val="both"/>
              <w:textAlignment w:val="auto"/>
              <w:rPr>
                <w:rFonts w:hAnsi="宋体" w:cs="宋体"/>
                <w:color w:val="auto"/>
                <w:sz w:val="21"/>
                <w:szCs w:val="21"/>
                <w:highlight w:val="none"/>
              </w:rPr>
            </w:pPr>
            <w:r>
              <w:rPr>
                <w:rFonts w:hint="eastAsia" w:hAnsi="宋体" w:cs="宋体"/>
                <w:color w:val="auto"/>
                <w:sz w:val="21"/>
                <w:szCs w:val="21"/>
                <w:highlight w:val="none"/>
              </w:rPr>
              <w:t>★1.本项目实行“网上电子磋商响应、电子评标”，磋商响应供应商应于磋商响截止时间前在“政采云”（ 电子交易客户端）上传输、递交电子版磋商响应文件（包括资格文件、商务技术文件和报价文件）；</w:t>
            </w:r>
          </w:p>
          <w:p>
            <w:pPr>
              <w:numPr>
                <w:ilvl w:val="255"/>
                <w:numId w:val="0"/>
              </w:numPr>
              <w:tabs>
                <w:tab w:val="left" w:pos="1260"/>
              </w:tabs>
              <w:autoSpaceDE/>
              <w:autoSpaceDN/>
              <w:spacing w:line="460" w:lineRule="exact"/>
              <w:jc w:val="both"/>
              <w:textAlignment w:val="auto"/>
              <w:rPr>
                <w:rFonts w:hAnsi="宋体" w:cs="宋体"/>
                <w:color w:val="auto"/>
                <w:highlight w:val="none"/>
              </w:rPr>
            </w:pPr>
            <w:r>
              <w:rPr>
                <w:rFonts w:hint="eastAsia" w:hAnsi="宋体" w:cs="宋体"/>
                <w:bCs/>
                <w:color w:val="auto"/>
                <w:sz w:val="21"/>
                <w:szCs w:val="21"/>
                <w:highlight w:val="none"/>
              </w:rPr>
              <w:t>2.本磋商响应文件所涉及的法定代表人或其授权代表签字或盖章的内容，如果磋商响应供应商没有法定代表人电子签章，涉及到法定代表人或其授权代表签字或盖章的内容，磋商响应供应商可以线下签字或盖章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10</w:t>
            </w:r>
          </w:p>
        </w:tc>
        <w:tc>
          <w:tcPr>
            <w:tcW w:w="8878" w:type="dxa"/>
            <w:gridSpan w:val="2"/>
            <w:tcBorders>
              <w:top w:val="single" w:color="auto" w:sz="4" w:space="0"/>
              <w:left w:val="single" w:color="auto" w:sz="4" w:space="0"/>
              <w:bottom w:val="single" w:color="auto" w:sz="4" w:space="0"/>
            </w:tcBorders>
            <w:vAlign w:val="center"/>
          </w:tcPr>
          <w:p>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投标截止时间及地点：</w:t>
            </w:r>
          </w:p>
          <w:p>
            <w:pPr>
              <w:snapToGrid w:val="0"/>
              <w:spacing w:line="460" w:lineRule="exact"/>
              <w:rPr>
                <w:rFonts w:hAnsi="宋体" w:cs="宋体"/>
                <w:bCs/>
                <w:color w:val="auto"/>
                <w:sz w:val="21"/>
                <w:szCs w:val="21"/>
                <w:highlight w:val="none"/>
              </w:rPr>
            </w:pPr>
            <w:r>
              <w:rPr>
                <w:rFonts w:hint="eastAsia" w:hAnsi="宋体" w:cs="宋体"/>
                <w:color w:val="auto"/>
                <w:sz w:val="21"/>
                <w:szCs w:val="21"/>
                <w:highlight w:val="none"/>
              </w:rPr>
              <w:t>供应商应当在投标截止时间前在“政采云”（电子交易平台）上自行上传加密的电子投标（响应）文件。投标截止时间后递交的电子投标（响应）文件，将被政采云平台拒收。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11</w:t>
            </w:r>
          </w:p>
        </w:tc>
        <w:tc>
          <w:tcPr>
            <w:tcW w:w="8878" w:type="dxa"/>
            <w:gridSpan w:val="2"/>
            <w:tcBorders>
              <w:top w:val="single" w:color="auto" w:sz="4" w:space="0"/>
              <w:left w:val="single" w:color="auto" w:sz="4" w:space="0"/>
              <w:bottom w:val="single" w:color="auto" w:sz="4" w:space="0"/>
            </w:tcBorders>
            <w:vAlign w:val="center"/>
          </w:tcPr>
          <w:p>
            <w:pPr>
              <w:snapToGrid w:val="0"/>
              <w:spacing w:line="460" w:lineRule="exact"/>
              <w:jc w:val="both"/>
              <w:textAlignment w:val="bottom"/>
              <w:rPr>
                <w:rFonts w:hAnsi="宋体" w:cs="宋体"/>
                <w:color w:val="auto"/>
                <w:sz w:val="21"/>
                <w:szCs w:val="21"/>
                <w:highlight w:val="none"/>
              </w:rPr>
            </w:pPr>
            <w:r>
              <w:rPr>
                <w:rFonts w:hint="eastAsia" w:hAnsi="宋体" w:cs="宋体"/>
                <w:color w:val="auto"/>
                <w:sz w:val="21"/>
                <w:szCs w:val="21"/>
                <w:highlight w:val="none"/>
              </w:rPr>
              <w:t>开标时间及地点：2024年</w:t>
            </w:r>
            <w:r>
              <w:rPr>
                <w:rFonts w:hint="eastAsia" w:hAnsi="宋体" w:cs="宋体"/>
                <w:color w:val="auto"/>
                <w:sz w:val="21"/>
                <w:szCs w:val="21"/>
                <w:highlight w:val="none"/>
                <w:lang w:val="en-US" w:eastAsia="zh-CN"/>
              </w:rPr>
              <w:t>6</w:t>
            </w:r>
            <w:r>
              <w:rPr>
                <w:rFonts w:hint="eastAsia" w:hAnsi="宋体" w:cs="宋体"/>
                <w:color w:val="auto"/>
                <w:sz w:val="21"/>
                <w:szCs w:val="21"/>
                <w:highlight w:val="none"/>
              </w:rPr>
              <w:t>月</w:t>
            </w:r>
            <w:r>
              <w:rPr>
                <w:rFonts w:hint="eastAsia" w:hAnsi="宋体" w:cs="宋体"/>
                <w:color w:val="auto"/>
                <w:sz w:val="21"/>
                <w:szCs w:val="21"/>
                <w:highlight w:val="none"/>
                <w:lang w:val="en-US" w:eastAsia="zh-CN"/>
              </w:rPr>
              <w:t>03</w:t>
            </w:r>
            <w:r>
              <w:rPr>
                <w:rFonts w:hint="eastAsia" w:hAnsi="宋体" w:cs="宋体"/>
                <w:color w:val="auto"/>
                <w:sz w:val="21"/>
                <w:szCs w:val="21"/>
                <w:highlight w:val="none"/>
              </w:rPr>
              <w:t>日</w:t>
            </w:r>
            <w:r>
              <w:rPr>
                <w:rFonts w:hint="eastAsia" w:hAnsi="宋体" w:cs="宋体"/>
                <w:color w:val="auto"/>
                <w:sz w:val="21"/>
                <w:szCs w:val="21"/>
                <w:highlight w:val="none"/>
                <w:lang w:val="en-US" w:eastAsia="zh-CN"/>
              </w:rPr>
              <w:t>09</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0时，金华市双龙南街858号金华财富大厦（金华市行政服务中心新办事大厅4楼开标1室）</w:t>
            </w:r>
          </w:p>
          <w:p>
            <w:pPr>
              <w:snapToGrid w:val="0"/>
              <w:spacing w:line="460" w:lineRule="exact"/>
              <w:jc w:val="both"/>
              <w:textAlignment w:val="bottom"/>
              <w:rPr>
                <w:rFonts w:hAnsi="宋体" w:cs="宋体"/>
                <w:bCs/>
                <w:color w:val="auto"/>
                <w:sz w:val="21"/>
                <w:szCs w:val="21"/>
                <w:highlight w:val="none"/>
              </w:rPr>
            </w:pPr>
            <w:r>
              <w:rPr>
                <w:rFonts w:hint="eastAsia" w:hAnsi="宋体" w:cs="宋体"/>
                <w:color w:val="auto"/>
                <w:sz w:val="21"/>
                <w:szCs w:val="21"/>
                <w:highlight w:val="none"/>
              </w:rPr>
              <w:t>截止开标时间，政采云（电子交易平台）自动提取所有</w:t>
            </w:r>
            <w:r>
              <w:rPr>
                <w:rFonts w:hint="eastAsia" w:hAnsi="宋体" w:cs="宋体"/>
                <w:bCs/>
                <w:color w:val="auto"/>
                <w:sz w:val="21"/>
                <w:szCs w:val="21"/>
                <w:highlight w:val="none"/>
              </w:rPr>
              <w:t>磋商响应文件</w:t>
            </w:r>
            <w:r>
              <w:rPr>
                <w:rFonts w:hint="eastAsia" w:hAnsi="宋体" w:cs="宋体"/>
                <w:color w:val="auto"/>
                <w:sz w:val="21"/>
                <w:szCs w:val="21"/>
                <w:highlight w:val="none"/>
              </w:rPr>
              <w:t>，磋商响应供应商须在解密时限内完成解密，解密时限为30分钟，磋商响应供应商在规定的时间内都已解密完成，则系统自动结束解密，采购代理机构开启</w:t>
            </w:r>
            <w:r>
              <w:rPr>
                <w:rFonts w:hint="eastAsia" w:hAnsi="宋体" w:cs="宋体"/>
                <w:bCs/>
                <w:color w:val="auto"/>
                <w:sz w:val="21"/>
                <w:szCs w:val="21"/>
                <w:highlight w:val="none"/>
              </w:rPr>
              <w:t>磋商响应文件</w:t>
            </w:r>
            <w:r>
              <w:rPr>
                <w:rFonts w:hint="eastAsia" w:hAnsi="宋体" w:cs="宋体"/>
                <w:color w:val="auto"/>
                <w:sz w:val="21"/>
                <w:szCs w:val="21"/>
                <w:highlight w:val="none"/>
              </w:rPr>
              <w:t>；除另有规定外，磋商响应供应商未能在约定的解密时限内完成解密的，系统将默认其自动放弃投标。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12</w:t>
            </w:r>
          </w:p>
        </w:tc>
        <w:tc>
          <w:tcPr>
            <w:tcW w:w="8878" w:type="dxa"/>
            <w:gridSpan w:val="2"/>
            <w:tcBorders>
              <w:top w:val="single" w:color="auto" w:sz="4" w:space="0"/>
              <w:left w:val="single" w:color="auto" w:sz="4" w:space="0"/>
              <w:bottom w:val="single" w:color="auto" w:sz="4" w:space="0"/>
            </w:tcBorders>
            <w:vAlign w:val="center"/>
          </w:tcPr>
          <w:p>
            <w:pPr>
              <w:snapToGrid w:val="0"/>
              <w:spacing w:line="460" w:lineRule="exact"/>
              <w:textAlignment w:val="bottom"/>
              <w:rPr>
                <w:rFonts w:hAnsi="宋体" w:cs="宋体"/>
                <w:color w:val="auto"/>
                <w:sz w:val="21"/>
                <w:szCs w:val="21"/>
                <w:highlight w:val="none"/>
              </w:rPr>
            </w:pPr>
            <w:r>
              <w:rPr>
                <w:rFonts w:hint="eastAsia" w:hAnsi="宋体" w:cs="宋体"/>
                <w:color w:val="auto"/>
                <w:sz w:val="21"/>
                <w:szCs w:val="21"/>
                <w:highlight w:val="none"/>
              </w:rPr>
              <w:t>磋商办法：综合评分法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13</w:t>
            </w:r>
          </w:p>
        </w:tc>
        <w:tc>
          <w:tcPr>
            <w:tcW w:w="8878" w:type="dxa"/>
            <w:gridSpan w:val="2"/>
            <w:tcBorders>
              <w:top w:val="single" w:color="auto" w:sz="4" w:space="0"/>
              <w:left w:val="single" w:color="auto" w:sz="4" w:space="0"/>
              <w:bottom w:val="single" w:color="auto" w:sz="4" w:space="0"/>
            </w:tcBorders>
            <w:vAlign w:val="center"/>
          </w:tcPr>
          <w:p>
            <w:pPr>
              <w:snapToGrid w:val="0"/>
              <w:spacing w:line="460" w:lineRule="exact"/>
              <w:textAlignment w:val="bottom"/>
              <w:rPr>
                <w:rFonts w:hAnsi="宋体" w:cs="宋体"/>
                <w:color w:val="auto"/>
                <w:sz w:val="21"/>
                <w:szCs w:val="21"/>
                <w:highlight w:val="none"/>
              </w:rPr>
            </w:pPr>
            <w:r>
              <w:rPr>
                <w:rFonts w:hint="eastAsia" w:hAnsi="宋体" w:cs="宋体"/>
                <w:color w:val="auto"/>
                <w:sz w:val="21"/>
                <w:szCs w:val="21"/>
                <w:highlight w:val="none"/>
              </w:rPr>
              <w:t>磋商结果公示：浙江政府采购网http://zfcg.czt.zj.gov.cn/)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14</w:t>
            </w:r>
          </w:p>
        </w:tc>
        <w:tc>
          <w:tcPr>
            <w:tcW w:w="8878" w:type="dxa"/>
            <w:gridSpan w:val="2"/>
            <w:tcBorders>
              <w:top w:val="single" w:color="auto" w:sz="4" w:space="0"/>
              <w:left w:val="single" w:color="auto" w:sz="4" w:space="0"/>
              <w:bottom w:val="single" w:color="auto" w:sz="4" w:space="0"/>
            </w:tcBorders>
            <w:vAlign w:val="center"/>
          </w:tcPr>
          <w:p>
            <w:pPr>
              <w:snapToGrid w:val="0"/>
              <w:spacing w:line="460" w:lineRule="exact"/>
              <w:textAlignment w:val="bottom"/>
              <w:rPr>
                <w:rFonts w:hAnsi="宋体" w:cs="宋体"/>
                <w:color w:val="auto"/>
                <w:sz w:val="21"/>
                <w:szCs w:val="21"/>
                <w:highlight w:val="none"/>
              </w:rPr>
            </w:pPr>
            <w:r>
              <w:rPr>
                <w:rFonts w:hint="eastAsia" w:hAnsi="宋体" w:cs="宋体"/>
                <w:color w:val="auto"/>
                <w:sz w:val="21"/>
                <w:szCs w:val="21"/>
                <w:highlight w:val="none"/>
              </w:rPr>
              <w:t>签订合同时间：成交通知书发出后20日内。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15</w:t>
            </w:r>
          </w:p>
        </w:tc>
        <w:tc>
          <w:tcPr>
            <w:tcW w:w="8878" w:type="dxa"/>
            <w:gridSpan w:val="2"/>
            <w:tcBorders>
              <w:top w:val="single" w:color="auto" w:sz="4" w:space="0"/>
              <w:left w:val="single" w:color="auto" w:sz="4" w:space="0"/>
              <w:bottom w:val="single" w:color="auto" w:sz="4" w:space="0"/>
            </w:tcBorders>
            <w:vAlign w:val="center"/>
          </w:tcPr>
          <w:p>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磋商响应文件有效期：90天。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16</w:t>
            </w:r>
          </w:p>
        </w:tc>
        <w:tc>
          <w:tcPr>
            <w:tcW w:w="8878" w:type="dxa"/>
            <w:gridSpan w:val="2"/>
            <w:tcBorders>
              <w:top w:val="single" w:color="auto" w:sz="4" w:space="0"/>
              <w:left w:val="single" w:color="auto" w:sz="4" w:space="0"/>
              <w:bottom w:val="single" w:color="auto" w:sz="4" w:space="0"/>
            </w:tcBorders>
            <w:vAlign w:val="center"/>
          </w:tcPr>
          <w:p>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解释：本磋商采购文件的解释权属于磋商采购单位。</w:t>
            </w:r>
          </w:p>
        </w:tc>
      </w:tr>
    </w:tbl>
    <w:p>
      <w:pPr>
        <w:pStyle w:val="2"/>
        <w:rPr>
          <w:color w:val="auto"/>
          <w:highlight w:val="none"/>
        </w:rPr>
      </w:pPr>
      <w:bookmarkStart w:id="663" w:name="_Toc237176507"/>
      <w:bookmarkStart w:id="664" w:name="_Toc217289131"/>
      <w:bookmarkStart w:id="665" w:name="_Toc184785920"/>
      <w:r>
        <w:rPr>
          <w:rFonts w:hint="eastAsia"/>
          <w:color w:val="auto"/>
          <w:highlight w:val="none"/>
        </w:rPr>
        <w:t>一 .总  则</w:t>
      </w:r>
    </w:p>
    <w:p>
      <w:pPr>
        <w:autoSpaceDE/>
        <w:autoSpaceDN/>
        <w:adjustRightInd/>
        <w:spacing w:line="500" w:lineRule="exact"/>
        <w:ind w:firstLine="422" w:firstLineChars="200"/>
        <w:jc w:val="both"/>
        <w:textAlignment w:val="auto"/>
        <w:rPr>
          <w:rFonts w:hAnsi="宋体" w:cs="宋体"/>
          <w:b/>
          <w:color w:val="auto"/>
          <w:sz w:val="21"/>
          <w:szCs w:val="21"/>
          <w:highlight w:val="none"/>
        </w:rPr>
      </w:pPr>
      <w:r>
        <w:rPr>
          <w:rFonts w:hint="eastAsia" w:hAnsi="宋体" w:cs="宋体"/>
          <w:b/>
          <w:color w:val="auto"/>
          <w:sz w:val="21"/>
          <w:szCs w:val="21"/>
          <w:highlight w:val="none"/>
        </w:rPr>
        <w:t>（一） 适用范围</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本磋商文件适用于财政深化应用平台信创改造项目的竞争性磋商采购、磋商响应、确定成交人、验收、合同履约、付款等行为（法律、法规另有规定的，从其规定）。</w:t>
      </w:r>
    </w:p>
    <w:p>
      <w:pPr>
        <w:autoSpaceDE/>
        <w:autoSpaceDN/>
        <w:adjustRightInd/>
        <w:spacing w:line="500" w:lineRule="exact"/>
        <w:ind w:firstLine="316" w:firstLineChars="150"/>
        <w:jc w:val="both"/>
        <w:textAlignment w:val="auto"/>
        <w:rPr>
          <w:rFonts w:hAnsi="宋体" w:cs="宋体"/>
          <w:b/>
          <w:color w:val="auto"/>
          <w:sz w:val="21"/>
          <w:szCs w:val="21"/>
          <w:highlight w:val="none"/>
        </w:rPr>
      </w:pPr>
      <w:r>
        <w:rPr>
          <w:rFonts w:hint="eastAsia" w:hAnsi="宋体" w:cs="宋体"/>
          <w:b/>
          <w:color w:val="auto"/>
          <w:sz w:val="21"/>
          <w:szCs w:val="21"/>
          <w:highlight w:val="none"/>
        </w:rPr>
        <w:t>（二）定义</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1.磋商采购单位系指组织本次竞争性磋商采购的政府采购代理机构和采购单位（“采购人”）。</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w:t>
      </w:r>
      <w:r>
        <w:rPr>
          <w:rFonts w:hint="eastAsia" w:hAnsi="宋体" w:cs="宋体"/>
          <w:b/>
          <w:bCs/>
          <w:color w:val="auto"/>
          <w:sz w:val="21"/>
          <w:szCs w:val="21"/>
          <w:highlight w:val="none"/>
        </w:rPr>
        <w:t>“响应供应商”（又称“投标人”）</w:t>
      </w:r>
      <w:r>
        <w:rPr>
          <w:rFonts w:hint="eastAsia" w:hAnsi="宋体" w:cs="宋体"/>
          <w:color w:val="auto"/>
          <w:sz w:val="21"/>
          <w:szCs w:val="21"/>
          <w:highlight w:val="none"/>
        </w:rPr>
        <w:t>系指响应采购方的采购需求并向磋商采购单位提交</w:t>
      </w:r>
      <w:r>
        <w:rPr>
          <w:rFonts w:hint="eastAsia" w:hAnsi="宋体" w:cs="宋体"/>
          <w:b/>
          <w:bCs/>
          <w:color w:val="auto"/>
          <w:sz w:val="21"/>
          <w:szCs w:val="21"/>
          <w:highlight w:val="none"/>
        </w:rPr>
        <w:t>磋商响应文件（又称“投标文件”）</w:t>
      </w:r>
      <w:r>
        <w:rPr>
          <w:rFonts w:hint="eastAsia" w:hAnsi="宋体" w:cs="宋体"/>
          <w:color w:val="auto"/>
          <w:sz w:val="21"/>
          <w:szCs w:val="21"/>
          <w:highlight w:val="none"/>
        </w:rPr>
        <w:t>的单位或个人。</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3.“服务”系指采购文件规定供应商须承担的财政深化应用平台信创改造服务以及有关的伴随服务。</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4.“项目”系指响应供应商按磋商采购文件规定向采购人提供的专业服务和项目成果。</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5.“书面形式”包括信函、传真、电报等。</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6.“★”系指实质性要求条款，</w:t>
      </w:r>
      <w:r>
        <w:rPr>
          <w:rFonts w:hint="eastAsia" w:hAnsi="宋体" w:cs="宋体"/>
          <w:color w:val="auto"/>
          <w:sz w:val="21"/>
          <w:highlight w:val="none"/>
        </w:rPr>
        <w:t>“▲”</w:t>
      </w:r>
      <w:r>
        <w:rPr>
          <w:rFonts w:hint="eastAsia" w:hAnsi="宋体" w:cs="宋体"/>
          <w:color w:val="auto"/>
          <w:sz w:val="21"/>
          <w:szCs w:val="21"/>
          <w:highlight w:val="none"/>
        </w:rPr>
        <w:t>系指</w:t>
      </w:r>
      <w:r>
        <w:rPr>
          <w:rFonts w:hint="eastAsia" w:hAnsi="宋体" w:cs="宋体"/>
          <w:color w:val="auto"/>
          <w:sz w:val="21"/>
          <w:highlight w:val="none"/>
        </w:rPr>
        <w:t>重</w:t>
      </w:r>
      <w:r>
        <w:rPr>
          <w:rFonts w:hint="eastAsia" w:hAnsi="宋体" w:cs="宋体"/>
          <w:color w:val="auto"/>
          <w:sz w:val="21"/>
          <w:szCs w:val="21"/>
          <w:highlight w:val="none"/>
        </w:rPr>
        <w:t>要条款。</w:t>
      </w:r>
    </w:p>
    <w:p>
      <w:pPr>
        <w:autoSpaceDE/>
        <w:autoSpaceDN/>
        <w:adjustRightInd/>
        <w:spacing w:line="500" w:lineRule="exact"/>
        <w:ind w:firstLine="316" w:firstLineChars="150"/>
        <w:jc w:val="both"/>
        <w:textAlignment w:val="auto"/>
        <w:rPr>
          <w:rFonts w:hAnsi="宋体" w:cs="宋体"/>
          <w:b/>
          <w:color w:val="auto"/>
          <w:sz w:val="21"/>
          <w:szCs w:val="21"/>
          <w:highlight w:val="none"/>
        </w:rPr>
      </w:pPr>
      <w:r>
        <w:rPr>
          <w:rFonts w:hint="eastAsia" w:hAnsi="宋体" w:cs="宋体"/>
          <w:b/>
          <w:color w:val="auto"/>
          <w:sz w:val="21"/>
          <w:szCs w:val="21"/>
          <w:highlight w:val="none"/>
        </w:rPr>
        <w:t>（三）采购方式</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本次采购采用竞争性磋商方式进行。</w:t>
      </w:r>
    </w:p>
    <w:p>
      <w:pPr>
        <w:autoSpaceDE/>
        <w:autoSpaceDN/>
        <w:adjustRightInd/>
        <w:spacing w:line="500" w:lineRule="exact"/>
        <w:ind w:firstLine="316" w:firstLineChars="150"/>
        <w:jc w:val="both"/>
        <w:textAlignment w:val="auto"/>
        <w:rPr>
          <w:rFonts w:hAnsi="宋体" w:cs="宋体"/>
          <w:b/>
          <w:color w:val="auto"/>
          <w:sz w:val="21"/>
          <w:szCs w:val="21"/>
          <w:highlight w:val="none"/>
        </w:rPr>
      </w:pPr>
      <w:r>
        <w:rPr>
          <w:rFonts w:hint="eastAsia" w:hAnsi="宋体" w:cs="宋体"/>
          <w:b/>
          <w:color w:val="auto"/>
          <w:sz w:val="21"/>
          <w:szCs w:val="21"/>
          <w:highlight w:val="none"/>
        </w:rPr>
        <w:t>（四）磋商委托</w:t>
      </w:r>
    </w:p>
    <w:p>
      <w:pPr>
        <w:autoSpaceDE/>
        <w:autoSpaceDN/>
        <w:adjustRightInd/>
        <w:spacing w:line="500" w:lineRule="exact"/>
        <w:ind w:firstLine="525" w:firstLineChars="250"/>
        <w:jc w:val="both"/>
        <w:textAlignment w:val="auto"/>
        <w:rPr>
          <w:rFonts w:hAnsi="宋体" w:cs="宋体"/>
          <w:b/>
          <w:color w:val="auto"/>
          <w:sz w:val="21"/>
          <w:szCs w:val="21"/>
          <w:highlight w:val="none"/>
        </w:rPr>
      </w:pPr>
      <w:r>
        <w:rPr>
          <w:rFonts w:hint="eastAsia" w:hAnsi="宋体" w:cs="宋体"/>
          <w:color w:val="auto"/>
          <w:sz w:val="21"/>
          <w:szCs w:val="21"/>
          <w:highlight w:val="none"/>
        </w:rPr>
        <w:t>响应供应商代表须携带有效身份证件。如响应供应商代表不是法定代表人（或单位负责人），须有法定代表人（或单位负责人）出具的授权委托书（正本用原件，副本用复印件）。</w:t>
      </w:r>
    </w:p>
    <w:p>
      <w:pPr>
        <w:autoSpaceDE/>
        <w:autoSpaceDN/>
        <w:adjustRightInd/>
        <w:spacing w:line="500" w:lineRule="exact"/>
        <w:ind w:firstLine="316" w:firstLineChars="150"/>
        <w:jc w:val="both"/>
        <w:textAlignment w:val="auto"/>
        <w:rPr>
          <w:rFonts w:hAnsi="宋体" w:cs="宋体"/>
          <w:b/>
          <w:color w:val="auto"/>
          <w:sz w:val="21"/>
          <w:szCs w:val="21"/>
          <w:highlight w:val="none"/>
        </w:rPr>
      </w:pPr>
      <w:r>
        <w:rPr>
          <w:rFonts w:hint="eastAsia" w:hAnsi="宋体" w:cs="宋体"/>
          <w:b/>
          <w:color w:val="auto"/>
          <w:sz w:val="21"/>
          <w:szCs w:val="21"/>
          <w:highlight w:val="none"/>
        </w:rPr>
        <w:t>（五）磋商费用</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不论磋商结果如何，响应供应商均应自行承担所有与本次竞争性磋商有关的全部费用（磋商采购文件有相反规定除外）。</w:t>
      </w:r>
    </w:p>
    <w:p>
      <w:pPr>
        <w:autoSpaceDE/>
        <w:autoSpaceDN/>
        <w:adjustRightInd/>
        <w:spacing w:line="500" w:lineRule="exact"/>
        <w:ind w:firstLine="316" w:firstLineChars="150"/>
        <w:jc w:val="both"/>
        <w:textAlignment w:val="auto"/>
        <w:rPr>
          <w:rFonts w:hAnsi="宋体" w:cs="宋体"/>
          <w:b/>
          <w:color w:val="auto"/>
          <w:sz w:val="21"/>
          <w:szCs w:val="21"/>
          <w:highlight w:val="none"/>
        </w:rPr>
      </w:pPr>
      <w:r>
        <w:rPr>
          <w:rFonts w:hint="eastAsia" w:hAnsi="宋体" w:cs="宋体"/>
          <w:b/>
          <w:color w:val="auto"/>
          <w:sz w:val="21"/>
          <w:szCs w:val="21"/>
          <w:highlight w:val="none"/>
        </w:rPr>
        <w:t>（六）联合体的竞争性磋商</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本项目不接受供应商以联合体形式参与磋商。</w:t>
      </w:r>
    </w:p>
    <w:p>
      <w:pPr>
        <w:autoSpaceDE/>
        <w:autoSpaceDN/>
        <w:adjustRightInd/>
        <w:spacing w:line="500" w:lineRule="exact"/>
        <w:ind w:firstLine="316" w:firstLineChars="150"/>
        <w:jc w:val="both"/>
        <w:textAlignment w:val="auto"/>
        <w:rPr>
          <w:rFonts w:hAnsi="宋体" w:cs="宋体"/>
          <w:b/>
          <w:color w:val="auto"/>
          <w:sz w:val="21"/>
          <w:szCs w:val="21"/>
          <w:highlight w:val="none"/>
        </w:rPr>
      </w:pPr>
      <w:r>
        <w:rPr>
          <w:rFonts w:hint="eastAsia" w:hAnsi="宋体" w:cs="宋体"/>
          <w:b/>
          <w:color w:val="auto"/>
          <w:sz w:val="21"/>
          <w:szCs w:val="21"/>
          <w:highlight w:val="none"/>
        </w:rPr>
        <w:t>（七）转包与分包</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1.本项目不允许转包。</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2.非经采购单位允许，本项目不可以分包。</w:t>
      </w:r>
    </w:p>
    <w:p>
      <w:pPr>
        <w:autoSpaceDE/>
        <w:autoSpaceDN/>
        <w:adjustRightInd/>
        <w:spacing w:line="500" w:lineRule="exact"/>
        <w:ind w:firstLine="316" w:firstLineChars="150"/>
        <w:jc w:val="both"/>
        <w:textAlignment w:val="auto"/>
        <w:rPr>
          <w:rFonts w:hAnsi="宋体" w:cs="宋体"/>
          <w:b/>
          <w:color w:val="auto"/>
          <w:sz w:val="21"/>
          <w:szCs w:val="21"/>
          <w:highlight w:val="none"/>
        </w:rPr>
      </w:pPr>
      <w:r>
        <w:rPr>
          <w:rFonts w:hint="eastAsia" w:hAnsi="宋体" w:cs="宋体"/>
          <w:b/>
          <w:color w:val="auto"/>
          <w:sz w:val="21"/>
          <w:szCs w:val="21"/>
          <w:highlight w:val="none"/>
        </w:rPr>
        <w:t>（八）特别说明：</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多家供应商参加竞争性磋商，如其中两家或两家以上供应商的法定代表人（或单位负责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磋商小组集体决定。</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响应供应商参加竞争性磋商所使用的资格、信誉、荣誉、业绩与企业认证必须为本单位（或本投标联合体）所拥有。响应供应商参加竞争性磋商所使用的采购项目实施人员必须为本单位（或本投标联合体）员工。</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3.响应供应商应仔细阅读磋商采购文件的所有内容，按照磋商采购文件的要求提交磋商响应文件。响应供应商必须对磋商响应文件所提供的全部资料的真实性承担法律责任，并无条件接受采购代理机构、采购人及政府采购监督管理部门等对其中任何资料进行核实的要求。</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4.响应供应商在竞争性磋商采购活动中提供任何虚假材料均视为无效，并将报请监管部门查处；成交后发现的,成交供应商须根据我国的相关法律法规进行处罚，且民事赔偿并不免除违法响应供应商的行政与刑事责任。</w:t>
      </w:r>
    </w:p>
    <w:p>
      <w:pPr>
        <w:autoSpaceDE/>
        <w:autoSpaceDN/>
        <w:adjustRightInd/>
        <w:spacing w:line="500" w:lineRule="exact"/>
        <w:ind w:firstLine="316" w:firstLineChars="150"/>
        <w:jc w:val="both"/>
        <w:textAlignment w:val="auto"/>
        <w:rPr>
          <w:rFonts w:hAnsi="宋体" w:cs="宋体"/>
          <w:b/>
          <w:color w:val="auto"/>
          <w:sz w:val="21"/>
          <w:szCs w:val="21"/>
          <w:highlight w:val="none"/>
        </w:rPr>
      </w:pPr>
      <w:r>
        <w:rPr>
          <w:rFonts w:hint="eastAsia" w:hAnsi="宋体" w:cs="宋体"/>
          <w:b/>
          <w:color w:val="auto"/>
          <w:sz w:val="21"/>
          <w:szCs w:val="21"/>
          <w:highlight w:val="none"/>
        </w:rPr>
        <w:t>（九）质疑和投诉</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响应供应商认为磋商采购文件、磋商采购过程或成交结果使自己的合法权益受到损害的，应当在知道或者应知其权益受到损害之日起七个工作日内，以书面形式向采购人、采购代理机构提出质疑。响应供应商对磋商采购人的质疑答复不满意或者磋商采购人未在规定时间内作出答复的，可以在答复期满后十五个工作日内向同级采购监管部门投诉。</w:t>
      </w:r>
    </w:p>
    <w:p>
      <w:pPr>
        <w:autoSpaceDE/>
        <w:autoSpaceDN/>
        <w:adjustRightInd/>
        <w:spacing w:line="500" w:lineRule="exact"/>
        <w:ind w:firstLine="420" w:firstLineChars="200"/>
        <w:jc w:val="both"/>
        <w:rPr>
          <w:rFonts w:hAnsi="宋体" w:cs="宋体"/>
          <w:color w:val="auto"/>
          <w:sz w:val="21"/>
          <w:szCs w:val="21"/>
          <w:highlight w:val="none"/>
          <w:lang w:eastAsia="zh-TW"/>
        </w:rPr>
      </w:pPr>
      <w:r>
        <w:rPr>
          <w:rFonts w:hint="eastAsia" w:hAnsi="宋体" w:cs="宋体"/>
          <w:color w:val="auto"/>
          <w:sz w:val="21"/>
          <w:szCs w:val="21"/>
          <w:highlight w:val="none"/>
        </w:rPr>
        <w:t>2.质疑、投诉应当符合中华人民共和国财政部令第94号《政府采购质疑和投诉办法》、财库【2014】214号《政府采购竞争性磋商采购方式管理暂行办法》等的规定，并分别采用财政部发布的《政府采购供应商质疑函范本》和《政府采购供应商投诉书范本》等书面形式，质疑书、投诉书均应明确阐述磋商采购文件、磋商采购过程或成交结果中使自己合法权益受到损害的实质性内容，提供相关事实、依据和证据及其来源或线索，便于有关单位调查、答复和处理。</w:t>
      </w:r>
      <w:r>
        <w:rPr>
          <w:rFonts w:hint="eastAsia" w:hAnsi="宋体" w:cs="宋体"/>
          <w:bCs/>
          <w:color w:val="auto"/>
          <w:sz w:val="21"/>
          <w:szCs w:val="21"/>
          <w:highlight w:val="none"/>
        </w:rPr>
        <w:t>质疑函范本、投诉书范本请到浙江政府采购网下载专区下载。</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3.响应供应商</w:t>
      </w:r>
      <w:r>
        <w:rPr>
          <w:rFonts w:hint="eastAsia" w:hAnsi="宋体" w:cs="宋体"/>
          <w:color w:val="auto"/>
          <w:sz w:val="21"/>
          <w:szCs w:val="21"/>
          <w:highlight w:val="none"/>
          <w:lang w:val="zh-CN"/>
        </w:rPr>
        <w:t>须在法定质疑期内一次性提出针对同一采购程序环节的质疑。未按上述要求提供的质疑函，采购代理机构有权不予受理。</w:t>
      </w:r>
    </w:p>
    <w:p>
      <w:pPr>
        <w:pStyle w:val="2"/>
        <w:rPr>
          <w:color w:val="auto"/>
          <w:highlight w:val="none"/>
        </w:rPr>
      </w:pPr>
      <w:r>
        <w:rPr>
          <w:rFonts w:hint="eastAsia"/>
          <w:color w:val="auto"/>
          <w:highlight w:val="none"/>
        </w:rPr>
        <w:t>二．磋商文件</w:t>
      </w:r>
    </w:p>
    <w:p>
      <w:pPr>
        <w:pStyle w:val="97"/>
        <w:numPr>
          <w:ilvl w:val="0"/>
          <w:numId w:val="12"/>
        </w:numPr>
        <w:spacing w:line="460" w:lineRule="exact"/>
        <w:ind w:firstLineChars="0"/>
        <w:rPr>
          <w:rFonts w:ascii="宋体" w:hAnsi="宋体" w:cs="宋体"/>
          <w:b/>
          <w:color w:val="auto"/>
          <w:szCs w:val="21"/>
          <w:highlight w:val="none"/>
        </w:rPr>
      </w:pPr>
      <w:r>
        <w:rPr>
          <w:rFonts w:hint="eastAsia" w:ascii="宋体" w:hAnsi="宋体" w:cs="宋体"/>
          <w:b/>
          <w:color w:val="auto"/>
          <w:szCs w:val="21"/>
          <w:highlight w:val="none"/>
        </w:rPr>
        <w:t>磋商文件的构成。本磋商文件由以下部份组成：</w:t>
      </w:r>
    </w:p>
    <w:p>
      <w:pPr>
        <w:pStyle w:val="116"/>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1.竞争性磋商公告</w:t>
      </w:r>
    </w:p>
    <w:p>
      <w:pPr>
        <w:pStyle w:val="116"/>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2.采购需求</w:t>
      </w:r>
    </w:p>
    <w:p>
      <w:pPr>
        <w:pStyle w:val="116"/>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3.响应供应商须知</w:t>
      </w:r>
    </w:p>
    <w:p>
      <w:pPr>
        <w:pStyle w:val="116"/>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4.磋商办法及评分标准</w:t>
      </w:r>
    </w:p>
    <w:p>
      <w:pPr>
        <w:pStyle w:val="116"/>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5.合同主要条款</w:t>
      </w:r>
    </w:p>
    <w:p>
      <w:pPr>
        <w:pStyle w:val="116"/>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6.应提交的响应文件格式范例</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7.本项目磋商采购文件的澄清、答复、修改、补充的内容（如有）</w:t>
      </w:r>
    </w:p>
    <w:p>
      <w:pPr>
        <w:autoSpaceDE/>
        <w:autoSpaceDN/>
        <w:adjustRightInd/>
        <w:spacing w:line="500" w:lineRule="exact"/>
        <w:ind w:firstLine="211" w:firstLineChars="100"/>
        <w:jc w:val="both"/>
        <w:textAlignment w:val="auto"/>
        <w:rPr>
          <w:rFonts w:hAnsi="宋体" w:cs="宋体"/>
          <w:b/>
          <w:color w:val="auto"/>
          <w:sz w:val="21"/>
          <w:szCs w:val="21"/>
          <w:highlight w:val="none"/>
        </w:rPr>
      </w:pPr>
      <w:r>
        <w:rPr>
          <w:rFonts w:hint="eastAsia" w:hAnsi="宋体" w:cs="宋体"/>
          <w:b/>
          <w:color w:val="auto"/>
          <w:sz w:val="21"/>
          <w:szCs w:val="21"/>
          <w:highlight w:val="none"/>
        </w:rPr>
        <w:t>（二）响应供应商的风险</w:t>
      </w:r>
    </w:p>
    <w:p>
      <w:pPr>
        <w:autoSpaceDE/>
        <w:autoSpaceDN/>
        <w:adjustRightInd/>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1.响应供应商没有按照磋商采购文件要求提供全部资料，或者响应供应商没有对磋商采购文件在各方面作出实质性响应是响应供应商的风险，并可能导致其递交的磋商响应文件被拒绝。</w:t>
      </w:r>
    </w:p>
    <w:p>
      <w:pPr>
        <w:pStyle w:val="44"/>
        <w:spacing w:after="0" w:line="500" w:lineRule="exact"/>
        <w:ind w:left="0" w:leftChars="0" w:firstLineChars="200"/>
        <w:jc w:val="left"/>
        <w:rPr>
          <w:rFonts w:ascii="宋体" w:hAnsi="宋体"/>
          <w:color w:val="auto"/>
          <w:kern w:val="0"/>
          <w:highlight w:val="none"/>
        </w:rPr>
      </w:pPr>
      <w:r>
        <w:rPr>
          <w:rFonts w:hint="eastAsia" w:ascii="宋体" w:hAnsi="宋体"/>
          <w:color w:val="auto"/>
          <w:kern w:val="0"/>
          <w:highlight w:val="none"/>
        </w:rPr>
        <w:t>2.采购人、采购代理机构不保证所有已完成报名的供应商都符合资格要求。</w:t>
      </w:r>
    </w:p>
    <w:p>
      <w:pPr>
        <w:autoSpaceDE/>
        <w:autoSpaceDN/>
        <w:adjustRightInd/>
        <w:spacing w:line="500" w:lineRule="exact"/>
        <w:ind w:firstLine="316" w:firstLineChars="150"/>
        <w:jc w:val="both"/>
        <w:textAlignment w:val="auto"/>
        <w:rPr>
          <w:rFonts w:hAnsi="宋体" w:cs="宋体"/>
          <w:b/>
          <w:color w:val="auto"/>
          <w:sz w:val="21"/>
          <w:szCs w:val="21"/>
          <w:highlight w:val="none"/>
        </w:rPr>
      </w:pPr>
      <w:r>
        <w:rPr>
          <w:rFonts w:hint="eastAsia" w:hAnsi="宋体" w:cs="宋体"/>
          <w:b/>
          <w:color w:val="auto"/>
          <w:sz w:val="21"/>
          <w:szCs w:val="21"/>
          <w:highlight w:val="none"/>
        </w:rPr>
        <w:t>（三）磋商采购文件的澄清与修改</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1.响应供应商应认真阅读本磋商采购文件，发现其中有误或有不合理要求的，响应供应商必须在</w:t>
      </w:r>
      <w:r>
        <w:rPr>
          <w:rFonts w:hint="eastAsia" w:hAnsi="宋体" w:cs="宋体"/>
          <w:b/>
          <w:color w:val="auto"/>
          <w:sz w:val="21"/>
          <w:szCs w:val="21"/>
          <w:highlight w:val="none"/>
        </w:rPr>
        <w:t>磋商响应文件递交截止时间5日前以书面形式要求磋商采购单位澄清。</w:t>
      </w:r>
      <w:r>
        <w:rPr>
          <w:rFonts w:hint="eastAsia" w:hAnsi="宋体" w:cs="宋体"/>
          <w:color w:val="auto"/>
          <w:sz w:val="21"/>
          <w:szCs w:val="21"/>
          <w:highlight w:val="none"/>
        </w:rPr>
        <w:t>采购代理机构对已发出的磋商采购文件进行必要澄清、答复、修改或补充的，应当在磋商采购文件要求提交磋商响应文件截止时间5日前，在财政部门指定的政府采购信息发布媒体上发布更正公告，并以书面形式通知所有磋商采购文件收受人。</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2.采购代理机构必须以书面形式答复响应供应商要求澄清的问题，并将不包含问题来源的答复书面通知所有购买磋商采购文件的响应供应商；除书面答复以外的其他澄清方式及澄清内容均无效。</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3.磋商采购文件澄清、答复、修改、补充的内容为磋商采购文件的组成部分。当磋商采购文件与磋商采购文件的答复、澄清、修改、补充通知就同一内容的表述不一致时，以最后发出的书面文件为准。</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4.磋商采购文件的澄清、答复、修改或补充都应该通过本代理机构以法定形式发布，采购人非通过本机构，不得擅自澄清、答复、修改或补充磋商采购文件。</w:t>
      </w:r>
    </w:p>
    <w:p>
      <w:pPr>
        <w:pStyle w:val="2"/>
        <w:rPr>
          <w:color w:val="auto"/>
          <w:highlight w:val="none"/>
        </w:rPr>
      </w:pPr>
      <w:r>
        <w:rPr>
          <w:rFonts w:hint="eastAsia"/>
          <w:color w:val="auto"/>
          <w:highlight w:val="none"/>
        </w:rPr>
        <w:t>三．磋商响应文件的编制</w:t>
      </w:r>
    </w:p>
    <w:p>
      <w:pPr>
        <w:autoSpaceDE/>
        <w:autoSpaceDN/>
        <w:adjustRightInd/>
        <w:spacing w:line="500" w:lineRule="exact"/>
        <w:ind w:firstLine="422" w:firstLineChars="200"/>
        <w:jc w:val="both"/>
        <w:textAlignment w:val="auto"/>
        <w:rPr>
          <w:rFonts w:hAnsi="宋体" w:cs="宋体"/>
          <w:b/>
          <w:color w:val="auto"/>
          <w:sz w:val="21"/>
          <w:szCs w:val="21"/>
          <w:highlight w:val="none"/>
        </w:rPr>
      </w:pPr>
      <w:r>
        <w:rPr>
          <w:rFonts w:hint="eastAsia" w:hAnsi="宋体" w:cs="宋体"/>
          <w:b/>
          <w:color w:val="auto"/>
          <w:sz w:val="21"/>
          <w:szCs w:val="21"/>
          <w:highlight w:val="none"/>
        </w:rPr>
        <w:t>（一）磋商响应文件的组成</w:t>
      </w:r>
    </w:p>
    <w:p>
      <w:pPr>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1.磋商响应文件为电子投标文件。</w:t>
      </w:r>
    </w:p>
    <w:p>
      <w:pPr>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1.1电子投标文件：电子投标文件按政采云平台供应商项目采购-电子交易操作指南（</w:t>
      </w:r>
      <w:r>
        <w:rPr>
          <w:rFonts w:hint="eastAsia" w:hAnsi="宋体" w:cs="宋体"/>
          <w:color w:val="auto"/>
          <w:sz w:val="21"/>
          <w:szCs w:val="21"/>
          <w:highlight w:val="none"/>
          <w:shd w:val="clear" w:color="auto" w:fill="FFFFFF"/>
        </w:rPr>
        <w:t>https://edu.zcygov.cn/luban/e-biding?utm=a0004.2ef5001f.0001.0109.da8b35e0da8611e98d8937b7ef8a3544</w:t>
      </w:r>
      <w:r>
        <w:rPr>
          <w:rFonts w:hint="eastAsia" w:hAnsi="宋体" w:cs="宋体"/>
          <w:b/>
          <w:color w:val="auto"/>
          <w:sz w:val="21"/>
          <w:szCs w:val="21"/>
          <w:highlight w:val="none"/>
        </w:rPr>
        <w:t>）及本采购文件要求制作、加密并递交；</w:t>
      </w:r>
    </w:p>
    <w:p>
      <w:pPr>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（二）投标文件的组成</w:t>
      </w:r>
    </w:p>
    <w:p>
      <w:pPr>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磋商响应文件（电子投标文件）由资格文件、商务技术响应文件和价格响应文件三部份组成。</w:t>
      </w:r>
    </w:p>
    <w:p>
      <w:pPr>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磋商响应文件（电子投标文件）中所须加盖公章部分均采用CA签章。</w:t>
      </w:r>
    </w:p>
    <w:p>
      <w:pPr>
        <w:snapToGrid w:val="0"/>
        <w:spacing w:line="500" w:lineRule="exact"/>
        <w:ind w:firstLine="422" w:firstLineChars="200"/>
        <w:rPr>
          <w:rFonts w:hAnsi="宋体" w:cs="宋体"/>
          <w:color w:val="auto"/>
          <w:sz w:val="21"/>
          <w:szCs w:val="21"/>
          <w:highlight w:val="none"/>
        </w:rPr>
      </w:pPr>
      <w:r>
        <w:rPr>
          <w:rFonts w:hint="eastAsia" w:hAnsi="宋体" w:cs="宋体"/>
          <w:b/>
          <w:color w:val="auto"/>
          <w:sz w:val="21"/>
          <w:szCs w:val="21"/>
          <w:highlight w:val="none"/>
        </w:rPr>
        <w:t>注：本项目磋商响应价格的信息只允许出现在“价格响应文件”中，不得出现在资格文件、商务技术响应文件中。</w:t>
      </w:r>
    </w:p>
    <w:p>
      <w:pPr>
        <w:snapToGrid w:val="0"/>
        <w:spacing w:line="460" w:lineRule="atLeast"/>
        <w:ind w:firstLine="422" w:firstLineChars="200"/>
        <w:textAlignment w:val="bottom"/>
        <w:rPr>
          <w:rFonts w:hAnsi="宋体" w:cs="宋体"/>
          <w:color w:val="auto"/>
          <w:highlight w:val="none"/>
        </w:rPr>
      </w:pPr>
      <w:r>
        <w:rPr>
          <w:rFonts w:hint="eastAsia" w:hAnsi="宋体" w:cs="宋体"/>
          <w:b/>
          <w:color w:val="auto"/>
          <w:sz w:val="21"/>
          <w:szCs w:val="21"/>
          <w:highlight w:val="none"/>
        </w:rPr>
        <w:t>1.资格文件部分</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（1）有效期内的营业执照扫描件或复印件（复印件加盖有效公章）</w:t>
      </w:r>
    </w:p>
    <w:p>
      <w:pPr>
        <w:widowControl/>
        <w:autoSpaceDE/>
        <w:autoSpaceDN/>
        <w:adjustRightInd/>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（2）符合参加政府采购活动应当具备的一般条件的承诺函（格式见附件）；</w:t>
      </w:r>
    </w:p>
    <w:p>
      <w:pPr>
        <w:widowControl/>
        <w:autoSpaceDE/>
        <w:autoSpaceDN/>
        <w:adjustRightInd/>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（3）落实政府采购政策需满足的资格要求（格式见附件）；</w:t>
      </w:r>
    </w:p>
    <w:p>
      <w:pPr>
        <w:autoSpaceDE/>
        <w:autoSpaceDN/>
        <w:adjustRightInd/>
        <w:spacing w:line="460" w:lineRule="exact"/>
        <w:ind w:firstLine="422" w:firstLineChars="200"/>
        <w:jc w:val="both"/>
        <w:textAlignment w:val="auto"/>
        <w:rPr>
          <w:rFonts w:hAnsi="宋体" w:cs="宋体"/>
          <w:color w:val="auto"/>
          <w:sz w:val="21"/>
          <w:szCs w:val="21"/>
          <w:highlight w:val="none"/>
        </w:rPr>
      </w:pPr>
      <w:r>
        <w:rPr>
          <w:rFonts w:hint="eastAsia" w:hAnsi="宋体" w:cs="宋体"/>
          <w:b/>
          <w:color w:val="auto"/>
          <w:sz w:val="21"/>
          <w:szCs w:val="21"/>
          <w:highlight w:val="none"/>
        </w:rPr>
        <w:t>2.商务技术响应文件</w:t>
      </w:r>
    </w:p>
    <w:p>
      <w:pPr>
        <w:pStyle w:val="124"/>
        <w:spacing w:line="460" w:lineRule="exact"/>
        <w:ind w:left="420" w:firstLine="0" w:firstLineChars="0"/>
        <w:textAlignment w:val="bottom"/>
        <w:rPr>
          <w:rFonts w:hAnsi="宋体" w:cs="宋体"/>
          <w:color w:val="auto"/>
          <w:sz w:val="21"/>
          <w:szCs w:val="21"/>
          <w:highlight w:val="none"/>
        </w:rPr>
      </w:pPr>
      <w:r>
        <w:rPr>
          <w:rFonts w:hint="eastAsia" w:ascii="宋体" w:hAnsi="宋体" w:cs="宋体"/>
          <w:color w:val="auto"/>
          <w:sz w:val="21"/>
          <w:szCs w:val="21"/>
          <w:highlight w:val="none"/>
        </w:rPr>
        <w:t>（1）响应供应商技术商务标自评得分汇总表；（格式内容参照技术商务评分表，格式见附件）；</w:t>
      </w:r>
    </w:p>
    <w:p>
      <w:pPr>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（2）法定代表人资格证明书及法定代表人授权委托书 （由法定代表人直接参加磋商并对相应文件签署的，只需提供前者 ）；</w:t>
      </w:r>
    </w:p>
    <w:p>
      <w:pPr>
        <w:pStyle w:val="97"/>
        <w:snapToGrid w:val="0"/>
        <w:spacing w:line="460" w:lineRule="exact"/>
        <w:ind w:left="420" w:firstLine="0" w:firstLineChars="0"/>
        <w:textAlignment w:val="bottom"/>
        <w:rPr>
          <w:rFonts w:ascii="宋体" w:hAnsi="宋体" w:cs="宋体"/>
          <w:color w:val="auto"/>
          <w:sz w:val="21"/>
          <w:szCs w:val="21"/>
          <w:highlight w:val="none"/>
        </w:rPr>
      </w:pPr>
      <w:r>
        <w:rPr>
          <w:rFonts w:hint="eastAsia" w:ascii="宋体" w:hAnsi="宋体" w:cs="宋体"/>
          <w:color w:val="auto"/>
          <w:sz w:val="21"/>
          <w:szCs w:val="21"/>
          <w:highlight w:val="none"/>
        </w:rPr>
        <w:t>（3）响应供应商情况表；（格式见附件）</w:t>
      </w:r>
    </w:p>
    <w:p>
      <w:pPr>
        <w:snapToGrid w:val="0"/>
        <w:spacing w:line="500" w:lineRule="exact"/>
        <w:ind w:firstLine="420" w:firstLineChars="200"/>
        <w:jc w:val="both"/>
        <w:textAlignment w:val="bottom"/>
        <w:rPr>
          <w:rFonts w:hAnsi="宋体" w:cs="宋体"/>
          <w:color w:val="auto"/>
          <w:sz w:val="21"/>
          <w:szCs w:val="21"/>
          <w:highlight w:val="none"/>
        </w:rPr>
      </w:pPr>
      <w:r>
        <w:rPr>
          <w:rFonts w:hint="eastAsia" w:hAnsi="宋体" w:cs="宋体"/>
          <w:color w:val="auto"/>
          <w:sz w:val="21"/>
          <w:szCs w:val="21"/>
          <w:highlight w:val="none"/>
        </w:rPr>
        <w:t>（4）服务条款对比表；（格式见附件）</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（5）拟投入本项目的服务团队人员表；（格式见附件）</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（6）商务条款偏离表；（格式见附件）</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（7）响应供应商2021年1月1日以来至今同类项目服务业绩（提供合同复印件加盖单位公章，格式见附件）；</w:t>
      </w:r>
    </w:p>
    <w:p>
      <w:pPr>
        <w:autoSpaceDE/>
        <w:autoSpaceDN/>
        <w:adjustRightInd/>
        <w:spacing w:line="500" w:lineRule="exact"/>
        <w:ind w:firstLine="420" w:firstLineChars="200"/>
        <w:jc w:val="both"/>
        <w:textAlignment w:val="auto"/>
        <w:rPr>
          <w:rFonts w:hAnsi="宋体" w:cs="宋体"/>
          <w:bCs/>
          <w:color w:val="auto"/>
          <w:sz w:val="21"/>
          <w:szCs w:val="21"/>
          <w:highlight w:val="none"/>
        </w:rPr>
      </w:pPr>
      <w:r>
        <w:rPr>
          <w:rFonts w:hint="eastAsia" w:hAnsi="宋体" w:cs="宋体"/>
          <w:color w:val="auto"/>
          <w:sz w:val="21"/>
          <w:szCs w:val="21"/>
          <w:highlight w:val="none"/>
        </w:rPr>
        <w:t>（8）</w:t>
      </w:r>
      <w:r>
        <w:rPr>
          <w:rFonts w:hint="eastAsia" w:hAnsi="宋体" w:cs="宋体"/>
          <w:bCs/>
          <w:color w:val="auto"/>
          <w:sz w:val="21"/>
          <w:szCs w:val="21"/>
          <w:highlight w:val="none"/>
        </w:rPr>
        <w:t>针对本项目的详细服务方案（格式自拟）；</w:t>
      </w:r>
    </w:p>
    <w:p>
      <w:pPr>
        <w:autoSpaceDE/>
        <w:autoSpaceDN/>
        <w:adjustRightInd/>
        <w:spacing w:line="500" w:lineRule="exact"/>
        <w:ind w:firstLine="420" w:firstLineChars="200"/>
        <w:jc w:val="both"/>
        <w:textAlignment w:val="auto"/>
        <w:rPr>
          <w:rFonts w:hAnsi="宋体" w:cs="宋体"/>
          <w:bCs/>
          <w:color w:val="auto"/>
          <w:sz w:val="21"/>
          <w:szCs w:val="21"/>
          <w:highlight w:val="none"/>
        </w:rPr>
      </w:pPr>
      <w:r>
        <w:rPr>
          <w:rFonts w:hint="eastAsia" w:hAnsi="宋体" w:cs="宋体"/>
          <w:bCs/>
          <w:color w:val="auto"/>
          <w:sz w:val="21"/>
          <w:szCs w:val="21"/>
          <w:highlight w:val="none"/>
        </w:rPr>
        <w:t>①对本项目的需求理解，重点难点的分析等；</w:t>
      </w:r>
    </w:p>
    <w:p>
      <w:pPr>
        <w:spacing w:line="500" w:lineRule="exact"/>
        <w:ind w:firstLine="420" w:firstLineChars="200"/>
        <w:rPr>
          <w:rFonts w:hAnsi="宋体" w:cs="宋体"/>
          <w:color w:val="auto"/>
          <w:highlight w:val="none"/>
        </w:rPr>
      </w:pPr>
      <w:r>
        <w:rPr>
          <w:rFonts w:hint="eastAsia" w:hAnsi="宋体" w:cs="宋体"/>
          <w:bCs/>
          <w:color w:val="auto"/>
          <w:sz w:val="21"/>
          <w:szCs w:val="21"/>
          <w:highlight w:val="none"/>
        </w:rPr>
        <w:t>②组织方案（包括</w:t>
      </w:r>
      <w:r>
        <w:rPr>
          <w:rFonts w:hint="eastAsia" w:hAnsi="宋体" w:cs="宋体"/>
          <w:color w:val="auto"/>
          <w:sz w:val="21"/>
          <w:szCs w:val="21"/>
          <w:highlight w:val="none"/>
        </w:rPr>
        <w:t>总体方案设计；</w:t>
      </w:r>
      <w:r>
        <w:rPr>
          <w:rFonts w:hint="eastAsia"/>
          <w:color w:val="auto"/>
          <w:sz w:val="21"/>
          <w:szCs w:val="21"/>
          <w:highlight w:val="none"/>
        </w:rPr>
        <w:t>系统建设方案、功能介绍；</w:t>
      </w:r>
      <w:r>
        <w:rPr>
          <w:rStyle w:val="143"/>
          <w:rFonts w:hAnsi="宋体"/>
          <w:color w:val="auto"/>
          <w:sz w:val="21"/>
          <w:szCs w:val="21"/>
          <w:highlight w:val="none"/>
        </w:rPr>
        <w:t>项目实施的技术力量安排</w:t>
      </w:r>
      <w:r>
        <w:rPr>
          <w:rFonts w:hint="eastAsia" w:hAnsi="宋体" w:cs="宋体"/>
          <w:bCs/>
          <w:color w:val="auto"/>
          <w:sz w:val="21"/>
          <w:szCs w:val="21"/>
          <w:highlight w:val="none"/>
        </w:rPr>
        <w:t>及技术保障；</w:t>
      </w:r>
      <w:r>
        <w:rPr>
          <w:rFonts w:hint="eastAsia"/>
          <w:color w:val="auto"/>
          <w:sz w:val="21"/>
          <w:szCs w:val="21"/>
          <w:highlight w:val="none"/>
        </w:rPr>
        <w:t>质量保证措施及承诺</w:t>
      </w:r>
      <w:r>
        <w:rPr>
          <w:rFonts w:hint="eastAsia" w:hAnsi="宋体" w:cs="宋体"/>
          <w:bCs/>
          <w:color w:val="auto"/>
          <w:sz w:val="21"/>
          <w:szCs w:val="21"/>
          <w:highlight w:val="none"/>
        </w:rPr>
        <w:t>；验收方案；</w:t>
      </w:r>
      <w:r>
        <w:rPr>
          <w:rFonts w:hint="eastAsia"/>
          <w:color w:val="auto"/>
          <w:sz w:val="21"/>
          <w:szCs w:val="21"/>
          <w:highlight w:val="none"/>
        </w:rPr>
        <w:t>突发事件紧急预案；</w:t>
      </w:r>
      <w:r>
        <w:rPr>
          <w:rFonts w:hint="eastAsia" w:cs="宋体"/>
          <w:color w:val="auto"/>
          <w:sz w:val="21"/>
          <w:szCs w:val="21"/>
          <w:highlight w:val="none"/>
        </w:rPr>
        <w:t>技术培训</w:t>
      </w:r>
      <w:r>
        <w:rPr>
          <w:rFonts w:hint="eastAsia" w:hAnsi="宋体" w:cs="宋体"/>
          <w:bCs/>
          <w:color w:val="auto"/>
          <w:sz w:val="21"/>
          <w:szCs w:val="21"/>
          <w:highlight w:val="none"/>
        </w:rPr>
        <w:t>等）</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（9）响应供应商</w:t>
      </w:r>
      <w:r>
        <w:rPr>
          <w:rFonts w:hint="eastAsia" w:hAnsi="宋体" w:cs="宋体"/>
          <w:bCs/>
          <w:color w:val="auto"/>
          <w:sz w:val="21"/>
          <w:szCs w:val="21"/>
          <w:highlight w:val="none"/>
        </w:rPr>
        <w:t>针对本项目的优惠条件及合理化建议</w:t>
      </w:r>
      <w:r>
        <w:rPr>
          <w:rFonts w:hint="eastAsia" w:hAnsi="宋体" w:cs="宋体"/>
          <w:color w:val="auto"/>
          <w:sz w:val="21"/>
          <w:szCs w:val="21"/>
          <w:highlight w:val="none"/>
        </w:rPr>
        <w:t>；</w:t>
      </w:r>
    </w:p>
    <w:p>
      <w:pPr>
        <w:snapToGrid w:val="0"/>
        <w:spacing w:line="500" w:lineRule="exact"/>
        <w:ind w:firstLine="420" w:firstLineChars="200"/>
        <w:jc w:val="both"/>
        <w:textAlignment w:val="bottom"/>
        <w:rPr>
          <w:rFonts w:hAnsi="宋体" w:cs="宋体"/>
          <w:color w:val="auto"/>
          <w:sz w:val="21"/>
          <w:szCs w:val="21"/>
          <w:highlight w:val="none"/>
        </w:rPr>
      </w:pPr>
      <w:r>
        <w:rPr>
          <w:rFonts w:hint="eastAsia" w:hAnsi="宋体" w:cs="宋体"/>
          <w:color w:val="auto"/>
          <w:sz w:val="21"/>
          <w:szCs w:val="21"/>
          <w:highlight w:val="none"/>
        </w:rPr>
        <w:t>（10）评分规则中涉及的所需提供的资料；</w:t>
      </w:r>
    </w:p>
    <w:p>
      <w:pPr>
        <w:snapToGrid w:val="0"/>
        <w:spacing w:line="500" w:lineRule="exact"/>
        <w:ind w:firstLine="420" w:firstLineChars="200"/>
        <w:jc w:val="both"/>
        <w:textAlignment w:val="bottom"/>
        <w:rPr>
          <w:rFonts w:hAnsi="宋体" w:cs="宋体"/>
          <w:color w:val="auto"/>
          <w:sz w:val="21"/>
          <w:szCs w:val="21"/>
          <w:highlight w:val="none"/>
        </w:rPr>
      </w:pPr>
      <w:r>
        <w:rPr>
          <w:rFonts w:hint="eastAsia" w:hAnsi="宋体" w:cs="宋体"/>
          <w:color w:val="auto"/>
          <w:sz w:val="21"/>
          <w:szCs w:val="21"/>
          <w:highlight w:val="none"/>
        </w:rPr>
        <w:t>（11）磋商响应供应商需要说明的其他文件和说明（格式自拟）。</w:t>
      </w:r>
    </w:p>
    <w:p>
      <w:pPr>
        <w:autoSpaceDE/>
        <w:autoSpaceDN/>
        <w:adjustRightInd/>
        <w:spacing w:line="500" w:lineRule="exact"/>
        <w:ind w:firstLine="422" w:firstLineChars="200"/>
        <w:jc w:val="both"/>
        <w:textAlignment w:val="auto"/>
        <w:rPr>
          <w:rFonts w:hAnsi="宋体" w:cs="宋体"/>
          <w:b/>
          <w:color w:val="auto"/>
          <w:kern w:val="2"/>
          <w:sz w:val="21"/>
          <w:szCs w:val="21"/>
          <w:highlight w:val="none"/>
        </w:rPr>
      </w:pPr>
      <w:r>
        <w:rPr>
          <w:rFonts w:hint="eastAsia" w:hAnsi="宋体" w:cs="宋体"/>
          <w:b/>
          <w:color w:val="auto"/>
          <w:kern w:val="2"/>
          <w:sz w:val="21"/>
          <w:szCs w:val="21"/>
          <w:highlight w:val="none"/>
        </w:rPr>
        <w:t>（★</w:t>
      </w:r>
      <w:r>
        <w:rPr>
          <w:rFonts w:hint="eastAsia" w:hAnsi="宋体" w:cs="宋体"/>
          <w:b/>
          <w:color w:val="auto"/>
          <w:sz w:val="21"/>
          <w:szCs w:val="21"/>
          <w:highlight w:val="none"/>
        </w:rPr>
        <w:t>商务技术响应文件</w:t>
      </w:r>
      <w:r>
        <w:rPr>
          <w:rFonts w:hint="eastAsia" w:hAnsi="宋体" w:cs="宋体"/>
          <w:b/>
          <w:color w:val="auto"/>
          <w:kern w:val="2"/>
          <w:sz w:val="21"/>
          <w:szCs w:val="21"/>
          <w:highlight w:val="none"/>
        </w:rPr>
        <w:t>中不能出现报价信息）</w:t>
      </w:r>
    </w:p>
    <w:p>
      <w:pPr>
        <w:autoSpaceDE/>
        <w:autoSpaceDN/>
        <w:adjustRightInd/>
        <w:spacing w:line="480" w:lineRule="exact"/>
        <w:ind w:firstLine="422" w:firstLineChars="200"/>
        <w:jc w:val="both"/>
        <w:textAlignment w:val="auto"/>
        <w:rPr>
          <w:rFonts w:hAnsi="宋体" w:cs="宋体"/>
          <w:b/>
          <w:color w:val="auto"/>
          <w:sz w:val="21"/>
          <w:szCs w:val="21"/>
          <w:highlight w:val="none"/>
        </w:rPr>
      </w:pPr>
      <w:r>
        <w:rPr>
          <w:rFonts w:hint="eastAsia" w:hAnsi="宋体" w:cs="宋体"/>
          <w:b/>
          <w:color w:val="auto"/>
          <w:sz w:val="21"/>
          <w:szCs w:val="21"/>
          <w:highlight w:val="none"/>
        </w:rPr>
        <w:t>3.价格响应文件部分</w:t>
      </w:r>
    </w:p>
    <w:p>
      <w:pPr>
        <w:autoSpaceDE/>
        <w:autoSpaceDN/>
        <w:snapToGrid w:val="0"/>
        <w:spacing w:line="48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（1）磋商响应函（加盖公章）（格式见附件）；</w:t>
      </w:r>
    </w:p>
    <w:p>
      <w:pPr>
        <w:autoSpaceDE/>
        <w:autoSpaceDN/>
        <w:snapToGrid w:val="0"/>
        <w:spacing w:line="48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（2）开标（报价）一览表（加盖公章）（格式见附件）；</w:t>
      </w:r>
    </w:p>
    <w:p>
      <w:pPr>
        <w:autoSpaceDE/>
        <w:autoSpaceDN/>
        <w:snapToGrid w:val="0"/>
        <w:spacing w:line="48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（3）供应商针对报价需要说明的其他文件和说明（格式自拟）。</w:t>
      </w:r>
    </w:p>
    <w:p>
      <w:pPr>
        <w:autoSpaceDE/>
        <w:autoSpaceDN/>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备注：供应商必须按后附表规定的格式完整、清晰、正确的填写，磋商报价一览表中不得填报有选择性的报价方案。</w:t>
      </w:r>
    </w:p>
    <w:p>
      <w:pPr>
        <w:autoSpaceDE/>
        <w:autoSpaceDN/>
        <w:adjustRightInd/>
        <w:spacing w:line="460" w:lineRule="exact"/>
        <w:ind w:firstLine="422" w:firstLineChars="200"/>
        <w:jc w:val="both"/>
        <w:textAlignment w:val="auto"/>
        <w:rPr>
          <w:rFonts w:hAnsi="宋体" w:cs="宋体"/>
          <w:b/>
          <w:color w:val="auto"/>
          <w:sz w:val="21"/>
          <w:szCs w:val="21"/>
          <w:highlight w:val="none"/>
        </w:rPr>
      </w:pPr>
      <w:r>
        <w:rPr>
          <w:rFonts w:hint="eastAsia" w:hAnsi="宋体" w:cs="宋体"/>
          <w:b/>
          <w:color w:val="auto"/>
          <w:sz w:val="21"/>
          <w:szCs w:val="21"/>
          <w:highlight w:val="none"/>
        </w:rPr>
        <w:t>（三）磋商响应文件的语言及计量</w:t>
      </w:r>
    </w:p>
    <w:p>
      <w:pPr>
        <w:autoSpaceDE/>
        <w:autoSpaceDN/>
        <w:adjustRightInd/>
        <w:spacing w:line="46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★1.磋商响应文件以及供应商与磋商采购单位就有关磋商事宜的所有来往函电，均应以中文汉语书写。除签名、盖章、专用名称等特殊情形外，以中文汉语以外的文字表述的磋商响应文件视同未提供。</w:t>
      </w:r>
    </w:p>
    <w:p>
      <w:pPr>
        <w:autoSpaceDE/>
        <w:autoSpaceDN/>
        <w:adjustRightInd/>
        <w:spacing w:line="46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★2.计量单位：磋商采购文件已有明确规定的，使用磋商采购文件规定的计量单位；磋商采购文件没有规定的，应采用中华人民共和国法定计量单位（货币单位：人民币元），否则视同未响应。</w:t>
      </w:r>
    </w:p>
    <w:p>
      <w:pPr>
        <w:autoSpaceDE/>
        <w:autoSpaceDN/>
        <w:adjustRightInd/>
        <w:spacing w:line="460" w:lineRule="exact"/>
        <w:ind w:firstLine="422" w:firstLineChars="200"/>
        <w:jc w:val="both"/>
        <w:textAlignment w:val="auto"/>
        <w:rPr>
          <w:rFonts w:hAnsi="宋体" w:cs="宋体"/>
          <w:b/>
          <w:color w:val="auto"/>
          <w:sz w:val="21"/>
          <w:szCs w:val="21"/>
          <w:highlight w:val="none"/>
        </w:rPr>
      </w:pPr>
      <w:r>
        <w:rPr>
          <w:rFonts w:hint="eastAsia" w:hAnsi="宋体" w:cs="宋体"/>
          <w:b/>
          <w:color w:val="auto"/>
          <w:sz w:val="21"/>
          <w:szCs w:val="21"/>
          <w:highlight w:val="none"/>
        </w:rPr>
        <w:t>（四）磋商报价</w:t>
      </w:r>
    </w:p>
    <w:p>
      <w:pPr>
        <w:autoSpaceDE/>
        <w:autoSpaceDN/>
        <w:adjustRightInd/>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1.磋商报价应按竞争性磋商采购文件中相关附表格式填写。</w:t>
      </w:r>
    </w:p>
    <w:p>
      <w:pPr>
        <w:autoSpaceDE/>
        <w:autoSpaceDN/>
        <w:adjustRightInd/>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2.最终磋商报价是履行合同的最终结算总价，系指磋商文件所确定采购范围内全部工作内容的价格表现，应包含系</w:t>
      </w:r>
      <w:r>
        <w:rPr>
          <w:rFonts w:hint="eastAsia" w:hAnsi="宋体" w:cs="宋体"/>
          <w:bCs/>
          <w:color w:val="auto"/>
          <w:sz w:val="21"/>
          <w:szCs w:val="21"/>
          <w:highlight w:val="none"/>
        </w:rPr>
        <w:t>统软件开发、</w:t>
      </w:r>
      <w:r>
        <w:rPr>
          <w:rStyle w:val="143"/>
          <w:rFonts w:hint="eastAsia" w:hAnsi="宋体" w:cs="宋体"/>
          <w:color w:val="auto"/>
          <w:sz w:val="21"/>
          <w:szCs w:val="21"/>
          <w:highlight w:val="none"/>
        </w:rPr>
        <w:t>调试、维保、管理费、验收、培训</w:t>
      </w:r>
      <w:r>
        <w:rPr>
          <w:rFonts w:hint="eastAsia" w:hAnsi="宋体" w:cs="宋体"/>
          <w:bCs/>
          <w:color w:val="auto"/>
          <w:sz w:val="21"/>
          <w:highlight w:val="none"/>
        </w:rPr>
        <w:t>、采购代理服务费</w:t>
      </w:r>
      <w:r>
        <w:rPr>
          <w:rStyle w:val="143"/>
          <w:rFonts w:hint="eastAsia" w:hAnsi="宋体" w:cs="宋体"/>
          <w:color w:val="auto"/>
          <w:sz w:val="21"/>
          <w:szCs w:val="21"/>
          <w:highlight w:val="none"/>
        </w:rPr>
        <w:t>等整个项目的一切税金和费用</w:t>
      </w:r>
      <w:r>
        <w:rPr>
          <w:rFonts w:hint="eastAsia" w:hAnsi="宋体" w:cs="宋体"/>
          <w:color w:val="auto"/>
          <w:sz w:val="21"/>
          <w:highlight w:val="none"/>
        </w:rPr>
        <w:t>。</w:t>
      </w:r>
      <w:r>
        <w:rPr>
          <w:rFonts w:hint="eastAsia" w:hAnsi="宋体" w:cs="宋体"/>
          <w:color w:val="auto"/>
          <w:sz w:val="21"/>
          <w:szCs w:val="21"/>
          <w:highlight w:val="none"/>
        </w:rPr>
        <w:t>磋商响应供应商须充分考虑实际服务内容和需求，针对自身实际情况，核算所需的成本及合理的利润，自行报价，结算时由磋商供应供应商开具正式发票。</w:t>
      </w:r>
    </w:p>
    <w:p>
      <w:pPr>
        <w:widowControl/>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3.本项目竞争性磋商报价高于最高限价的报价将作无效报价处理。</w:t>
      </w:r>
    </w:p>
    <w:p>
      <w:pPr>
        <w:autoSpaceDE/>
        <w:autoSpaceDN/>
        <w:adjustRightInd/>
        <w:snapToGrid w:val="0"/>
        <w:spacing w:line="500" w:lineRule="exact"/>
        <w:ind w:firstLine="422" w:firstLineChars="200"/>
        <w:textAlignment w:val="auto"/>
        <w:rPr>
          <w:rFonts w:hAnsi="宋体" w:cs="宋体"/>
          <w:b/>
          <w:color w:val="auto"/>
          <w:sz w:val="21"/>
          <w:szCs w:val="21"/>
          <w:highlight w:val="none"/>
        </w:rPr>
      </w:pPr>
      <w:r>
        <w:rPr>
          <w:rFonts w:hint="eastAsia" w:hAnsi="宋体" w:cs="宋体"/>
          <w:b/>
          <w:color w:val="auto"/>
          <w:sz w:val="21"/>
          <w:szCs w:val="21"/>
          <w:highlight w:val="none"/>
        </w:rPr>
        <w:t>4.首次磋商报价</w:t>
      </w:r>
    </w:p>
    <w:p>
      <w:pPr>
        <w:autoSpaceDE/>
        <w:autoSpaceDN/>
        <w:adjustRightInd/>
        <w:snapToGrid w:val="0"/>
        <w:spacing w:line="500" w:lineRule="exact"/>
        <w:ind w:firstLine="420" w:firstLineChars="200"/>
        <w:textAlignment w:val="auto"/>
        <w:rPr>
          <w:rFonts w:hAnsi="宋体" w:cs="宋体"/>
          <w:color w:val="auto"/>
          <w:sz w:val="21"/>
          <w:szCs w:val="21"/>
          <w:highlight w:val="none"/>
        </w:rPr>
      </w:pPr>
      <w:r>
        <w:rPr>
          <w:rFonts w:hint="eastAsia" w:hAnsi="宋体" w:cs="宋体"/>
          <w:bCs/>
          <w:color w:val="auto"/>
          <w:sz w:val="21"/>
          <w:szCs w:val="21"/>
          <w:highlight w:val="none"/>
        </w:rPr>
        <w:t>★（1）</w:t>
      </w:r>
      <w:r>
        <w:rPr>
          <w:rFonts w:hint="eastAsia" w:hAnsi="宋体" w:cs="宋体"/>
          <w:b/>
          <w:color w:val="auto"/>
          <w:sz w:val="21"/>
          <w:szCs w:val="21"/>
          <w:highlight w:val="none"/>
        </w:rPr>
        <w:t>供应商在价格响应文件中应就本项目的服务费进行首次磋商报价</w:t>
      </w:r>
      <w:r>
        <w:rPr>
          <w:rFonts w:hint="eastAsia" w:hAnsi="宋体" w:cs="宋体"/>
          <w:bCs/>
          <w:color w:val="auto"/>
          <w:sz w:val="21"/>
          <w:szCs w:val="21"/>
          <w:highlight w:val="none"/>
        </w:rPr>
        <w:t>。供</w:t>
      </w:r>
      <w:r>
        <w:rPr>
          <w:rFonts w:hint="eastAsia" w:hAnsi="宋体" w:cs="宋体"/>
          <w:color w:val="auto"/>
          <w:sz w:val="21"/>
          <w:szCs w:val="21"/>
          <w:highlight w:val="none"/>
        </w:rPr>
        <w:t>应商应结合自身综合实力、市场行情、本项目具体特点和技术要求进行首次磋商报价。</w:t>
      </w:r>
    </w:p>
    <w:p>
      <w:pPr>
        <w:autoSpaceDE/>
        <w:autoSpaceDN/>
        <w:adjustRightInd/>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（2）磋商响应文件只允许有一个首次磋商报价。</w:t>
      </w:r>
    </w:p>
    <w:p>
      <w:pPr>
        <w:snapToGrid w:val="0"/>
        <w:spacing w:line="500" w:lineRule="exact"/>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5.最终磋商报价</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在磋商谈判过程中，磋商小组可与供应商进行多轮谈判、磋商；供应商应按磋商小组要求</w:t>
      </w:r>
      <w:r>
        <w:rPr>
          <w:rFonts w:hint="eastAsia" w:hAnsi="宋体" w:cs="宋体"/>
          <w:color w:val="auto"/>
          <w:sz w:val="21"/>
          <w:szCs w:val="21"/>
          <w:highlight w:val="none"/>
          <w:shd w:val="clear" w:color="auto" w:fill="FFFFFF"/>
        </w:rPr>
        <w:t>在规定时间内进行最终</w:t>
      </w:r>
      <w:r>
        <w:rPr>
          <w:rFonts w:hint="eastAsia" w:hAnsi="宋体" w:cs="宋体"/>
          <w:color w:val="auto"/>
          <w:sz w:val="21"/>
          <w:szCs w:val="21"/>
          <w:highlight w:val="none"/>
        </w:rPr>
        <w:t>磋商</w:t>
      </w:r>
      <w:r>
        <w:rPr>
          <w:rFonts w:hint="eastAsia" w:hAnsi="宋体" w:cs="宋体"/>
          <w:color w:val="auto"/>
          <w:sz w:val="21"/>
          <w:szCs w:val="21"/>
          <w:highlight w:val="none"/>
          <w:shd w:val="clear" w:color="auto" w:fill="FFFFFF"/>
        </w:rPr>
        <w:t>报价</w:t>
      </w:r>
      <w:r>
        <w:rPr>
          <w:rFonts w:hint="eastAsia" w:hAnsi="宋体" w:cs="宋体"/>
          <w:color w:val="auto"/>
          <w:sz w:val="21"/>
          <w:szCs w:val="21"/>
          <w:highlight w:val="none"/>
        </w:rPr>
        <w:t>，被认可并接受的最终磋商报价是履行合同的服务结算总价。</w:t>
      </w:r>
    </w:p>
    <w:p>
      <w:pPr>
        <w:autoSpaceDE/>
        <w:autoSpaceDN/>
        <w:adjustRightInd/>
        <w:spacing w:line="500" w:lineRule="exact"/>
        <w:ind w:firstLine="422" w:firstLineChars="200"/>
        <w:jc w:val="both"/>
        <w:textAlignment w:val="auto"/>
        <w:rPr>
          <w:rFonts w:hAnsi="宋体" w:cs="宋体"/>
          <w:b/>
          <w:color w:val="auto"/>
          <w:sz w:val="21"/>
          <w:szCs w:val="21"/>
          <w:highlight w:val="none"/>
        </w:rPr>
      </w:pPr>
      <w:r>
        <w:rPr>
          <w:rFonts w:hint="eastAsia" w:hAnsi="宋体" w:cs="宋体"/>
          <w:b/>
          <w:color w:val="auto"/>
          <w:sz w:val="21"/>
          <w:szCs w:val="21"/>
          <w:highlight w:val="none"/>
        </w:rPr>
        <w:t>（五）磋商响应文件的有效期</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★1.自磋商响应文件递交截止日起90天磋商响应文件应保持有效。有效期不足的磋商响应文件将被拒绝。</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2.在特殊情况下，磋商采购单位可与供应商协商延长磋商响应文件的有效期，这种要求和答复均以书面形式进行。</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 xml:space="preserve">3.响应供应商可拒绝接受延期要求。同意延长有效期的供应商不能以此为由修改磋商响应文件。 </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4.成交供应商的磋商响应文件自磋商之日起至合同履行完毕止均应保持有效。</w:t>
      </w:r>
    </w:p>
    <w:p>
      <w:pPr>
        <w:autoSpaceDE/>
        <w:autoSpaceDN/>
        <w:adjustRightInd/>
        <w:spacing w:line="500" w:lineRule="exact"/>
        <w:ind w:firstLine="316" w:firstLineChars="150"/>
        <w:jc w:val="both"/>
        <w:textAlignment w:val="auto"/>
        <w:rPr>
          <w:rFonts w:hAnsi="宋体" w:cs="宋体"/>
          <w:b/>
          <w:color w:val="auto"/>
          <w:sz w:val="21"/>
          <w:szCs w:val="21"/>
          <w:highlight w:val="none"/>
        </w:rPr>
      </w:pPr>
      <w:r>
        <w:rPr>
          <w:rFonts w:hint="eastAsia" w:hAnsi="宋体" w:cs="宋体"/>
          <w:b/>
          <w:color w:val="auto"/>
          <w:sz w:val="21"/>
          <w:szCs w:val="21"/>
          <w:highlight w:val="none"/>
        </w:rPr>
        <w:t>（六）磋商响应文件的签署和份数</w:t>
      </w:r>
    </w:p>
    <w:p>
      <w:pPr>
        <w:widowControl/>
        <w:snapToGrid w:val="0"/>
        <w:spacing w:line="460" w:lineRule="exact"/>
        <w:ind w:firstLine="420"/>
        <w:rPr>
          <w:rFonts w:hAnsi="宋体" w:cs="宋体"/>
          <w:color w:val="auto"/>
          <w:sz w:val="21"/>
          <w:highlight w:val="none"/>
        </w:rPr>
      </w:pPr>
      <w:r>
        <w:rPr>
          <w:rFonts w:hint="eastAsia" w:hAnsi="宋体" w:cs="宋体"/>
          <w:color w:val="auto"/>
          <w:sz w:val="21"/>
          <w:szCs w:val="24"/>
          <w:highlight w:val="none"/>
        </w:rPr>
        <w:t>1.</w:t>
      </w:r>
      <w:r>
        <w:rPr>
          <w:rFonts w:hint="eastAsia" w:hAnsi="宋体" w:cs="宋体"/>
          <w:color w:val="auto"/>
          <w:sz w:val="21"/>
          <w:highlight w:val="none"/>
        </w:rPr>
        <w:t>电子</w:t>
      </w:r>
      <w:r>
        <w:rPr>
          <w:rFonts w:hint="eastAsia" w:hAnsi="宋体" w:cs="宋体"/>
          <w:color w:val="auto"/>
          <w:sz w:val="21"/>
          <w:szCs w:val="21"/>
          <w:highlight w:val="none"/>
        </w:rPr>
        <w:t>磋商响应文件（投标文件）</w:t>
      </w:r>
      <w:r>
        <w:rPr>
          <w:rFonts w:hint="eastAsia" w:hAnsi="宋体" w:cs="宋体"/>
          <w:color w:val="auto"/>
          <w:sz w:val="21"/>
          <w:highlight w:val="none"/>
        </w:rPr>
        <w:t>部分：</w:t>
      </w:r>
    </w:p>
    <w:p>
      <w:pPr>
        <w:widowControl/>
        <w:snapToGrid w:val="0"/>
        <w:spacing w:line="460" w:lineRule="exact"/>
        <w:ind w:firstLine="420"/>
        <w:rPr>
          <w:rFonts w:hAnsi="宋体" w:cs="宋体"/>
          <w:color w:val="auto"/>
          <w:sz w:val="21"/>
          <w:highlight w:val="none"/>
        </w:rPr>
      </w:pPr>
      <w:r>
        <w:rPr>
          <w:rFonts w:hint="eastAsia" w:hAnsi="宋体" w:cs="宋体"/>
          <w:color w:val="auto"/>
          <w:sz w:val="21"/>
          <w:highlight w:val="none"/>
        </w:rPr>
        <w:t>供应商应根据“政采云供应商项目采购-电子交易操作指南”及本采购文件规定的格式和顺序编制电子投标文件并进行关联定位。</w:t>
      </w:r>
    </w:p>
    <w:p>
      <w:pPr>
        <w:autoSpaceDE/>
        <w:autoSpaceDN/>
        <w:adjustRightInd/>
        <w:spacing w:line="500" w:lineRule="exact"/>
        <w:ind w:firstLine="316" w:firstLineChars="150"/>
        <w:jc w:val="both"/>
        <w:textAlignment w:val="auto"/>
        <w:rPr>
          <w:rFonts w:hAnsi="宋体" w:cs="宋体"/>
          <w:b/>
          <w:color w:val="auto"/>
          <w:sz w:val="21"/>
          <w:szCs w:val="21"/>
          <w:highlight w:val="none"/>
        </w:rPr>
      </w:pPr>
      <w:r>
        <w:rPr>
          <w:rFonts w:hint="eastAsia" w:hAnsi="宋体" w:cs="宋体"/>
          <w:b/>
          <w:color w:val="auto"/>
          <w:sz w:val="21"/>
          <w:szCs w:val="21"/>
          <w:highlight w:val="none"/>
        </w:rPr>
        <w:t>（七）磋商响应文件（投标文件）的包装、递交、修改和撤回</w:t>
      </w:r>
    </w:p>
    <w:p>
      <w:pPr>
        <w:widowControl/>
        <w:autoSpaceDE/>
        <w:autoSpaceDN/>
        <w:adjustRightInd/>
        <w:snapToGrid w:val="0"/>
        <w:spacing w:line="460" w:lineRule="exact"/>
        <w:ind w:firstLine="420"/>
        <w:jc w:val="both"/>
        <w:textAlignment w:val="auto"/>
        <w:rPr>
          <w:rFonts w:hAnsi="宋体" w:cs="宋体"/>
          <w:b/>
          <w:bCs/>
          <w:color w:val="auto"/>
          <w:sz w:val="21"/>
          <w:szCs w:val="21"/>
          <w:highlight w:val="none"/>
        </w:rPr>
      </w:pPr>
      <w:r>
        <w:rPr>
          <w:rFonts w:hint="eastAsia" w:hAnsi="宋体" w:cs="宋体"/>
          <w:b/>
          <w:bCs/>
          <w:color w:val="auto"/>
          <w:sz w:val="21"/>
          <w:szCs w:val="21"/>
          <w:highlight w:val="none"/>
        </w:rPr>
        <w:t>1．供应商应当在投标截止时间前在“政采云”（</w:t>
      </w:r>
      <w:r>
        <w:rPr>
          <w:rFonts w:hint="eastAsia" w:hAnsi="宋体" w:cs="宋体"/>
          <w:color w:val="auto"/>
          <w:sz w:val="21"/>
          <w:szCs w:val="21"/>
          <w:highlight w:val="none"/>
          <w:shd w:val="clear" w:color="auto" w:fill="FFFFFF"/>
        </w:rPr>
        <w:t xml:space="preserve"> 电子交易客户端</w:t>
      </w:r>
      <w:r>
        <w:rPr>
          <w:rFonts w:hint="eastAsia" w:hAnsi="宋体" w:cs="宋体"/>
          <w:b/>
          <w:bCs/>
          <w:color w:val="auto"/>
          <w:sz w:val="21"/>
          <w:szCs w:val="21"/>
          <w:highlight w:val="none"/>
        </w:rPr>
        <w:t>）上自行上传加密的电子投标文件。</w:t>
      </w:r>
    </w:p>
    <w:p>
      <w:pPr>
        <w:autoSpaceDE/>
        <w:autoSpaceDN/>
        <w:adjustRightInd/>
        <w:spacing w:line="46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 供应商未在“政采云”（</w:t>
      </w:r>
      <w:r>
        <w:rPr>
          <w:rFonts w:hint="eastAsia" w:hAnsi="宋体" w:cs="宋体"/>
          <w:color w:val="auto"/>
          <w:sz w:val="21"/>
          <w:szCs w:val="21"/>
          <w:highlight w:val="none"/>
          <w:shd w:val="clear" w:color="auto" w:fill="FFFFFF"/>
        </w:rPr>
        <w:t xml:space="preserve"> 电子交易客户端</w:t>
      </w:r>
      <w:r>
        <w:rPr>
          <w:rFonts w:hint="eastAsia" w:hAnsi="宋体" w:cs="宋体"/>
          <w:color w:val="auto"/>
          <w:sz w:val="21"/>
          <w:szCs w:val="21"/>
          <w:highlight w:val="none"/>
        </w:rPr>
        <w:t>）上自行上传加密的电子投标文件的，投标无效。</w:t>
      </w:r>
    </w:p>
    <w:p>
      <w:pPr>
        <w:autoSpaceDE/>
        <w:autoSpaceDN/>
        <w:adjustRightInd/>
        <w:spacing w:line="500" w:lineRule="exact"/>
        <w:ind w:firstLine="422" w:firstLineChars="200"/>
        <w:jc w:val="both"/>
        <w:textAlignment w:val="auto"/>
        <w:rPr>
          <w:rFonts w:hAnsi="宋体" w:cs="宋体"/>
          <w:b/>
          <w:bCs/>
          <w:color w:val="auto"/>
          <w:sz w:val="21"/>
          <w:szCs w:val="21"/>
          <w:highlight w:val="none"/>
        </w:rPr>
      </w:pPr>
      <w:r>
        <w:rPr>
          <w:rFonts w:hint="eastAsia" w:hAnsi="宋体" w:cs="宋体"/>
          <w:b/>
          <w:bCs/>
          <w:color w:val="auto"/>
          <w:sz w:val="21"/>
          <w:szCs w:val="21"/>
          <w:highlight w:val="none"/>
        </w:rPr>
        <w:t>3. 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4.截止开标时间，政采云（</w:t>
      </w:r>
      <w:r>
        <w:rPr>
          <w:rFonts w:hint="eastAsia" w:hAnsi="宋体" w:cs="宋体"/>
          <w:color w:val="auto"/>
          <w:sz w:val="21"/>
          <w:szCs w:val="21"/>
          <w:highlight w:val="none"/>
          <w:shd w:val="clear" w:color="auto" w:fill="FFFFFF"/>
        </w:rPr>
        <w:t>电子交易客户端</w:t>
      </w:r>
      <w:r>
        <w:rPr>
          <w:rFonts w:hint="eastAsia" w:hAnsi="宋体" w:cs="宋体"/>
          <w:color w:val="auto"/>
          <w:sz w:val="21"/>
          <w:szCs w:val="21"/>
          <w:highlight w:val="none"/>
        </w:rPr>
        <w:t>）自动提取所有投标文件，供应商须在解密时限内完成解密，解密时限由财政部门设置，供应商在规定的时间内都已解密完成，则系统自动结束解密，采购代理机构开启投标文件；供应商超过解密时限的，系统默认自动放弃。</w:t>
      </w:r>
    </w:p>
    <w:p>
      <w:pPr>
        <w:autoSpaceDE/>
        <w:autoSpaceDN/>
        <w:adjustRightInd/>
        <w:spacing w:line="500" w:lineRule="exact"/>
        <w:ind w:firstLine="211" w:firstLineChars="100"/>
        <w:jc w:val="both"/>
        <w:textAlignment w:val="auto"/>
        <w:rPr>
          <w:rFonts w:hAnsi="宋体" w:cs="宋体"/>
          <w:b/>
          <w:color w:val="auto"/>
          <w:sz w:val="21"/>
          <w:szCs w:val="21"/>
          <w:highlight w:val="none"/>
        </w:rPr>
      </w:pPr>
      <w:r>
        <w:rPr>
          <w:rFonts w:hint="eastAsia" w:hAnsi="宋体" w:cs="宋体"/>
          <w:b/>
          <w:color w:val="auto"/>
          <w:sz w:val="21"/>
          <w:szCs w:val="21"/>
          <w:highlight w:val="none"/>
        </w:rPr>
        <w:t>（八）磋商响应文件无效的情形</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实质上没有响应磋商采购文件要求的磋商响应文件将被视为无效。响应供应商不得通过修正或撤销不合要求的偏离或保留从而使其磋商响应文件成为实质上响应采购人的需求，但经磋商小组认定属于响应供应商疏忽、笔误所造成的差错，应当允许其在磋商结束之前进行修改或者补正（可以是复印件、传真件等，原件必须加盖单位公章）。修改或者补正磋商响应文件必须以书面形式进行，并应在成交结果公告之前查核原件。限期内不补正或经补正后仍不符合磋商采购文件要求的，应认定其为无效。响应供应商修改、补正磋商响应文件后，不影响磋商小组对其磋商响应文件所做的评价和评分结果。</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1.在符合性审查和商务评审时，如发现下列情形之一的，磋商响应文件将被视为无效：</w:t>
      </w:r>
    </w:p>
    <w:p>
      <w:pPr>
        <w:autoSpaceDE/>
        <w:autoSpaceDN/>
        <w:adjustRightInd/>
        <w:spacing w:line="500" w:lineRule="exact"/>
        <w:ind w:firstLine="315" w:firstLineChars="150"/>
        <w:jc w:val="both"/>
        <w:textAlignment w:val="auto"/>
        <w:rPr>
          <w:rFonts w:hAnsi="宋体" w:cs="宋体"/>
          <w:color w:val="auto"/>
          <w:sz w:val="21"/>
          <w:szCs w:val="21"/>
          <w:highlight w:val="none"/>
        </w:rPr>
      </w:pPr>
      <w:r>
        <w:rPr>
          <w:rFonts w:hint="eastAsia" w:hAnsi="宋体" w:cs="宋体"/>
          <w:color w:val="auto"/>
          <w:sz w:val="21"/>
          <w:szCs w:val="21"/>
          <w:highlight w:val="none"/>
        </w:rPr>
        <w:t>（1）资格证明文件不全的，或者不符合磋商采购文件标明的资格要求的；</w:t>
      </w:r>
    </w:p>
    <w:p>
      <w:pPr>
        <w:autoSpaceDE/>
        <w:autoSpaceDN/>
        <w:adjustRightInd/>
        <w:spacing w:line="500" w:lineRule="exact"/>
        <w:ind w:firstLine="315" w:firstLineChars="150"/>
        <w:jc w:val="both"/>
        <w:textAlignment w:val="auto"/>
        <w:rPr>
          <w:rFonts w:hAnsi="宋体" w:cs="宋体"/>
          <w:color w:val="auto"/>
          <w:sz w:val="21"/>
          <w:szCs w:val="21"/>
          <w:highlight w:val="none"/>
        </w:rPr>
      </w:pPr>
      <w:r>
        <w:rPr>
          <w:rFonts w:hint="eastAsia" w:hAnsi="宋体" w:cs="宋体"/>
          <w:color w:val="auto"/>
          <w:sz w:val="21"/>
          <w:szCs w:val="21"/>
          <w:highlight w:val="none"/>
        </w:rPr>
        <w:t>（2）磋商响应文件无法定代表人（或单位负责人）或其授权委托人签字,或未提供法定代表人授权委托书或者填写项目不齐全的；</w:t>
      </w:r>
    </w:p>
    <w:p>
      <w:pPr>
        <w:autoSpaceDE/>
        <w:autoSpaceDN/>
        <w:adjustRightInd/>
        <w:spacing w:line="500" w:lineRule="exact"/>
        <w:ind w:firstLine="315" w:firstLineChars="150"/>
        <w:jc w:val="both"/>
        <w:textAlignment w:val="auto"/>
        <w:rPr>
          <w:rFonts w:hAnsi="宋体" w:cs="宋体"/>
          <w:color w:val="auto"/>
          <w:sz w:val="21"/>
          <w:szCs w:val="21"/>
          <w:highlight w:val="none"/>
        </w:rPr>
      </w:pPr>
      <w:r>
        <w:rPr>
          <w:rFonts w:hint="eastAsia" w:hAnsi="宋体" w:cs="宋体"/>
          <w:color w:val="auto"/>
          <w:sz w:val="21"/>
          <w:szCs w:val="21"/>
          <w:highlight w:val="none"/>
        </w:rPr>
        <w:t>（3）授权代表人未能出具身份证明或与法定代表人（或单位负责人）授权委托人身份不符的；</w:t>
      </w:r>
    </w:p>
    <w:p>
      <w:pPr>
        <w:autoSpaceDE/>
        <w:autoSpaceDN/>
        <w:adjustRightInd/>
        <w:spacing w:line="500" w:lineRule="exact"/>
        <w:ind w:firstLine="315" w:firstLineChars="150"/>
        <w:jc w:val="both"/>
        <w:textAlignment w:val="auto"/>
        <w:rPr>
          <w:rFonts w:hAnsi="宋体" w:cs="宋体"/>
          <w:color w:val="auto"/>
          <w:sz w:val="21"/>
          <w:szCs w:val="21"/>
          <w:highlight w:val="none"/>
        </w:rPr>
      </w:pPr>
      <w:r>
        <w:rPr>
          <w:rFonts w:hint="eastAsia" w:hAnsi="宋体" w:cs="宋体"/>
          <w:color w:val="auto"/>
          <w:sz w:val="21"/>
          <w:szCs w:val="21"/>
          <w:highlight w:val="none"/>
        </w:rPr>
        <w:t>（4）磋商响应文件格式不规范、项目不齐全或者内容虚假的；</w:t>
      </w:r>
    </w:p>
    <w:p>
      <w:pPr>
        <w:autoSpaceDE/>
        <w:autoSpaceDN/>
        <w:adjustRightInd/>
        <w:spacing w:line="500" w:lineRule="exact"/>
        <w:ind w:firstLine="315" w:firstLineChars="150"/>
        <w:jc w:val="both"/>
        <w:textAlignment w:val="auto"/>
        <w:rPr>
          <w:rFonts w:hAnsi="宋体" w:cs="宋体"/>
          <w:color w:val="auto"/>
          <w:sz w:val="21"/>
          <w:szCs w:val="21"/>
          <w:highlight w:val="none"/>
        </w:rPr>
      </w:pPr>
      <w:r>
        <w:rPr>
          <w:rFonts w:hint="eastAsia" w:hAnsi="宋体" w:cs="宋体"/>
          <w:color w:val="auto"/>
          <w:sz w:val="21"/>
          <w:szCs w:val="21"/>
          <w:highlight w:val="none"/>
        </w:rPr>
        <w:t>（5）磋商响应文件的实质性内容未使用中文表述、意思表述不明确、前后矛盾或者使用计量单位不符合磋商采购文件要求的（经磋商小组认定并允许其当场更正的笔误除外）；</w:t>
      </w:r>
    </w:p>
    <w:p>
      <w:pPr>
        <w:autoSpaceDE/>
        <w:autoSpaceDN/>
        <w:adjustRightInd/>
        <w:spacing w:line="500" w:lineRule="exact"/>
        <w:ind w:firstLine="315" w:firstLineChars="150"/>
        <w:jc w:val="both"/>
        <w:textAlignment w:val="auto"/>
        <w:rPr>
          <w:rFonts w:hAnsi="宋体" w:cs="宋体"/>
          <w:color w:val="auto"/>
          <w:sz w:val="21"/>
          <w:szCs w:val="21"/>
          <w:highlight w:val="none"/>
        </w:rPr>
      </w:pPr>
      <w:r>
        <w:rPr>
          <w:rFonts w:hint="eastAsia" w:hAnsi="宋体" w:cs="宋体"/>
          <w:color w:val="auto"/>
          <w:sz w:val="21"/>
          <w:szCs w:val="21"/>
          <w:highlight w:val="none"/>
        </w:rPr>
        <w:t>（6）磋商响应文件有效期、服务期、付款方式不符合磋商采购文件中规定的实质性要求的；</w:t>
      </w:r>
    </w:p>
    <w:p>
      <w:pPr>
        <w:autoSpaceDE/>
        <w:autoSpaceDN/>
        <w:adjustRightInd/>
        <w:spacing w:line="500" w:lineRule="exact"/>
        <w:ind w:firstLine="315" w:firstLineChars="150"/>
        <w:jc w:val="both"/>
        <w:textAlignment w:val="auto"/>
        <w:rPr>
          <w:rFonts w:hAnsi="宋体" w:cs="宋体"/>
          <w:color w:val="auto"/>
          <w:sz w:val="21"/>
          <w:szCs w:val="21"/>
          <w:highlight w:val="none"/>
        </w:rPr>
      </w:pPr>
      <w:r>
        <w:rPr>
          <w:rFonts w:hint="eastAsia" w:hAnsi="宋体" w:cs="宋体"/>
          <w:color w:val="auto"/>
          <w:sz w:val="21"/>
          <w:szCs w:val="21"/>
          <w:highlight w:val="none"/>
        </w:rPr>
        <w:t>（7）未实质性响应磋商采购文件要求或者磋商响应文件有采购人不能接受的附加条件的。</w:t>
      </w:r>
    </w:p>
    <w:p>
      <w:pPr>
        <w:autoSpaceDE/>
        <w:autoSpaceDN/>
        <w:adjustRightInd/>
        <w:spacing w:line="500" w:lineRule="exact"/>
        <w:ind w:firstLine="315" w:firstLineChars="150"/>
        <w:jc w:val="both"/>
        <w:textAlignment w:val="auto"/>
        <w:rPr>
          <w:rFonts w:hAnsi="宋体" w:cs="宋体"/>
          <w:color w:val="auto"/>
          <w:sz w:val="21"/>
          <w:szCs w:val="21"/>
          <w:highlight w:val="none"/>
        </w:rPr>
      </w:pPr>
      <w:r>
        <w:rPr>
          <w:rFonts w:hint="eastAsia" w:hAnsi="宋体" w:cs="宋体"/>
          <w:color w:val="auto"/>
          <w:sz w:val="21"/>
          <w:szCs w:val="21"/>
          <w:highlight w:val="none"/>
        </w:rPr>
        <w:t>2.在技术评审时，如发现下列情形之一的，磋商响应文件将被视为无效：</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（1）不符合法律、法规和磋商采购文件中规定的其他实质性要求的（磋商小组一致认定）的；</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（2）明显不符合采购文件要求的服务要求、服务质量标准，或者与采购文件中标“★”的服务要求发生实质性偏离且未经磋商小组及采购人代表确认的；</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（3）技术方案不明确，存在一个或一个以上备选（替代）方案的；</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（4）与其他参加本次磋商的响应供应商的磋商响应文件（技术文件）的文字表述内容相同连续20行以上或者差错相同2处以上的。</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（5）提供不真实材料的；</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（6）法律、法规、规章等规定的其他情形。</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3.在报价评审时，如发现下列情形之一的，磋商响应文件将被视为无效：</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（1）未采用人民币报价或者未按照磋商采购文件标明的报价方式报价的；</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（2）报价超出最高限价，采购人不能支付的；</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（3）报价明显低于其他通过符合性审查供应商的报价，供应商不能证明其报价合理性的，磋商小组将其作为无效报价处理的。</w:t>
      </w:r>
    </w:p>
    <w:p>
      <w:pPr>
        <w:autoSpaceDE/>
        <w:autoSpaceDN/>
        <w:adjustRightInd/>
        <w:snapToGrid w:val="0"/>
        <w:spacing w:line="500" w:lineRule="exact"/>
        <w:ind w:firstLine="420"/>
        <w:rPr>
          <w:rFonts w:hAnsi="宋体" w:cs="宋体"/>
          <w:color w:val="auto"/>
          <w:sz w:val="21"/>
          <w:highlight w:val="none"/>
        </w:rPr>
      </w:pPr>
      <w:r>
        <w:rPr>
          <w:rFonts w:hint="eastAsia" w:hAnsi="宋体" w:cs="宋体"/>
          <w:color w:val="auto"/>
          <w:sz w:val="21"/>
          <w:highlight w:val="none"/>
        </w:rPr>
        <w:t>4.有下列情形之一的，视为投标人串通投标，其投标无效：</w:t>
      </w:r>
    </w:p>
    <w:p>
      <w:pPr>
        <w:autoSpaceDE/>
        <w:autoSpaceDN/>
        <w:adjustRightInd/>
        <w:snapToGrid w:val="0"/>
        <w:spacing w:line="500" w:lineRule="exact"/>
        <w:ind w:firstLine="420"/>
        <w:rPr>
          <w:rFonts w:hAnsi="宋体" w:cs="宋体"/>
          <w:color w:val="auto"/>
          <w:sz w:val="21"/>
          <w:highlight w:val="none"/>
        </w:rPr>
      </w:pPr>
      <w:r>
        <w:rPr>
          <w:rFonts w:hint="eastAsia" w:hAnsi="宋体" w:cs="宋体"/>
          <w:color w:val="auto"/>
          <w:sz w:val="21"/>
          <w:highlight w:val="none"/>
        </w:rPr>
        <w:t>（1）不同投标人的投标文件由同一单位或者个人编制（同一IP地址上传投标、响应文件）；</w:t>
      </w:r>
    </w:p>
    <w:p>
      <w:pPr>
        <w:autoSpaceDE/>
        <w:autoSpaceDN/>
        <w:adjustRightInd/>
        <w:snapToGrid w:val="0"/>
        <w:spacing w:line="500" w:lineRule="exact"/>
        <w:ind w:firstLine="420"/>
        <w:rPr>
          <w:rFonts w:hAnsi="宋体" w:cs="宋体"/>
          <w:color w:val="auto"/>
          <w:sz w:val="21"/>
          <w:highlight w:val="none"/>
        </w:rPr>
      </w:pPr>
      <w:r>
        <w:rPr>
          <w:rFonts w:hint="eastAsia" w:hAnsi="宋体" w:cs="宋体"/>
          <w:color w:val="auto"/>
          <w:sz w:val="21"/>
          <w:highlight w:val="none"/>
        </w:rPr>
        <w:t>（2）不同投标人委托同一单位或者个人办理投标事宜；</w:t>
      </w:r>
    </w:p>
    <w:p>
      <w:pPr>
        <w:autoSpaceDE/>
        <w:autoSpaceDN/>
        <w:adjustRightInd/>
        <w:snapToGrid w:val="0"/>
        <w:spacing w:line="500" w:lineRule="exact"/>
        <w:ind w:firstLine="420"/>
        <w:rPr>
          <w:rFonts w:hAnsi="宋体" w:cs="宋体"/>
          <w:color w:val="auto"/>
          <w:sz w:val="21"/>
          <w:highlight w:val="none"/>
        </w:rPr>
      </w:pPr>
      <w:r>
        <w:rPr>
          <w:rFonts w:hint="eastAsia" w:hAnsi="宋体" w:cs="宋体"/>
          <w:color w:val="auto"/>
          <w:sz w:val="21"/>
          <w:highlight w:val="none"/>
        </w:rPr>
        <w:t>（3）不同投标人的投标文件载明的项目管理成员或者联系人员为同一人；</w:t>
      </w:r>
    </w:p>
    <w:p>
      <w:pPr>
        <w:autoSpaceDE/>
        <w:autoSpaceDN/>
        <w:adjustRightInd/>
        <w:snapToGrid w:val="0"/>
        <w:spacing w:line="500" w:lineRule="exact"/>
        <w:ind w:firstLine="420"/>
        <w:rPr>
          <w:rFonts w:hAnsi="宋体" w:cs="宋体"/>
          <w:color w:val="auto"/>
          <w:sz w:val="21"/>
          <w:highlight w:val="none"/>
        </w:rPr>
      </w:pPr>
      <w:r>
        <w:rPr>
          <w:rFonts w:hint="eastAsia" w:hAnsi="宋体" w:cs="宋体"/>
          <w:color w:val="auto"/>
          <w:sz w:val="21"/>
          <w:highlight w:val="none"/>
        </w:rPr>
        <w:t>（4）不同投标人的投标文件异常一致或者投标报价呈规律性差异；</w:t>
      </w:r>
    </w:p>
    <w:p>
      <w:pPr>
        <w:autoSpaceDE/>
        <w:autoSpaceDN/>
        <w:adjustRightInd/>
        <w:snapToGrid w:val="0"/>
        <w:spacing w:line="500" w:lineRule="exact"/>
        <w:ind w:firstLine="420"/>
        <w:rPr>
          <w:rFonts w:hAnsi="宋体" w:cs="宋体"/>
          <w:color w:val="auto"/>
          <w:sz w:val="21"/>
          <w:highlight w:val="none"/>
        </w:rPr>
      </w:pPr>
      <w:r>
        <w:rPr>
          <w:rFonts w:hint="eastAsia" w:hAnsi="宋体" w:cs="宋体"/>
          <w:color w:val="auto"/>
          <w:sz w:val="21"/>
          <w:highlight w:val="none"/>
        </w:rPr>
        <w:t>（5）不同投标人的投标文件相互混装。</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5.被拒绝的磋商响应文件为无效磋商响应文件。</w:t>
      </w:r>
    </w:p>
    <w:p>
      <w:pPr>
        <w:autoSpaceDE/>
        <w:autoSpaceDN/>
        <w:adjustRightInd/>
        <w:spacing w:line="480" w:lineRule="exact"/>
        <w:ind w:firstLine="316" w:firstLineChars="150"/>
        <w:jc w:val="both"/>
        <w:textAlignment w:val="auto"/>
        <w:rPr>
          <w:rFonts w:cs="宋体"/>
          <w:b/>
          <w:color w:val="auto"/>
          <w:sz w:val="21"/>
          <w:szCs w:val="21"/>
          <w:highlight w:val="none"/>
        </w:rPr>
      </w:pPr>
      <w:r>
        <w:rPr>
          <w:rFonts w:hint="eastAsia" w:cs="宋体"/>
          <w:b/>
          <w:color w:val="auto"/>
          <w:sz w:val="21"/>
          <w:szCs w:val="21"/>
          <w:highlight w:val="none"/>
        </w:rPr>
        <w:t>四、磋商流程</w:t>
      </w:r>
    </w:p>
    <w:p>
      <w:pPr>
        <w:autoSpaceDE/>
        <w:autoSpaceDN/>
        <w:adjustRightInd/>
        <w:spacing w:line="500" w:lineRule="exact"/>
        <w:ind w:firstLine="315" w:firstLineChars="150"/>
        <w:jc w:val="both"/>
        <w:textAlignment w:val="auto"/>
        <w:rPr>
          <w:rFonts w:hAnsi="宋体" w:cs="宋体"/>
          <w:color w:val="auto"/>
          <w:sz w:val="21"/>
          <w:szCs w:val="21"/>
          <w:highlight w:val="none"/>
        </w:rPr>
      </w:pPr>
      <w:r>
        <w:rPr>
          <w:rFonts w:hint="eastAsia" w:hAnsi="宋体" w:cs="宋体"/>
          <w:color w:val="auto"/>
          <w:sz w:val="21"/>
          <w:szCs w:val="21"/>
          <w:highlight w:val="none"/>
        </w:rPr>
        <w:t>（一）磋商准备</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采购代理机构将在规定的时间和地点举行磋商会议，响应供应商的法定代表人（或单位负责人）或其授权代表应参加磋商会议并签到。响应供应商的法定代表人（或单位负责人）或其授权代表未按时签到的，视同放弃磋商活动的监督权利、认可磋商结果。</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（二）磋商程序</w:t>
      </w:r>
    </w:p>
    <w:p>
      <w:pPr>
        <w:autoSpaceDE/>
        <w:autoSpaceDN/>
        <w:adjustRightInd/>
        <w:spacing w:line="500" w:lineRule="exact"/>
        <w:ind w:firstLine="525" w:firstLineChars="250"/>
        <w:jc w:val="both"/>
        <w:textAlignment w:val="auto"/>
        <w:rPr>
          <w:rFonts w:hAnsi="宋体" w:cs="宋体"/>
          <w:color w:val="auto"/>
          <w:sz w:val="21"/>
          <w:szCs w:val="21"/>
          <w:highlight w:val="none"/>
        </w:rPr>
      </w:pPr>
      <w:r>
        <w:rPr>
          <w:rFonts w:hint="eastAsia" w:hAnsi="宋体" w:cs="宋体"/>
          <w:color w:val="auto"/>
          <w:sz w:val="21"/>
          <w:szCs w:val="21"/>
          <w:highlight w:val="none"/>
        </w:rPr>
        <w:t>1.磋商会议由采购代理机构主持，主持人宣布磋商会议开始；</w:t>
      </w:r>
    </w:p>
    <w:p>
      <w:pPr>
        <w:autoSpaceDE/>
        <w:autoSpaceDN/>
        <w:adjustRightInd/>
        <w:spacing w:line="500" w:lineRule="exact"/>
        <w:ind w:firstLine="525" w:firstLineChars="250"/>
        <w:jc w:val="both"/>
        <w:textAlignment w:val="auto"/>
        <w:rPr>
          <w:rFonts w:hAnsi="宋体" w:cs="宋体"/>
          <w:color w:val="auto"/>
          <w:sz w:val="21"/>
          <w:szCs w:val="21"/>
          <w:highlight w:val="none"/>
        </w:rPr>
      </w:pPr>
      <w:r>
        <w:rPr>
          <w:rFonts w:hint="eastAsia" w:hAnsi="宋体" w:cs="宋体"/>
          <w:color w:val="auto"/>
          <w:sz w:val="21"/>
          <w:szCs w:val="21"/>
          <w:highlight w:val="none"/>
        </w:rPr>
        <w:t>2.在开标后投标供应商登录“政采云”平台，用“项目采购-开标评标”功能进行解密（磋商响应文件）投标文件。若投标供应商在规定时间内无法解密或解密失败的，视为投标文件撤回。</w:t>
      </w:r>
    </w:p>
    <w:p>
      <w:pPr>
        <w:autoSpaceDE/>
        <w:autoSpaceDN/>
        <w:adjustRightInd/>
        <w:spacing w:line="500" w:lineRule="exact"/>
        <w:ind w:firstLine="525" w:firstLineChars="250"/>
        <w:jc w:val="both"/>
        <w:textAlignment w:val="auto"/>
        <w:rPr>
          <w:rFonts w:hAnsi="宋体" w:cs="宋体"/>
          <w:bCs/>
          <w:color w:val="auto"/>
          <w:sz w:val="21"/>
          <w:szCs w:val="21"/>
          <w:highlight w:val="none"/>
        </w:rPr>
      </w:pPr>
      <w:r>
        <w:rPr>
          <w:rFonts w:hint="eastAsia" w:hAnsi="宋体" w:cs="宋体"/>
          <w:color w:val="auto"/>
          <w:sz w:val="21"/>
          <w:szCs w:val="21"/>
          <w:highlight w:val="none"/>
        </w:rPr>
        <w:t>3.采购人或采购代理机构先对供应商的资格进行审查，如磋商小组对响应文件有疑问，对供应商进行在线询标，供应商须在澄清截止时间前上传澄清函，若在澄清截止时间前未进行有效澄清的，逾期将不再接受澄清。资格审查不合格的供应商不再进入</w:t>
      </w:r>
      <w:r>
        <w:rPr>
          <w:rFonts w:hint="eastAsia" w:hAnsi="宋体" w:cs="宋体"/>
          <w:bCs/>
          <w:color w:val="auto"/>
          <w:sz w:val="21"/>
          <w:szCs w:val="21"/>
          <w:highlight w:val="none"/>
        </w:rPr>
        <w:t>商务技术文件和报价文件的评审。</w:t>
      </w:r>
    </w:p>
    <w:p>
      <w:pPr>
        <w:autoSpaceDE/>
        <w:autoSpaceDN/>
        <w:adjustRightInd/>
        <w:spacing w:line="500" w:lineRule="exact"/>
        <w:ind w:firstLine="525" w:firstLineChars="250"/>
        <w:jc w:val="both"/>
        <w:textAlignment w:val="auto"/>
        <w:rPr>
          <w:rFonts w:hAnsi="宋体" w:cs="宋体"/>
          <w:bCs/>
          <w:color w:val="auto"/>
          <w:sz w:val="21"/>
          <w:szCs w:val="21"/>
          <w:highlight w:val="none"/>
        </w:rPr>
      </w:pPr>
      <w:r>
        <w:rPr>
          <w:rFonts w:hint="eastAsia" w:hAnsi="宋体" w:cs="宋体"/>
          <w:bCs/>
          <w:color w:val="auto"/>
          <w:sz w:val="21"/>
          <w:szCs w:val="21"/>
          <w:highlight w:val="none"/>
        </w:rPr>
        <w:t>4. 磋商小组先对商务技术文件进行评审，如对磋商响应文件有疑问，对供应商进行在线询标，供应商须在发起的澄清截止时间前上传澄清函，若在发起的澄清截止时间前未进行有效澄清的，逾期将不再接受澄清。商务技术文件不合格的供应商不再进入报价文件评审。</w:t>
      </w:r>
    </w:p>
    <w:p>
      <w:pPr>
        <w:autoSpaceDE/>
        <w:autoSpaceDN/>
        <w:adjustRightInd/>
        <w:spacing w:line="500" w:lineRule="exact"/>
        <w:ind w:firstLine="525" w:firstLineChars="250"/>
        <w:jc w:val="both"/>
        <w:textAlignment w:val="auto"/>
        <w:rPr>
          <w:rFonts w:hAnsi="宋体" w:cs="宋体"/>
          <w:bCs/>
          <w:color w:val="auto"/>
          <w:sz w:val="21"/>
          <w:szCs w:val="21"/>
          <w:highlight w:val="none"/>
        </w:rPr>
      </w:pPr>
      <w:r>
        <w:rPr>
          <w:rFonts w:hint="eastAsia" w:hAnsi="宋体" w:cs="宋体"/>
          <w:bCs/>
          <w:color w:val="auto"/>
          <w:sz w:val="21"/>
          <w:szCs w:val="21"/>
          <w:highlight w:val="none"/>
        </w:rPr>
        <w:t>5. 商务技术文件评分结束后，然后在线开启报价文件，进行价格磋商，要求供应商提交最后报价。</w:t>
      </w:r>
    </w:p>
    <w:p>
      <w:pPr>
        <w:autoSpaceDE/>
        <w:autoSpaceDN/>
        <w:adjustRightInd/>
        <w:spacing w:line="500" w:lineRule="exact"/>
        <w:ind w:firstLine="525" w:firstLineChars="250"/>
        <w:jc w:val="both"/>
        <w:textAlignment w:val="auto"/>
        <w:rPr>
          <w:rFonts w:hAnsi="宋体" w:cs="宋体"/>
          <w:bCs/>
          <w:color w:val="auto"/>
          <w:sz w:val="21"/>
          <w:szCs w:val="21"/>
          <w:highlight w:val="none"/>
        </w:rPr>
      </w:pPr>
      <w:r>
        <w:rPr>
          <w:rFonts w:hint="eastAsia" w:hAnsi="宋体" w:cs="宋体"/>
          <w:bCs/>
          <w:color w:val="auto"/>
          <w:sz w:val="21"/>
          <w:szCs w:val="21"/>
          <w:highlight w:val="none"/>
        </w:rPr>
        <w:t>6.商务技术文件评审结果在线公布后，在线开启最后报价，并由评标委员会进行报价评审。</w:t>
      </w:r>
    </w:p>
    <w:p>
      <w:pPr>
        <w:autoSpaceDE/>
        <w:autoSpaceDN/>
        <w:adjustRightInd/>
        <w:spacing w:line="500" w:lineRule="exact"/>
        <w:ind w:firstLine="525" w:firstLineChars="250"/>
        <w:jc w:val="both"/>
        <w:textAlignment w:val="auto"/>
        <w:rPr>
          <w:rFonts w:hAnsi="宋体" w:cs="宋体"/>
          <w:bCs/>
          <w:color w:val="auto"/>
          <w:sz w:val="21"/>
          <w:szCs w:val="21"/>
          <w:highlight w:val="none"/>
        </w:rPr>
      </w:pPr>
      <w:r>
        <w:rPr>
          <w:rFonts w:hint="eastAsia" w:hAnsi="宋体" w:cs="宋体"/>
          <w:bCs/>
          <w:color w:val="auto"/>
          <w:sz w:val="21"/>
          <w:szCs w:val="21"/>
          <w:highlight w:val="none"/>
        </w:rPr>
        <w:t>7. 综合评审结果在线公布各供应商得分汇总，并在线提交（宣布）成交候选人。</w:t>
      </w:r>
    </w:p>
    <w:p>
      <w:pPr>
        <w:autoSpaceDE/>
        <w:autoSpaceDN/>
        <w:adjustRightInd/>
        <w:spacing w:line="500" w:lineRule="exact"/>
        <w:ind w:firstLine="525" w:firstLineChars="250"/>
        <w:jc w:val="both"/>
        <w:textAlignment w:val="auto"/>
        <w:rPr>
          <w:rFonts w:hAnsi="宋体" w:cs="宋体"/>
          <w:bCs/>
          <w:color w:val="auto"/>
          <w:sz w:val="21"/>
          <w:szCs w:val="21"/>
          <w:highlight w:val="none"/>
        </w:rPr>
      </w:pPr>
      <w:r>
        <w:rPr>
          <w:rFonts w:hint="eastAsia" w:hAnsi="宋体" w:cs="宋体"/>
          <w:bCs/>
          <w:color w:val="auto"/>
          <w:sz w:val="21"/>
          <w:szCs w:val="21"/>
          <w:highlight w:val="none"/>
        </w:rPr>
        <w:t>8. 评审结束后，代理机构宣布开标结束，并公布采购结果。</w:t>
      </w:r>
    </w:p>
    <w:p>
      <w:pPr>
        <w:autoSpaceDE/>
        <w:autoSpaceDN/>
        <w:adjustRightInd/>
        <w:spacing w:line="500" w:lineRule="exact"/>
        <w:ind w:firstLine="525" w:firstLineChars="250"/>
        <w:jc w:val="both"/>
        <w:textAlignment w:val="auto"/>
        <w:rPr>
          <w:rFonts w:hAnsi="宋体" w:cs="宋体"/>
          <w:bCs/>
          <w:color w:val="auto"/>
          <w:sz w:val="21"/>
          <w:szCs w:val="21"/>
          <w:highlight w:val="none"/>
        </w:rPr>
      </w:pPr>
      <w:r>
        <w:rPr>
          <w:rFonts w:hint="eastAsia" w:hAnsi="宋体" w:cs="宋体"/>
          <w:bCs/>
          <w:color w:val="auto"/>
          <w:sz w:val="21"/>
          <w:szCs w:val="21"/>
          <w:highlight w:val="none"/>
        </w:rPr>
        <w:t>注：政采云公司如对电子化开标及评审程序有调整的，按调整后的程序操作。</w:t>
      </w:r>
    </w:p>
    <w:p>
      <w:pPr>
        <w:autoSpaceDE/>
        <w:autoSpaceDN/>
        <w:adjustRightInd/>
        <w:spacing w:line="500" w:lineRule="exact"/>
        <w:ind w:firstLine="422" w:firstLineChars="200"/>
        <w:jc w:val="both"/>
        <w:textAlignment w:val="auto"/>
        <w:rPr>
          <w:rFonts w:hAnsi="宋体" w:cs="宋体"/>
          <w:b/>
          <w:color w:val="auto"/>
          <w:sz w:val="21"/>
          <w:szCs w:val="21"/>
          <w:highlight w:val="none"/>
        </w:rPr>
      </w:pPr>
      <w:r>
        <w:rPr>
          <w:rFonts w:hint="eastAsia" w:hAnsi="宋体" w:cs="宋体"/>
          <w:b/>
          <w:color w:val="auto"/>
          <w:sz w:val="21"/>
          <w:szCs w:val="21"/>
          <w:highlight w:val="none"/>
        </w:rPr>
        <w:t>五、磋商规则</w:t>
      </w:r>
    </w:p>
    <w:p>
      <w:pPr>
        <w:autoSpaceDE/>
        <w:autoSpaceDN/>
        <w:adjustRightInd/>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（一）组建磋商小组</w:t>
      </w:r>
    </w:p>
    <w:p>
      <w:pPr>
        <w:autoSpaceDE/>
        <w:autoSpaceDN/>
        <w:adjustRightInd/>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采购人和采购代理机构将根据本项目的特点依法组建磋商小组，磋商小组由磋商采购人和有关技术、经济等方面三名或以上单数的专家组成，其中技术、经济等方面的专家不少于成员总数的三分之二。专家统一在政府采购专家管理系统（政采云）的专家库中随机抽取。</w:t>
      </w:r>
    </w:p>
    <w:p>
      <w:pPr>
        <w:autoSpaceDE/>
        <w:autoSpaceDN/>
        <w:adjustRightInd/>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（二）磋商的方式</w:t>
      </w:r>
    </w:p>
    <w:p>
      <w:pPr>
        <w:autoSpaceDE/>
        <w:autoSpaceDN/>
        <w:adjustRightInd/>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本项目采用不公开方式磋商，磋商的依据为磋商采购文件和磋商响应文件。</w:t>
      </w:r>
    </w:p>
    <w:p>
      <w:pPr>
        <w:pStyle w:val="63"/>
        <w:adjustRightInd w:val="0"/>
        <w:snapToGrid w:val="0"/>
        <w:spacing w:before="0" w:line="500" w:lineRule="exact"/>
        <w:ind w:firstLine="422"/>
        <w:jc w:val="left"/>
        <w:rPr>
          <w:rFonts w:ascii="宋体" w:hAnsi="宋体" w:cs="宋体"/>
          <w:b/>
          <w:color w:val="auto"/>
          <w:sz w:val="21"/>
          <w:szCs w:val="21"/>
          <w:highlight w:val="none"/>
        </w:rPr>
      </w:pPr>
      <w:r>
        <w:rPr>
          <w:rFonts w:hint="eastAsia" w:ascii="宋体" w:hAnsi="宋体" w:cs="宋体"/>
          <w:b/>
          <w:color w:val="auto"/>
          <w:sz w:val="21"/>
          <w:szCs w:val="21"/>
          <w:highlight w:val="none"/>
        </w:rPr>
        <w:t>（三）磋商响应文件鉴定</w:t>
      </w:r>
    </w:p>
    <w:p>
      <w:pPr>
        <w:pStyle w:val="63"/>
        <w:adjustRightInd w:val="0"/>
        <w:snapToGrid w:val="0"/>
        <w:spacing w:before="0" w:line="500" w:lineRule="exact"/>
        <w:ind w:firstLine="420"/>
        <w:jc w:val="left"/>
        <w:rPr>
          <w:rFonts w:ascii="宋体" w:hAnsi="宋体" w:cs="宋体"/>
          <w:color w:val="auto"/>
          <w:sz w:val="21"/>
          <w:szCs w:val="21"/>
          <w:highlight w:val="none"/>
        </w:rPr>
      </w:pPr>
      <w:r>
        <w:rPr>
          <w:rFonts w:hint="eastAsia" w:ascii="宋体" w:hAnsi="宋体" w:cs="宋体"/>
          <w:color w:val="auto"/>
          <w:sz w:val="21"/>
          <w:szCs w:val="21"/>
          <w:highlight w:val="none"/>
        </w:rPr>
        <w:t>1.在磋商前，磋商小组对每份</w:t>
      </w:r>
      <w:r>
        <w:rPr>
          <w:rFonts w:hint="eastAsia" w:ascii="宋体" w:hAnsi="宋体" w:cs="宋体"/>
          <w:color w:val="auto"/>
          <w:sz w:val="21"/>
          <w:szCs w:val="21"/>
          <w:highlight w:val="none"/>
          <w:lang w:val="zh-CN"/>
        </w:rPr>
        <w:t>磋商响应文件</w:t>
      </w:r>
      <w:r>
        <w:rPr>
          <w:rFonts w:hint="eastAsia" w:ascii="宋体" w:hAnsi="宋体" w:cs="宋体"/>
          <w:color w:val="auto"/>
          <w:sz w:val="21"/>
          <w:szCs w:val="21"/>
          <w:highlight w:val="none"/>
        </w:rPr>
        <w:t>进行符合性等方面的预审，如</w:t>
      </w:r>
      <w:r>
        <w:rPr>
          <w:rFonts w:hint="eastAsia" w:ascii="宋体" w:hAnsi="宋体" w:cs="宋体"/>
          <w:color w:val="auto"/>
          <w:sz w:val="21"/>
          <w:szCs w:val="21"/>
          <w:highlight w:val="none"/>
          <w:lang w:val="zh-CN"/>
        </w:rPr>
        <w:t>磋商响应文件</w:t>
      </w:r>
      <w:r>
        <w:rPr>
          <w:rFonts w:hint="eastAsia" w:ascii="宋体" w:hAnsi="宋体" w:cs="宋体"/>
          <w:color w:val="auto"/>
          <w:sz w:val="21"/>
          <w:szCs w:val="21"/>
          <w:highlight w:val="none"/>
        </w:rPr>
        <w:t>被确认为无效，采购代理机构将及时通知该供应商。</w:t>
      </w:r>
    </w:p>
    <w:p>
      <w:pPr>
        <w:pStyle w:val="63"/>
        <w:adjustRightInd w:val="0"/>
        <w:snapToGrid w:val="0"/>
        <w:spacing w:before="0" w:line="500" w:lineRule="exact"/>
        <w:ind w:firstLine="420"/>
        <w:jc w:val="left"/>
        <w:rPr>
          <w:rFonts w:ascii="宋体" w:hAnsi="宋体" w:cs="宋体"/>
          <w:color w:val="auto"/>
          <w:sz w:val="21"/>
          <w:szCs w:val="21"/>
          <w:highlight w:val="none"/>
        </w:rPr>
      </w:pPr>
      <w:r>
        <w:rPr>
          <w:rFonts w:hint="eastAsia" w:ascii="宋体" w:hAnsi="宋体" w:cs="宋体"/>
          <w:color w:val="auto"/>
          <w:sz w:val="21"/>
          <w:szCs w:val="21"/>
          <w:highlight w:val="none"/>
        </w:rPr>
        <w:t>2.就本条款而言，实质上响应要求的</w:t>
      </w:r>
      <w:r>
        <w:rPr>
          <w:rFonts w:hint="eastAsia" w:ascii="宋体" w:hAnsi="宋体" w:cs="宋体"/>
          <w:color w:val="auto"/>
          <w:sz w:val="21"/>
          <w:szCs w:val="21"/>
          <w:highlight w:val="none"/>
          <w:lang w:val="zh-CN"/>
        </w:rPr>
        <w:t>磋商响应文件</w:t>
      </w:r>
      <w:r>
        <w:rPr>
          <w:rFonts w:hint="eastAsia" w:ascii="宋体" w:hAnsi="宋体" w:cs="宋体"/>
          <w:color w:val="auto"/>
          <w:sz w:val="21"/>
          <w:szCs w:val="21"/>
          <w:highlight w:val="none"/>
        </w:rPr>
        <w:t>，应该与文件的规定主要要求、条件、条款和规范相符，无显著差异或保留。</w:t>
      </w:r>
    </w:p>
    <w:p>
      <w:pPr>
        <w:pStyle w:val="63"/>
        <w:adjustRightInd w:val="0"/>
        <w:snapToGrid w:val="0"/>
        <w:spacing w:before="0" w:line="500" w:lineRule="exact"/>
        <w:ind w:firstLine="420"/>
        <w:jc w:val="left"/>
        <w:rPr>
          <w:rFonts w:ascii="宋体" w:hAnsi="宋体" w:cs="宋体"/>
          <w:color w:val="auto"/>
          <w:sz w:val="21"/>
          <w:szCs w:val="21"/>
          <w:highlight w:val="none"/>
        </w:rPr>
      </w:pPr>
      <w:r>
        <w:rPr>
          <w:rFonts w:hint="eastAsia" w:ascii="宋体" w:hAnsi="宋体" w:cs="宋体"/>
          <w:color w:val="auto"/>
          <w:sz w:val="21"/>
          <w:szCs w:val="21"/>
          <w:highlight w:val="none"/>
        </w:rPr>
        <w:t>3.如果</w:t>
      </w:r>
      <w:r>
        <w:rPr>
          <w:rFonts w:hint="eastAsia" w:ascii="宋体" w:hAnsi="宋体" w:cs="宋体"/>
          <w:color w:val="auto"/>
          <w:sz w:val="21"/>
          <w:szCs w:val="21"/>
          <w:highlight w:val="none"/>
          <w:lang w:val="zh-CN"/>
        </w:rPr>
        <w:t>磋商响应文件</w:t>
      </w:r>
      <w:r>
        <w:rPr>
          <w:rFonts w:hint="eastAsia" w:ascii="宋体" w:hAnsi="宋体" w:cs="宋体"/>
          <w:color w:val="auto"/>
          <w:sz w:val="21"/>
          <w:szCs w:val="21"/>
          <w:highlight w:val="none"/>
        </w:rPr>
        <w:t>实质上不响应磋商采购文件的要求，不允许通过修正或撤销不符合要求的差异或保留，使之成为具有响应性。</w:t>
      </w:r>
    </w:p>
    <w:p>
      <w:pPr>
        <w:pStyle w:val="63"/>
        <w:adjustRightInd w:val="0"/>
        <w:snapToGrid w:val="0"/>
        <w:spacing w:before="0" w:line="460" w:lineRule="exact"/>
        <w:ind w:firstLine="420"/>
        <w:jc w:val="left"/>
        <w:rPr>
          <w:rFonts w:ascii="宋体" w:hAnsi="宋体" w:cs="宋体"/>
          <w:color w:val="auto"/>
          <w:sz w:val="21"/>
          <w:szCs w:val="21"/>
          <w:highlight w:val="none"/>
        </w:rPr>
      </w:pPr>
      <w:r>
        <w:rPr>
          <w:rFonts w:hint="eastAsia" w:ascii="宋体" w:hAnsi="宋体" w:cs="宋体"/>
          <w:color w:val="auto"/>
          <w:sz w:val="21"/>
          <w:szCs w:val="21"/>
          <w:highlight w:val="none"/>
        </w:rPr>
        <w:t>4.磋商响应文件中开标（报价）一览表内容与磋商响应文件中相应内容不一致的，以开标（报价）一览表为准；</w:t>
      </w:r>
      <w:r>
        <w:rPr>
          <w:rFonts w:hint="eastAsia" w:ascii="宋体" w:hAnsi="宋体" w:cs="宋体"/>
          <w:color w:val="auto"/>
          <w:sz w:val="21"/>
          <w:szCs w:val="21"/>
          <w:highlight w:val="none"/>
          <w:lang w:val="zh-CN"/>
        </w:rPr>
        <w:t>磋商响应文件</w:t>
      </w:r>
      <w:r>
        <w:rPr>
          <w:rFonts w:hint="eastAsia" w:ascii="宋体" w:hAnsi="宋体" w:cs="宋体"/>
          <w:color w:val="auto"/>
          <w:sz w:val="21"/>
          <w:szCs w:val="21"/>
          <w:highlight w:val="none"/>
        </w:rPr>
        <w:t>的大写金额和小写金额不一致的，以大写金额为准；总价金额与按单价汇总金额不一致的，以单价金额计算结果为准；单价金额小数点或者百分比有明显错位的，以开标（报价）一览表的总价为准，并修改单价；对不同文字文本</w:t>
      </w:r>
      <w:r>
        <w:rPr>
          <w:rFonts w:hint="eastAsia" w:ascii="宋体" w:hAnsi="宋体" w:cs="宋体"/>
          <w:color w:val="auto"/>
          <w:sz w:val="21"/>
          <w:szCs w:val="21"/>
          <w:highlight w:val="none"/>
          <w:lang w:val="zh-CN"/>
        </w:rPr>
        <w:t>磋商响应文件</w:t>
      </w:r>
      <w:r>
        <w:rPr>
          <w:rFonts w:hint="eastAsia" w:ascii="宋体" w:hAnsi="宋体" w:cs="宋体"/>
          <w:color w:val="auto"/>
          <w:sz w:val="21"/>
          <w:szCs w:val="21"/>
          <w:highlight w:val="none"/>
        </w:rPr>
        <w:t>的解释发生异议的，以中文文本为准。同时出现两种以上不一致的，按照前款规定的顺序修正。修正后的报价经响应供应商确认后产生约束力，供应商不确认的，其磋商报价无效。</w:t>
      </w:r>
    </w:p>
    <w:p>
      <w:pPr>
        <w:pStyle w:val="24"/>
        <w:snapToGrid w:val="0"/>
        <w:spacing w:line="500" w:lineRule="exact"/>
        <w:ind w:firstLine="422" w:firstLineChars="200"/>
        <w:rPr>
          <w:rFonts w:hAnsi="宋体" w:cs="宋体"/>
          <w:b/>
          <w:color w:val="auto"/>
          <w:sz w:val="21"/>
          <w:highlight w:val="none"/>
        </w:rPr>
      </w:pPr>
      <w:r>
        <w:rPr>
          <w:rFonts w:hint="eastAsia" w:hAnsi="宋体" w:cs="宋体"/>
          <w:b/>
          <w:color w:val="auto"/>
          <w:sz w:val="21"/>
          <w:highlight w:val="none"/>
        </w:rPr>
        <w:t>（四）磋商原则</w:t>
      </w:r>
    </w:p>
    <w:p>
      <w:pPr>
        <w:pStyle w:val="24"/>
        <w:snapToGrid w:val="0"/>
        <w:spacing w:line="500" w:lineRule="exact"/>
        <w:ind w:firstLine="420" w:firstLineChars="200"/>
        <w:rPr>
          <w:rFonts w:hAnsi="宋体" w:cs="宋体"/>
          <w:color w:val="auto"/>
          <w:sz w:val="21"/>
          <w:highlight w:val="none"/>
        </w:rPr>
      </w:pPr>
      <w:r>
        <w:rPr>
          <w:rFonts w:hint="eastAsia" w:hAnsi="宋体" w:cs="宋体"/>
          <w:color w:val="auto"/>
          <w:sz w:val="21"/>
          <w:highlight w:val="none"/>
        </w:rPr>
        <w:t>1.竞争优选。</w:t>
      </w:r>
    </w:p>
    <w:p>
      <w:pPr>
        <w:snapToGrid w:val="0"/>
        <w:spacing w:line="500" w:lineRule="exact"/>
        <w:ind w:firstLine="420" w:firstLineChars="200"/>
        <w:rPr>
          <w:rFonts w:hAnsi="宋体" w:cs="宋体"/>
          <w:color w:val="auto"/>
          <w:sz w:val="21"/>
          <w:szCs w:val="21"/>
          <w:highlight w:val="none"/>
          <w:lang w:val="zh-CN"/>
        </w:rPr>
      </w:pPr>
      <w:r>
        <w:rPr>
          <w:rFonts w:hint="eastAsia" w:hAnsi="宋体" w:cs="宋体"/>
          <w:color w:val="auto"/>
          <w:sz w:val="21"/>
          <w:szCs w:val="21"/>
          <w:highlight w:val="none"/>
          <w:lang w:val="zh-CN"/>
        </w:rPr>
        <w:t>2.坚持公开、公平、公正、科学合理的原则。</w:t>
      </w:r>
    </w:p>
    <w:p>
      <w:pPr>
        <w:snapToGrid w:val="0"/>
        <w:spacing w:line="500" w:lineRule="exact"/>
        <w:ind w:firstLine="420" w:firstLineChars="200"/>
        <w:rPr>
          <w:rFonts w:hAnsi="宋体" w:cs="宋体"/>
          <w:color w:val="auto"/>
          <w:sz w:val="21"/>
          <w:szCs w:val="21"/>
          <w:highlight w:val="none"/>
          <w:lang w:val="zh-CN"/>
        </w:rPr>
      </w:pPr>
      <w:r>
        <w:rPr>
          <w:rFonts w:hint="eastAsia" w:hAnsi="宋体" w:cs="宋体"/>
          <w:color w:val="auto"/>
          <w:sz w:val="21"/>
          <w:szCs w:val="21"/>
          <w:highlight w:val="none"/>
          <w:lang w:val="zh-CN"/>
        </w:rPr>
        <w:t>3.价格合理，方案</w:t>
      </w:r>
      <w:r>
        <w:rPr>
          <w:rFonts w:hint="eastAsia" w:hAnsi="宋体" w:cs="宋体"/>
          <w:color w:val="auto"/>
          <w:sz w:val="21"/>
          <w:szCs w:val="21"/>
          <w:highlight w:val="none"/>
        </w:rPr>
        <w:t>、</w:t>
      </w:r>
      <w:r>
        <w:rPr>
          <w:rFonts w:hint="eastAsia" w:hAnsi="宋体" w:cs="宋体"/>
          <w:color w:val="auto"/>
          <w:sz w:val="21"/>
          <w:szCs w:val="21"/>
          <w:highlight w:val="none"/>
          <w:lang w:val="zh-CN"/>
        </w:rPr>
        <w:t>产品先进可行。</w:t>
      </w:r>
    </w:p>
    <w:p>
      <w:pPr>
        <w:snapToGrid w:val="0"/>
        <w:spacing w:line="500" w:lineRule="exact"/>
        <w:ind w:firstLine="420" w:firstLineChars="200"/>
        <w:rPr>
          <w:rFonts w:hAnsi="宋体" w:cs="宋体"/>
          <w:color w:val="auto"/>
          <w:sz w:val="21"/>
          <w:szCs w:val="21"/>
          <w:highlight w:val="none"/>
          <w:lang w:val="zh-CN"/>
        </w:rPr>
      </w:pPr>
      <w:r>
        <w:rPr>
          <w:rFonts w:hint="eastAsia" w:hAnsi="宋体" w:cs="宋体"/>
          <w:color w:val="auto"/>
          <w:sz w:val="21"/>
          <w:szCs w:val="21"/>
          <w:highlight w:val="none"/>
          <w:lang w:val="zh-CN"/>
        </w:rPr>
        <w:t>4.反对不正当竞争。</w:t>
      </w:r>
    </w:p>
    <w:p>
      <w:pPr>
        <w:snapToGrid w:val="0"/>
        <w:spacing w:line="500" w:lineRule="exact"/>
        <w:ind w:firstLine="420" w:firstLineChars="200"/>
        <w:rPr>
          <w:rFonts w:hAnsi="宋体" w:cs="宋体"/>
          <w:color w:val="auto"/>
          <w:sz w:val="21"/>
          <w:szCs w:val="21"/>
          <w:highlight w:val="none"/>
          <w:lang w:val="zh-CN"/>
        </w:rPr>
      </w:pPr>
      <w:r>
        <w:rPr>
          <w:rFonts w:hint="eastAsia" w:hAnsi="宋体" w:cs="宋体"/>
          <w:color w:val="auto"/>
          <w:sz w:val="21"/>
          <w:szCs w:val="21"/>
          <w:highlight w:val="none"/>
          <w:lang w:val="zh-CN"/>
        </w:rPr>
        <w:t>5.磋商小组将遵循评审原则的前提下，对供应商提供的</w:t>
      </w:r>
      <w:r>
        <w:rPr>
          <w:rFonts w:hint="eastAsia" w:hAnsi="宋体" w:cs="宋体"/>
          <w:color w:val="auto"/>
          <w:sz w:val="21"/>
          <w:szCs w:val="21"/>
          <w:highlight w:val="none"/>
        </w:rPr>
        <w:t>货物及</w:t>
      </w:r>
      <w:r>
        <w:rPr>
          <w:rFonts w:hint="eastAsia" w:hAnsi="宋体" w:cs="宋体"/>
          <w:color w:val="auto"/>
          <w:sz w:val="21"/>
          <w:szCs w:val="21"/>
          <w:highlight w:val="none"/>
          <w:lang w:val="zh-CN"/>
        </w:rPr>
        <w:t>服务、磋商价格、履约能力等进行分析。</w:t>
      </w:r>
    </w:p>
    <w:p>
      <w:pPr>
        <w:pStyle w:val="24"/>
        <w:snapToGrid w:val="0"/>
        <w:spacing w:line="500" w:lineRule="exact"/>
        <w:ind w:firstLine="420" w:firstLineChars="200"/>
        <w:rPr>
          <w:rFonts w:hAnsi="宋体" w:cs="宋体"/>
          <w:color w:val="auto"/>
          <w:sz w:val="21"/>
          <w:highlight w:val="none"/>
          <w:lang w:val="zh-CN"/>
        </w:rPr>
      </w:pPr>
      <w:r>
        <w:rPr>
          <w:rFonts w:hint="eastAsia" w:hAnsi="宋体" w:cs="宋体"/>
          <w:color w:val="auto"/>
          <w:sz w:val="21"/>
          <w:highlight w:val="none"/>
          <w:lang w:val="zh-CN"/>
        </w:rPr>
        <w:t>6.客观、公正对待所有供应商，对所有磋商评价，均采用相同的程序和标准。</w:t>
      </w:r>
    </w:p>
    <w:p>
      <w:pPr>
        <w:pStyle w:val="24"/>
        <w:snapToGrid w:val="0"/>
        <w:spacing w:line="500" w:lineRule="exact"/>
        <w:ind w:firstLine="420" w:firstLineChars="200"/>
        <w:rPr>
          <w:rFonts w:hAnsi="宋体" w:cs="宋体"/>
          <w:color w:val="auto"/>
          <w:sz w:val="21"/>
          <w:highlight w:val="none"/>
          <w:lang w:val="zh-CN"/>
        </w:rPr>
      </w:pPr>
      <w:r>
        <w:rPr>
          <w:rFonts w:hint="eastAsia" w:hAnsi="宋体" w:cs="宋体"/>
          <w:color w:val="auto"/>
          <w:sz w:val="21"/>
          <w:highlight w:val="none"/>
          <w:lang w:val="zh-CN"/>
        </w:rPr>
        <w:t>7.在磋商响应期间，供应商不得向磋商小组成员询问磋商情况，不得进行旨在影响磋商结果的活动，否则将废除其磋商资格。</w:t>
      </w:r>
    </w:p>
    <w:p>
      <w:pPr>
        <w:pStyle w:val="24"/>
        <w:snapToGrid w:val="0"/>
        <w:spacing w:line="500" w:lineRule="exact"/>
        <w:ind w:firstLine="420" w:firstLineChars="200"/>
        <w:rPr>
          <w:rFonts w:hAnsi="宋体" w:cs="宋体"/>
          <w:color w:val="auto"/>
          <w:sz w:val="21"/>
          <w:highlight w:val="none"/>
          <w:lang w:val="zh-CN"/>
        </w:rPr>
      </w:pPr>
      <w:r>
        <w:rPr>
          <w:rFonts w:hint="eastAsia" w:hAnsi="宋体" w:cs="宋体"/>
          <w:color w:val="auto"/>
          <w:sz w:val="21"/>
          <w:highlight w:val="none"/>
          <w:lang w:val="zh-CN"/>
        </w:rPr>
        <w:t>8.在磋商过程中，磋商小组成员不得与供应商私下交换意见，在竞争性磋商工作结束后，凡与磋商情况有接触的人不得将磋商情况扩散出磋商小组成员之外。</w:t>
      </w:r>
    </w:p>
    <w:p>
      <w:pPr>
        <w:pStyle w:val="24"/>
        <w:snapToGrid w:val="0"/>
        <w:spacing w:line="500" w:lineRule="exact"/>
        <w:ind w:firstLine="420" w:firstLineChars="200"/>
        <w:rPr>
          <w:rFonts w:hAnsi="宋体" w:cs="宋体"/>
          <w:color w:val="auto"/>
          <w:sz w:val="21"/>
          <w:highlight w:val="none"/>
          <w:lang w:val="zh-CN"/>
        </w:rPr>
      </w:pPr>
      <w:r>
        <w:rPr>
          <w:rFonts w:hint="eastAsia" w:hAnsi="宋体" w:cs="宋体"/>
          <w:color w:val="auto"/>
          <w:sz w:val="21"/>
          <w:highlight w:val="none"/>
          <w:lang w:val="zh-CN"/>
        </w:rPr>
        <w:t>9.采购人不向未成交人解释未成交原因，不退还磋商响应文件。</w:t>
      </w:r>
    </w:p>
    <w:p>
      <w:pPr>
        <w:pStyle w:val="24"/>
        <w:snapToGrid w:val="0"/>
        <w:spacing w:line="500" w:lineRule="exact"/>
        <w:ind w:firstLine="422" w:firstLineChars="200"/>
        <w:rPr>
          <w:rFonts w:hAnsi="宋体" w:cs="宋体"/>
          <w:b/>
          <w:color w:val="auto"/>
          <w:sz w:val="21"/>
          <w:highlight w:val="none"/>
          <w:lang w:val="zh-CN"/>
        </w:rPr>
      </w:pPr>
      <w:r>
        <w:rPr>
          <w:rFonts w:hint="eastAsia" w:hAnsi="宋体" w:cs="宋体"/>
          <w:b/>
          <w:color w:val="auto"/>
          <w:sz w:val="21"/>
          <w:highlight w:val="none"/>
        </w:rPr>
        <w:t>（五）</w:t>
      </w:r>
      <w:r>
        <w:rPr>
          <w:rFonts w:hint="eastAsia" w:hAnsi="宋体" w:cs="宋体"/>
          <w:b/>
          <w:color w:val="auto"/>
          <w:sz w:val="21"/>
          <w:highlight w:val="none"/>
          <w:lang w:val="zh-CN"/>
        </w:rPr>
        <w:t>磋商程序</w:t>
      </w:r>
    </w:p>
    <w:p>
      <w:pPr>
        <w:tabs>
          <w:tab w:val="left" w:pos="0"/>
        </w:tabs>
        <w:spacing w:line="500" w:lineRule="exact"/>
        <w:ind w:firstLine="420" w:firstLineChars="200"/>
        <w:rPr>
          <w:rFonts w:hAnsi="宋体" w:cs="宋体"/>
          <w:color w:val="auto"/>
          <w:sz w:val="21"/>
          <w:szCs w:val="21"/>
          <w:highlight w:val="none"/>
          <w:lang w:val="zh-CN"/>
        </w:rPr>
      </w:pPr>
      <w:r>
        <w:rPr>
          <w:rFonts w:hint="eastAsia" w:hAnsi="宋体" w:cs="宋体"/>
          <w:color w:val="auto"/>
          <w:sz w:val="21"/>
          <w:szCs w:val="21"/>
          <w:highlight w:val="none"/>
          <w:lang w:val="zh-CN"/>
        </w:rPr>
        <w:t>1.根据公开、公平、公正、诚信科学的原则，组织竞争性磋商采购。</w:t>
      </w:r>
    </w:p>
    <w:p>
      <w:pPr>
        <w:tabs>
          <w:tab w:val="left" w:pos="0"/>
        </w:tabs>
        <w:spacing w:line="500" w:lineRule="exact"/>
        <w:ind w:firstLine="420" w:firstLineChars="200"/>
        <w:rPr>
          <w:rFonts w:hAnsi="宋体" w:cs="宋体"/>
          <w:color w:val="auto"/>
          <w:sz w:val="21"/>
          <w:szCs w:val="21"/>
          <w:highlight w:val="none"/>
          <w:lang w:val="zh-CN"/>
        </w:rPr>
      </w:pPr>
      <w:r>
        <w:rPr>
          <w:rFonts w:hint="eastAsia" w:hAnsi="宋体" w:cs="宋体"/>
          <w:color w:val="auto"/>
          <w:sz w:val="21"/>
          <w:szCs w:val="21"/>
          <w:highlight w:val="none"/>
          <w:lang w:val="zh-CN"/>
        </w:rPr>
        <w:t>2.具体工作流程：</w:t>
      </w:r>
    </w:p>
    <w:p>
      <w:pPr>
        <w:tabs>
          <w:tab w:val="left" w:pos="0"/>
        </w:tabs>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（1）磋商小组所有成员应当集中与单一供应商分别进行磋商，并给予所有参加磋商的供应商平等的磋商机会。</w:t>
      </w:r>
    </w:p>
    <w:p>
      <w:pPr>
        <w:tabs>
          <w:tab w:val="left" w:pos="0"/>
        </w:tabs>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（2）在磋商过程中，磋商小组可以根据磋商采购文件和磋商情况实质性变动采购需求中的技术、服务要求以及合同草案条款。实质性变动的内容，须经采购人代表确认。</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（3）磋商采购文件作出的实质性变动是磋商采购文件的有效组成部分，磋商小组应当及时以书面形式同时通知所有参加磋商的供应商。</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（4）供应商应当按照磋商采购文件的变动情况和磋商小组的要求重新提交响应文件，并由其法定代表人或授权代表签字或者加盖公章。由授权代表签字的，应当附法定代表人授权书。</w:t>
      </w:r>
    </w:p>
    <w:p>
      <w:pPr>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（六）最后报价</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1.磋商结束后，磋商小组应当要求所有实质性响应的供应商在规定时间内提交最后报价。</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2.最后报价是磋商响应文件的有效组成部分。</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3.已提交磋商响应文件的供应商，在提交最后报价之前，若因磋商文件实质性变动导致供应商无法满足采购需求的，允许供应商退出磋商。</w:t>
      </w:r>
    </w:p>
    <w:p>
      <w:pPr>
        <w:pStyle w:val="24"/>
        <w:snapToGrid w:val="0"/>
        <w:spacing w:line="500" w:lineRule="exact"/>
        <w:ind w:firstLine="420" w:firstLineChars="200"/>
        <w:rPr>
          <w:rFonts w:hAnsi="宋体" w:cs="宋体"/>
          <w:bCs/>
          <w:color w:val="auto"/>
          <w:sz w:val="21"/>
          <w:highlight w:val="none"/>
        </w:rPr>
      </w:pPr>
      <w:r>
        <w:rPr>
          <w:rFonts w:hint="eastAsia" w:hAnsi="宋体" w:cs="宋体"/>
          <w:color w:val="auto"/>
          <w:sz w:val="21"/>
          <w:highlight w:val="none"/>
        </w:rPr>
        <w:t>4.资信商务技术文件评审结果在线公布后，采购代理机构将在线开启最后报价。</w:t>
      </w:r>
    </w:p>
    <w:p>
      <w:pPr>
        <w:tabs>
          <w:tab w:val="left" w:pos="0"/>
        </w:tabs>
        <w:spacing w:line="500" w:lineRule="exact"/>
        <w:ind w:firstLine="422" w:firstLineChars="200"/>
        <w:rPr>
          <w:rFonts w:hAnsi="宋体" w:cs="宋体"/>
          <w:color w:val="auto"/>
          <w:sz w:val="21"/>
          <w:szCs w:val="21"/>
          <w:highlight w:val="none"/>
          <w:lang w:val="zh-CN"/>
        </w:rPr>
      </w:pPr>
      <w:r>
        <w:rPr>
          <w:rFonts w:hint="eastAsia" w:hAnsi="宋体" w:cs="宋体"/>
          <w:b/>
          <w:bCs/>
          <w:color w:val="auto"/>
          <w:sz w:val="21"/>
          <w:szCs w:val="21"/>
          <w:highlight w:val="none"/>
        </w:rPr>
        <w:t>（七） 磋商办法。</w:t>
      </w:r>
      <w:r>
        <w:rPr>
          <w:rFonts w:hint="eastAsia" w:hAnsi="宋体" w:cs="宋体"/>
          <w:color w:val="auto"/>
          <w:sz w:val="21"/>
          <w:szCs w:val="21"/>
          <w:highlight w:val="none"/>
        </w:rPr>
        <w:t>具体磋商内容及评分标准等详见《第四部分：磋商办法及评分标准》。</w:t>
      </w:r>
    </w:p>
    <w:p>
      <w:pPr>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（八）磋商过程的监控</w:t>
      </w:r>
    </w:p>
    <w:p>
      <w:pPr>
        <w:autoSpaceDE/>
        <w:autoSpaceDN/>
        <w:adjustRightInd/>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本项目磋商过程实行全程录音、录像监控，响应供应商在磋商过程中所进行的试图影响磋商结果的不公正活动，可能导致其磋商采购活动被拒绝。</w:t>
      </w:r>
    </w:p>
    <w:p>
      <w:pPr>
        <w:autoSpaceDE/>
        <w:autoSpaceDN/>
        <w:adjustRightInd/>
        <w:spacing w:line="500" w:lineRule="exact"/>
        <w:ind w:firstLine="422" w:firstLineChars="200"/>
        <w:jc w:val="both"/>
        <w:textAlignment w:val="auto"/>
        <w:rPr>
          <w:rFonts w:hAnsi="宋体" w:cs="宋体"/>
          <w:b/>
          <w:bCs/>
          <w:color w:val="auto"/>
          <w:sz w:val="21"/>
          <w:szCs w:val="21"/>
          <w:highlight w:val="none"/>
        </w:rPr>
      </w:pPr>
      <w:r>
        <w:rPr>
          <w:rFonts w:hint="eastAsia" w:hAnsi="宋体" w:cs="宋体"/>
          <w:b/>
          <w:bCs/>
          <w:color w:val="auto"/>
          <w:sz w:val="21"/>
          <w:szCs w:val="21"/>
          <w:highlight w:val="none"/>
        </w:rPr>
        <w:t>（九）中止电子交易活动的情形</w:t>
      </w:r>
    </w:p>
    <w:p>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磋商过程中出现以下情形，导致电子交易平台无法正常运行，或者无法保证电子交易的公平、公正和安全时，中止电子交易活动：</w:t>
      </w:r>
    </w:p>
    <w:p>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1.电子交易平台发生故障而无法登录访问的；</w:t>
      </w:r>
    </w:p>
    <w:p>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2.电子交易平台应用或数据库出现错误，不能进行正常操作的；</w:t>
      </w:r>
    </w:p>
    <w:p>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3.电子交易平台发现严重安全漏洞，有潜在泄密危险的；</w:t>
      </w:r>
    </w:p>
    <w:p>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4.病毒发作导致不能进行正常操作的；</w:t>
      </w:r>
    </w:p>
    <w:p>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5.其他无法保证电子交易的公平、公正和安全的情况。</w:t>
      </w:r>
    </w:p>
    <w:p>
      <w:pPr>
        <w:autoSpaceDE/>
        <w:autoSpaceDN/>
        <w:adjustRightInd/>
        <w:spacing w:line="500" w:lineRule="exact"/>
        <w:ind w:firstLine="420" w:firstLineChars="200"/>
        <w:jc w:val="both"/>
        <w:textAlignment w:val="auto"/>
        <w:rPr>
          <w:rFonts w:hAnsi="宋体" w:cs="宋体"/>
          <w:color w:val="auto"/>
          <w:highlight w:val="none"/>
        </w:rPr>
      </w:pPr>
      <w:r>
        <w:rPr>
          <w:rFonts w:hint="eastAsia" w:hAnsi="宋体" w:cs="宋体"/>
          <w:color w:val="auto"/>
          <w:sz w:val="21"/>
          <w:szCs w:val="21"/>
          <w:highlight w:val="none"/>
        </w:rPr>
        <w:t>出现前款规定情形，不影响采购公平、公正性的，采购组织机构可以待上述情形消除后继续组织电子交易活动，也可以决定某些环节以纸质形式进行评审；影响或可能影响采购公平、公正性的，应当重新采购。</w:t>
      </w:r>
    </w:p>
    <w:p>
      <w:pPr>
        <w:autoSpaceDE/>
        <w:autoSpaceDN/>
        <w:adjustRightInd/>
        <w:spacing w:line="500" w:lineRule="exact"/>
        <w:ind w:firstLine="422" w:firstLineChars="200"/>
        <w:textAlignment w:val="auto"/>
        <w:rPr>
          <w:rFonts w:hAnsi="宋体" w:cs="宋体"/>
          <w:b/>
          <w:color w:val="auto"/>
          <w:sz w:val="21"/>
          <w:szCs w:val="21"/>
          <w:highlight w:val="none"/>
        </w:rPr>
      </w:pPr>
      <w:r>
        <w:rPr>
          <w:rFonts w:hint="eastAsia" w:hAnsi="宋体" w:cs="宋体"/>
          <w:b/>
          <w:color w:val="auto"/>
          <w:sz w:val="21"/>
          <w:szCs w:val="21"/>
          <w:highlight w:val="none"/>
        </w:rPr>
        <w:t>六．确定成交人</w:t>
      </w:r>
    </w:p>
    <w:p>
      <w:pPr>
        <w:snapToGrid w:val="0"/>
        <w:spacing w:line="460" w:lineRule="exact"/>
        <w:ind w:firstLine="417" w:firstLineChars="199"/>
        <w:rPr>
          <w:rFonts w:hAnsi="宋体" w:cs="宋体"/>
          <w:color w:val="auto"/>
          <w:sz w:val="21"/>
          <w:szCs w:val="21"/>
          <w:highlight w:val="none"/>
        </w:rPr>
      </w:pPr>
      <w:r>
        <w:rPr>
          <w:rFonts w:hint="eastAsia" w:hAnsi="宋体" w:cs="宋体"/>
          <w:color w:val="auto"/>
          <w:sz w:val="21"/>
          <w:szCs w:val="21"/>
          <w:highlight w:val="none"/>
        </w:rPr>
        <w:t>1.磋商小组将根据磋商采购文件和有关规定，履行评审工作职责，以《磋商办法及评分标准》为标准，全面衡量各供应商对磋商文件的响应情况。对实质上响应磋商文件的供应商，以打分的方法，排出推荐成交的供应商的先后顺序，并按顺序提出授标建议。评审结果报经采购人同意，最终确定成交人。</w:t>
      </w:r>
    </w:p>
    <w:p>
      <w:pPr>
        <w:snapToGrid w:val="0"/>
        <w:spacing w:line="460" w:lineRule="exact"/>
        <w:ind w:firstLine="411" w:firstLineChars="196"/>
        <w:rPr>
          <w:rFonts w:hAnsi="宋体" w:cs="宋体"/>
          <w:b/>
          <w:color w:val="auto"/>
          <w:sz w:val="21"/>
          <w:szCs w:val="21"/>
          <w:highlight w:val="none"/>
        </w:rPr>
      </w:pPr>
      <w:r>
        <w:rPr>
          <w:rFonts w:hint="eastAsia" w:hAnsi="宋体" w:cs="宋体"/>
          <w:color w:val="auto"/>
          <w:sz w:val="21"/>
          <w:szCs w:val="21"/>
          <w:highlight w:val="none"/>
        </w:rPr>
        <w:t>2.采购人应当根据磋商小组推荐的顺序确定成交人，不得在磋商小组推荐的成交候选人以外确定成交人。</w:t>
      </w:r>
    </w:p>
    <w:p>
      <w:pPr>
        <w:autoSpaceDE/>
        <w:autoSpaceDN/>
        <w:adjustRightInd/>
        <w:spacing w:line="46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3.采购代理机构在磋商结束后2个工作日内将磋商报告交采购人确认。</w:t>
      </w:r>
    </w:p>
    <w:p>
      <w:pPr>
        <w:autoSpaceDE/>
        <w:autoSpaceDN/>
        <w:adjustRightInd/>
        <w:spacing w:line="46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4.响应供应商对磋商结果无异议的，采购人应在收到磋商报告后5个工作日内对磋商结果进行确认。如有响应供应商对磋商结果提出质疑的，采购人可在质疑处理完毕后确定成交供应商。</w:t>
      </w:r>
    </w:p>
    <w:p>
      <w:pPr>
        <w:autoSpaceDE/>
        <w:autoSpaceDN/>
        <w:adjustRightInd/>
        <w:spacing w:line="46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5.磋商结果公示期：1个工作日。</w:t>
      </w:r>
    </w:p>
    <w:p>
      <w:pPr>
        <w:autoSpaceDE/>
        <w:autoSpaceDN/>
        <w:adjustRightInd/>
        <w:spacing w:line="46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6.磋商结果公示的同时采购代理机构以书面形式发出《成交通知书》。</w:t>
      </w:r>
    </w:p>
    <w:p>
      <w:pPr>
        <w:autoSpaceDE/>
        <w:autoSpaceDN/>
        <w:adjustRightInd/>
        <w:spacing w:line="500" w:lineRule="exact"/>
        <w:ind w:firstLine="316" w:firstLineChars="150"/>
        <w:jc w:val="both"/>
        <w:textAlignment w:val="auto"/>
        <w:rPr>
          <w:rFonts w:hAnsi="宋体" w:cs="宋体"/>
          <w:b/>
          <w:color w:val="auto"/>
          <w:sz w:val="21"/>
          <w:szCs w:val="21"/>
          <w:highlight w:val="none"/>
        </w:rPr>
      </w:pPr>
      <w:r>
        <w:rPr>
          <w:rFonts w:hint="eastAsia" w:hAnsi="宋体" w:cs="宋体"/>
          <w:b/>
          <w:color w:val="auto"/>
          <w:sz w:val="21"/>
          <w:szCs w:val="21"/>
          <w:highlight w:val="none"/>
        </w:rPr>
        <w:t>七、合同授予</w:t>
      </w:r>
    </w:p>
    <w:p>
      <w:pPr>
        <w:pStyle w:val="20"/>
        <w:adjustRightInd w:val="0"/>
        <w:snapToGrid w:val="0"/>
        <w:spacing w:line="500" w:lineRule="exact"/>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1.合同的签订</w:t>
      </w:r>
    </w:p>
    <w:p>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1.1除不可抗力等特殊情况外，采购人原则上应当在成交通知书发出之日起20日内，与成交人按照采购文件确定的事项签订政府采购合同，并在签订之日起2个工作日内将政府采购合同在浙江政府采购网上公告。</w:t>
      </w:r>
    </w:p>
    <w:p>
      <w:pPr>
        <w:pStyle w:val="63"/>
        <w:adjustRightInd w:val="0"/>
        <w:snapToGrid w:val="0"/>
        <w:spacing w:before="0" w:line="50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zh-CN"/>
        </w:rPr>
        <w:t>.2成交人按规定的日期、时间、地点，由法定代表人或其授权代表与采购人代表签订合同。如成交人为联合体的，由联合体成员各方法定代表人或其授权代表与采购人代表签订合同。</w:t>
      </w:r>
    </w:p>
    <w:p>
      <w:pPr>
        <w:pStyle w:val="63"/>
        <w:adjustRightInd w:val="0"/>
        <w:snapToGrid w:val="0"/>
        <w:spacing w:before="0" w:line="50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1.3如签订合同并生效后，供应商无故拒绝或延期，除按照合同条款处理外，列入不良行为记录一次，并给予通报。</w:t>
      </w:r>
    </w:p>
    <w:p>
      <w:pPr>
        <w:pStyle w:val="63"/>
        <w:adjustRightInd w:val="0"/>
        <w:snapToGrid w:val="0"/>
        <w:spacing w:before="0" w:line="50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1.4成交人拒绝与采购人签订合同的，采购人可以按照评审报告推荐的中标或者成交候选人名单排序，确定下一候选人为成交人，也可以重新开展政府采购活动。</w:t>
      </w:r>
    </w:p>
    <w:p>
      <w:pPr>
        <w:pStyle w:val="63"/>
        <w:adjustRightInd w:val="0"/>
        <w:snapToGrid w:val="0"/>
        <w:spacing w:before="0" w:line="50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1.5采购合同由采购人与成交人根据采购文件、磋商响应文件等内容通过政府采购电子交易平台在线签订，自动备案。</w:t>
      </w:r>
    </w:p>
    <w:p>
      <w:pPr>
        <w:pStyle w:val="63"/>
        <w:adjustRightInd w:val="0"/>
        <w:snapToGrid w:val="0"/>
        <w:spacing w:before="0" w:line="500" w:lineRule="exact"/>
        <w:ind w:firstLine="422"/>
        <w:rPr>
          <w:rFonts w:ascii="宋体" w:hAnsi="宋体" w:cs="宋体"/>
          <w:b/>
          <w:bCs/>
          <w:color w:val="auto"/>
          <w:sz w:val="21"/>
          <w:szCs w:val="21"/>
          <w:highlight w:val="none"/>
        </w:rPr>
      </w:pPr>
      <w:r>
        <w:rPr>
          <w:rFonts w:hint="eastAsia" w:ascii="宋体" w:hAnsi="宋体" w:cs="宋体"/>
          <w:b/>
          <w:bCs/>
          <w:color w:val="auto"/>
          <w:sz w:val="21"/>
          <w:szCs w:val="21"/>
          <w:highlight w:val="none"/>
        </w:rPr>
        <w:t>1.6政府采购货物和服务项目不得收取质量保证金。政府采购工程以及与工程建设有关的货物、服务，采用招标方式采购的，按国家和省有关规定执行。</w:t>
      </w:r>
    </w:p>
    <w:p>
      <w:pPr>
        <w:pStyle w:val="20"/>
        <w:adjustRightInd w:val="0"/>
        <w:snapToGrid w:val="0"/>
        <w:spacing w:line="500" w:lineRule="exact"/>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2.预付款</w:t>
      </w:r>
    </w:p>
    <w:p>
      <w:pPr>
        <w:tabs>
          <w:tab w:val="left" w:pos="0"/>
        </w:tabs>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采购人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w:t>
      </w:r>
      <w:r>
        <w:rPr>
          <w:rFonts w:hint="eastAsia" w:hAnsi="宋体" w:cs="宋体"/>
          <w:b/>
          <w:bCs/>
          <w:color w:val="auto"/>
          <w:sz w:val="21"/>
          <w:szCs w:val="21"/>
          <w:highlight w:val="none"/>
        </w:rPr>
        <w:t>人工投入为主</w:t>
      </w:r>
      <w:r>
        <w:rPr>
          <w:rFonts w:hint="eastAsia" w:hAnsi="宋体" w:cs="宋体"/>
          <w:color w:val="auto"/>
          <w:sz w:val="21"/>
          <w:szCs w:val="21"/>
          <w:highlight w:val="none"/>
        </w:rPr>
        <w:t>的，可适当降低预付款比例，但不得低于</w:t>
      </w:r>
      <w:r>
        <w:rPr>
          <w:rFonts w:hint="eastAsia" w:hAnsi="宋体" w:cs="宋体"/>
          <w:b/>
          <w:bCs/>
          <w:color w:val="auto"/>
          <w:sz w:val="21"/>
          <w:szCs w:val="21"/>
          <w:highlight w:val="none"/>
        </w:rPr>
        <w:t>30%。</w:t>
      </w:r>
      <w:r>
        <w:rPr>
          <w:rFonts w:hint="eastAsia" w:hAnsi="宋体" w:cs="宋体"/>
          <w:color w:val="auto"/>
          <w:sz w:val="21"/>
          <w:szCs w:val="21"/>
          <w:highlight w:val="none"/>
        </w:rPr>
        <w:t>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其他担保措施。政府采购预付款应在</w:t>
      </w:r>
      <w:r>
        <w:rPr>
          <w:rFonts w:hint="eastAsia" w:hAnsi="宋体" w:cs="宋体"/>
          <w:color w:val="auto"/>
          <w:sz w:val="21"/>
          <w:szCs w:val="21"/>
          <w:highlight w:val="none"/>
          <w:u w:val="single"/>
        </w:rPr>
        <w:t>合同生效以及具备实施条件后</w:t>
      </w:r>
      <w:r>
        <w:rPr>
          <w:rFonts w:hint="eastAsia" w:hAnsi="宋体" w:cs="宋体"/>
          <w:b/>
          <w:bCs/>
          <w:color w:val="auto"/>
          <w:sz w:val="21"/>
          <w:szCs w:val="21"/>
          <w:highlight w:val="none"/>
        </w:rPr>
        <w:t>7个工作日内</w:t>
      </w:r>
      <w:r>
        <w:rPr>
          <w:rFonts w:hint="eastAsia" w:hAnsi="宋体" w:cs="宋体"/>
          <w:color w:val="auto"/>
          <w:sz w:val="21"/>
          <w:szCs w:val="21"/>
          <w:highlight w:val="none"/>
        </w:rPr>
        <w:t>支付。政府采购工程以及与工程建设有关的货物、服务，采用招标方式采购的，预付款从其相关规定。</w:t>
      </w:r>
    </w:p>
    <w:p>
      <w:pPr>
        <w:tabs>
          <w:tab w:val="left" w:pos="0"/>
        </w:tabs>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本项目合同签订生效且具备实施条件</w:t>
      </w:r>
      <w:r>
        <w:rPr>
          <w:rFonts w:hint="eastAsia" w:hAnsi="宋体" w:cs="宋体"/>
          <w:color w:val="auto"/>
          <w:sz w:val="21"/>
          <w:szCs w:val="21"/>
          <w:highlight w:val="none"/>
          <w:lang w:val="zh-CN"/>
        </w:rPr>
        <w:t>入场工作</w:t>
      </w:r>
      <w:r>
        <w:rPr>
          <w:rFonts w:hint="eastAsia" w:hAnsi="宋体" w:cs="宋体"/>
          <w:color w:val="auto"/>
          <w:sz w:val="21"/>
          <w:szCs w:val="21"/>
          <w:highlight w:val="none"/>
        </w:rPr>
        <w:t>后7个工作日内采购人支付成交人合同金额的40%作为预付款，但在签订合同时，</w:t>
      </w:r>
      <w:r>
        <w:rPr>
          <w:rFonts w:hint="eastAsia" w:hAnsi="宋体" w:cs="宋体"/>
          <w:bCs/>
          <w:color w:val="auto"/>
          <w:sz w:val="21"/>
          <w:szCs w:val="21"/>
          <w:highlight w:val="none"/>
        </w:rPr>
        <w:t>成交人</w:t>
      </w:r>
      <w:r>
        <w:rPr>
          <w:rFonts w:hint="eastAsia" w:hAnsi="宋体" w:cs="宋体"/>
          <w:color w:val="auto"/>
          <w:sz w:val="21"/>
          <w:szCs w:val="21"/>
          <w:highlight w:val="none"/>
        </w:rPr>
        <w:t>明确表示无需预付款或者主动要求降低预付款比例的，可降低预付款比例，且须在合同签订前与采购人沟通确定，并提供无需预付款或者降低预付款比例的承诺，双方就此条款可对合同中的支付方式进行调整。</w:t>
      </w:r>
    </w:p>
    <w:p>
      <w:pPr>
        <w:pStyle w:val="20"/>
        <w:adjustRightInd w:val="0"/>
        <w:snapToGrid w:val="0"/>
        <w:spacing w:line="500" w:lineRule="exact"/>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3.资金支付</w:t>
      </w:r>
    </w:p>
    <w:p>
      <w:pPr>
        <w:pStyle w:val="20"/>
        <w:adjustRightInd w:val="0"/>
        <w:snapToGrid w:val="0"/>
        <w:spacing w:line="500" w:lineRule="exact"/>
        <w:ind w:firstLine="422" w:firstLineChars="200"/>
        <w:jc w:val="left"/>
        <w:rPr>
          <w:rFonts w:ascii="宋体" w:hAnsi="宋体" w:cs="宋体"/>
          <w:color w:val="auto"/>
          <w:sz w:val="21"/>
          <w:szCs w:val="21"/>
          <w:highlight w:val="none"/>
        </w:rPr>
      </w:pPr>
      <w:r>
        <w:rPr>
          <w:rFonts w:hint="eastAsia" w:ascii="宋体" w:hAnsi="宋体" w:cs="宋体"/>
          <w:b/>
          <w:color w:val="auto"/>
          <w:sz w:val="21"/>
          <w:szCs w:val="21"/>
          <w:highlight w:val="none"/>
        </w:rPr>
        <w:t>采购人应当及时</w:t>
      </w:r>
      <w:r>
        <w:rPr>
          <w:rFonts w:hint="eastAsia" w:ascii="宋体" w:hAnsi="宋体" w:cs="宋体"/>
          <w:color w:val="auto"/>
          <w:sz w:val="21"/>
          <w:szCs w:val="21"/>
          <w:highlight w:val="none"/>
        </w:rPr>
        <w:t>组织项目验收，</w:t>
      </w:r>
      <w:r>
        <w:rPr>
          <w:rFonts w:hint="eastAsia" w:ascii="宋体" w:hAnsi="宋体" w:cs="宋体"/>
          <w:b/>
          <w:bCs/>
          <w:color w:val="auto"/>
          <w:sz w:val="21"/>
          <w:szCs w:val="21"/>
          <w:highlight w:val="none"/>
        </w:rPr>
        <w:t>不得以政府部门审计作为支付供应商款项的条件。</w:t>
      </w:r>
      <w:r>
        <w:rPr>
          <w:rFonts w:hint="eastAsia" w:ascii="宋体" w:hAnsi="宋体" w:cs="宋体"/>
          <w:color w:val="auto"/>
          <w:sz w:val="21"/>
          <w:szCs w:val="21"/>
          <w:highlight w:val="none"/>
        </w:rPr>
        <w:t>采购人对于满足合同约定支付条件的，</w:t>
      </w:r>
      <w:r>
        <w:rPr>
          <w:rFonts w:hint="eastAsia" w:ascii="宋体" w:hAnsi="宋体" w:cs="宋体"/>
          <w:b/>
          <w:bCs/>
          <w:color w:val="auto"/>
          <w:sz w:val="21"/>
          <w:szCs w:val="21"/>
          <w:highlight w:val="none"/>
        </w:rPr>
        <w:t>自收到发票后7个工作日内</w:t>
      </w:r>
      <w:r>
        <w:rPr>
          <w:rFonts w:hint="eastAsia" w:ascii="宋体" w:hAnsi="宋体" w:cs="宋体"/>
          <w:color w:val="auto"/>
          <w:sz w:val="21"/>
          <w:szCs w:val="21"/>
          <w:highlight w:val="none"/>
        </w:rPr>
        <w:t>将资金支付到合同约定的供应商账户。采购人不得以机构变动、人员更替、政策调整、单位放假、履行内部付款流程，或者在合同未作约定的情况下以等待竣工验收批复、决算审计等为由迟延付款。迟延支付中小企业款项的，供应商可要求采购人支付逾期利息。</w:t>
      </w:r>
    </w:p>
    <w:p>
      <w:pPr>
        <w:tabs>
          <w:tab w:val="left" w:pos="0"/>
        </w:tabs>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本项目的资金支付按本磋商采购文件“第二部分 采购需求”之“付款方式”执行并在合同中进行约定。</w:t>
      </w:r>
    </w:p>
    <w:p>
      <w:pPr>
        <w:snapToGrid w:val="0"/>
        <w:spacing w:line="500" w:lineRule="exact"/>
        <w:ind w:firstLine="422" w:firstLineChars="200"/>
        <w:rPr>
          <w:rFonts w:hAnsi="宋体" w:cs="宋体"/>
          <w:b/>
          <w:bCs/>
          <w:color w:val="auto"/>
          <w:sz w:val="21"/>
          <w:szCs w:val="21"/>
          <w:highlight w:val="none"/>
        </w:rPr>
      </w:pPr>
      <w:r>
        <w:rPr>
          <w:rFonts w:hint="eastAsia" w:hAnsi="宋体" w:cs="宋体"/>
          <w:b/>
          <w:color w:val="auto"/>
          <w:sz w:val="21"/>
          <w:szCs w:val="21"/>
          <w:highlight w:val="none"/>
        </w:rPr>
        <w:t>八、项目验收</w:t>
      </w:r>
    </w:p>
    <w:p>
      <w:pPr>
        <w:tabs>
          <w:tab w:val="left" w:pos="0"/>
        </w:tabs>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2.采购人可以邀请参加本项目的其他供应商或者第三方机构参与验收。参与验收的供应商或者第三方机构的意见作为验收书的参考资料一并存档。</w:t>
      </w:r>
    </w:p>
    <w:p>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autoSpaceDE/>
        <w:autoSpaceDN/>
        <w:snapToGrid w:val="0"/>
        <w:spacing w:line="500" w:lineRule="exact"/>
        <w:ind w:firstLine="420" w:firstLineChars="200"/>
        <w:textAlignment w:val="auto"/>
        <w:rPr>
          <w:rFonts w:hAnsi="宋体" w:cs="宋体"/>
          <w:b/>
          <w:bCs/>
          <w:color w:val="auto"/>
          <w:sz w:val="21"/>
          <w:szCs w:val="21"/>
          <w:highlight w:val="none"/>
        </w:rPr>
      </w:pPr>
      <w:r>
        <w:rPr>
          <w:rFonts w:hint="eastAsia" w:hAnsi="宋体" w:cs="宋体"/>
          <w:color w:val="auto"/>
          <w:sz w:val="21"/>
          <w:szCs w:val="21"/>
          <w:highlight w:val="none"/>
        </w:rPr>
        <w:t>4.采购人原则上应当在</w:t>
      </w:r>
      <w:r>
        <w:rPr>
          <w:rFonts w:hint="eastAsia" w:hAnsi="宋体" w:cs="宋体"/>
          <w:b/>
          <w:bCs/>
          <w:color w:val="auto"/>
          <w:sz w:val="21"/>
          <w:szCs w:val="21"/>
          <w:highlight w:val="none"/>
        </w:rPr>
        <w:t>履约验收之日起2个工作日内</w:t>
      </w:r>
      <w:r>
        <w:rPr>
          <w:rFonts w:hint="eastAsia" w:hAnsi="宋体" w:cs="宋体"/>
          <w:color w:val="auto"/>
          <w:sz w:val="21"/>
          <w:szCs w:val="21"/>
          <w:highlight w:val="none"/>
        </w:rPr>
        <w:t>，将</w:t>
      </w:r>
      <w:r>
        <w:rPr>
          <w:rFonts w:hint="eastAsia" w:hAnsi="宋体" w:cs="宋体"/>
          <w:b/>
          <w:bCs/>
          <w:color w:val="auto"/>
          <w:sz w:val="21"/>
          <w:szCs w:val="21"/>
          <w:highlight w:val="none"/>
        </w:rPr>
        <w:t>履约验收结果在浙江政府采购网上公告。</w:t>
      </w:r>
    </w:p>
    <w:p>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5.验收合格的项目，采购人将根据采购合同的约定及时向供应商支付采购资金、退还履约保证金。</w:t>
      </w:r>
    </w:p>
    <w:p>
      <w:pPr>
        <w:autoSpaceDE/>
        <w:autoSpaceDN/>
        <w:adjustRightInd/>
        <w:spacing w:line="500" w:lineRule="exact"/>
        <w:ind w:firstLine="420" w:firstLineChars="200"/>
        <w:jc w:val="both"/>
        <w:textAlignment w:val="auto"/>
        <w:rPr>
          <w:rFonts w:hAnsi="宋体" w:cs="宋体"/>
          <w:b/>
          <w:color w:val="auto"/>
          <w:sz w:val="24"/>
          <w:szCs w:val="24"/>
          <w:highlight w:val="none"/>
        </w:rPr>
      </w:pPr>
      <w:bookmarkStart w:id="666" w:name="_Toc20376"/>
      <w:r>
        <w:rPr>
          <w:rFonts w:hint="eastAsia" w:hAnsi="宋体" w:cs="宋体"/>
          <w:color w:val="auto"/>
          <w:sz w:val="21"/>
          <w:szCs w:val="21"/>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666"/>
    </w:p>
    <w:p>
      <w:pPr>
        <w:autoSpaceDE/>
        <w:autoSpaceDN/>
        <w:adjustRightInd/>
        <w:spacing w:line="500" w:lineRule="exact"/>
        <w:ind w:firstLine="422" w:firstLineChars="200"/>
        <w:jc w:val="both"/>
        <w:textAlignment w:val="auto"/>
        <w:rPr>
          <w:rFonts w:hAnsi="宋体" w:cs="宋体"/>
          <w:b/>
          <w:color w:val="auto"/>
          <w:sz w:val="21"/>
          <w:szCs w:val="21"/>
          <w:highlight w:val="none"/>
        </w:rPr>
      </w:pPr>
      <w:r>
        <w:rPr>
          <w:rFonts w:hint="eastAsia" w:hAnsi="宋体" w:cs="宋体"/>
          <w:b/>
          <w:color w:val="auto"/>
          <w:sz w:val="21"/>
          <w:szCs w:val="21"/>
          <w:highlight w:val="none"/>
        </w:rPr>
        <w:t>九、电子投标特别提醒</w:t>
      </w:r>
    </w:p>
    <w:p>
      <w:pPr>
        <w:widowControl/>
        <w:snapToGrid w:val="0"/>
        <w:spacing w:line="500" w:lineRule="exact"/>
        <w:ind w:firstLine="420"/>
        <w:rPr>
          <w:rFonts w:hAnsi="宋体" w:cs="宋体"/>
          <w:color w:val="auto"/>
          <w:sz w:val="21"/>
          <w:highlight w:val="none"/>
        </w:rPr>
      </w:pPr>
      <w:r>
        <w:rPr>
          <w:rFonts w:hint="eastAsia" w:hAnsi="宋体" w:cs="宋体"/>
          <w:color w:val="auto"/>
          <w:sz w:val="21"/>
          <w:highlight w:val="none"/>
        </w:rPr>
        <w:t>1.请所有供应商在政采云系统准时参加线上开标活动,并且要求法定代表人或授权委托人全程在线。</w:t>
      </w:r>
    </w:p>
    <w:p>
      <w:pPr>
        <w:widowControl/>
        <w:snapToGrid w:val="0"/>
        <w:spacing w:line="500" w:lineRule="exact"/>
        <w:ind w:firstLine="420"/>
        <w:rPr>
          <w:rFonts w:hAnsi="宋体" w:cs="宋体"/>
          <w:color w:val="auto"/>
          <w:sz w:val="21"/>
          <w:highlight w:val="none"/>
        </w:rPr>
      </w:pPr>
      <w:r>
        <w:rPr>
          <w:rFonts w:hint="eastAsia" w:hAnsi="宋体" w:cs="宋体"/>
          <w:color w:val="auto"/>
          <w:sz w:val="21"/>
          <w:highlight w:val="none"/>
        </w:rPr>
        <w:t>2.投标截止时间后，代理机构将线上开启解密，供应商需及时用CA锁在线解密，解密时间一般为半小时（解密时限由财政部门设置），逾期解密，供应商自行承担风险。</w:t>
      </w:r>
    </w:p>
    <w:p>
      <w:pPr>
        <w:snapToGrid w:val="0"/>
        <w:spacing w:line="500" w:lineRule="exact"/>
        <w:ind w:firstLine="420"/>
        <w:rPr>
          <w:rFonts w:hAnsi="宋体" w:cs="宋体"/>
          <w:color w:val="auto"/>
          <w:sz w:val="21"/>
          <w:highlight w:val="none"/>
        </w:rPr>
      </w:pPr>
      <w:r>
        <w:rPr>
          <w:rFonts w:hint="eastAsia" w:hAnsi="宋体" w:cs="宋体"/>
          <w:color w:val="auto"/>
          <w:sz w:val="21"/>
          <w:highlight w:val="none"/>
        </w:rPr>
        <w:t>3.解密响应文件的CA锁必须跟制作响应文件的CA锁为同一个，否则将导致解密失败。</w:t>
      </w:r>
    </w:p>
    <w:p>
      <w:pPr>
        <w:snapToGrid w:val="0"/>
        <w:spacing w:line="500" w:lineRule="exact"/>
        <w:ind w:firstLine="420"/>
        <w:rPr>
          <w:rFonts w:hAnsi="宋体" w:cs="宋体"/>
          <w:color w:val="auto"/>
          <w:highlight w:val="none"/>
        </w:rPr>
      </w:pPr>
      <w:r>
        <w:rPr>
          <w:rFonts w:hint="eastAsia" w:hAnsi="宋体" w:cs="宋体"/>
          <w:bCs/>
          <w:color w:val="auto"/>
          <w:sz w:val="21"/>
          <w:szCs w:val="21"/>
          <w:highlight w:val="none"/>
        </w:rPr>
        <w:t>4.请务必确保</w:t>
      </w:r>
      <w:r>
        <w:rPr>
          <w:rFonts w:hint="eastAsia" w:hAnsi="宋体" w:cs="宋体"/>
          <w:color w:val="auto"/>
          <w:sz w:val="21"/>
          <w:highlight w:val="none"/>
        </w:rPr>
        <w:t>响应文件</w:t>
      </w:r>
      <w:r>
        <w:rPr>
          <w:rFonts w:hint="eastAsia" w:hAnsi="宋体" w:cs="宋体"/>
          <w:bCs/>
          <w:color w:val="auto"/>
          <w:sz w:val="21"/>
          <w:szCs w:val="21"/>
          <w:highlight w:val="none"/>
        </w:rPr>
        <w:t>制作客户端为最新版本，旧版本可能导致</w:t>
      </w:r>
      <w:r>
        <w:rPr>
          <w:rFonts w:hint="eastAsia" w:hAnsi="宋体" w:cs="宋体"/>
          <w:color w:val="auto"/>
          <w:sz w:val="21"/>
          <w:highlight w:val="none"/>
        </w:rPr>
        <w:t>响应</w:t>
      </w:r>
      <w:r>
        <w:rPr>
          <w:rFonts w:hint="eastAsia" w:hAnsi="宋体" w:cs="宋体"/>
          <w:bCs/>
          <w:color w:val="auto"/>
          <w:sz w:val="21"/>
          <w:szCs w:val="21"/>
          <w:highlight w:val="none"/>
        </w:rPr>
        <w:t>文件解密失</w:t>
      </w:r>
      <w:r>
        <w:rPr>
          <w:rFonts w:hint="eastAsia" w:hAnsi="宋体" w:cs="宋体"/>
          <w:bCs/>
          <w:color w:val="auto"/>
          <w:sz w:val="21"/>
          <w:szCs w:val="22"/>
          <w:highlight w:val="none"/>
        </w:rPr>
        <w:t>败。</w:t>
      </w:r>
    </w:p>
    <w:p>
      <w:pPr>
        <w:widowControl/>
        <w:autoSpaceDE/>
        <w:autoSpaceDN/>
        <w:adjustRightInd/>
        <w:textAlignment w:val="auto"/>
        <w:rPr>
          <w:rFonts w:hAnsi="宋体" w:cs="宋体"/>
          <w:color w:val="auto"/>
          <w:highlight w:val="none"/>
        </w:rPr>
      </w:pPr>
      <w:r>
        <w:rPr>
          <w:rFonts w:hint="eastAsia" w:hAnsi="宋体" w:cs="宋体"/>
          <w:color w:val="auto"/>
          <w:highlight w:val="none"/>
        </w:rPr>
        <w:br w:type="page"/>
      </w:r>
    </w:p>
    <w:bookmarkEnd w:id="663"/>
    <w:bookmarkEnd w:id="664"/>
    <w:bookmarkEnd w:id="665"/>
    <w:p>
      <w:pPr>
        <w:pStyle w:val="2"/>
        <w:spacing w:line="480" w:lineRule="exact"/>
        <w:jc w:val="center"/>
        <w:rPr>
          <w:rFonts w:hAnsi="宋体" w:cs="宋体"/>
          <w:color w:val="auto"/>
          <w:sz w:val="30"/>
          <w:szCs w:val="30"/>
          <w:highlight w:val="none"/>
        </w:rPr>
      </w:pPr>
      <w:bookmarkStart w:id="667" w:name="_Toc14625"/>
      <w:bookmarkStart w:id="668" w:name="_Toc354841320"/>
      <w:bookmarkStart w:id="669" w:name="_Toc256977544"/>
      <w:bookmarkStart w:id="670" w:name="_Toc265065988"/>
      <w:bookmarkStart w:id="671" w:name="_Toc237414013"/>
      <w:bookmarkStart w:id="672" w:name="_Toc237413918"/>
      <w:bookmarkStart w:id="673" w:name="_Toc237189785"/>
      <w:bookmarkStart w:id="674" w:name="_Toc296074345"/>
      <w:bookmarkStart w:id="675" w:name="_Toc237193456"/>
      <w:bookmarkStart w:id="676" w:name="_Toc264211076"/>
      <w:bookmarkStart w:id="677" w:name="_Toc237340112"/>
      <w:bookmarkStart w:id="678" w:name="_Toc295737634"/>
      <w:bookmarkStart w:id="679" w:name="_Toc295910882"/>
      <w:r>
        <w:rPr>
          <w:rFonts w:hint="eastAsia" w:hAnsi="宋体" w:cs="宋体"/>
          <w:color w:val="auto"/>
          <w:sz w:val="30"/>
          <w:szCs w:val="30"/>
          <w:highlight w:val="none"/>
        </w:rPr>
        <w:t>第四部分  磋商办法及评分标准</w:t>
      </w:r>
      <w:bookmarkEnd w:id="667"/>
      <w:bookmarkEnd w:id="668"/>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为公正、公平、科学地选择成交供应商，按照《中华人民共和国政府采购法》等有关法律法规的规定，并结合本项目的实际，制定本办法。</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本办法适用本项目的磋商。</w:t>
      </w:r>
    </w:p>
    <w:p>
      <w:pPr>
        <w:pStyle w:val="41"/>
        <w:adjustRightInd w:val="0"/>
        <w:snapToGrid w:val="0"/>
        <w:spacing w:before="0" w:beforeAutospacing="0" w:after="0" w:afterAutospacing="0" w:line="500" w:lineRule="exact"/>
        <w:ind w:firstLine="422" w:firstLineChars="200"/>
        <w:rPr>
          <w:b/>
          <w:bCs/>
          <w:color w:val="auto"/>
          <w:highlight w:val="none"/>
        </w:rPr>
      </w:pPr>
      <w:r>
        <w:rPr>
          <w:rFonts w:hint="eastAsia"/>
          <w:b/>
          <w:color w:val="auto"/>
          <w:sz w:val="21"/>
          <w:szCs w:val="21"/>
          <w:highlight w:val="none"/>
        </w:rPr>
        <w:t>一、评审纪律和要求</w:t>
      </w:r>
    </w:p>
    <w:p>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1.评审专家必须公平、公正评审，遵纪守法，客观、廉洁地履行职责。</w:t>
      </w:r>
    </w:p>
    <w:p>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2.评审专家在评审开始前，应关闭并上交随身携带的各种通信工具。</w:t>
      </w:r>
    </w:p>
    <w:p>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3.评审专家在评审过程中，未经许可不得中途离开评审现场，不得迟到早退。</w:t>
      </w:r>
    </w:p>
    <w:p>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4.评审专家和工作人员不得透露评审过程中的讨论情况和评审结果。</w:t>
      </w:r>
    </w:p>
    <w:p>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5.评审时，评审专家须按招标文件规定的程序、条件和标准，对供应商竞争性谈判响应文件的合规性、完整性和有效性进行审查、比较和评估，其中对供应商的资格条件、主要技术参数、商务报价和其他评审要素等，评审专家应逐项进行审查、比较，不得漏评少评。</w:t>
      </w:r>
      <w:r>
        <w:rPr>
          <w:rFonts w:hint="eastAsia" w:hAnsi="宋体" w:cs="宋体"/>
          <w:b/>
          <w:bCs/>
          <w:color w:val="auto"/>
          <w:sz w:val="21"/>
          <w:szCs w:val="21"/>
          <w:highlight w:val="none"/>
        </w:rPr>
        <w:t>如发现与招标文件要求相偏离的，应对其偏离情形进行必要的核实，并在工作底稿中予以说明；如属于实质性偏离或符合无效竞争性谈判响应文件的，可询问供应商，并允许供应商进行陈述申辩，但不允许其对偏离条款进行补充、修正或撤回</w:t>
      </w:r>
      <w:r>
        <w:rPr>
          <w:rFonts w:hint="eastAsia" w:hAnsi="宋体" w:cs="宋体"/>
          <w:color w:val="auto"/>
          <w:sz w:val="21"/>
          <w:szCs w:val="21"/>
          <w:highlight w:val="none"/>
        </w:rPr>
        <w:t>。</w:t>
      </w:r>
    </w:p>
    <w:p>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6.采购人、采购代理机构不得向评审委员会的评审专家做倾向性、误导性的解释或者说明。</w:t>
      </w:r>
    </w:p>
    <w:p>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7.采购代理机构应当为评审专家提供必要的评审条件和相应的评审工作底稿，并严格按规定程序组织评审专家有步骤地进行项目评审，</w:t>
      </w:r>
      <w:r>
        <w:rPr>
          <w:rFonts w:hint="eastAsia" w:hAnsi="宋体" w:cs="宋体"/>
          <w:b/>
          <w:bCs/>
          <w:color w:val="auto"/>
          <w:sz w:val="21"/>
          <w:szCs w:val="21"/>
          <w:highlight w:val="none"/>
        </w:rPr>
        <w:t>对各评审专家的评审情况和评审意见进行合理性和合规性审查，对明显畸高、畸低的重大差异评审情况（其总评分偏离平均分30%以上），提醒相关评审专家进行复核或书面说明理由</w:t>
      </w:r>
      <w:r>
        <w:rPr>
          <w:rFonts w:hint="eastAsia" w:hAnsi="宋体" w:cs="宋体"/>
          <w:color w:val="auto"/>
          <w:sz w:val="21"/>
          <w:szCs w:val="21"/>
          <w:highlight w:val="none"/>
        </w:rPr>
        <w:t>。</w:t>
      </w:r>
    </w:p>
    <w:p>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8.评审专家在评审过程中不得将自己的观点强加给其他评审专家，评审专家应自主发表见解，对评审意见承担个人责任。</w:t>
      </w:r>
    </w:p>
    <w:p>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9.</w:t>
      </w:r>
      <w:r>
        <w:rPr>
          <w:rFonts w:hint="eastAsia" w:hAnsi="宋体" w:cs="宋体"/>
          <w:b/>
          <w:bCs/>
          <w:color w:val="auto"/>
          <w:sz w:val="21"/>
          <w:szCs w:val="21"/>
          <w:highlight w:val="none"/>
        </w:rPr>
        <w:t>评审结束后，评审委员会应向采购代理机构提交项目评审报告。评审报告是采购人确定成交人的合法依据，评审委员会应当如实、客观地反映评审情况，按招标文件的评审办法和细则的规定推荐中标候选人，说明推荐理由，并重点对中标候选人的技术、服务和价格等情况进行评价和比较。如排名第一的供应商报价为最高报价的，评审报告中须对其报价的合理性等进行分析和特别说明</w:t>
      </w:r>
      <w:r>
        <w:rPr>
          <w:rFonts w:hint="eastAsia" w:hAnsi="宋体" w:cs="宋体"/>
          <w:color w:val="auto"/>
          <w:sz w:val="21"/>
          <w:szCs w:val="21"/>
          <w:highlight w:val="none"/>
        </w:rPr>
        <w:t>。</w:t>
      </w:r>
    </w:p>
    <w:p>
      <w:pPr>
        <w:autoSpaceDE/>
        <w:autoSpaceDN/>
        <w:snapToGrid w:val="0"/>
        <w:spacing w:line="500" w:lineRule="exact"/>
        <w:ind w:firstLine="422" w:firstLineChars="200"/>
        <w:textAlignment w:val="auto"/>
        <w:rPr>
          <w:rFonts w:hAnsi="宋体" w:cs="宋体"/>
          <w:b/>
          <w:bCs/>
          <w:color w:val="auto"/>
          <w:sz w:val="21"/>
          <w:szCs w:val="21"/>
          <w:highlight w:val="none"/>
        </w:rPr>
      </w:pPr>
      <w:r>
        <w:rPr>
          <w:rFonts w:hint="eastAsia" w:hAnsi="宋体" w:cs="宋体"/>
          <w:b/>
          <w:bCs/>
          <w:color w:val="auto"/>
          <w:sz w:val="21"/>
          <w:szCs w:val="21"/>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pPr>
        <w:autoSpaceDE/>
        <w:autoSpaceDN/>
        <w:snapToGrid w:val="0"/>
        <w:spacing w:line="500" w:lineRule="exact"/>
        <w:ind w:firstLine="422" w:firstLineChars="200"/>
        <w:textAlignment w:val="auto"/>
        <w:rPr>
          <w:rFonts w:hAnsi="宋体" w:cs="宋体"/>
          <w:b/>
          <w:bCs/>
          <w:color w:val="auto"/>
          <w:sz w:val="21"/>
          <w:szCs w:val="21"/>
          <w:highlight w:val="none"/>
        </w:rPr>
      </w:pPr>
      <w:r>
        <w:rPr>
          <w:rFonts w:hint="eastAsia" w:hAnsi="宋体" w:cs="宋体"/>
          <w:b/>
          <w:bCs/>
          <w:color w:val="auto"/>
          <w:sz w:val="21"/>
          <w:szCs w:val="21"/>
          <w:highlight w:val="none"/>
        </w:rPr>
        <w:t>11.评审专家应当遵守评审工作纪律，不得泄露评审文件、评审情况和评审中获悉的商业秘密。</w:t>
      </w:r>
    </w:p>
    <w:p>
      <w:pPr>
        <w:autoSpaceDE/>
        <w:autoSpaceDN/>
        <w:snapToGrid w:val="0"/>
        <w:spacing w:line="500" w:lineRule="exact"/>
        <w:ind w:firstLine="422" w:firstLineChars="200"/>
        <w:textAlignment w:val="auto"/>
        <w:rPr>
          <w:rFonts w:hAnsi="宋体" w:cs="宋体"/>
          <w:b/>
          <w:bCs/>
          <w:color w:val="auto"/>
          <w:sz w:val="21"/>
          <w:szCs w:val="21"/>
          <w:highlight w:val="none"/>
        </w:rPr>
      </w:pPr>
      <w:r>
        <w:rPr>
          <w:rFonts w:hint="eastAsia" w:hAnsi="宋体" w:cs="宋体"/>
          <w:b/>
          <w:bCs/>
          <w:color w:val="auto"/>
          <w:sz w:val="21"/>
          <w:szCs w:val="21"/>
          <w:highlight w:val="none"/>
        </w:rPr>
        <w:t>评审委员会在评审过程中发现供应商有行贿、提供虚假材料或者串通等违法行为的，应当及时向财政部门报告。</w:t>
      </w:r>
    </w:p>
    <w:p>
      <w:pPr>
        <w:autoSpaceDE/>
        <w:autoSpaceDN/>
        <w:snapToGrid w:val="0"/>
        <w:spacing w:line="500" w:lineRule="exact"/>
        <w:ind w:firstLine="422" w:firstLineChars="200"/>
        <w:textAlignment w:val="auto"/>
        <w:rPr>
          <w:rFonts w:hAnsi="宋体" w:cs="宋体"/>
          <w:b/>
          <w:bCs/>
          <w:color w:val="auto"/>
          <w:sz w:val="21"/>
          <w:szCs w:val="21"/>
          <w:highlight w:val="none"/>
        </w:rPr>
      </w:pPr>
      <w:r>
        <w:rPr>
          <w:rFonts w:hint="eastAsia" w:hAnsi="宋体" w:cs="宋体"/>
          <w:b/>
          <w:bCs/>
          <w:color w:val="auto"/>
          <w:sz w:val="21"/>
          <w:szCs w:val="21"/>
          <w:highlight w:val="none"/>
        </w:rPr>
        <w:t>12.招标文件内容违反国家有关强制性规定的，评审委员会应当停止评审并向采购代理机构说明情况。</w:t>
      </w:r>
    </w:p>
    <w:p>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13.评审专家应当配合采购代理机构答复供应商提出的质疑。</w:t>
      </w:r>
    </w:p>
    <w:p>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14.评审专家应当配合财政部门的投诉处理工作。</w:t>
      </w:r>
    </w:p>
    <w:p>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15.评审专家有如下行为之一的，责令改正，给予警告，可以并处一千元以下的罚款：</w:t>
      </w:r>
    </w:p>
    <w:p>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①明知应当回避而未主动回避的；</w:t>
      </w:r>
    </w:p>
    <w:p>
      <w:pPr>
        <w:autoSpaceDE/>
        <w:autoSpaceDN/>
        <w:snapToGrid w:val="0"/>
        <w:spacing w:line="500" w:lineRule="exact"/>
        <w:ind w:firstLine="376" w:firstLineChars="200"/>
        <w:textAlignment w:val="auto"/>
        <w:rPr>
          <w:rFonts w:hAnsi="宋体" w:cs="宋体"/>
          <w:color w:val="auto"/>
          <w:sz w:val="21"/>
          <w:szCs w:val="21"/>
          <w:highlight w:val="none"/>
        </w:rPr>
      </w:pPr>
      <w:r>
        <w:rPr>
          <w:rFonts w:hint="eastAsia" w:hAnsi="宋体" w:cs="宋体"/>
          <w:snapToGrid w:val="0"/>
          <w:color w:val="auto"/>
          <w:spacing w:val="-11"/>
          <w:sz w:val="21"/>
          <w:szCs w:val="21"/>
          <w:highlight w:val="none"/>
        </w:rPr>
        <w:t>②在得知自己为评审专家身份后至评审结束前时段内私下接触供应商的</w:t>
      </w:r>
      <w:r>
        <w:rPr>
          <w:rFonts w:hint="eastAsia" w:hAnsi="宋体" w:cs="宋体"/>
          <w:color w:val="auto"/>
          <w:sz w:val="21"/>
          <w:szCs w:val="21"/>
          <w:highlight w:val="none"/>
        </w:rPr>
        <w:t>；</w:t>
      </w:r>
    </w:p>
    <w:p>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③在评审过程中擅离职守，影响评审程序正常进行的；</w:t>
      </w:r>
    </w:p>
    <w:p>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④在评审过程有明显不合理或者不正当倾向性的；</w:t>
      </w:r>
    </w:p>
    <w:p>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⑤未按招标文件规定的评审方法和标准进行评审的。</w:t>
      </w:r>
    </w:p>
    <w:p>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⑥上述①至⑤行为影响中标结果的，中标结果无效。</w:t>
      </w:r>
    </w:p>
    <w:p>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政府采购评审专家与供应商存在利害关系未回避的，处2万元以上5万元以下的罚款，禁止其参加政府采购评审活动。</w:t>
      </w:r>
    </w:p>
    <w:p>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政府采购评审专家收受采购人、采购代理机构、供应商贿赂或者获取其他不正当利益，构成犯罪的，依法追究刑事责任；尚不构成犯罪的，处2万元以上5万元以下的罚款，禁止其参加政府采购评审活动。</w:t>
      </w:r>
    </w:p>
    <w:p>
      <w:pPr>
        <w:autoSpaceDE/>
        <w:autoSpaceDN/>
        <w:snapToGrid w:val="0"/>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政府采购评审专家有上述违法行为的，其评审意见无效，不得获取评审费；有违法所得的，没收违法所得；给他人造成损失的，依法承担民事责任。</w:t>
      </w:r>
    </w:p>
    <w:p>
      <w:pPr>
        <w:pStyle w:val="41"/>
        <w:adjustRightInd w:val="0"/>
        <w:snapToGrid w:val="0"/>
        <w:spacing w:before="0" w:beforeAutospacing="0" w:after="0" w:afterAutospacing="0" w:line="500" w:lineRule="exact"/>
        <w:ind w:firstLine="422" w:firstLineChars="200"/>
        <w:rPr>
          <w:b/>
          <w:color w:val="auto"/>
          <w:sz w:val="21"/>
          <w:szCs w:val="21"/>
          <w:highlight w:val="none"/>
        </w:rPr>
      </w:pPr>
      <w:r>
        <w:rPr>
          <w:rFonts w:hint="eastAsia"/>
          <w:b/>
          <w:color w:val="auto"/>
          <w:sz w:val="21"/>
          <w:szCs w:val="21"/>
          <w:highlight w:val="none"/>
        </w:rPr>
        <w:t>二、评标定标时对政府采购政策的落实要求</w:t>
      </w:r>
    </w:p>
    <w:p>
      <w:pPr>
        <w:pStyle w:val="41"/>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1.采购项目需要落实的政府采购政策</w:t>
      </w:r>
    </w:p>
    <w:p>
      <w:pPr>
        <w:pStyle w:val="41"/>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pStyle w:val="41"/>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1.2 支持绿色发展</w:t>
      </w:r>
    </w:p>
    <w:p>
      <w:pPr>
        <w:pStyle w:val="41"/>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pStyle w:val="41"/>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41"/>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1.3支持中小企业发展</w:t>
      </w:r>
    </w:p>
    <w:p>
      <w:pPr>
        <w:pStyle w:val="41"/>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41"/>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符合中小企业划分标准的个体工商户，在政府采购活动中视同中小企业。</w:t>
      </w:r>
    </w:p>
    <w:p>
      <w:pPr>
        <w:pStyle w:val="41"/>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1.3.2在政府采购活动中，供应商提供的货物、工程或者服务符合下列情形的，享受中小企业扶持政策：</w:t>
      </w:r>
    </w:p>
    <w:p>
      <w:pPr>
        <w:pStyle w:val="41"/>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1.3.2.1在货物采购项目中，货物由中小企业制造，即货物由中小企业生产且使用该中小企业商号或者注册商标；</w:t>
      </w:r>
    </w:p>
    <w:p>
      <w:pPr>
        <w:pStyle w:val="41"/>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1.3.2.2在工程采购项目中，工程由中小企业承建，即工程施工单位为中小企业；</w:t>
      </w:r>
    </w:p>
    <w:p>
      <w:pPr>
        <w:pStyle w:val="41"/>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1.3.2.3在服务采购项目中，服务由中小企业承接，即提供服务的人员为中小企业依照《中华人民共和国劳动合同法》订立劳动合同的从业人员。</w:t>
      </w:r>
    </w:p>
    <w:p>
      <w:pPr>
        <w:pStyle w:val="41"/>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在货物采购项目中，供应商提供的货物既有中小企业制造货物，也有大型企业制造货物的，不享受中小企业扶持政策。</w:t>
      </w:r>
    </w:p>
    <w:p>
      <w:pPr>
        <w:pStyle w:val="41"/>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以联合体形式参加政府采购活动，联合体各方均为中小企业的，联合体视同中小企业。其中，联合体各方均为小微企业的，联合体视同小微企业。</w:t>
      </w:r>
    </w:p>
    <w:p>
      <w:pPr>
        <w:pStyle w:val="41"/>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pPr>
        <w:pStyle w:val="41"/>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1.3.4符合《关于促进残疾人就业政府采购政策的通知》（财库〔2017〕141号）规定的条件并提供《残疾人福利性单位声明函》的残疾人福利性单位视同小型、微型企业；</w:t>
      </w:r>
    </w:p>
    <w:p>
      <w:pPr>
        <w:pStyle w:val="41"/>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1.3.5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41"/>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pStyle w:val="41"/>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1.3.7中小企业享受扶持政策获得政府采购合同的，小微企业不得将合同分包给大中型企业，中型企业不得将合同分包给大型企业。</w:t>
      </w:r>
    </w:p>
    <w:p>
      <w:pPr>
        <w:pStyle w:val="41"/>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1.4支持创新发展</w:t>
      </w:r>
    </w:p>
    <w:p>
      <w:pPr>
        <w:pStyle w:val="41"/>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1.4.1 采购人优先采购被认定为首台套产品和“制造精品”的自主创新产品。</w:t>
      </w:r>
    </w:p>
    <w:p>
      <w:pPr>
        <w:pStyle w:val="41"/>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1.4.2</w:t>
      </w:r>
      <w:r>
        <w:rPr>
          <w:rFonts w:hint="eastAsia"/>
          <w:b/>
          <w:bCs/>
          <w:color w:val="auto"/>
          <w:sz w:val="21"/>
          <w:szCs w:val="21"/>
          <w:highlight w:val="none"/>
        </w:rPr>
        <w:t>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r>
        <w:rPr>
          <w:rFonts w:hint="eastAsia"/>
          <w:color w:val="auto"/>
          <w:sz w:val="21"/>
          <w:szCs w:val="21"/>
          <w:highlight w:val="none"/>
        </w:rPr>
        <w:t>。</w:t>
      </w:r>
    </w:p>
    <w:p>
      <w:pPr>
        <w:autoSpaceDE/>
        <w:autoSpaceDN/>
        <w:adjustRightInd/>
        <w:spacing w:line="500" w:lineRule="exact"/>
        <w:ind w:firstLine="420" w:firstLineChars="200"/>
        <w:jc w:val="both"/>
        <w:textAlignment w:val="auto"/>
        <w:rPr>
          <w:rFonts w:hAnsi="宋体" w:cs="宋体"/>
          <w:b/>
          <w:color w:val="auto"/>
          <w:sz w:val="21"/>
          <w:szCs w:val="21"/>
          <w:highlight w:val="none"/>
        </w:rPr>
      </w:pPr>
      <w:bookmarkStart w:id="680" w:name="_Toc15807"/>
      <w:r>
        <w:rPr>
          <w:rFonts w:hint="eastAsia" w:hAnsi="宋体" w:cs="宋体"/>
          <w:color w:val="auto"/>
          <w:sz w:val="21"/>
          <w:szCs w:val="21"/>
          <w:highlight w:val="none"/>
        </w:rPr>
        <w:t>1.5中小企业信用融资：为支持和促进中小企业发展，进一步发挥政府采购政策功能，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w:t>
      </w:r>
      <w:r>
        <w:rPr>
          <w:rFonts w:hint="eastAsia" w:hAnsi="宋体" w:cs="宋体"/>
          <w:bCs/>
          <w:color w:val="auto"/>
          <w:sz w:val="21"/>
          <w:szCs w:val="21"/>
          <w:highlight w:val="none"/>
        </w:rPr>
        <w:t>https://zfcg. czt.zj. gov.cn/</w:t>
      </w:r>
      <w:r>
        <w:rPr>
          <w:rFonts w:hint="eastAsia" w:hAnsi="宋体" w:cs="宋体"/>
          <w:color w:val="auto"/>
          <w:sz w:val="21"/>
          <w:szCs w:val="21"/>
          <w:highlight w:val="none"/>
        </w:rPr>
        <w:t xml:space="preserve">)的中小企业信用融资栏目了解相关信息。 </w:t>
      </w:r>
      <w:r>
        <w:rPr>
          <w:rFonts w:hint="eastAsia" w:hAnsi="宋体" w:cs="宋体"/>
          <w:bCs/>
          <w:color w:val="auto"/>
          <w:sz w:val="21"/>
          <w:szCs w:val="21"/>
          <w:highlight w:val="none"/>
        </w:rPr>
        <w:t>供应商可以通过浙江政府采购网(https://zfcg. czt.zj. gov.cn/)首页的“政采云金融服务”模块进入申请，还可以通过政府采购云平台(https://www.zcygov.cn/)首页的“金融服务”模块进入申请。</w:t>
      </w:r>
      <w:bookmarkEnd w:id="680"/>
    </w:p>
    <w:p>
      <w:pPr>
        <w:autoSpaceDE/>
        <w:autoSpaceDN/>
        <w:adjustRightInd/>
        <w:spacing w:line="500" w:lineRule="exact"/>
        <w:ind w:firstLine="422" w:firstLineChars="200"/>
        <w:jc w:val="both"/>
        <w:textAlignment w:val="auto"/>
        <w:rPr>
          <w:rFonts w:hAnsi="宋体" w:cs="宋体"/>
          <w:b/>
          <w:color w:val="auto"/>
          <w:sz w:val="21"/>
          <w:szCs w:val="21"/>
          <w:highlight w:val="none"/>
        </w:rPr>
      </w:pPr>
      <w:r>
        <w:rPr>
          <w:rFonts w:hint="eastAsia" w:hAnsi="宋体" w:cs="宋体"/>
          <w:b/>
          <w:color w:val="auto"/>
          <w:sz w:val="21"/>
          <w:szCs w:val="21"/>
          <w:highlight w:val="none"/>
        </w:rPr>
        <w:t>三、磋商内容及标准</w:t>
      </w:r>
    </w:p>
    <w:p>
      <w:pPr>
        <w:autoSpaceDE/>
        <w:autoSpaceDN/>
        <w:adjustRightInd/>
        <w:spacing w:line="500" w:lineRule="exact"/>
        <w:ind w:firstLine="422" w:firstLineChars="200"/>
        <w:jc w:val="both"/>
        <w:textAlignment w:val="auto"/>
        <w:rPr>
          <w:rFonts w:hAnsi="宋体" w:cs="宋体"/>
          <w:color w:val="auto"/>
          <w:sz w:val="21"/>
          <w:szCs w:val="21"/>
          <w:highlight w:val="none"/>
        </w:rPr>
      </w:pPr>
      <w:r>
        <w:rPr>
          <w:rFonts w:hint="eastAsia" w:hAnsi="宋体" w:cs="宋体"/>
          <w:b/>
          <w:color w:val="auto"/>
          <w:sz w:val="21"/>
          <w:szCs w:val="21"/>
          <w:highlight w:val="none"/>
        </w:rPr>
        <w:t>1.本次磋商采用综合评分法</w:t>
      </w:r>
      <w:r>
        <w:rPr>
          <w:rFonts w:hint="eastAsia" w:hAnsi="宋体" w:cs="宋体"/>
          <w:color w:val="auto"/>
          <w:sz w:val="21"/>
          <w:szCs w:val="21"/>
          <w:highlight w:val="none"/>
        </w:rPr>
        <w:t>，总分为100分，由</w:t>
      </w:r>
      <w:r>
        <w:rPr>
          <w:rFonts w:hint="eastAsia" w:hAnsi="宋体" w:cs="宋体"/>
          <w:b/>
          <w:color w:val="auto"/>
          <w:sz w:val="21"/>
          <w:szCs w:val="21"/>
          <w:highlight w:val="none"/>
        </w:rPr>
        <w:t>价格分（磋商报价得分）20分、技术商务分80分</w:t>
      </w:r>
      <w:r>
        <w:rPr>
          <w:rFonts w:hint="eastAsia" w:hAnsi="宋体" w:cs="宋体"/>
          <w:color w:val="auto"/>
          <w:sz w:val="21"/>
          <w:szCs w:val="21"/>
          <w:highlight w:val="none"/>
        </w:rPr>
        <w:t>二部分组成。合格响应供应商的磋商得分为各项目汇总得分，成交候选资格按磋商汇总得分由高到低顺序排列；汇总得分相同的，按价格分由高到低顺序排列。排名第一的响应供应商为成交候选人，排名第二的响应供应商为候补成交候选人……其他响应供应商成交候选资格依此类推。评分过程中采用四舍五入法，并保留小数2位。</w:t>
      </w:r>
    </w:p>
    <w:p>
      <w:pPr>
        <w:autoSpaceDE/>
        <w:autoSpaceDN/>
        <w:adjustRightInd/>
        <w:spacing w:line="500" w:lineRule="exact"/>
        <w:ind w:firstLine="420" w:firstLineChars="200"/>
        <w:jc w:val="both"/>
        <w:textAlignment w:val="auto"/>
        <w:rPr>
          <w:rFonts w:hAnsi="宋体" w:cs="宋体"/>
          <w:b/>
          <w:color w:val="auto"/>
          <w:sz w:val="21"/>
          <w:szCs w:val="21"/>
          <w:highlight w:val="none"/>
        </w:rPr>
      </w:pPr>
      <w:r>
        <w:rPr>
          <w:rFonts w:hint="eastAsia" w:hAnsi="宋体" w:cs="宋体"/>
          <w:color w:val="auto"/>
          <w:sz w:val="21"/>
          <w:szCs w:val="21"/>
          <w:highlight w:val="none"/>
        </w:rPr>
        <w:t>响应供应商磋商综合得分=价格分+技术商务分</w:t>
      </w:r>
    </w:p>
    <w:p>
      <w:pPr>
        <w:autoSpaceDE/>
        <w:autoSpaceDN/>
        <w:adjustRightInd/>
        <w:spacing w:line="460" w:lineRule="exact"/>
        <w:ind w:firstLine="422" w:firstLineChars="200"/>
        <w:jc w:val="both"/>
        <w:rPr>
          <w:rFonts w:hAnsi="宋体" w:cs="宋体"/>
          <w:color w:val="auto"/>
          <w:sz w:val="21"/>
          <w:szCs w:val="21"/>
          <w:highlight w:val="none"/>
        </w:rPr>
      </w:pPr>
      <w:r>
        <w:rPr>
          <w:rFonts w:hint="eastAsia" w:hAnsi="宋体" w:cs="宋体"/>
          <w:b/>
          <w:color w:val="auto"/>
          <w:sz w:val="21"/>
          <w:szCs w:val="21"/>
          <w:highlight w:val="none"/>
        </w:rPr>
        <w:t>2.价格分:</w:t>
      </w:r>
      <w:r>
        <w:rPr>
          <w:rFonts w:hint="eastAsia" w:hAnsi="宋体" w:cs="宋体"/>
          <w:color w:val="auto"/>
          <w:sz w:val="21"/>
          <w:szCs w:val="21"/>
          <w:highlight w:val="none"/>
        </w:rPr>
        <w:t>价格分采用低价优先法计算，即：以满足招标文件要求且最终磋商报价最低价者定为磋商基准价，其价格分为满分。其他合格响应供应商的价格分统一按照下列公式计算：</w:t>
      </w:r>
    </w:p>
    <w:p>
      <w:pPr>
        <w:autoSpaceDE/>
        <w:autoSpaceDN/>
        <w:adjustRightInd/>
        <w:spacing w:line="46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 xml:space="preserve">其他合格响应供应商的价格分=（磋商基准价/该供应商的最终磋商报价）×20%×100 </w:t>
      </w:r>
    </w:p>
    <w:p>
      <w:pPr>
        <w:autoSpaceDE/>
        <w:autoSpaceDN/>
        <w:adjustRightInd/>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磋商小组认为响应供应商的报价明显低于其他通过符合性审查响应供应商的报价，有可能影响产品质量或者不能诚信履约的，将要求其在磋商现场（在线）合理的时间内提供书面说明，必要时提交相关证明材料；响应供应商不能证明其报价合理性的，磋商小组可将其作为无效响应文件处理。</w:t>
      </w:r>
    </w:p>
    <w:p>
      <w:pPr>
        <w:pStyle w:val="44"/>
        <w:numPr>
          <w:ilvl w:val="0"/>
          <w:numId w:val="2"/>
        </w:numPr>
        <w:adjustRightInd w:val="0"/>
        <w:snapToGrid w:val="0"/>
        <w:spacing w:after="0" w:line="500" w:lineRule="exact"/>
        <w:ind w:leftChars="0"/>
        <w:rPr>
          <w:rFonts w:ascii="宋体" w:hAnsi="宋体"/>
          <w:b/>
          <w:color w:val="auto"/>
          <w:highlight w:val="none"/>
        </w:rPr>
      </w:pPr>
      <w:r>
        <w:rPr>
          <w:rFonts w:hint="eastAsia" w:ascii="宋体" w:hAnsi="宋体"/>
          <w:b/>
          <w:color w:val="auto"/>
          <w:highlight w:val="none"/>
        </w:rPr>
        <w:t>技术商务分评分标准(80分)</w:t>
      </w:r>
    </w:p>
    <w:tbl>
      <w:tblPr>
        <w:tblStyle w:val="4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6"/>
        <w:gridCol w:w="1123"/>
        <w:gridCol w:w="6564"/>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596" w:type="dxa"/>
            <w:vAlign w:val="center"/>
          </w:tcPr>
          <w:p>
            <w:pPr>
              <w:spacing w:line="460" w:lineRule="exact"/>
              <w:jc w:val="center"/>
              <w:rPr>
                <w:rFonts w:hAnsi="宋体" w:cs="宋体"/>
                <w:color w:val="auto"/>
                <w:sz w:val="21"/>
                <w:szCs w:val="21"/>
                <w:highlight w:val="none"/>
              </w:rPr>
            </w:pPr>
            <w:r>
              <w:rPr>
                <w:rFonts w:hint="eastAsia" w:hAnsi="宋体" w:cs="宋体"/>
                <w:color w:val="auto"/>
                <w:sz w:val="21"/>
                <w:szCs w:val="21"/>
                <w:highlight w:val="none"/>
              </w:rPr>
              <w:t>序号</w:t>
            </w:r>
          </w:p>
        </w:tc>
        <w:tc>
          <w:tcPr>
            <w:tcW w:w="1123" w:type="dxa"/>
            <w:vAlign w:val="center"/>
          </w:tcPr>
          <w:p>
            <w:pPr>
              <w:spacing w:line="460" w:lineRule="exact"/>
              <w:jc w:val="center"/>
              <w:rPr>
                <w:rFonts w:hAnsi="宋体" w:cs="宋体"/>
                <w:color w:val="auto"/>
                <w:sz w:val="21"/>
                <w:szCs w:val="21"/>
                <w:highlight w:val="none"/>
              </w:rPr>
            </w:pPr>
            <w:r>
              <w:rPr>
                <w:rFonts w:hint="eastAsia" w:hAnsi="宋体" w:cs="宋体"/>
                <w:color w:val="auto"/>
                <w:sz w:val="21"/>
                <w:szCs w:val="21"/>
                <w:highlight w:val="none"/>
              </w:rPr>
              <w:t>评分项目</w:t>
            </w:r>
          </w:p>
        </w:tc>
        <w:tc>
          <w:tcPr>
            <w:tcW w:w="6564" w:type="dxa"/>
            <w:vAlign w:val="center"/>
          </w:tcPr>
          <w:p>
            <w:pPr>
              <w:spacing w:line="460" w:lineRule="exact"/>
              <w:jc w:val="center"/>
              <w:rPr>
                <w:rFonts w:hAnsi="宋体" w:cs="宋体"/>
                <w:color w:val="auto"/>
                <w:sz w:val="21"/>
                <w:szCs w:val="21"/>
                <w:highlight w:val="none"/>
              </w:rPr>
            </w:pPr>
            <w:r>
              <w:rPr>
                <w:rFonts w:hint="eastAsia" w:hAnsi="宋体" w:cs="宋体"/>
                <w:color w:val="auto"/>
                <w:sz w:val="21"/>
                <w:szCs w:val="21"/>
                <w:highlight w:val="none"/>
              </w:rPr>
              <w:t>评标要点及说明</w:t>
            </w:r>
          </w:p>
        </w:tc>
        <w:tc>
          <w:tcPr>
            <w:tcW w:w="756" w:type="dxa"/>
            <w:vAlign w:val="center"/>
          </w:tcPr>
          <w:p>
            <w:pPr>
              <w:spacing w:line="460" w:lineRule="exact"/>
              <w:jc w:val="center"/>
              <w:rPr>
                <w:rFonts w:hAnsi="宋体" w:cs="宋体"/>
                <w:color w:val="auto"/>
                <w:sz w:val="21"/>
                <w:szCs w:val="21"/>
                <w:highlight w:val="none"/>
              </w:rPr>
            </w:pPr>
            <w:r>
              <w:rPr>
                <w:rFonts w:hint="eastAsia" w:hAnsi="宋体" w:cs="宋体"/>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596" w:type="dxa"/>
            <w:vAlign w:val="center"/>
          </w:tcPr>
          <w:p>
            <w:pPr>
              <w:spacing w:line="460" w:lineRule="exact"/>
              <w:jc w:val="center"/>
              <w:rPr>
                <w:rFonts w:hAnsi="宋体" w:cs="宋体"/>
                <w:color w:val="auto"/>
                <w:sz w:val="21"/>
                <w:szCs w:val="21"/>
                <w:highlight w:val="none"/>
              </w:rPr>
            </w:pPr>
            <w:r>
              <w:rPr>
                <w:rFonts w:hint="eastAsia" w:hAnsi="宋体" w:cs="宋体"/>
                <w:color w:val="auto"/>
                <w:sz w:val="21"/>
                <w:szCs w:val="21"/>
                <w:highlight w:val="none"/>
              </w:rPr>
              <w:t>1</w:t>
            </w:r>
          </w:p>
        </w:tc>
        <w:tc>
          <w:tcPr>
            <w:tcW w:w="1123" w:type="dxa"/>
            <w:vAlign w:val="center"/>
          </w:tcPr>
          <w:p>
            <w:pPr>
              <w:pStyle w:val="41"/>
              <w:spacing w:before="0" w:beforeAutospacing="0" w:after="0" w:afterAutospacing="0" w:line="460" w:lineRule="exact"/>
              <w:jc w:val="center"/>
              <w:rPr>
                <w:color w:val="auto"/>
                <w:sz w:val="21"/>
                <w:szCs w:val="21"/>
                <w:highlight w:val="none"/>
              </w:rPr>
            </w:pPr>
            <w:r>
              <w:rPr>
                <w:rFonts w:hint="eastAsia"/>
                <w:color w:val="auto"/>
                <w:sz w:val="21"/>
                <w:szCs w:val="21"/>
                <w:highlight w:val="none"/>
              </w:rPr>
              <w:t>供应商资信情况</w:t>
            </w:r>
          </w:p>
        </w:tc>
        <w:tc>
          <w:tcPr>
            <w:tcW w:w="6564" w:type="dxa"/>
            <w:vAlign w:val="center"/>
          </w:tcPr>
          <w:p>
            <w:pPr>
              <w:pStyle w:val="41"/>
              <w:spacing w:before="0" w:beforeAutospacing="0" w:after="0" w:afterAutospacing="0" w:line="460" w:lineRule="exact"/>
              <w:rPr>
                <w:color w:val="auto"/>
                <w:sz w:val="21"/>
                <w:szCs w:val="21"/>
                <w:highlight w:val="none"/>
              </w:rPr>
            </w:pPr>
            <w:r>
              <w:rPr>
                <w:rFonts w:hint="eastAsia"/>
                <w:color w:val="auto"/>
                <w:sz w:val="21"/>
                <w:szCs w:val="21"/>
                <w:highlight w:val="none"/>
              </w:rPr>
              <w:t>供应商具有软件企业证书、相关质量管理体系认证、有效信息安全体系认证、有效信息服务管理体系认证，每提供一个得1分，最高得4分。注：须提供有效期内相关资质或证明材料复印件，未提供不得分。</w:t>
            </w:r>
          </w:p>
        </w:tc>
        <w:tc>
          <w:tcPr>
            <w:tcW w:w="756" w:type="dxa"/>
            <w:vAlign w:val="center"/>
          </w:tcPr>
          <w:p>
            <w:pPr>
              <w:pStyle w:val="41"/>
              <w:spacing w:before="0" w:beforeAutospacing="0" w:after="0" w:afterAutospacing="0" w:line="460" w:lineRule="exact"/>
              <w:jc w:val="center"/>
              <w:rPr>
                <w:color w:val="auto"/>
                <w:sz w:val="21"/>
                <w:szCs w:val="21"/>
                <w:highlight w:val="none"/>
              </w:rPr>
            </w:pPr>
            <w:r>
              <w:rPr>
                <w:rFonts w:hint="eastAsia"/>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596" w:type="dxa"/>
            <w:vAlign w:val="center"/>
          </w:tcPr>
          <w:p>
            <w:pPr>
              <w:spacing w:line="460" w:lineRule="exact"/>
              <w:jc w:val="center"/>
              <w:rPr>
                <w:rFonts w:hAnsi="宋体" w:cs="宋体"/>
                <w:color w:val="auto"/>
                <w:sz w:val="21"/>
                <w:szCs w:val="21"/>
                <w:highlight w:val="none"/>
              </w:rPr>
            </w:pPr>
            <w:r>
              <w:rPr>
                <w:rFonts w:hint="eastAsia" w:hAnsi="宋体" w:cs="宋体"/>
                <w:color w:val="auto"/>
                <w:sz w:val="21"/>
                <w:szCs w:val="21"/>
                <w:highlight w:val="none"/>
              </w:rPr>
              <w:t>2</w:t>
            </w:r>
          </w:p>
        </w:tc>
        <w:tc>
          <w:tcPr>
            <w:tcW w:w="1123" w:type="dxa"/>
            <w:vAlign w:val="center"/>
          </w:tcPr>
          <w:p>
            <w:pPr>
              <w:spacing w:line="460" w:lineRule="exact"/>
              <w:jc w:val="center"/>
              <w:rPr>
                <w:rFonts w:hAnsi="宋体" w:cs="宋体"/>
                <w:color w:val="auto"/>
                <w:sz w:val="21"/>
                <w:szCs w:val="21"/>
                <w:highlight w:val="none"/>
              </w:rPr>
            </w:pPr>
            <w:r>
              <w:rPr>
                <w:rFonts w:hint="eastAsia" w:hAnsi="宋体" w:cs="宋体"/>
                <w:color w:val="auto"/>
                <w:sz w:val="21"/>
                <w:szCs w:val="21"/>
                <w:highlight w:val="none"/>
              </w:rPr>
              <w:t>业绩</w:t>
            </w:r>
          </w:p>
        </w:tc>
        <w:tc>
          <w:tcPr>
            <w:tcW w:w="6564" w:type="dxa"/>
            <w:vAlign w:val="center"/>
          </w:tcPr>
          <w:p>
            <w:pPr>
              <w:widowControl/>
              <w:spacing w:line="460" w:lineRule="exact"/>
              <w:rPr>
                <w:rFonts w:hAnsi="宋体" w:cs="宋体"/>
                <w:color w:val="auto"/>
                <w:sz w:val="21"/>
                <w:szCs w:val="21"/>
                <w:highlight w:val="none"/>
              </w:rPr>
            </w:pPr>
            <w:r>
              <w:rPr>
                <w:rFonts w:hint="eastAsia" w:hAnsi="宋体" w:cs="宋体"/>
                <w:color w:val="auto"/>
                <w:sz w:val="21"/>
                <w:szCs w:val="21"/>
                <w:highlight w:val="none"/>
              </w:rPr>
              <w:t xml:space="preserve">供应商自2021年1月1日（以合同签订之日为准）以来承担过同类项目的，每提供一个有效业绩得1分，最高得2分。（供应商须提供合同复印件或扫描件，未提供的不得分。） </w:t>
            </w:r>
          </w:p>
        </w:tc>
        <w:tc>
          <w:tcPr>
            <w:tcW w:w="756" w:type="dxa"/>
            <w:vAlign w:val="center"/>
          </w:tcPr>
          <w:p>
            <w:pPr>
              <w:widowControl/>
              <w:spacing w:line="460" w:lineRule="exact"/>
              <w:jc w:val="center"/>
              <w:rPr>
                <w:rFonts w:hAnsi="宋体" w:cs="宋体"/>
                <w:color w:val="auto"/>
                <w:sz w:val="21"/>
                <w:szCs w:val="21"/>
                <w:highlight w:val="none"/>
              </w:rPr>
            </w:pPr>
            <w:r>
              <w:rPr>
                <w:rFonts w:hint="eastAsia" w:hAnsi="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596" w:type="dxa"/>
            <w:vAlign w:val="center"/>
          </w:tcPr>
          <w:p>
            <w:pPr>
              <w:spacing w:line="460" w:lineRule="exact"/>
              <w:jc w:val="center"/>
              <w:rPr>
                <w:rFonts w:hAnsi="宋体" w:cs="宋体"/>
                <w:color w:val="auto"/>
                <w:sz w:val="21"/>
                <w:szCs w:val="21"/>
                <w:highlight w:val="none"/>
              </w:rPr>
            </w:pPr>
            <w:r>
              <w:rPr>
                <w:rFonts w:hint="eastAsia" w:hAnsi="宋体" w:cs="宋体"/>
                <w:color w:val="auto"/>
                <w:sz w:val="21"/>
                <w:szCs w:val="21"/>
                <w:highlight w:val="none"/>
              </w:rPr>
              <w:t>3</w:t>
            </w:r>
          </w:p>
        </w:tc>
        <w:tc>
          <w:tcPr>
            <w:tcW w:w="1123" w:type="dxa"/>
            <w:vAlign w:val="center"/>
          </w:tcPr>
          <w:p>
            <w:pPr>
              <w:spacing w:line="460" w:lineRule="exact"/>
              <w:jc w:val="center"/>
              <w:rPr>
                <w:rFonts w:hAnsi="宋体" w:cs="宋体"/>
                <w:color w:val="auto"/>
                <w:sz w:val="21"/>
                <w:szCs w:val="21"/>
                <w:highlight w:val="none"/>
              </w:rPr>
            </w:pPr>
            <w:r>
              <w:rPr>
                <w:rFonts w:hint="eastAsia" w:hAnsi="宋体" w:cs="宋体"/>
                <w:color w:val="auto"/>
                <w:sz w:val="21"/>
                <w:szCs w:val="21"/>
                <w:highlight w:val="none"/>
              </w:rPr>
              <w:t>软件研发能力</w:t>
            </w:r>
          </w:p>
        </w:tc>
        <w:tc>
          <w:tcPr>
            <w:tcW w:w="6564" w:type="dxa"/>
            <w:vAlign w:val="center"/>
          </w:tcPr>
          <w:p>
            <w:pPr>
              <w:widowControl/>
              <w:spacing w:line="460" w:lineRule="exact"/>
              <w:rPr>
                <w:rFonts w:hAnsi="宋体" w:cs="宋体"/>
                <w:color w:val="auto"/>
                <w:sz w:val="21"/>
                <w:szCs w:val="21"/>
                <w:highlight w:val="none"/>
              </w:rPr>
            </w:pPr>
            <w:r>
              <w:rPr>
                <w:rFonts w:hint="eastAsia" w:hAnsi="宋体" w:cs="宋体"/>
                <w:color w:val="auto"/>
                <w:sz w:val="21"/>
                <w:szCs w:val="21"/>
                <w:highlight w:val="none"/>
              </w:rPr>
              <w:t>供应商有自主研发能力，拥有相关软件著作权证书等每提供1份证书得1分，最高5分。（须提供有效期内相关资质复印件，未提供不得分。）</w:t>
            </w:r>
          </w:p>
        </w:tc>
        <w:tc>
          <w:tcPr>
            <w:tcW w:w="756" w:type="dxa"/>
            <w:vAlign w:val="center"/>
          </w:tcPr>
          <w:p>
            <w:pPr>
              <w:widowControl/>
              <w:spacing w:line="460" w:lineRule="exact"/>
              <w:jc w:val="center"/>
              <w:rPr>
                <w:rFonts w:hAnsi="宋体" w:cs="宋体"/>
                <w:color w:val="auto"/>
                <w:sz w:val="21"/>
                <w:szCs w:val="21"/>
                <w:highlight w:val="none"/>
              </w:rPr>
            </w:pPr>
            <w:r>
              <w:rPr>
                <w:rFonts w:hint="eastAsia" w:hAnsi="宋体" w:cs="宋体"/>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596" w:type="dxa"/>
            <w:vMerge w:val="restart"/>
            <w:vAlign w:val="center"/>
          </w:tcPr>
          <w:p>
            <w:pPr>
              <w:pStyle w:val="41"/>
              <w:spacing w:before="0" w:beforeAutospacing="0" w:after="0" w:afterAutospacing="0" w:line="460" w:lineRule="exact"/>
              <w:jc w:val="center"/>
              <w:rPr>
                <w:color w:val="auto"/>
                <w:sz w:val="21"/>
                <w:szCs w:val="21"/>
                <w:highlight w:val="none"/>
              </w:rPr>
            </w:pPr>
            <w:r>
              <w:rPr>
                <w:rFonts w:hint="eastAsia"/>
                <w:color w:val="auto"/>
                <w:sz w:val="21"/>
                <w:szCs w:val="21"/>
                <w:highlight w:val="none"/>
              </w:rPr>
              <w:t>4</w:t>
            </w:r>
          </w:p>
        </w:tc>
        <w:tc>
          <w:tcPr>
            <w:tcW w:w="1123" w:type="dxa"/>
            <w:vMerge w:val="restart"/>
            <w:vAlign w:val="center"/>
          </w:tcPr>
          <w:p>
            <w:pPr>
              <w:pStyle w:val="41"/>
              <w:spacing w:before="0" w:beforeAutospacing="0" w:after="0" w:afterAutospacing="0" w:line="460" w:lineRule="exact"/>
              <w:jc w:val="center"/>
              <w:rPr>
                <w:color w:val="auto"/>
                <w:sz w:val="21"/>
                <w:szCs w:val="21"/>
                <w:highlight w:val="none"/>
              </w:rPr>
            </w:pPr>
            <w:r>
              <w:rPr>
                <w:rFonts w:hint="eastAsia"/>
                <w:color w:val="auto"/>
                <w:sz w:val="21"/>
                <w:szCs w:val="21"/>
                <w:highlight w:val="none"/>
              </w:rPr>
              <w:t>售后服务方案</w:t>
            </w:r>
          </w:p>
        </w:tc>
        <w:tc>
          <w:tcPr>
            <w:tcW w:w="6564" w:type="dxa"/>
            <w:vAlign w:val="center"/>
          </w:tcPr>
          <w:p>
            <w:pPr>
              <w:pStyle w:val="41"/>
              <w:spacing w:before="0" w:beforeAutospacing="0" w:after="0" w:afterAutospacing="0" w:line="460" w:lineRule="exact"/>
              <w:rPr>
                <w:color w:val="auto"/>
                <w:sz w:val="21"/>
                <w:szCs w:val="21"/>
                <w:highlight w:val="none"/>
              </w:rPr>
            </w:pPr>
            <w:r>
              <w:rPr>
                <w:rFonts w:hint="eastAsia"/>
                <w:color w:val="auto"/>
                <w:sz w:val="21"/>
                <w:szCs w:val="21"/>
                <w:highlight w:val="none"/>
              </w:rPr>
              <w:t>供应商在响应后能在半个小时内到达采购方指定现场的得2分，1小时内到达采购方指定现场的得1分。本项最高2分。</w:t>
            </w:r>
          </w:p>
        </w:tc>
        <w:tc>
          <w:tcPr>
            <w:tcW w:w="756" w:type="dxa"/>
            <w:vAlign w:val="center"/>
          </w:tcPr>
          <w:p>
            <w:pPr>
              <w:pStyle w:val="41"/>
              <w:spacing w:before="0" w:beforeAutospacing="0" w:after="0" w:afterAutospacing="0" w:line="460" w:lineRule="exact"/>
              <w:jc w:val="center"/>
              <w:rPr>
                <w:color w:val="auto"/>
                <w:sz w:val="21"/>
                <w:szCs w:val="21"/>
                <w:highlight w:val="none"/>
              </w:rPr>
            </w:pPr>
            <w:r>
              <w:rPr>
                <w:rFonts w:hint="eastAsia"/>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596" w:type="dxa"/>
            <w:vMerge w:val="continue"/>
            <w:vAlign w:val="center"/>
          </w:tcPr>
          <w:p>
            <w:pPr>
              <w:spacing w:line="460" w:lineRule="exact"/>
              <w:jc w:val="center"/>
              <w:rPr>
                <w:rFonts w:hAnsi="宋体" w:cs="宋体"/>
                <w:color w:val="auto"/>
                <w:sz w:val="21"/>
                <w:szCs w:val="21"/>
                <w:highlight w:val="none"/>
              </w:rPr>
            </w:pPr>
          </w:p>
        </w:tc>
        <w:tc>
          <w:tcPr>
            <w:tcW w:w="1123" w:type="dxa"/>
            <w:vMerge w:val="continue"/>
            <w:vAlign w:val="center"/>
          </w:tcPr>
          <w:p>
            <w:pPr>
              <w:spacing w:line="460" w:lineRule="exact"/>
              <w:jc w:val="center"/>
              <w:rPr>
                <w:rFonts w:hAnsi="宋体" w:cs="宋体"/>
                <w:color w:val="auto"/>
                <w:sz w:val="21"/>
                <w:szCs w:val="21"/>
                <w:highlight w:val="none"/>
              </w:rPr>
            </w:pPr>
          </w:p>
        </w:tc>
        <w:tc>
          <w:tcPr>
            <w:tcW w:w="6564" w:type="dxa"/>
          </w:tcPr>
          <w:p>
            <w:pPr>
              <w:widowControl/>
              <w:spacing w:line="460" w:lineRule="exact"/>
              <w:textAlignment w:val="center"/>
              <w:rPr>
                <w:rFonts w:hAnsi="宋体" w:cs="宋体"/>
                <w:color w:val="auto"/>
                <w:sz w:val="21"/>
                <w:szCs w:val="21"/>
                <w:highlight w:val="none"/>
              </w:rPr>
            </w:pPr>
            <w:r>
              <w:rPr>
                <w:rFonts w:hint="eastAsia" w:hAnsi="宋体" w:cs="宋体"/>
                <w:color w:val="auto"/>
                <w:sz w:val="21"/>
                <w:szCs w:val="21"/>
                <w:highlight w:val="none"/>
              </w:rPr>
              <w:t>响应供应商提供的售后服务方案、售后服务承诺的可行性、完整性以及服务承诺落实的保障措施，维护期内外的后续技术支持和维护能力情况等。服务方案及服务承诺完全满足或优于采购需求，内容详尽、科学、合理、可行的最高得4分，有不合理的或者欠缺的每处扣0.5-1分，扣完为止。</w:t>
            </w:r>
          </w:p>
        </w:tc>
        <w:tc>
          <w:tcPr>
            <w:tcW w:w="756" w:type="dxa"/>
            <w:vAlign w:val="center"/>
          </w:tcPr>
          <w:p>
            <w:pPr>
              <w:pStyle w:val="45"/>
              <w:spacing w:before="0" w:after="0" w:line="460" w:lineRule="exact"/>
              <w:rPr>
                <w:rFonts w:hAnsi="宋体" w:cs="宋体"/>
                <w:b w:val="0"/>
                <w:color w:val="auto"/>
                <w:sz w:val="21"/>
                <w:szCs w:val="21"/>
                <w:highlight w:val="none"/>
              </w:rPr>
            </w:pPr>
            <w:r>
              <w:rPr>
                <w:rFonts w:hint="eastAsia" w:hAnsi="宋体" w:cs="宋体"/>
                <w:b w:val="0"/>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596" w:type="dxa"/>
            <w:vMerge w:val="continue"/>
            <w:vAlign w:val="center"/>
          </w:tcPr>
          <w:p>
            <w:pPr>
              <w:spacing w:line="460" w:lineRule="exact"/>
              <w:jc w:val="center"/>
              <w:rPr>
                <w:rFonts w:hAnsi="宋体" w:cs="宋体"/>
                <w:color w:val="auto"/>
                <w:sz w:val="21"/>
                <w:szCs w:val="21"/>
                <w:highlight w:val="none"/>
              </w:rPr>
            </w:pPr>
          </w:p>
        </w:tc>
        <w:tc>
          <w:tcPr>
            <w:tcW w:w="1123" w:type="dxa"/>
            <w:vMerge w:val="continue"/>
            <w:vAlign w:val="center"/>
          </w:tcPr>
          <w:p>
            <w:pPr>
              <w:spacing w:line="460" w:lineRule="exact"/>
              <w:jc w:val="center"/>
              <w:rPr>
                <w:rFonts w:hAnsi="宋体" w:cs="宋体"/>
                <w:color w:val="auto"/>
                <w:sz w:val="21"/>
                <w:szCs w:val="21"/>
                <w:highlight w:val="none"/>
              </w:rPr>
            </w:pPr>
          </w:p>
        </w:tc>
        <w:tc>
          <w:tcPr>
            <w:tcW w:w="6564" w:type="dxa"/>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根据供应商提供的培训方案设置与实施计划以及培训师资安排的合理性等，最高得3分，有不合理的或者欠缺的每处扣0.5-1分，扣完为止。</w:t>
            </w:r>
          </w:p>
        </w:tc>
        <w:tc>
          <w:tcPr>
            <w:tcW w:w="756" w:type="dxa"/>
            <w:vAlign w:val="center"/>
          </w:tcPr>
          <w:p>
            <w:pPr>
              <w:pStyle w:val="41"/>
              <w:spacing w:before="0" w:beforeAutospacing="0" w:after="0" w:afterAutospacing="0" w:line="460" w:lineRule="exact"/>
              <w:jc w:val="center"/>
              <w:rPr>
                <w:color w:val="auto"/>
                <w:sz w:val="21"/>
                <w:szCs w:val="21"/>
                <w:highlight w:val="none"/>
              </w:rPr>
            </w:pPr>
            <w:r>
              <w:rPr>
                <w:rFonts w:hint="eastAsia"/>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596" w:type="dxa"/>
            <w:vMerge w:val="continue"/>
            <w:vAlign w:val="center"/>
          </w:tcPr>
          <w:p>
            <w:pPr>
              <w:spacing w:line="460" w:lineRule="exact"/>
              <w:jc w:val="center"/>
              <w:rPr>
                <w:rFonts w:hAnsi="宋体" w:cs="宋体"/>
                <w:color w:val="auto"/>
                <w:sz w:val="21"/>
                <w:szCs w:val="21"/>
                <w:highlight w:val="none"/>
              </w:rPr>
            </w:pPr>
          </w:p>
        </w:tc>
        <w:tc>
          <w:tcPr>
            <w:tcW w:w="1123" w:type="dxa"/>
            <w:vMerge w:val="continue"/>
            <w:vAlign w:val="center"/>
          </w:tcPr>
          <w:p>
            <w:pPr>
              <w:spacing w:line="460" w:lineRule="exact"/>
              <w:jc w:val="center"/>
              <w:rPr>
                <w:rFonts w:hAnsi="宋体" w:cs="宋体"/>
                <w:color w:val="auto"/>
                <w:sz w:val="21"/>
                <w:szCs w:val="21"/>
                <w:highlight w:val="none"/>
              </w:rPr>
            </w:pPr>
          </w:p>
        </w:tc>
        <w:tc>
          <w:tcPr>
            <w:tcW w:w="6564" w:type="dxa"/>
            <w:vAlign w:val="center"/>
          </w:tcPr>
          <w:p>
            <w:pPr>
              <w:pStyle w:val="41"/>
              <w:spacing w:before="0" w:beforeAutospacing="0" w:after="0" w:afterAutospacing="0" w:line="460" w:lineRule="exact"/>
              <w:rPr>
                <w:color w:val="auto"/>
                <w:sz w:val="21"/>
                <w:szCs w:val="21"/>
                <w:highlight w:val="none"/>
              </w:rPr>
            </w:pPr>
            <w:r>
              <w:rPr>
                <w:rFonts w:hint="eastAsia"/>
                <w:color w:val="auto"/>
                <w:sz w:val="21"/>
                <w:szCs w:val="21"/>
                <w:highlight w:val="none"/>
              </w:rPr>
              <w:t>供应商是否建立服务保障应急预案，方案对系统实施可能遇到的问题及其应对措施的考虑周全与否。在服务期间巡检、故障处理的组织和联系机制的合理性、有效性等，最高得5分，有不合理的或者欠缺的每处扣0.5-1分，扣完为止。</w:t>
            </w:r>
          </w:p>
        </w:tc>
        <w:tc>
          <w:tcPr>
            <w:tcW w:w="756" w:type="dxa"/>
            <w:vAlign w:val="center"/>
          </w:tcPr>
          <w:p>
            <w:pPr>
              <w:pStyle w:val="41"/>
              <w:spacing w:before="0" w:beforeAutospacing="0" w:after="0" w:afterAutospacing="0" w:line="460" w:lineRule="exact"/>
              <w:jc w:val="center"/>
              <w:rPr>
                <w:color w:val="auto"/>
                <w:sz w:val="21"/>
                <w:szCs w:val="21"/>
                <w:highlight w:val="none"/>
              </w:rPr>
            </w:pPr>
            <w:r>
              <w:rPr>
                <w:rFonts w:hint="eastAsia"/>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596" w:type="dxa"/>
            <w:vMerge w:val="restart"/>
            <w:vAlign w:val="center"/>
          </w:tcPr>
          <w:p>
            <w:pPr>
              <w:pStyle w:val="41"/>
              <w:spacing w:before="0" w:beforeAutospacing="0" w:after="0" w:afterAutospacing="0" w:line="460" w:lineRule="exact"/>
              <w:jc w:val="center"/>
              <w:rPr>
                <w:color w:val="auto"/>
                <w:sz w:val="21"/>
                <w:szCs w:val="21"/>
                <w:highlight w:val="none"/>
              </w:rPr>
            </w:pPr>
            <w:r>
              <w:rPr>
                <w:rFonts w:hint="eastAsia"/>
                <w:color w:val="auto"/>
                <w:sz w:val="21"/>
                <w:szCs w:val="21"/>
                <w:highlight w:val="none"/>
              </w:rPr>
              <w:t>5</w:t>
            </w:r>
          </w:p>
        </w:tc>
        <w:tc>
          <w:tcPr>
            <w:tcW w:w="1123" w:type="dxa"/>
            <w:vMerge w:val="restart"/>
            <w:vAlign w:val="center"/>
          </w:tcPr>
          <w:p>
            <w:pPr>
              <w:pStyle w:val="41"/>
              <w:spacing w:before="0" w:beforeAutospacing="0" w:after="0" w:afterAutospacing="0" w:line="460" w:lineRule="exact"/>
              <w:jc w:val="center"/>
              <w:rPr>
                <w:color w:val="auto"/>
                <w:sz w:val="21"/>
                <w:szCs w:val="21"/>
                <w:highlight w:val="none"/>
              </w:rPr>
            </w:pPr>
            <w:r>
              <w:rPr>
                <w:rFonts w:hint="eastAsia"/>
                <w:color w:val="auto"/>
                <w:sz w:val="21"/>
                <w:szCs w:val="21"/>
                <w:highlight w:val="none"/>
              </w:rPr>
              <w:t>技术方案</w:t>
            </w:r>
          </w:p>
        </w:tc>
        <w:tc>
          <w:tcPr>
            <w:tcW w:w="6564" w:type="dxa"/>
            <w:vAlign w:val="center"/>
          </w:tcPr>
          <w:p>
            <w:pPr>
              <w:pStyle w:val="41"/>
              <w:spacing w:before="0" w:beforeAutospacing="0" w:after="0" w:afterAutospacing="0" w:line="460" w:lineRule="exact"/>
              <w:rPr>
                <w:color w:val="auto"/>
                <w:sz w:val="21"/>
                <w:szCs w:val="21"/>
                <w:highlight w:val="none"/>
              </w:rPr>
            </w:pPr>
            <w:r>
              <w:rPr>
                <w:rFonts w:hint="eastAsia"/>
                <w:color w:val="auto"/>
                <w:sz w:val="21"/>
                <w:szCs w:val="21"/>
                <w:highlight w:val="none"/>
              </w:rPr>
              <w:t>供应商针对本次采购项目制定的详细实施方案（包括但不限于整体规划、方案的功能设计是否满足项目需求、是否全面熟知本次项目建设的总体背景及总体目标的实现等），且方案科学合理、安全严密、条理清晰、前后逻辑一致、具有实际可操作性、前瞻性的，最高得8分，有欠缺的则每处扣0.5-1分，扣完为止。</w:t>
            </w:r>
          </w:p>
        </w:tc>
        <w:tc>
          <w:tcPr>
            <w:tcW w:w="756" w:type="dxa"/>
            <w:vAlign w:val="center"/>
          </w:tcPr>
          <w:p>
            <w:pPr>
              <w:pStyle w:val="41"/>
              <w:spacing w:before="0" w:beforeAutospacing="0" w:after="0" w:afterAutospacing="0" w:line="460" w:lineRule="exact"/>
              <w:jc w:val="center"/>
              <w:rPr>
                <w:color w:val="auto"/>
                <w:sz w:val="21"/>
                <w:szCs w:val="21"/>
                <w:highlight w:val="none"/>
              </w:rPr>
            </w:pPr>
            <w:r>
              <w:rPr>
                <w:rFonts w:hint="eastAsia"/>
                <w:color w:val="auto"/>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596" w:type="dxa"/>
            <w:vMerge w:val="continue"/>
            <w:vAlign w:val="center"/>
          </w:tcPr>
          <w:p>
            <w:pPr>
              <w:spacing w:line="460" w:lineRule="exact"/>
              <w:jc w:val="center"/>
              <w:rPr>
                <w:rFonts w:hAnsi="宋体" w:cs="宋体"/>
                <w:color w:val="auto"/>
                <w:sz w:val="21"/>
                <w:szCs w:val="21"/>
                <w:highlight w:val="none"/>
              </w:rPr>
            </w:pPr>
          </w:p>
        </w:tc>
        <w:tc>
          <w:tcPr>
            <w:tcW w:w="1123" w:type="dxa"/>
            <w:vMerge w:val="continue"/>
            <w:vAlign w:val="center"/>
          </w:tcPr>
          <w:p>
            <w:pPr>
              <w:spacing w:line="460" w:lineRule="exact"/>
              <w:jc w:val="center"/>
              <w:rPr>
                <w:rFonts w:hAnsi="宋体" w:cs="宋体"/>
                <w:color w:val="auto"/>
                <w:sz w:val="21"/>
                <w:szCs w:val="21"/>
                <w:highlight w:val="none"/>
              </w:rPr>
            </w:pPr>
          </w:p>
        </w:tc>
        <w:tc>
          <w:tcPr>
            <w:tcW w:w="6564" w:type="dxa"/>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供应商对项目重点和难点的理解及解决，包括：</w:t>
            </w:r>
            <w:r>
              <w:rPr>
                <w:rFonts w:hint="eastAsia" w:hAnsi="宋体" w:cs="宋体"/>
                <w:bCs/>
                <w:color w:val="auto"/>
                <w:sz w:val="21"/>
                <w:szCs w:val="21"/>
                <w:highlight w:val="none"/>
              </w:rPr>
              <w:t>（1）财政业务结构；（2）历史数据标准化；（3）优化统计分析；（4）共富功能设计等提供合理、细致的服务方案，保障系统的准确性、及时性、合理性，以上内容每项2.5分，根据理解是否到位、有明确解决思路及措施能否确保项目及时完成进行评分，最高得10分，有欠缺的则</w:t>
            </w:r>
            <w:r>
              <w:rPr>
                <w:rFonts w:hint="eastAsia" w:hAnsi="宋体" w:cs="宋体"/>
                <w:color w:val="auto"/>
                <w:sz w:val="21"/>
                <w:szCs w:val="21"/>
                <w:highlight w:val="none"/>
              </w:rPr>
              <w:t>每处扣 0.5-2.5分，扣完为止。</w:t>
            </w:r>
          </w:p>
        </w:tc>
        <w:tc>
          <w:tcPr>
            <w:tcW w:w="756" w:type="dxa"/>
            <w:vAlign w:val="center"/>
          </w:tcPr>
          <w:p>
            <w:pPr>
              <w:pStyle w:val="41"/>
              <w:spacing w:before="0" w:beforeAutospacing="0" w:after="0" w:afterAutospacing="0" w:line="460" w:lineRule="exact"/>
              <w:jc w:val="center"/>
              <w:rPr>
                <w:color w:val="auto"/>
                <w:sz w:val="21"/>
                <w:szCs w:val="21"/>
                <w:highlight w:val="none"/>
              </w:rPr>
            </w:pPr>
            <w:r>
              <w:rPr>
                <w:rFonts w:hint="eastAsia"/>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596" w:type="dxa"/>
            <w:vMerge w:val="continue"/>
            <w:vAlign w:val="center"/>
          </w:tcPr>
          <w:p>
            <w:pPr>
              <w:spacing w:line="460" w:lineRule="exact"/>
              <w:jc w:val="center"/>
              <w:rPr>
                <w:rFonts w:hAnsi="宋体" w:cs="宋体"/>
                <w:color w:val="auto"/>
                <w:sz w:val="21"/>
                <w:szCs w:val="21"/>
                <w:highlight w:val="none"/>
              </w:rPr>
            </w:pPr>
          </w:p>
        </w:tc>
        <w:tc>
          <w:tcPr>
            <w:tcW w:w="1123" w:type="dxa"/>
            <w:vMerge w:val="continue"/>
            <w:vAlign w:val="center"/>
          </w:tcPr>
          <w:p>
            <w:pPr>
              <w:spacing w:line="460" w:lineRule="exact"/>
              <w:jc w:val="center"/>
              <w:rPr>
                <w:rFonts w:hAnsi="宋体" w:cs="宋体"/>
                <w:color w:val="auto"/>
                <w:sz w:val="21"/>
                <w:szCs w:val="21"/>
                <w:highlight w:val="none"/>
              </w:rPr>
            </w:pPr>
          </w:p>
        </w:tc>
        <w:tc>
          <w:tcPr>
            <w:tcW w:w="6564" w:type="dxa"/>
            <w:vAlign w:val="center"/>
          </w:tcPr>
          <w:p>
            <w:pPr>
              <w:pStyle w:val="41"/>
              <w:spacing w:before="0" w:beforeAutospacing="0" w:after="0" w:afterAutospacing="0" w:line="460" w:lineRule="exact"/>
              <w:rPr>
                <w:color w:val="auto"/>
                <w:sz w:val="21"/>
                <w:szCs w:val="21"/>
                <w:highlight w:val="none"/>
              </w:rPr>
            </w:pPr>
            <w:r>
              <w:rPr>
                <w:rFonts w:hint="eastAsia"/>
                <w:color w:val="auto"/>
                <w:sz w:val="21"/>
                <w:szCs w:val="21"/>
                <w:highlight w:val="none"/>
              </w:rPr>
              <w:t>对服务软件开发过程中可能遇到的突发情况的预估及应对措施（包括但不限于升级改造中是否可能影响原有系统的正常运行及过程安排等）思路清晰、应对措施详尽明晰有效合理的，最高得5分，有欠缺的则每处扣 0.5-1分，扣完为止。</w:t>
            </w:r>
          </w:p>
        </w:tc>
        <w:tc>
          <w:tcPr>
            <w:tcW w:w="756" w:type="dxa"/>
            <w:vAlign w:val="center"/>
          </w:tcPr>
          <w:p>
            <w:pPr>
              <w:pStyle w:val="41"/>
              <w:spacing w:before="0" w:beforeAutospacing="0" w:after="0" w:afterAutospacing="0" w:line="460" w:lineRule="exact"/>
              <w:jc w:val="center"/>
              <w:rPr>
                <w:color w:val="auto"/>
                <w:sz w:val="21"/>
                <w:szCs w:val="21"/>
                <w:highlight w:val="none"/>
              </w:rPr>
            </w:pPr>
            <w:r>
              <w:rPr>
                <w:rFonts w:hint="eastAsia"/>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596" w:type="dxa"/>
            <w:vMerge w:val="continue"/>
            <w:vAlign w:val="center"/>
          </w:tcPr>
          <w:p>
            <w:pPr>
              <w:spacing w:line="460" w:lineRule="exact"/>
              <w:jc w:val="center"/>
              <w:rPr>
                <w:rFonts w:hAnsi="宋体" w:cs="宋体"/>
                <w:color w:val="auto"/>
                <w:sz w:val="21"/>
                <w:szCs w:val="21"/>
                <w:highlight w:val="none"/>
              </w:rPr>
            </w:pPr>
          </w:p>
        </w:tc>
        <w:tc>
          <w:tcPr>
            <w:tcW w:w="1123" w:type="dxa"/>
            <w:vMerge w:val="continue"/>
            <w:vAlign w:val="center"/>
          </w:tcPr>
          <w:p>
            <w:pPr>
              <w:spacing w:line="460" w:lineRule="exact"/>
              <w:jc w:val="center"/>
              <w:rPr>
                <w:rFonts w:hAnsi="宋体" w:cs="宋体"/>
                <w:color w:val="auto"/>
                <w:sz w:val="21"/>
                <w:szCs w:val="21"/>
                <w:highlight w:val="none"/>
              </w:rPr>
            </w:pPr>
          </w:p>
        </w:tc>
        <w:tc>
          <w:tcPr>
            <w:tcW w:w="6564" w:type="dxa"/>
            <w:vAlign w:val="center"/>
          </w:tcPr>
          <w:p>
            <w:pPr>
              <w:pStyle w:val="41"/>
              <w:spacing w:before="0" w:beforeAutospacing="0" w:after="0" w:afterAutospacing="0" w:line="460" w:lineRule="exact"/>
              <w:rPr>
                <w:color w:val="auto"/>
                <w:sz w:val="21"/>
                <w:szCs w:val="21"/>
                <w:highlight w:val="none"/>
              </w:rPr>
            </w:pPr>
            <w:r>
              <w:rPr>
                <w:rFonts w:hint="eastAsia"/>
                <w:color w:val="auto"/>
                <w:sz w:val="21"/>
                <w:szCs w:val="21"/>
                <w:highlight w:val="none"/>
              </w:rPr>
              <w:t>供应商是否充分理解和熟知金华市财政局财政业务改革和信息化建设整体情况，根据供应商拟采用的整体技术开发路线及整体技术架构与项目需求的吻合程度进行综合打分，理解到位且方案有利于本项目实施的，最高得8分，有欠缺的则每处扣 0.5-1分，扣完为止。</w:t>
            </w:r>
          </w:p>
        </w:tc>
        <w:tc>
          <w:tcPr>
            <w:tcW w:w="756" w:type="dxa"/>
            <w:vAlign w:val="center"/>
          </w:tcPr>
          <w:p>
            <w:pPr>
              <w:pStyle w:val="41"/>
              <w:spacing w:before="0" w:beforeAutospacing="0" w:after="0" w:afterAutospacing="0" w:line="460" w:lineRule="exact"/>
              <w:jc w:val="center"/>
              <w:rPr>
                <w:color w:val="auto"/>
                <w:sz w:val="21"/>
                <w:szCs w:val="21"/>
                <w:highlight w:val="none"/>
              </w:rPr>
            </w:pPr>
            <w:r>
              <w:rPr>
                <w:rFonts w:hint="eastAsia"/>
                <w:color w:val="auto"/>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596" w:type="dxa"/>
            <w:vMerge w:val="continue"/>
            <w:vAlign w:val="center"/>
          </w:tcPr>
          <w:p>
            <w:pPr>
              <w:spacing w:line="460" w:lineRule="exact"/>
              <w:jc w:val="center"/>
              <w:rPr>
                <w:rFonts w:hAnsi="宋体" w:cs="宋体"/>
                <w:color w:val="auto"/>
                <w:sz w:val="21"/>
                <w:szCs w:val="21"/>
                <w:highlight w:val="none"/>
              </w:rPr>
            </w:pPr>
          </w:p>
        </w:tc>
        <w:tc>
          <w:tcPr>
            <w:tcW w:w="1123" w:type="dxa"/>
            <w:vMerge w:val="continue"/>
            <w:vAlign w:val="center"/>
          </w:tcPr>
          <w:p>
            <w:pPr>
              <w:spacing w:line="460" w:lineRule="exact"/>
              <w:jc w:val="center"/>
              <w:rPr>
                <w:rFonts w:hAnsi="宋体" w:cs="宋体"/>
                <w:color w:val="auto"/>
                <w:sz w:val="21"/>
                <w:szCs w:val="21"/>
                <w:highlight w:val="none"/>
              </w:rPr>
            </w:pPr>
          </w:p>
        </w:tc>
        <w:tc>
          <w:tcPr>
            <w:tcW w:w="6564" w:type="dxa"/>
          </w:tcPr>
          <w:p>
            <w:pPr>
              <w:pStyle w:val="41"/>
              <w:spacing w:before="0" w:beforeAutospacing="0" w:after="0" w:afterAutospacing="0" w:line="460" w:lineRule="exact"/>
              <w:rPr>
                <w:color w:val="auto"/>
                <w:sz w:val="21"/>
                <w:szCs w:val="21"/>
                <w:highlight w:val="none"/>
              </w:rPr>
            </w:pPr>
            <w:r>
              <w:rPr>
                <w:rFonts w:hint="eastAsia"/>
                <w:color w:val="auto"/>
                <w:sz w:val="21"/>
                <w:szCs w:val="21"/>
                <w:highlight w:val="none"/>
              </w:rPr>
              <w:t>根据各功能描述与磋商采购文件的响应理解、设计合理性、可行性、兼容性和扩展性等进行打分，最高得5分，有欠缺的则每处扣 0.5-1分，扣完为止。</w:t>
            </w:r>
          </w:p>
        </w:tc>
        <w:tc>
          <w:tcPr>
            <w:tcW w:w="756" w:type="dxa"/>
            <w:vAlign w:val="center"/>
          </w:tcPr>
          <w:p>
            <w:pPr>
              <w:pStyle w:val="41"/>
              <w:spacing w:before="0" w:beforeAutospacing="0" w:after="0" w:afterAutospacing="0" w:line="460" w:lineRule="exact"/>
              <w:jc w:val="center"/>
              <w:rPr>
                <w:color w:val="auto"/>
                <w:sz w:val="21"/>
                <w:szCs w:val="21"/>
                <w:highlight w:val="none"/>
              </w:rPr>
            </w:pPr>
            <w:r>
              <w:rPr>
                <w:rFonts w:hint="eastAsia"/>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596" w:type="dxa"/>
            <w:vMerge w:val="continue"/>
            <w:vAlign w:val="center"/>
          </w:tcPr>
          <w:p>
            <w:pPr>
              <w:spacing w:line="460" w:lineRule="exact"/>
              <w:jc w:val="center"/>
              <w:rPr>
                <w:rFonts w:hAnsi="宋体" w:cs="宋体"/>
                <w:color w:val="auto"/>
                <w:sz w:val="21"/>
                <w:szCs w:val="21"/>
                <w:highlight w:val="none"/>
              </w:rPr>
            </w:pPr>
          </w:p>
        </w:tc>
        <w:tc>
          <w:tcPr>
            <w:tcW w:w="1123" w:type="dxa"/>
            <w:vMerge w:val="continue"/>
            <w:vAlign w:val="center"/>
          </w:tcPr>
          <w:p>
            <w:pPr>
              <w:spacing w:line="460" w:lineRule="exact"/>
              <w:jc w:val="center"/>
              <w:rPr>
                <w:rFonts w:hAnsi="宋体" w:cs="宋体"/>
                <w:color w:val="auto"/>
                <w:sz w:val="21"/>
                <w:szCs w:val="21"/>
                <w:highlight w:val="none"/>
              </w:rPr>
            </w:pPr>
          </w:p>
        </w:tc>
        <w:tc>
          <w:tcPr>
            <w:tcW w:w="6564" w:type="dxa"/>
          </w:tcPr>
          <w:p>
            <w:pPr>
              <w:pStyle w:val="41"/>
              <w:spacing w:before="0" w:beforeAutospacing="0" w:after="0" w:afterAutospacing="0" w:line="460" w:lineRule="exact"/>
              <w:rPr>
                <w:color w:val="auto"/>
                <w:sz w:val="21"/>
                <w:szCs w:val="21"/>
                <w:highlight w:val="none"/>
              </w:rPr>
            </w:pPr>
            <w:r>
              <w:rPr>
                <w:rFonts w:hint="eastAsia"/>
                <w:color w:val="auto"/>
                <w:sz w:val="21"/>
                <w:szCs w:val="21"/>
                <w:highlight w:val="none"/>
              </w:rPr>
              <w:t>进度安排及工期保证：</w:t>
            </w:r>
            <w:r>
              <w:rPr>
                <w:rFonts w:hint="eastAsia"/>
                <w:color w:val="auto"/>
                <w:sz w:val="21"/>
                <w:szCs w:val="21"/>
                <w:highlight w:val="none"/>
              </w:rPr>
              <w:fldChar w:fldCharType="begin"/>
            </w:r>
            <w:r>
              <w:rPr>
                <w:rFonts w:hint="eastAsia"/>
                <w:color w:val="auto"/>
                <w:sz w:val="21"/>
                <w:szCs w:val="21"/>
                <w:highlight w:val="none"/>
              </w:rPr>
              <w:instrText xml:space="preserve"> = 1 \* GB3 </w:instrText>
            </w:r>
            <w:r>
              <w:rPr>
                <w:rFonts w:hint="eastAsia"/>
                <w:color w:val="auto"/>
                <w:sz w:val="21"/>
                <w:szCs w:val="21"/>
                <w:highlight w:val="none"/>
              </w:rPr>
              <w:fldChar w:fldCharType="separate"/>
            </w:r>
            <w:r>
              <w:rPr>
                <w:rFonts w:hint="eastAsia"/>
                <w:color w:val="auto"/>
                <w:sz w:val="21"/>
                <w:szCs w:val="21"/>
                <w:highlight w:val="none"/>
              </w:rPr>
              <w:t>①</w:t>
            </w:r>
            <w:r>
              <w:rPr>
                <w:rFonts w:hint="eastAsia"/>
                <w:color w:val="auto"/>
                <w:sz w:val="21"/>
                <w:szCs w:val="21"/>
                <w:highlight w:val="none"/>
              </w:rPr>
              <w:fldChar w:fldCharType="end"/>
            </w:r>
            <w:r>
              <w:rPr>
                <w:rFonts w:hint="eastAsia"/>
                <w:color w:val="auto"/>
                <w:sz w:val="21"/>
                <w:szCs w:val="21"/>
                <w:highlight w:val="none"/>
              </w:rPr>
              <w:t>项目进度是否清晰、准确、完整，关键节点的控制措施有力、合理、可行最高得3分；</w:t>
            </w:r>
            <w:r>
              <w:rPr>
                <w:rFonts w:hint="eastAsia"/>
                <w:color w:val="auto"/>
                <w:sz w:val="21"/>
                <w:szCs w:val="21"/>
                <w:highlight w:val="none"/>
              </w:rPr>
              <w:fldChar w:fldCharType="begin"/>
            </w:r>
            <w:r>
              <w:rPr>
                <w:rFonts w:hint="eastAsia"/>
                <w:color w:val="auto"/>
                <w:sz w:val="21"/>
                <w:szCs w:val="21"/>
                <w:highlight w:val="none"/>
              </w:rPr>
              <w:instrText xml:space="preserve"> = 2 \* GB3 </w:instrText>
            </w:r>
            <w:r>
              <w:rPr>
                <w:rFonts w:hint="eastAsia"/>
                <w:color w:val="auto"/>
                <w:sz w:val="21"/>
                <w:szCs w:val="21"/>
                <w:highlight w:val="none"/>
              </w:rPr>
              <w:fldChar w:fldCharType="separate"/>
            </w:r>
            <w:r>
              <w:rPr>
                <w:rFonts w:hint="eastAsia"/>
                <w:color w:val="auto"/>
                <w:sz w:val="21"/>
                <w:szCs w:val="21"/>
                <w:highlight w:val="none"/>
              </w:rPr>
              <w:t>②</w:t>
            </w:r>
            <w:r>
              <w:rPr>
                <w:rFonts w:hint="eastAsia"/>
                <w:color w:val="auto"/>
                <w:sz w:val="21"/>
                <w:szCs w:val="21"/>
                <w:highlight w:val="none"/>
              </w:rPr>
              <w:fldChar w:fldCharType="end"/>
            </w:r>
            <w:r>
              <w:rPr>
                <w:rFonts w:hint="eastAsia"/>
                <w:color w:val="auto"/>
                <w:sz w:val="21"/>
                <w:szCs w:val="21"/>
                <w:highlight w:val="none"/>
              </w:rPr>
              <w:t>能保证在采购人开发计划要求之前完成所有开发实施工作的，每提前一个月加1分，最高2分。不能提前的不加分。</w:t>
            </w:r>
          </w:p>
        </w:tc>
        <w:tc>
          <w:tcPr>
            <w:tcW w:w="756" w:type="dxa"/>
            <w:vAlign w:val="center"/>
          </w:tcPr>
          <w:p>
            <w:pPr>
              <w:pStyle w:val="41"/>
              <w:spacing w:before="0" w:beforeAutospacing="0" w:after="0" w:afterAutospacing="0" w:line="460" w:lineRule="exact"/>
              <w:jc w:val="center"/>
              <w:rPr>
                <w:color w:val="auto"/>
                <w:sz w:val="21"/>
                <w:szCs w:val="21"/>
                <w:highlight w:val="none"/>
              </w:rPr>
            </w:pPr>
            <w:r>
              <w:rPr>
                <w:rFonts w:hint="eastAsia"/>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596" w:type="dxa"/>
            <w:vMerge w:val="restart"/>
            <w:vAlign w:val="center"/>
          </w:tcPr>
          <w:p>
            <w:pPr>
              <w:spacing w:line="460" w:lineRule="exact"/>
              <w:jc w:val="center"/>
              <w:rPr>
                <w:rFonts w:hAnsi="宋体" w:cs="宋体"/>
                <w:color w:val="auto"/>
                <w:sz w:val="21"/>
                <w:szCs w:val="21"/>
                <w:highlight w:val="none"/>
              </w:rPr>
            </w:pPr>
            <w:r>
              <w:rPr>
                <w:rFonts w:hint="eastAsia" w:hAnsi="宋体" w:cs="宋体"/>
                <w:color w:val="auto"/>
                <w:sz w:val="21"/>
                <w:szCs w:val="21"/>
                <w:highlight w:val="none"/>
              </w:rPr>
              <w:t>6</w:t>
            </w:r>
          </w:p>
        </w:tc>
        <w:tc>
          <w:tcPr>
            <w:tcW w:w="1123" w:type="dxa"/>
            <w:vMerge w:val="restart"/>
            <w:vAlign w:val="center"/>
          </w:tcPr>
          <w:p>
            <w:pPr>
              <w:spacing w:line="460" w:lineRule="exact"/>
              <w:jc w:val="center"/>
              <w:rPr>
                <w:rFonts w:hAnsi="宋体" w:cs="宋体"/>
                <w:color w:val="auto"/>
                <w:sz w:val="21"/>
                <w:szCs w:val="21"/>
                <w:highlight w:val="none"/>
              </w:rPr>
            </w:pPr>
            <w:r>
              <w:rPr>
                <w:rFonts w:hint="eastAsia" w:hAnsi="宋体" w:cs="宋体"/>
                <w:color w:val="auto"/>
                <w:sz w:val="21"/>
                <w:szCs w:val="21"/>
                <w:highlight w:val="none"/>
              </w:rPr>
              <w:t>实施组织方案</w:t>
            </w:r>
          </w:p>
        </w:tc>
        <w:tc>
          <w:tcPr>
            <w:tcW w:w="6564" w:type="dxa"/>
            <w:vAlign w:val="bottom"/>
          </w:tcPr>
          <w:p>
            <w:pPr>
              <w:widowControl/>
              <w:spacing w:line="460" w:lineRule="exact"/>
              <w:rPr>
                <w:rFonts w:hAnsi="宋体" w:cs="宋体"/>
                <w:color w:val="auto"/>
                <w:sz w:val="21"/>
                <w:szCs w:val="21"/>
                <w:highlight w:val="none"/>
              </w:rPr>
            </w:pPr>
            <w:r>
              <w:rPr>
                <w:rFonts w:hint="eastAsia" w:hAnsi="宋体" w:cs="宋体"/>
                <w:color w:val="auto"/>
                <w:sz w:val="21"/>
                <w:szCs w:val="21"/>
                <w:highlight w:val="none"/>
              </w:rPr>
              <w:t>供应商项目组织实施方案，包括系统设计、安装调试、试运行、测试、调优等内容，以及组织机构、实施场所、工作时间进度表、工作程序和步骤、管理和协调方法、关键步骤的思路和要点等。根据磋商响应文件体现的内容进行评分，最高得5分，有欠缺或不合理的每处扣1分，扣完为止。</w:t>
            </w:r>
          </w:p>
        </w:tc>
        <w:tc>
          <w:tcPr>
            <w:tcW w:w="756" w:type="dxa"/>
            <w:vAlign w:val="center"/>
          </w:tcPr>
          <w:p>
            <w:pPr>
              <w:spacing w:line="460" w:lineRule="exact"/>
              <w:jc w:val="center"/>
              <w:rPr>
                <w:rFonts w:hAnsi="宋体" w:cs="宋体"/>
                <w:color w:val="auto"/>
                <w:sz w:val="21"/>
                <w:szCs w:val="21"/>
                <w:highlight w:val="none"/>
              </w:rPr>
            </w:pPr>
            <w:r>
              <w:rPr>
                <w:rFonts w:hint="eastAsia" w:hAnsi="宋体" w:cs="宋体"/>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596" w:type="dxa"/>
            <w:vMerge w:val="continue"/>
            <w:vAlign w:val="center"/>
          </w:tcPr>
          <w:p>
            <w:pPr>
              <w:spacing w:line="460" w:lineRule="exact"/>
              <w:jc w:val="center"/>
              <w:rPr>
                <w:rFonts w:hAnsi="宋体" w:cs="宋体"/>
                <w:color w:val="auto"/>
                <w:sz w:val="21"/>
                <w:szCs w:val="21"/>
                <w:highlight w:val="none"/>
              </w:rPr>
            </w:pPr>
          </w:p>
        </w:tc>
        <w:tc>
          <w:tcPr>
            <w:tcW w:w="1123" w:type="dxa"/>
            <w:vMerge w:val="continue"/>
            <w:vAlign w:val="center"/>
          </w:tcPr>
          <w:p>
            <w:pPr>
              <w:spacing w:line="460" w:lineRule="exact"/>
              <w:jc w:val="center"/>
              <w:rPr>
                <w:rFonts w:hAnsi="宋体" w:cs="宋体"/>
                <w:color w:val="auto"/>
                <w:sz w:val="21"/>
                <w:szCs w:val="21"/>
                <w:highlight w:val="none"/>
              </w:rPr>
            </w:pPr>
          </w:p>
        </w:tc>
        <w:tc>
          <w:tcPr>
            <w:tcW w:w="6564" w:type="dxa"/>
            <w:vAlign w:val="bottom"/>
          </w:tcPr>
          <w:p>
            <w:pPr>
              <w:widowControl/>
              <w:spacing w:line="460" w:lineRule="exact"/>
              <w:rPr>
                <w:rFonts w:hAnsi="宋体" w:cs="宋体"/>
                <w:color w:val="auto"/>
                <w:sz w:val="21"/>
                <w:szCs w:val="21"/>
                <w:highlight w:val="none"/>
              </w:rPr>
            </w:pPr>
            <w:r>
              <w:rPr>
                <w:rFonts w:hint="eastAsia" w:hAnsi="宋体" w:cs="宋体"/>
                <w:color w:val="auto"/>
                <w:sz w:val="21"/>
                <w:szCs w:val="21"/>
                <w:highlight w:val="none"/>
              </w:rPr>
              <w:t>为配合本项目建设工作配置的机构合理、设备齐全，保障措施满足建设需要的，是否具有完备的管理组织、项目实施规范和管理制度，是否有完善的质量管理体系，并能有效实施；拟投入本项目人员水平以及资源情况，包括项目人员配置合理、人员分工明确，设备配备齐全、设备技术先进可靠等，根据磋商响应文件体现的内容进行评分，最高得5分，有欠缺或不合理或缺漏的每处扣1分，扣完为止。</w:t>
            </w:r>
          </w:p>
        </w:tc>
        <w:tc>
          <w:tcPr>
            <w:tcW w:w="756" w:type="dxa"/>
            <w:vAlign w:val="center"/>
          </w:tcPr>
          <w:p>
            <w:pPr>
              <w:spacing w:line="460" w:lineRule="exact"/>
              <w:jc w:val="center"/>
              <w:rPr>
                <w:rFonts w:hAnsi="宋体" w:cs="宋体"/>
                <w:color w:val="auto"/>
                <w:sz w:val="21"/>
                <w:szCs w:val="21"/>
                <w:highlight w:val="none"/>
              </w:rPr>
            </w:pPr>
            <w:r>
              <w:rPr>
                <w:rFonts w:hint="eastAsia" w:hAnsi="宋体" w:cs="宋体"/>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596" w:type="dxa"/>
            <w:vAlign w:val="center"/>
          </w:tcPr>
          <w:p>
            <w:pPr>
              <w:spacing w:line="460" w:lineRule="exact"/>
              <w:jc w:val="center"/>
              <w:rPr>
                <w:rFonts w:hAnsi="宋体" w:cs="宋体"/>
                <w:color w:val="auto"/>
                <w:sz w:val="21"/>
                <w:szCs w:val="21"/>
                <w:highlight w:val="none"/>
              </w:rPr>
            </w:pPr>
            <w:r>
              <w:rPr>
                <w:rFonts w:hint="eastAsia" w:hAnsi="宋体" w:cs="宋体"/>
                <w:color w:val="auto"/>
                <w:sz w:val="21"/>
                <w:szCs w:val="21"/>
                <w:highlight w:val="none"/>
              </w:rPr>
              <w:t>7</w:t>
            </w:r>
          </w:p>
        </w:tc>
        <w:tc>
          <w:tcPr>
            <w:tcW w:w="1123" w:type="dxa"/>
            <w:vAlign w:val="center"/>
          </w:tcPr>
          <w:p>
            <w:pPr>
              <w:spacing w:line="460" w:lineRule="exact"/>
              <w:jc w:val="center"/>
              <w:rPr>
                <w:rFonts w:hAnsi="宋体" w:cs="宋体"/>
                <w:color w:val="auto"/>
                <w:sz w:val="21"/>
                <w:szCs w:val="21"/>
                <w:highlight w:val="none"/>
              </w:rPr>
            </w:pPr>
            <w:r>
              <w:rPr>
                <w:rFonts w:hint="eastAsia" w:hAnsi="宋体" w:cs="宋体"/>
                <w:color w:val="auto"/>
                <w:sz w:val="21"/>
                <w:szCs w:val="21"/>
                <w:highlight w:val="none"/>
              </w:rPr>
              <w:t>验收方案</w:t>
            </w:r>
          </w:p>
        </w:tc>
        <w:tc>
          <w:tcPr>
            <w:tcW w:w="6564" w:type="dxa"/>
            <w:vAlign w:val="bottom"/>
          </w:tcPr>
          <w:p>
            <w:pPr>
              <w:widowControl/>
              <w:spacing w:line="460" w:lineRule="exact"/>
              <w:rPr>
                <w:rFonts w:hAnsi="宋体" w:cs="宋体"/>
                <w:color w:val="auto"/>
                <w:sz w:val="21"/>
                <w:szCs w:val="21"/>
                <w:highlight w:val="none"/>
              </w:rPr>
            </w:pPr>
            <w:r>
              <w:rPr>
                <w:rFonts w:hint="eastAsia" w:hAnsi="宋体" w:cs="宋体"/>
                <w:color w:val="auto"/>
                <w:sz w:val="21"/>
                <w:szCs w:val="21"/>
                <w:highlight w:val="none"/>
              </w:rPr>
              <w:t>项目验收方案是否明确、详尽且合理可行的最高得2分，有欠缺或缺漏或不合理的每处扣0.5分，扣完为止。</w:t>
            </w:r>
          </w:p>
        </w:tc>
        <w:tc>
          <w:tcPr>
            <w:tcW w:w="756" w:type="dxa"/>
            <w:vAlign w:val="center"/>
          </w:tcPr>
          <w:p>
            <w:pPr>
              <w:spacing w:line="460" w:lineRule="exact"/>
              <w:jc w:val="center"/>
              <w:rPr>
                <w:rFonts w:hAnsi="宋体" w:cs="宋体"/>
                <w:color w:val="auto"/>
                <w:sz w:val="21"/>
                <w:szCs w:val="21"/>
                <w:highlight w:val="none"/>
              </w:rPr>
            </w:pPr>
            <w:r>
              <w:rPr>
                <w:rFonts w:hint="eastAsia" w:hAnsi="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596" w:type="dxa"/>
            <w:vAlign w:val="center"/>
          </w:tcPr>
          <w:p>
            <w:pPr>
              <w:spacing w:line="460" w:lineRule="exact"/>
              <w:jc w:val="center"/>
              <w:rPr>
                <w:rFonts w:hAnsi="宋体" w:cs="宋体"/>
                <w:color w:val="auto"/>
                <w:sz w:val="21"/>
                <w:szCs w:val="21"/>
                <w:highlight w:val="none"/>
              </w:rPr>
            </w:pPr>
            <w:r>
              <w:rPr>
                <w:rFonts w:hint="eastAsia" w:hAnsi="宋体" w:cs="宋体"/>
                <w:color w:val="auto"/>
                <w:sz w:val="21"/>
                <w:szCs w:val="21"/>
                <w:highlight w:val="none"/>
              </w:rPr>
              <w:t>8</w:t>
            </w:r>
          </w:p>
        </w:tc>
        <w:tc>
          <w:tcPr>
            <w:tcW w:w="1123" w:type="dxa"/>
            <w:vAlign w:val="center"/>
          </w:tcPr>
          <w:p>
            <w:pPr>
              <w:autoSpaceDE/>
              <w:autoSpaceDN/>
              <w:spacing w:line="460" w:lineRule="exact"/>
              <w:jc w:val="center"/>
              <w:rPr>
                <w:rFonts w:hAnsi="宋体" w:cs="宋体"/>
                <w:color w:val="auto"/>
                <w:sz w:val="21"/>
                <w:szCs w:val="21"/>
                <w:highlight w:val="none"/>
              </w:rPr>
            </w:pPr>
            <w:r>
              <w:rPr>
                <w:rFonts w:hint="eastAsia" w:hAnsi="宋体" w:cs="宋体"/>
                <w:color w:val="auto"/>
                <w:sz w:val="21"/>
                <w:szCs w:val="21"/>
                <w:highlight w:val="none"/>
              </w:rPr>
              <w:t>政策分</w:t>
            </w:r>
          </w:p>
        </w:tc>
        <w:tc>
          <w:tcPr>
            <w:tcW w:w="6564" w:type="dxa"/>
            <w:vAlign w:val="center"/>
          </w:tcPr>
          <w:p>
            <w:pPr>
              <w:autoSpaceDE/>
              <w:autoSpaceDN/>
              <w:spacing w:line="460" w:lineRule="exact"/>
              <w:jc w:val="both"/>
              <w:rPr>
                <w:rFonts w:hAnsi="宋体" w:cs="宋体"/>
                <w:color w:val="auto"/>
                <w:sz w:val="21"/>
                <w:szCs w:val="21"/>
                <w:highlight w:val="none"/>
              </w:rPr>
            </w:pPr>
            <w:r>
              <w:rPr>
                <w:rFonts w:hint="eastAsia" w:hAnsi="宋体" w:cs="宋体"/>
                <w:color w:val="auto"/>
                <w:sz w:val="21"/>
                <w:szCs w:val="21"/>
                <w:highlight w:val="none"/>
              </w:rPr>
              <w:t>供应商符合《政府采购货物和服务招标投标管理办法》第五条规定，属“节约能源、保护环境、扶持不发达地区和少数民族地区等”政府采购政策扶持对象的，提供相关证明材料和政策依据，每符合一项得0.5分，最高可得2分；未提供相关证明材料的不得分。（提供相关证明材料和政策依据备查）</w:t>
            </w:r>
          </w:p>
        </w:tc>
        <w:tc>
          <w:tcPr>
            <w:tcW w:w="756" w:type="dxa"/>
            <w:vAlign w:val="center"/>
          </w:tcPr>
          <w:p>
            <w:pPr>
              <w:autoSpaceDE/>
              <w:autoSpaceDN/>
              <w:spacing w:line="460" w:lineRule="exact"/>
              <w:jc w:val="center"/>
              <w:rPr>
                <w:rFonts w:hAnsi="宋体" w:cs="宋体"/>
                <w:color w:val="auto"/>
                <w:sz w:val="21"/>
                <w:szCs w:val="21"/>
                <w:highlight w:val="none"/>
              </w:rPr>
            </w:pPr>
            <w:r>
              <w:rPr>
                <w:rFonts w:hint="eastAsia" w:hAnsi="宋体" w:cs="宋体"/>
                <w:bCs/>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8283" w:type="dxa"/>
            <w:gridSpan w:val="3"/>
            <w:vAlign w:val="center"/>
          </w:tcPr>
          <w:p>
            <w:pPr>
              <w:spacing w:line="460" w:lineRule="exact"/>
              <w:jc w:val="center"/>
              <w:rPr>
                <w:rFonts w:hAnsi="宋体" w:cs="宋体"/>
                <w:color w:val="auto"/>
                <w:sz w:val="21"/>
                <w:szCs w:val="21"/>
                <w:highlight w:val="none"/>
              </w:rPr>
            </w:pPr>
            <w:r>
              <w:rPr>
                <w:rFonts w:hint="eastAsia" w:hAnsi="宋体" w:cs="宋体"/>
                <w:color w:val="auto"/>
                <w:sz w:val="21"/>
                <w:szCs w:val="21"/>
                <w:highlight w:val="none"/>
              </w:rPr>
              <w:t>合计</w:t>
            </w:r>
          </w:p>
        </w:tc>
        <w:tc>
          <w:tcPr>
            <w:tcW w:w="756" w:type="dxa"/>
            <w:vAlign w:val="center"/>
          </w:tcPr>
          <w:p>
            <w:pPr>
              <w:spacing w:line="460" w:lineRule="exact"/>
              <w:jc w:val="center"/>
              <w:rPr>
                <w:rFonts w:hAnsi="宋体" w:cs="宋体"/>
                <w:color w:val="auto"/>
                <w:sz w:val="21"/>
                <w:szCs w:val="21"/>
                <w:highlight w:val="none"/>
              </w:rPr>
            </w:pPr>
            <w:r>
              <w:rPr>
                <w:rFonts w:hint="eastAsia" w:hAnsi="宋体" w:cs="宋体"/>
                <w:color w:val="auto"/>
                <w:sz w:val="21"/>
                <w:szCs w:val="21"/>
                <w:highlight w:val="none"/>
              </w:rPr>
              <w:t>80</w:t>
            </w:r>
          </w:p>
        </w:tc>
      </w:tr>
    </w:tbl>
    <w:p>
      <w:pPr>
        <w:autoSpaceDE/>
        <w:autoSpaceDN/>
        <w:adjustRightInd/>
        <w:spacing w:line="500" w:lineRule="exact"/>
        <w:ind w:firstLine="422" w:firstLineChars="200"/>
        <w:jc w:val="both"/>
        <w:textAlignment w:val="auto"/>
        <w:rPr>
          <w:rFonts w:hAnsi="宋体" w:cs="宋体"/>
          <w:b/>
          <w:color w:val="auto"/>
          <w:sz w:val="21"/>
          <w:szCs w:val="21"/>
          <w:highlight w:val="none"/>
        </w:rPr>
      </w:pPr>
      <w:r>
        <w:rPr>
          <w:rFonts w:hint="eastAsia" w:hAnsi="宋体" w:cs="宋体"/>
          <w:b/>
          <w:color w:val="auto"/>
          <w:sz w:val="21"/>
          <w:szCs w:val="21"/>
          <w:highlight w:val="none"/>
        </w:rPr>
        <w:t>四、技术商务分的计算</w:t>
      </w:r>
    </w:p>
    <w:p>
      <w:pPr>
        <w:autoSpaceDE/>
        <w:autoSpaceDN/>
        <w:adjustRightInd/>
        <w:spacing w:line="44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技术商务分按照磋商小组评判专家成员的独立评分结果汇总数后的算术平均分计算，计算公式：技术商务分=（磋商小组所有成员评分合计数）/（磋商小组组成人员数）。</w:t>
      </w:r>
    </w:p>
    <w:p>
      <w:pPr>
        <w:autoSpaceDE/>
        <w:autoSpaceDN/>
        <w:adjustRightInd/>
        <w:spacing w:line="440" w:lineRule="exact"/>
        <w:ind w:firstLine="422" w:firstLineChars="200"/>
        <w:jc w:val="both"/>
        <w:textAlignment w:val="auto"/>
        <w:rPr>
          <w:rFonts w:hAnsi="宋体" w:cs="宋体"/>
          <w:b/>
          <w:color w:val="auto"/>
          <w:sz w:val="21"/>
          <w:szCs w:val="21"/>
          <w:highlight w:val="none"/>
        </w:rPr>
      </w:pPr>
      <w:r>
        <w:rPr>
          <w:rFonts w:hint="eastAsia" w:hAnsi="宋体" w:cs="宋体"/>
          <w:b/>
          <w:color w:val="auto"/>
          <w:sz w:val="21"/>
          <w:szCs w:val="21"/>
          <w:highlight w:val="none"/>
        </w:rPr>
        <w:t>五、成交原则</w:t>
      </w:r>
    </w:p>
    <w:p>
      <w:pPr>
        <w:tabs>
          <w:tab w:val="left" w:pos="0"/>
        </w:tabs>
        <w:snapToGrid w:val="0"/>
        <w:spacing w:line="44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1.严格按照采购文件规定“综合评分法，得分最高者成交”的原则确定成交供应商，法律法规和国家政策另有规定的从其规定。</w:t>
      </w:r>
    </w:p>
    <w:p>
      <w:pPr>
        <w:tabs>
          <w:tab w:val="left" w:pos="0"/>
        </w:tabs>
        <w:snapToGrid w:val="0"/>
        <w:spacing w:line="44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2.经成交结果公示期满无异议，成交候选供应商即成为成交供应商。</w:t>
      </w:r>
    </w:p>
    <w:p>
      <w:pPr>
        <w:autoSpaceDE/>
        <w:autoSpaceDN/>
        <w:adjustRightInd/>
        <w:spacing w:line="440" w:lineRule="exact"/>
        <w:ind w:firstLine="422" w:firstLineChars="200"/>
        <w:jc w:val="both"/>
        <w:textAlignment w:val="auto"/>
        <w:rPr>
          <w:rFonts w:hAnsi="宋体" w:cs="宋体"/>
          <w:b/>
          <w:color w:val="auto"/>
          <w:sz w:val="21"/>
          <w:szCs w:val="21"/>
          <w:highlight w:val="none"/>
        </w:rPr>
      </w:pPr>
      <w:r>
        <w:rPr>
          <w:rFonts w:hint="eastAsia" w:hAnsi="宋体" w:cs="宋体"/>
          <w:b/>
          <w:color w:val="auto"/>
          <w:sz w:val="21"/>
          <w:szCs w:val="21"/>
          <w:highlight w:val="none"/>
        </w:rPr>
        <w:t>六、保密及其它注意事项</w:t>
      </w:r>
    </w:p>
    <w:p>
      <w:pPr>
        <w:autoSpaceDE/>
        <w:autoSpaceDN/>
        <w:adjustRightInd/>
        <w:spacing w:line="440" w:lineRule="exact"/>
        <w:ind w:firstLine="420" w:firstLineChars="200"/>
        <w:jc w:val="both"/>
        <w:textAlignment w:val="auto"/>
        <w:rPr>
          <w:rFonts w:hAnsi="宋体" w:cs="宋体"/>
          <w:b/>
          <w:color w:val="auto"/>
          <w:sz w:val="21"/>
          <w:szCs w:val="21"/>
          <w:highlight w:val="none"/>
        </w:rPr>
      </w:pPr>
      <w:r>
        <w:rPr>
          <w:rFonts w:hint="eastAsia" w:hAnsi="宋体" w:cs="宋体"/>
          <w:bCs/>
          <w:color w:val="auto"/>
          <w:sz w:val="21"/>
          <w:szCs w:val="21"/>
          <w:highlight w:val="none"/>
        </w:rPr>
        <w:t>1.评审是磋商过程中的重要环节，评审工作在磋商小组成员内独立进行。磋商小组将遵照评分原则，公正、公平、客观地对待所有供应商。</w:t>
      </w:r>
    </w:p>
    <w:p>
      <w:pPr>
        <w:tabs>
          <w:tab w:val="left" w:pos="0"/>
        </w:tabs>
        <w:snapToGrid w:val="0"/>
        <w:spacing w:line="44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2.在磋商期间，供应商不得向磋商小组询问评分情况，不得进行旨在影响磋商评审结果的活动。</w:t>
      </w:r>
    </w:p>
    <w:p>
      <w:pPr>
        <w:tabs>
          <w:tab w:val="left" w:pos="0"/>
        </w:tabs>
        <w:snapToGrid w:val="0"/>
        <w:spacing w:line="44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3.为保证确定成交人的公正性，在磋商评审过程中，磋商小组成员不得与供应商私下交换意见。在磋商工作结束后与磋商评审工作有接触的任何人，不得将评分情况外泄。</w:t>
      </w:r>
    </w:p>
    <w:p>
      <w:pPr>
        <w:rPr>
          <w:rFonts w:hAnsi="宋体" w:cs="宋体"/>
          <w:color w:val="auto"/>
          <w:highlight w:val="none"/>
        </w:rPr>
      </w:pPr>
      <w:bookmarkStart w:id="681" w:name="_Toc19020"/>
      <w:r>
        <w:rPr>
          <w:rFonts w:hint="eastAsia" w:hAnsi="宋体" w:cs="宋体"/>
          <w:color w:val="auto"/>
          <w:highlight w:val="none"/>
        </w:rPr>
        <w:br w:type="page"/>
      </w:r>
    </w:p>
    <w:p>
      <w:pPr>
        <w:pStyle w:val="2"/>
        <w:spacing w:beforeLines="50" w:afterLines="50" w:line="360" w:lineRule="auto"/>
        <w:jc w:val="center"/>
        <w:rPr>
          <w:rFonts w:hAnsi="宋体" w:cs="宋体"/>
          <w:color w:val="auto"/>
          <w:sz w:val="32"/>
          <w:szCs w:val="32"/>
          <w:highlight w:val="none"/>
        </w:rPr>
      </w:pPr>
      <w:r>
        <w:rPr>
          <w:rFonts w:hint="eastAsia" w:hAnsi="宋体" w:cs="宋体"/>
          <w:color w:val="auto"/>
          <w:sz w:val="32"/>
          <w:szCs w:val="32"/>
          <w:highlight w:val="none"/>
        </w:rPr>
        <w:t>第五部分  合同主要条款</w:t>
      </w:r>
      <w:bookmarkEnd w:id="681"/>
    </w:p>
    <w:bookmarkEnd w:id="669"/>
    <w:bookmarkEnd w:id="670"/>
    <w:bookmarkEnd w:id="671"/>
    <w:bookmarkEnd w:id="672"/>
    <w:bookmarkEnd w:id="673"/>
    <w:bookmarkEnd w:id="674"/>
    <w:bookmarkEnd w:id="675"/>
    <w:bookmarkEnd w:id="676"/>
    <w:bookmarkEnd w:id="677"/>
    <w:bookmarkEnd w:id="678"/>
    <w:bookmarkEnd w:id="679"/>
    <w:p>
      <w:pPr>
        <w:keepNext/>
        <w:jc w:val="center"/>
        <w:rPr>
          <w:rFonts w:hAnsi="宋体" w:cs="宋体"/>
          <w:color w:val="auto"/>
          <w:kern w:val="2"/>
          <w:sz w:val="28"/>
          <w:szCs w:val="28"/>
          <w:highlight w:val="none"/>
        </w:rPr>
      </w:pPr>
      <w:bookmarkStart w:id="682" w:name="_Toc22550"/>
      <w:bookmarkStart w:id="683" w:name="_Toc296074346"/>
      <w:bookmarkStart w:id="684" w:name="_Toc237340113"/>
      <w:bookmarkStart w:id="685" w:name="_Toc499294825"/>
      <w:bookmarkStart w:id="686" w:name="_Toc237182505"/>
      <w:bookmarkStart w:id="687" w:name="_Toc237414014"/>
      <w:bookmarkStart w:id="688" w:name="_Toc237189786"/>
      <w:bookmarkStart w:id="689" w:name="_Toc237413919"/>
      <w:bookmarkStart w:id="690" w:name="_Toc256977545"/>
      <w:bookmarkStart w:id="691" w:name="_Toc264211077"/>
      <w:bookmarkStart w:id="692" w:name="_Toc237193457"/>
      <w:bookmarkStart w:id="693" w:name="_Toc237176512"/>
      <w:bookmarkStart w:id="694" w:name="_Toc295737635"/>
      <w:bookmarkStart w:id="695" w:name="_Toc184785934"/>
      <w:bookmarkStart w:id="696" w:name="_Toc217289136"/>
      <w:bookmarkStart w:id="697" w:name="_Toc265065989"/>
      <w:bookmarkStart w:id="698" w:name="_Toc295910883"/>
      <w:r>
        <w:rPr>
          <w:rFonts w:hint="eastAsia" w:hAnsi="宋体" w:cs="宋体"/>
          <w:color w:val="auto"/>
          <w:kern w:val="2"/>
          <w:sz w:val="28"/>
          <w:szCs w:val="28"/>
          <w:highlight w:val="none"/>
        </w:rPr>
        <w:t>（以甲、乙双方签订的正式合同为准）</w:t>
      </w:r>
      <w:bookmarkEnd w:id="682"/>
    </w:p>
    <w:p>
      <w:pPr>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 xml:space="preserve">项目名称：                                         </w:t>
      </w:r>
    </w:p>
    <w:p>
      <w:pPr>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项目编号：</w:t>
      </w:r>
    </w:p>
    <w:p>
      <w:pPr>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 xml:space="preserve">甲方（采购方）： </w:t>
      </w:r>
    </w:p>
    <w:p>
      <w:pPr>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 xml:space="preserve">乙方（供应商）： </w:t>
      </w:r>
    </w:p>
    <w:p>
      <w:pPr>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 xml:space="preserve">    甲、乙双方根据</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项目</w:t>
      </w:r>
      <w:r>
        <w:rPr>
          <w:rFonts w:hint="eastAsia" w:hAnsi="宋体" w:cs="宋体"/>
          <w:color w:val="auto"/>
          <w:kern w:val="2"/>
          <w:sz w:val="21"/>
          <w:highlight w:val="none"/>
        </w:rPr>
        <w:t>竞争性磋商采购</w:t>
      </w:r>
      <w:r>
        <w:rPr>
          <w:rFonts w:hint="eastAsia" w:hAnsi="宋体" w:cs="宋体"/>
          <w:color w:val="auto"/>
          <w:sz w:val="21"/>
          <w:szCs w:val="21"/>
          <w:highlight w:val="none"/>
        </w:rPr>
        <w:t>的结果，签署本合同。</w:t>
      </w:r>
    </w:p>
    <w:p>
      <w:pPr>
        <w:autoSpaceDE/>
        <w:adjustRightInd/>
        <w:spacing w:line="500" w:lineRule="exact"/>
        <w:ind w:firstLine="422" w:firstLineChars="200"/>
        <w:contextualSpacing/>
        <w:jc w:val="both"/>
        <w:rPr>
          <w:rFonts w:hAnsi="宋体" w:cs="宋体"/>
          <w:b/>
          <w:color w:val="auto"/>
          <w:sz w:val="21"/>
          <w:szCs w:val="21"/>
          <w:highlight w:val="none"/>
        </w:rPr>
      </w:pPr>
      <w:r>
        <w:rPr>
          <w:rFonts w:hint="eastAsia" w:hAnsi="宋体" w:cs="宋体"/>
          <w:b/>
          <w:bCs/>
          <w:color w:val="auto"/>
          <w:sz w:val="21"/>
          <w:szCs w:val="21"/>
          <w:highlight w:val="none"/>
        </w:rPr>
        <w:t>一、</w:t>
      </w:r>
      <w:r>
        <w:rPr>
          <w:rFonts w:hint="eastAsia" w:hAnsi="宋体" w:cs="宋体"/>
          <w:b/>
          <w:color w:val="auto"/>
          <w:sz w:val="21"/>
          <w:szCs w:val="21"/>
          <w:highlight w:val="none"/>
        </w:rPr>
        <w:t>下列文件为本合同不可分割部分：</w:t>
      </w:r>
    </w:p>
    <w:p>
      <w:pPr>
        <w:autoSpaceDE/>
        <w:adjustRightInd/>
        <w:spacing w:line="500" w:lineRule="exact"/>
        <w:ind w:firstLine="420" w:firstLineChars="200"/>
        <w:contextualSpacing/>
        <w:jc w:val="both"/>
        <w:rPr>
          <w:rFonts w:hAnsi="宋体" w:cs="宋体"/>
          <w:color w:val="auto"/>
          <w:sz w:val="21"/>
          <w:szCs w:val="21"/>
          <w:highlight w:val="none"/>
        </w:rPr>
      </w:pPr>
      <w:r>
        <w:rPr>
          <w:rFonts w:hint="eastAsia" w:hAnsi="宋体" w:cs="宋体"/>
          <w:color w:val="auto"/>
          <w:sz w:val="21"/>
          <w:szCs w:val="21"/>
          <w:highlight w:val="none"/>
        </w:rPr>
        <w:t>1.成交通知书；</w:t>
      </w:r>
    </w:p>
    <w:p>
      <w:pPr>
        <w:autoSpaceDE/>
        <w:adjustRightInd/>
        <w:spacing w:line="500" w:lineRule="exact"/>
        <w:ind w:firstLine="420" w:firstLineChars="200"/>
        <w:contextualSpacing/>
        <w:jc w:val="both"/>
        <w:rPr>
          <w:rFonts w:hAnsi="宋体" w:cs="宋体"/>
          <w:color w:val="auto"/>
          <w:sz w:val="21"/>
          <w:szCs w:val="21"/>
          <w:highlight w:val="none"/>
        </w:rPr>
      </w:pPr>
      <w:r>
        <w:rPr>
          <w:rFonts w:hint="eastAsia" w:hAnsi="宋体" w:cs="宋体"/>
          <w:color w:val="auto"/>
          <w:sz w:val="21"/>
          <w:szCs w:val="21"/>
          <w:highlight w:val="none"/>
        </w:rPr>
        <w:t>2.乙方的磋商响应文件。</w:t>
      </w:r>
    </w:p>
    <w:p>
      <w:pPr>
        <w:autoSpaceDE/>
        <w:adjustRightInd/>
        <w:spacing w:line="500" w:lineRule="exact"/>
        <w:ind w:firstLine="420" w:firstLineChars="200"/>
        <w:contextualSpacing/>
        <w:jc w:val="both"/>
        <w:rPr>
          <w:rFonts w:hAnsi="宋体" w:cs="宋体"/>
          <w:color w:val="auto"/>
          <w:sz w:val="21"/>
          <w:szCs w:val="21"/>
          <w:highlight w:val="none"/>
        </w:rPr>
      </w:pPr>
      <w:r>
        <w:rPr>
          <w:rFonts w:hint="eastAsia" w:hAnsi="宋体" w:cs="宋体"/>
          <w:color w:val="auto"/>
          <w:sz w:val="21"/>
          <w:szCs w:val="21"/>
          <w:highlight w:val="none"/>
        </w:rPr>
        <w:t>3.甲方的磋商采购文件。</w:t>
      </w:r>
    </w:p>
    <w:p>
      <w:pPr>
        <w:autoSpaceDE/>
        <w:adjustRightInd/>
        <w:spacing w:line="500" w:lineRule="exact"/>
        <w:ind w:firstLine="420" w:firstLineChars="200"/>
        <w:contextualSpacing/>
        <w:jc w:val="both"/>
        <w:rPr>
          <w:rFonts w:hAnsi="宋体" w:cs="宋体"/>
          <w:b/>
          <w:color w:val="auto"/>
          <w:sz w:val="21"/>
          <w:szCs w:val="21"/>
          <w:highlight w:val="none"/>
        </w:rPr>
      </w:pPr>
      <w:r>
        <w:rPr>
          <w:rFonts w:hint="eastAsia" w:hAnsi="宋体" w:cs="宋体"/>
          <w:color w:val="auto"/>
          <w:sz w:val="21"/>
          <w:szCs w:val="21"/>
          <w:highlight w:val="none"/>
        </w:rPr>
        <w:t>4.乙方在磋商过程中所作的其它承诺、声明、书面澄清等。</w:t>
      </w:r>
    </w:p>
    <w:p>
      <w:pPr>
        <w:spacing w:line="46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二、服务内容：</w:t>
      </w:r>
      <w:r>
        <w:rPr>
          <w:rFonts w:hint="eastAsia" w:hAnsi="宋体" w:cs="宋体"/>
          <w:color w:val="auto"/>
          <w:sz w:val="21"/>
          <w:szCs w:val="21"/>
          <w:highlight w:val="none"/>
          <w:u w:val="single"/>
        </w:rPr>
        <w:t>乙方为甲方提供</w:t>
      </w:r>
      <w:r>
        <w:rPr>
          <w:rFonts w:hint="eastAsia" w:hAnsi="宋体" w:cs="宋体"/>
          <w:color w:val="auto"/>
          <w:spacing w:val="-3"/>
          <w:sz w:val="21"/>
          <w:szCs w:val="21"/>
          <w:highlight w:val="none"/>
          <w:u w:val="single"/>
        </w:rPr>
        <w:t xml:space="preserve">                                      </w:t>
      </w:r>
      <w:r>
        <w:rPr>
          <w:rFonts w:hint="eastAsia" w:hAnsi="宋体" w:cs="宋体"/>
          <w:color w:val="auto"/>
          <w:spacing w:val="-3"/>
          <w:sz w:val="21"/>
          <w:szCs w:val="21"/>
          <w:highlight w:val="none"/>
        </w:rPr>
        <w:t xml:space="preserve"> 。服务范围详见本项目</w:t>
      </w:r>
      <w:r>
        <w:rPr>
          <w:rFonts w:hint="eastAsia" w:hAnsi="宋体" w:cs="宋体"/>
          <w:color w:val="auto"/>
          <w:kern w:val="2"/>
          <w:sz w:val="21"/>
          <w:highlight w:val="none"/>
        </w:rPr>
        <w:t>竞争性磋商采购</w:t>
      </w:r>
      <w:r>
        <w:rPr>
          <w:rFonts w:hint="eastAsia" w:hAnsi="宋体" w:cs="宋体"/>
          <w:color w:val="auto"/>
          <w:spacing w:val="-3"/>
          <w:sz w:val="21"/>
          <w:szCs w:val="21"/>
          <w:highlight w:val="none"/>
        </w:rPr>
        <w:t>文件。</w:t>
      </w:r>
      <w:r>
        <w:rPr>
          <w:rFonts w:hint="eastAsia" w:hAnsi="宋体" w:cs="宋体"/>
          <w:color w:val="auto"/>
          <w:sz w:val="21"/>
          <w:szCs w:val="21"/>
          <w:highlight w:val="none"/>
        </w:rPr>
        <w:t xml:space="preserve">                                             。</w:t>
      </w:r>
    </w:p>
    <w:p>
      <w:pPr>
        <w:spacing w:line="46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三、合同金额</w:t>
      </w:r>
    </w:p>
    <w:p>
      <w:pPr>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本合同总金额为（大写）：____________________________________元（￥_______________元）人民币。</w:t>
      </w:r>
    </w:p>
    <w:p>
      <w:pPr>
        <w:spacing w:line="46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四、服务要求：满足竞争性磋商采购文件的要求。</w:t>
      </w:r>
    </w:p>
    <w:p>
      <w:pPr>
        <w:spacing w:line="46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五、成果要求：满足竞争性磋商采购文件的要求。</w:t>
      </w:r>
    </w:p>
    <w:p>
      <w:pPr>
        <w:spacing w:line="460" w:lineRule="exact"/>
        <w:ind w:firstLine="422" w:firstLineChars="200"/>
        <w:jc w:val="both"/>
        <w:rPr>
          <w:rFonts w:hAnsi="宋体" w:cs="宋体"/>
          <w:color w:val="auto"/>
          <w:highlight w:val="none"/>
        </w:rPr>
      </w:pPr>
      <w:r>
        <w:rPr>
          <w:rFonts w:hint="eastAsia" w:hAnsi="宋体" w:cs="宋体"/>
          <w:b/>
          <w:color w:val="auto"/>
          <w:sz w:val="21"/>
          <w:szCs w:val="21"/>
          <w:highlight w:val="none"/>
        </w:rPr>
        <w:t>六、时间进度要求：满足竞争性磋商采购文件的要求。</w:t>
      </w:r>
    </w:p>
    <w:p>
      <w:pPr>
        <w:spacing w:line="46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七、知识产权</w:t>
      </w:r>
    </w:p>
    <w:p>
      <w:pPr>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1.乙方应保证提供服务过程中不会侵犯任何第三方的知识产权。</w:t>
      </w:r>
    </w:p>
    <w:p>
      <w:pPr>
        <w:spacing w:line="460" w:lineRule="exact"/>
        <w:ind w:firstLine="420" w:firstLineChars="200"/>
        <w:jc w:val="both"/>
        <w:rPr>
          <w:rFonts w:hAnsi="宋体" w:cs="宋体"/>
          <w:b/>
          <w:color w:val="auto"/>
          <w:sz w:val="21"/>
          <w:szCs w:val="21"/>
          <w:highlight w:val="none"/>
        </w:rPr>
      </w:pPr>
      <w:r>
        <w:rPr>
          <w:rFonts w:hint="eastAsia" w:hAnsi="宋体" w:cs="宋体"/>
          <w:color w:val="auto"/>
          <w:sz w:val="21"/>
          <w:szCs w:val="21"/>
          <w:highlight w:val="none"/>
        </w:rPr>
        <w:t>2.本次项目成果所有权和使用权均属于甲方。未经甲方书面同意，乙方不得向任何单位和个人转让和使用本项目成果，否则承担由此产生的一切法律和经济责任。</w:t>
      </w:r>
    </w:p>
    <w:p>
      <w:pPr>
        <w:spacing w:line="46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八、转包或分包</w:t>
      </w:r>
    </w:p>
    <w:p>
      <w:pPr>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乙方不得向他人转让成交项目，也不得将成交项目肢解后分别向他人转让，也不得将成交项目的部分非主体、非关键性工作分包给他人完成。</w:t>
      </w:r>
    </w:p>
    <w:p>
      <w:pPr>
        <w:spacing w:line="46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九、合同履行时间、履行方式及履行地点</w:t>
      </w:r>
    </w:p>
    <w:p>
      <w:pPr>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1.履行时间：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pPr>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2.履行方式：</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pPr>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3.履行地点：</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pPr>
        <w:spacing w:line="460" w:lineRule="exact"/>
        <w:ind w:firstLine="420" w:firstLineChars="200"/>
        <w:rPr>
          <w:rFonts w:hAnsi="宋体" w:cs="宋体"/>
          <w:color w:val="auto"/>
          <w:highlight w:val="none"/>
        </w:rPr>
      </w:pPr>
      <w:r>
        <w:rPr>
          <w:rFonts w:hint="eastAsia" w:hAnsi="宋体" w:cs="宋体"/>
          <w:color w:val="auto"/>
          <w:sz w:val="21"/>
          <w:szCs w:val="21"/>
          <w:highlight w:val="none"/>
        </w:rPr>
        <w:t>4.履约保证金</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pPr>
        <w:spacing w:line="46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十、付款方式：满足磋商文件的要求。</w:t>
      </w:r>
    </w:p>
    <w:p>
      <w:pPr>
        <w:spacing w:line="46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十一、税费</w:t>
      </w:r>
    </w:p>
    <w:p>
      <w:pPr>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本合同执行中相关的一切税费均由乙方负担。</w:t>
      </w:r>
    </w:p>
    <w:p>
      <w:pPr>
        <w:spacing w:line="460" w:lineRule="exact"/>
        <w:ind w:firstLine="422" w:firstLineChars="200"/>
        <w:jc w:val="both"/>
        <w:rPr>
          <w:rFonts w:hAnsi="宋体" w:cs="宋体"/>
          <w:color w:val="auto"/>
          <w:sz w:val="21"/>
          <w:szCs w:val="21"/>
          <w:highlight w:val="none"/>
        </w:rPr>
      </w:pPr>
      <w:r>
        <w:rPr>
          <w:rFonts w:hint="eastAsia" w:hAnsi="宋体" w:cs="宋体"/>
          <w:b/>
          <w:color w:val="auto"/>
          <w:sz w:val="21"/>
          <w:szCs w:val="21"/>
          <w:highlight w:val="none"/>
        </w:rPr>
        <w:t>十二、质量保证及后续服务</w:t>
      </w:r>
    </w:p>
    <w:p>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1.乙方应按</w:t>
      </w:r>
      <w:r>
        <w:rPr>
          <w:rFonts w:hint="eastAsia" w:hAnsi="宋体" w:cs="宋体"/>
          <w:color w:val="auto"/>
          <w:kern w:val="2"/>
          <w:sz w:val="21"/>
          <w:highlight w:val="none"/>
        </w:rPr>
        <w:t>竞争性磋商采购</w:t>
      </w:r>
      <w:r>
        <w:rPr>
          <w:rFonts w:hint="eastAsia" w:hAnsi="宋体" w:cs="宋体"/>
          <w:color w:val="auto"/>
          <w:sz w:val="21"/>
          <w:szCs w:val="21"/>
          <w:highlight w:val="none"/>
        </w:rPr>
        <w:t>文件规定向甲方提供服务。</w:t>
      </w:r>
    </w:p>
    <w:p>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2.乙方提供的服务成果得不到评审专家认可的，乙方应负责免费提供后续服务，直到得到评审专家评审认可为止。对达不到要求者，根据实际情况，经双方协商，可按以下办法处理：</w:t>
      </w:r>
    </w:p>
    <w:p>
      <w:pPr>
        <w:spacing w:line="500" w:lineRule="exact"/>
        <w:ind w:firstLine="315" w:firstLineChars="150"/>
        <w:jc w:val="both"/>
        <w:rPr>
          <w:rFonts w:hAnsi="宋体" w:cs="宋体"/>
          <w:color w:val="auto"/>
          <w:sz w:val="21"/>
          <w:szCs w:val="21"/>
          <w:highlight w:val="none"/>
        </w:rPr>
      </w:pPr>
      <w:r>
        <w:rPr>
          <w:rFonts w:hint="eastAsia" w:hAnsi="宋体" w:cs="宋体"/>
          <w:color w:val="auto"/>
          <w:sz w:val="21"/>
          <w:szCs w:val="21"/>
          <w:highlight w:val="none"/>
        </w:rPr>
        <w:t>①重做：由乙方承担所发生的全部费用。</w:t>
      </w:r>
    </w:p>
    <w:p>
      <w:pPr>
        <w:spacing w:line="500" w:lineRule="exact"/>
        <w:ind w:firstLine="315" w:firstLineChars="150"/>
        <w:jc w:val="both"/>
        <w:rPr>
          <w:rFonts w:hAnsi="宋体" w:cs="宋体"/>
          <w:color w:val="auto"/>
          <w:sz w:val="21"/>
          <w:szCs w:val="21"/>
          <w:highlight w:val="none"/>
        </w:rPr>
      </w:pPr>
      <w:r>
        <w:rPr>
          <w:rFonts w:hint="eastAsia" w:hAnsi="宋体" w:cs="宋体"/>
          <w:color w:val="auto"/>
          <w:sz w:val="21"/>
          <w:szCs w:val="21"/>
          <w:highlight w:val="none"/>
        </w:rPr>
        <w:t>②贬值处理：由甲乙双方合议定价。</w:t>
      </w:r>
    </w:p>
    <w:p>
      <w:pPr>
        <w:spacing w:line="500" w:lineRule="exact"/>
        <w:ind w:firstLine="315" w:firstLineChars="150"/>
        <w:jc w:val="both"/>
        <w:rPr>
          <w:rFonts w:hAnsi="宋体" w:cs="宋体"/>
          <w:color w:val="auto"/>
          <w:sz w:val="21"/>
          <w:szCs w:val="21"/>
          <w:highlight w:val="none"/>
        </w:rPr>
      </w:pPr>
      <w:r>
        <w:rPr>
          <w:rFonts w:hint="eastAsia" w:hAnsi="宋体" w:cs="宋体"/>
          <w:color w:val="auto"/>
          <w:sz w:val="21"/>
          <w:szCs w:val="21"/>
          <w:highlight w:val="none"/>
        </w:rPr>
        <w:t>③解除合同。</w:t>
      </w:r>
    </w:p>
    <w:p>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3.在履约保证期内，乙方应对出现的质量及安全问题负责处理解决并承担一切费用。</w:t>
      </w:r>
    </w:p>
    <w:p>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4.合同履行完毕后，如发现存在缺失、错误或其他原因需对项目成果进行调整或修改的，乙方需负责免费对项目成果进行调整或修改。</w:t>
      </w:r>
    </w:p>
    <w:p>
      <w:pPr>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十三、违约责任</w:t>
      </w:r>
    </w:p>
    <w:p>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1.甲方无正当理由拒收接受服务的，甲方向乙方偿付合同款项百分之五作为违约金。</w:t>
      </w:r>
    </w:p>
    <w:p>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2.甲方无故逾期验收和办理款项支付手续的,甲方应按逾期付款总额每日万分之五向乙方支付违约金。</w:t>
      </w:r>
    </w:p>
    <w:p>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 xml:space="preserve">3.乙方逾期提供服务的，每日向甲方支付千分之六违约金。 </w:t>
      </w:r>
    </w:p>
    <w:p>
      <w:pPr>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十四、不可抗力事件处理</w:t>
      </w:r>
    </w:p>
    <w:p>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1.在合同有效期内，任何一方因不可抗力事件导致不能履行合同，则合同履行期可延长，其延长期与不可抗力影响期相同。</w:t>
      </w:r>
    </w:p>
    <w:p>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2.不可抗力事件发生后，应立即通知对方，并寄送有关权威机构出具的证明。</w:t>
      </w:r>
    </w:p>
    <w:p>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3.不可抗力事件延续120天以上，双方应通过友好协商，确定是否继续履行合同。</w:t>
      </w:r>
    </w:p>
    <w:p>
      <w:pPr>
        <w:pStyle w:val="44"/>
        <w:spacing w:after="0" w:line="500" w:lineRule="exact"/>
        <w:ind w:left="0" w:leftChars="0" w:firstLine="0"/>
        <w:rPr>
          <w:rFonts w:ascii="宋体" w:hAnsi="宋体"/>
          <w:color w:val="auto"/>
          <w:highlight w:val="none"/>
        </w:rPr>
      </w:pPr>
      <w:r>
        <w:rPr>
          <w:rFonts w:hint="eastAsia" w:ascii="宋体" w:hAnsi="宋体"/>
          <w:color w:val="auto"/>
          <w:highlight w:val="none"/>
        </w:rPr>
        <w:t xml:space="preserve">    4. 如有必要，经双方协商，本合同可延长，但不超过2年。</w:t>
      </w:r>
    </w:p>
    <w:p>
      <w:pPr>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十五、争议解决</w:t>
      </w:r>
    </w:p>
    <w:p>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双方在执行合同中所发生的一切争议，应通过协商解决。如协商不成，可向甲方所在地法院起诉。</w:t>
      </w:r>
    </w:p>
    <w:p>
      <w:pPr>
        <w:autoSpaceDE/>
        <w:autoSpaceDN/>
        <w:adjustRightInd/>
        <w:spacing w:line="500" w:lineRule="exact"/>
        <w:ind w:firstLine="422" w:firstLineChars="200"/>
        <w:jc w:val="both"/>
        <w:textAlignment w:val="auto"/>
        <w:rPr>
          <w:rFonts w:hAnsi="宋体" w:cs="宋体"/>
          <w:b/>
          <w:bCs/>
          <w:color w:val="auto"/>
          <w:sz w:val="21"/>
          <w:szCs w:val="21"/>
          <w:highlight w:val="none"/>
        </w:rPr>
      </w:pPr>
      <w:r>
        <w:rPr>
          <w:rFonts w:hint="eastAsia" w:hAnsi="宋体" w:cs="宋体"/>
          <w:b/>
          <w:bCs/>
          <w:color w:val="auto"/>
          <w:sz w:val="21"/>
          <w:szCs w:val="21"/>
          <w:highlight w:val="none"/>
        </w:rPr>
        <w:t>十六、合同生效及其它</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1.合同经双方法定代表人或授权代表签字并加盖单位公章后生效。</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2.本合同未尽事宜，遵照有关条文执行。</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3.本合同正本一式陆份，具有同等法律效力，甲乙双方各执二份，代理机构二份（用于备案及资料归集）。</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6"/>
        <w:gridCol w:w="3407"/>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9" w:hRule="atLeast"/>
        </w:trPr>
        <w:tc>
          <w:tcPr>
            <w:tcW w:w="3226" w:type="dxa"/>
            <w:tcBorders>
              <w:top w:val="single" w:color="auto" w:sz="4" w:space="0"/>
              <w:left w:val="single" w:color="auto" w:sz="4" w:space="0"/>
              <w:right w:val="single" w:color="auto" w:sz="4" w:space="0"/>
            </w:tcBorders>
          </w:tcPr>
          <w:p>
            <w:pPr>
              <w:spacing w:line="460" w:lineRule="exact"/>
              <w:ind w:right="-170" w:rightChars="-50"/>
              <w:rPr>
                <w:rFonts w:hAnsi="宋体" w:cs="宋体"/>
                <w:bCs/>
                <w:color w:val="auto"/>
                <w:sz w:val="21"/>
                <w:szCs w:val="21"/>
                <w:highlight w:val="none"/>
              </w:rPr>
            </w:pPr>
            <w:r>
              <w:rPr>
                <w:rFonts w:hint="eastAsia" w:hAnsi="宋体" w:cs="宋体"/>
                <w:bCs/>
                <w:color w:val="auto"/>
                <w:sz w:val="21"/>
                <w:szCs w:val="21"/>
                <w:highlight w:val="none"/>
              </w:rPr>
              <w:t>甲方单位名称（章）：</w:t>
            </w:r>
          </w:p>
          <w:p>
            <w:pPr>
              <w:spacing w:line="460" w:lineRule="exact"/>
              <w:ind w:right="-170" w:rightChars="-50"/>
              <w:rPr>
                <w:rFonts w:hAnsi="宋体" w:cs="宋体"/>
                <w:bCs/>
                <w:color w:val="auto"/>
                <w:sz w:val="21"/>
                <w:szCs w:val="21"/>
                <w:highlight w:val="none"/>
              </w:rPr>
            </w:pPr>
            <w:r>
              <w:rPr>
                <w:rFonts w:hint="eastAsia" w:hAnsi="宋体" w:cs="宋体"/>
                <w:bCs/>
                <w:color w:val="auto"/>
                <w:sz w:val="21"/>
                <w:szCs w:val="21"/>
                <w:highlight w:val="none"/>
              </w:rPr>
              <w:t>单位地址：</w:t>
            </w:r>
          </w:p>
          <w:p>
            <w:pPr>
              <w:spacing w:line="460" w:lineRule="exact"/>
              <w:ind w:right="-170" w:rightChars="-50"/>
              <w:rPr>
                <w:rFonts w:hAnsi="宋体" w:cs="宋体"/>
                <w:bCs/>
                <w:color w:val="auto"/>
                <w:sz w:val="21"/>
                <w:szCs w:val="21"/>
                <w:highlight w:val="none"/>
              </w:rPr>
            </w:pPr>
            <w:r>
              <w:rPr>
                <w:rFonts w:hint="eastAsia" w:hAnsi="宋体" w:cs="宋体"/>
                <w:bCs/>
                <w:color w:val="auto"/>
                <w:sz w:val="21"/>
                <w:szCs w:val="21"/>
                <w:highlight w:val="none"/>
              </w:rPr>
              <w:t>法定代表人：</w:t>
            </w:r>
          </w:p>
          <w:p>
            <w:pPr>
              <w:spacing w:line="460" w:lineRule="exact"/>
              <w:ind w:right="-170" w:rightChars="-50"/>
              <w:rPr>
                <w:rFonts w:hAnsi="宋体" w:cs="宋体"/>
                <w:bCs/>
                <w:color w:val="auto"/>
                <w:sz w:val="21"/>
                <w:szCs w:val="21"/>
                <w:highlight w:val="none"/>
              </w:rPr>
            </w:pPr>
            <w:r>
              <w:rPr>
                <w:rFonts w:hint="eastAsia" w:hAnsi="宋体" w:cs="宋体"/>
                <w:bCs/>
                <w:color w:val="auto"/>
                <w:sz w:val="21"/>
                <w:szCs w:val="21"/>
                <w:highlight w:val="none"/>
              </w:rPr>
              <w:t>委托代理人：</w:t>
            </w:r>
          </w:p>
          <w:p>
            <w:pPr>
              <w:spacing w:line="460" w:lineRule="exact"/>
              <w:ind w:right="-170" w:rightChars="-50"/>
              <w:rPr>
                <w:rFonts w:hAnsi="宋体" w:cs="宋体"/>
                <w:bCs/>
                <w:color w:val="auto"/>
                <w:sz w:val="21"/>
                <w:szCs w:val="21"/>
                <w:highlight w:val="none"/>
              </w:rPr>
            </w:pPr>
            <w:r>
              <w:rPr>
                <w:rFonts w:hint="eastAsia" w:hAnsi="宋体" w:cs="宋体"/>
                <w:bCs/>
                <w:color w:val="auto"/>
                <w:sz w:val="21"/>
                <w:szCs w:val="21"/>
                <w:highlight w:val="none"/>
              </w:rPr>
              <w:t>电 话：</w:t>
            </w:r>
          </w:p>
          <w:p>
            <w:pPr>
              <w:spacing w:line="460" w:lineRule="exact"/>
              <w:ind w:right="-170" w:rightChars="-50"/>
              <w:rPr>
                <w:rFonts w:hAnsi="宋体" w:cs="宋体"/>
                <w:bCs/>
                <w:color w:val="auto"/>
                <w:sz w:val="21"/>
                <w:szCs w:val="21"/>
                <w:highlight w:val="none"/>
              </w:rPr>
            </w:pPr>
            <w:r>
              <w:rPr>
                <w:rFonts w:hint="eastAsia" w:hAnsi="宋体" w:cs="宋体"/>
                <w:bCs/>
                <w:color w:val="auto"/>
                <w:sz w:val="21"/>
                <w:szCs w:val="21"/>
                <w:highlight w:val="none"/>
              </w:rPr>
              <w:t>开户银行：</w:t>
            </w:r>
          </w:p>
          <w:p>
            <w:pPr>
              <w:spacing w:line="460" w:lineRule="exact"/>
              <w:ind w:right="-170" w:rightChars="-50"/>
              <w:rPr>
                <w:rFonts w:hAnsi="宋体" w:cs="宋体"/>
                <w:bCs/>
                <w:color w:val="auto"/>
                <w:sz w:val="21"/>
                <w:szCs w:val="21"/>
                <w:highlight w:val="none"/>
              </w:rPr>
            </w:pPr>
            <w:r>
              <w:rPr>
                <w:rFonts w:hint="eastAsia" w:hAnsi="宋体" w:cs="宋体"/>
                <w:bCs/>
                <w:color w:val="auto"/>
                <w:sz w:val="21"/>
                <w:szCs w:val="21"/>
                <w:highlight w:val="none"/>
              </w:rPr>
              <w:t>账 号：</w:t>
            </w:r>
          </w:p>
          <w:p>
            <w:pPr>
              <w:spacing w:line="460" w:lineRule="exact"/>
              <w:ind w:right="-170" w:rightChars="-50"/>
              <w:rPr>
                <w:rFonts w:hAnsi="宋体" w:cs="宋体"/>
                <w:bCs/>
                <w:color w:val="auto"/>
                <w:sz w:val="21"/>
                <w:szCs w:val="21"/>
                <w:highlight w:val="none"/>
              </w:rPr>
            </w:pPr>
            <w:r>
              <w:rPr>
                <w:rFonts w:hint="eastAsia" w:hAnsi="宋体" w:cs="宋体"/>
                <w:bCs/>
                <w:color w:val="auto"/>
                <w:sz w:val="21"/>
                <w:szCs w:val="21"/>
                <w:highlight w:val="none"/>
              </w:rPr>
              <w:t>邮政编码：</w:t>
            </w:r>
          </w:p>
        </w:tc>
        <w:tc>
          <w:tcPr>
            <w:tcW w:w="3407" w:type="dxa"/>
            <w:tcBorders>
              <w:top w:val="single" w:color="auto" w:sz="4" w:space="0"/>
              <w:left w:val="single" w:color="auto" w:sz="4" w:space="0"/>
              <w:right w:val="single" w:color="auto" w:sz="4" w:space="0"/>
            </w:tcBorders>
          </w:tcPr>
          <w:p>
            <w:pPr>
              <w:spacing w:line="460" w:lineRule="exact"/>
              <w:ind w:right="-170" w:rightChars="-50"/>
              <w:rPr>
                <w:rFonts w:hAnsi="宋体" w:cs="宋体"/>
                <w:bCs/>
                <w:color w:val="auto"/>
                <w:sz w:val="21"/>
                <w:szCs w:val="21"/>
                <w:highlight w:val="none"/>
              </w:rPr>
            </w:pPr>
            <w:r>
              <w:rPr>
                <w:rFonts w:hint="eastAsia" w:hAnsi="宋体" w:cs="宋体"/>
                <w:bCs/>
                <w:color w:val="auto"/>
                <w:sz w:val="21"/>
                <w:szCs w:val="21"/>
                <w:highlight w:val="none"/>
              </w:rPr>
              <w:t>乙方单位名称（章）：</w:t>
            </w:r>
          </w:p>
          <w:p>
            <w:pPr>
              <w:spacing w:line="460" w:lineRule="exact"/>
              <w:ind w:right="-170" w:rightChars="-50"/>
              <w:rPr>
                <w:rFonts w:hAnsi="宋体" w:cs="宋体"/>
                <w:bCs/>
                <w:color w:val="auto"/>
                <w:sz w:val="21"/>
                <w:szCs w:val="21"/>
                <w:highlight w:val="none"/>
              </w:rPr>
            </w:pPr>
            <w:r>
              <w:rPr>
                <w:rFonts w:hint="eastAsia" w:hAnsi="宋体" w:cs="宋体"/>
                <w:bCs/>
                <w:color w:val="auto"/>
                <w:sz w:val="21"/>
                <w:szCs w:val="21"/>
                <w:highlight w:val="none"/>
              </w:rPr>
              <w:t>单位地址：</w:t>
            </w:r>
          </w:p>
          <w:p>
            <w:pPr>
              <w:spacing w:line="460" w:lineRule="exact"/>
              <w:ind w:right="-170" w:rightChars="-50"/>
              <w:rPr>
                <w:rFonts w:hAnsi="宋体" w:cs="宋体"/>
                <w:bCs/>
                <w:color w:val="auto"/>
                <w:sz w:val="21"/>
                <w:szCs w:val="21"/>
                <w:highlight w:val="none"/>
              </w:rPr>
            </w:pPr>
            <w:r>
              <w:rPr>
                <w:rFonts w:hint="eastAsia" w:hAnsi="宋体" w:cs="宋体"/>
                <w:bCs/>
                <w:color w:val="auto"/>
                <w:sz w:val="21"/>
                <w:szCs w:val="21"/>
                <w:highlight w:val="none"/>
              </w:rPr>
              <w:t>法定代表人：</w:t>
            </w:r>
          </w:p>
          <w:p>
            <w:pPr>
              <w:spacing w:line="460" w:lineRule="exact"/>
              <w:ind w:right="-170" w:rightChars="-50"/>
              <w:rPr>
                <w:rFonts w:hAnsi="宋体" w:cs="宋体"/>
                <w:bCs/>
                <w:color w:val="auto"/>
                <w:sz w:val="21"/>
                <w:szCs w:val="21"/>
                <w:highlight w:val="none"/>
              </w:rPr>
            </w:pPr>
            <w:r>
              <w:rPr>
                <w:rFonts w:hint="eastAsia" w:hAnsi="宋体" w:cs="宋体"/>
                <w:bCs/>
                <w:color w:val="auto"/>
                <w:sz w:val="21"/>
                <w:szCs w:val="21"/>
                <w:highlight w:val="none"/>
              </w:rPr>
              <w:t>委托代理人：</w:t>
            </w:r>
          </w:p>
          <w:p>
            <w:pPr>
              <w:spacing w:line="460" w:lineRule="exact"/>
              <w:ind w:right="-170" w:rightChars="-50"/>
              <w:rPr>
                <w:rFonts w:hAnsi="宋体" w:cs="宋体"/>
                <w:bCs/>
                <w:color w:val="auto"/>
                <w:sz w:val="21"/>
                <w:szCs w:val="21"/>
                <w:highlight w:val="none"/>
              </w:rPr>
            </w:pPr>
            <w:r>
              <w:rPr>
                <w:rFonts w:hint="eastAsia" w:hAnsi="宋体" w:cs="宋体"/>
                <w:bCs/>
                <w:color w:val="auto"/>
                <w:sz w:val="21"/>
                <w:szCs w:val="21"/>
                <w:highlight w:val="none"/>
              </w:rPr>
              <w:t>电 话：</w:t>
            </w:r>
          </w:p>
          <w:p>
            <w:pPr>
              <w:spacing w:line="460" w:lineRule="exact"/>
              <w:ind w:right="-170" w:rightChars="-50"/>
              <w:rPr>
                <w:rFonts w:hAnsi="宋体" w:cs="宋体"/>
                <w:bCs/>
                <w:color w:val="auto"/>
                <w:sz w:val="21"/>
                <w:szCs w:val="21"/>
                <w:highlight w:val="none"/>
              </w:rPr>
            </w:pPr>
            <w:r>
              <w:rPr>
                <w:rFonts w:hint="eastAsia" w:hAnsi="宋体" w:cs="宋体"/>
                <w:bCs/>
                <w:color w:val="auto"/>
                <w:sz w:val="21"/>
                <w:szCs w:val="21"/>
                <w:highlight w:val="none"/>
              </w:rPr>
              <w:t>开户银行：</w:t>
            </w:r>
          </w:p>
          <w:p>
            <w:pPr>
              <w:spacing w:line="460" w:lineRule="exact"/>
              <w:ind w:right="-170" w:rightChars="-50"/>
              <w:rPr>
                <w:rFonts w:hAnsi="宋体" w:cs="宋体"/>
                <w:bCs/>
                <w:color w:val="auto"/>
                <w:sz w:val="21"/>
                <w:szCs w:val="21"/>
                <w:highlight w:val="none"/>
              </w:rPr>
            </w:pPr>
            <w:r>
              <w:rPr>
                <w:rFonts w:hint="eastAsia" w:hAnsi="宋体" w:cs="宋体"/>
                <w:bCs/>
                <w:color w:val="auto"/>
                <w:sz w:val="21"/>
                <w:szCs w:val="21"/>
                <w:highlight w:val="none"/>
              </w:rPr>
              <w:t>账 号：</w:t>
            </w:r>
          </w:p>
          <w:p>
            <w:pPr>
              <w:spacing w:line="460" w:lineRule="exact"/>
              <w:ind w:right="-170" w:rightChars="-50"/>
              <w:rPr>
                <w:rFonts w:hAnsi="宋体" w:cs="宋体"/>
                <w:bCs/>
                <w:color w:val="auto"/>
                <w:sz w:val="21"/>
                <w:szCs w:val="21"/>
                <w:highlight w:val="none"/>
              </w:rPr>
            </w:pPr>
            <w:r>
              <w:rPr>
                <w:rFonts w:hint="eastAsia" w:hAnsi="宋体" w:cs="宋体"/>
                <w:bCs/>
                <w:color w:val="auto"/>
                <w:sz w:val="21"/>
                <w:szCs w:val="21"/>
                <w:highlight w:val="none"/>
              </w:rPr>
              <w:t>邮政编码：</w:t>
            </w:r>
          </w:p>
        </w:tc>
        <w:tc>
          <w:tcPr>
            <w:tcW w:w="2723" w:type="dxa"/>
            <w:tcBorders>
              <w:top w:val="single" w:color="auto" w:sz="4" w:space="0"/>
              <w:left w:val="single" w:color="auto" w:sz="4" w:space="0"/>
              <w:right w:val="single" w:color="auto" w:sz="4" w:space="0"/>
            </w:tcBorders>
          </w:tcPr>
          <w:p>
            <w:pPr>
              <w:spacing w:line="460" w:lineRule="exact"/>
              <w:ind w:right="-170" w:rightChars="-50"/>
              <w:rPr>
                <w:rFonts w:hAnsi="宋体" w:cs="宋体"/>
                <w:bCs/>
                <w:color w:val="auto"/>
                <w:sz w:val="21"/>
                <w:szCs w:val="21"/>
                <w:highlight w:val="none"/>
              </w:rPr>
            </w:pPr>
            <w:r>
              <w:rPr>
                <w:rFonts w:hint="eastAsia" w:hAnsi="宋体" w:cs="宋体"/>
                <w:bCs/>
                <w:color w:val="auto"/>
                <w:sz w:val="21"/>
                <w:szCs w:val="21"/>
                <w:highlight w:val="none"/>
              </w:rPr>
              <w:t>采购代理机构意见：</w:t>
            </w:r>
          </w:p>
          <w:p>
            <w:pPr>
              <w:spacing w:line="460" w:lineRule="exact"/>
              <w:ind w:right="-170" w:rightChars="-50"/>
              <w:rPr>
                <w:rFonts w:hAnsi="宋体" w:cs="宋体"/>
                <w:bCs/>
                <w:color w:val="auto"/>
                <w:sz w:val="21"/>
                <w:szCs w:val="21"/>
                <w:highlight w:val="none"/>
              </w:rPr>
            </w:pPr>
          </w:p>
          <w:p>
            <w:pPr>
              <w:spacing w:line="460" w:lineRule="exact"/>
              <w:ind w:firstLine="1260" w:firstLineChars="600"/>
              <w:jc w:val="both"/>
              <w:rPr>
                <w:rFonts w:hAnsi="宋体" w:cs="宋体"/>
                <w:bCs/>
                <w:color w:val="auto"/>
                <w:sz w:val="21"/>
                <w:szCs w:val="21"/>
                <w:highlight w:val="none"/>
              </w:rPr>
            </w:pPr>
            <w:r>
              <w:rPr>
                <w:rFonts w:hint="eastAsia" w:hAnsi="宋体" w:cs="宋体"/>
                <w:bCs/>
                <w:color w:val="auto"/>
                <w:sz w:val="21"/>
                <w:szCs w:val="21"/>
                <w:highlight w:val="none"/>
              </w:rPr>
              <w:t>年  月  日</w:t>
            </w:r>
          </w:p>
        </w:tc>
      </w:tr>
    </w:tbl>
    <w:p>
      <w:pPr>
        <w:autoSpaceDE/>
        <w:autoSpaceDN/>
        <w:adjustRightInd/>
        <w:snapToGrid w:val="0"/>
        <w:spacing w:line="480" w:lineRule="exact"/>
        <w:ind w:firstLine="420" w:firstLineChars="200"/>
        <w:jc w:val="both"/>
        <w:textAlignment w:val="auto"/>
        <w:rPr>
          <w:rFonts w:hAnsi="宋体" w:cs="宋体"/>
          <w:color w:val="auto"/>
          <w:kern w:val="2"/>
          <w:sz w:val="21"/>
          <w:highlight w:val="none"/>
        </w:rPr>
      </w:pPr>
    </w:p>
    <w:p>
      <w:pPr>
        <w:pStyle w:val="18"/>
        <w:ind w:firstLine="211"/>
        <w:rPr>
          <w:rFonts w:hAnsi="宋体" w:cs="宋体"/>
          <w:color w:val="auto"/>
          <w:highlight w:val="none"/>
        </w:rPr>
      </w:pPr>
      <w:r>
        <w:rPr>
          <w:rFonts w:hint="eastAsia" w:hAnsi="宋体" w:cs="宋体"/>
          <w:b/>
          <w:color w:val="auto"/>
          <w:sz w:val="21"/>
          <w:szCs w:val="21"/>
          <w:highlight w:val="none"/>
        </w:rPr>
        <w:t>注：此合同样本仅作参考，采购人、供应商可根据采购项目的实际情况进行修改。</w:t>
      </w:r>
    </w:p>
    <w:p>
      <w:pPr>
        <w:widowControl/>
        <w:autoSpaceDE/>
        <w:autoSpaceDN/>
        <w:adjustRightInd/>
        <w:textAlignment w:val="auto"/>
        <w:rPr>
          <w:rFonts w:hAnsi="宋体" w:cs="宋体"/>
          <w:color w:val="auto"/>
          <w:sz w:val="28"/>
          <w:highlight w:val="none"/>
        </w:rPr>
      </w:pPr>
      <w:r>
        <w:rPr>
          <w:rFonts w:hint="eastAsia" w:hAnsi="宋体" w:cs="宋体"/>
          <w:color w:val="auto"/>
          <w:highlight w:val="none"/>
        </w:rPr>
        <w:br w:type="page"/>
      </w:r>
    </w:p>
    <w:p>
      <w:pPr>
        <w:pStyle w:val="18"/>
        <w:ind w:firstLine="280"/>
        <w:rPr>
          <w:rFonts w:hAnsi="宋体" w:cs="宋体"/>
          <w:color w:val="auto"/>
          <w:highlight w:val="none"/>
        </w:rPr>
      </w:pPr>
    </w:p>
    <w:p>
      <w:pPr>
        <w:pStyle w:val="2"/>
        <w:spacing w:beforeLines="50" w:afterLines="50" w:line="360" w:lineRule="auto"/>
        <w:jc w:val="center"/>
        <w:rPr>
          <w:rFonts w:hAnsi="宋体" w:cs="宋体"/>
          <w:color w:val="auto"/>
          <w:sz w:val="32"/>
          <w:szCs w:val="32"/>
          <w:highlight w:val="none"/>
        </w:rPr>
      </w:pPr>
      <w:bookmarkStart w:id="699" w:name="_Toc28934"/>
      <w:r>
        <w:rPr>
          <w:rFonts w:hint="eastAsia" w:hAnsi="宋体" w:cs="宋体"/>
          <w:color w:val="auto"/>
          <w:sz w:val="32"/>
          <w:szCs w:val="32"/>
          <w:highlight w:val="none"/>
        </w:rPr>
        <w:t>第六部分</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r>
        <w:rPr>
          <w:rFonts w:hint="eastAsia" w:hAnsi="宋体" w:cs="宋体"/>
          <w:color w:val="auto"/>
          <w:sz w:val="32"/>
          <w:szCs w:val="32"/>
          <w:highlight w:val="none"/>
        </w:rPr>
        <w:t xml:space="preserve">  递交的响应文件格式范例</w:t>
      </w:r>
      <w:bookmarkEnd w:id="699"/>
    </w:p>
    <w:p>
      <w:pPr>
        <w:snapToGrid w:val="0"/>
        <w:spacing w:beforeLines="50" w:after="50"/>
        <w:jc w:val="center"/>
        <w:rPr>
          <w:rFonts w:hAnsi="宋体" w:cs="宋体"/>
          <w:color w:val="auto"/>
          <w:sz w:val="21"/>
          <w:szCs w:val="21"/>
          <w:highlight w:val="none"/>
        </w:rPr>
      </w:pPr>
      <w:bookmarkStart w:id="700" w:name="_Toc374366051"/>
      <w:bookmarkStart w:id="701" w:name="_Toc265065990"/>
      <w:bookmarkStart w:id="702" w:name="_Toc237193458"/>
      <w:bookmarkStart w:id="703" w:name="_Toc237176513"/>
      <w:bookmarkStart w:id="704" w:name="_Toc499294826"/>
      <w:bookmarkStart w:id="705" w:name="_Toc296074347"/>
      <w:bookmarkStart w:id="706" w:name="_Toc237340114"/>
      <w:bookmarkStart w:id="707" w:name="_Toc217289137"/>
      <w:bookmarkStart w:id="708" w:name="_Toc264211078"/>
      <w:bookmarkStart w:id="709" w:name="_Toc295737636"/>
      <w:bookmarkStart w:id="710" w:name="_Toc237414015"/>
      <w:bookmarkStart w:id="711" w:name="_Toc237189787"/>
      <w:bookmarkStart w:id="712" w:name="_Toc256977546"/>
      <w:bookmarkStart w:id="713" w:name="_Toc184785935"/>
      <w:bookmarkStart w:id="714" w:name="_Toc237413920"/>
      <w:bookmarkStart w:id="715" w:name="_Toc295910884"/>
      <w:bookmarkStart w:id="716" w:name="_Toc237182506"/>
    </w:p>
    <w:p>
      <w:pPr>
        <w:snapToGrid w:val="0"/>
        <w:spacing w:beforeLines="50" w:after="50"/>
        <w:jc w:val="center"/>
        <w:rPr>
          <w:rFonts w:hAnsi="宋体" w:cs="宋体"/>
          <w:color w:val="auto"/>
          <w:sz w:val="30"/>
          <w:szCs w:val="30"/>
          <w:highlight w:val="none"/>
        </w:rPr>
      </w:pPr>
      <w:r>
        <w:rPr>
          <w:rFonts w:hint="eastAsia" w:hAnsi="宋体" w:cs="宋体"/>
          <w:color w:val="auto"/>
          <w:sz w:val="30"/>
          <w:szCs w:val="30"/>
          <w:highlight w:val="none"/>
        </w:rPr>
        <w:t>竞争性磋商响应文件</w:t>
      </w:r>
    </w:p>
    <w:p>
      <w:pPr>
        <w:snapToGrid w:val="0"/>
        <w:spacing w:beforeLines="50" w:after="50"/>
        <w:rPr>
          <w:rFonts w:hAnsi="宋体" w:cs="宋体"/>
          <w:color w:val="auto"/>
          <w:sz w:val="30"/>
          <w:szCs w:val="30"/>
          <w:highlight w:val="none"/>
        </w:rPr>
      </w:pPr>
    </w:p>
    <w:p>
      <w:pPr>
        <w:snapToGrid w:val="0"/>
        <w:spacing w:beforeLines="50" w:after="50"/>
        <w:ind w:left="1676" w:leftChars="140" w:hanging="1200" w:hangingChars="500"/>
        <w:rPr>
          <w:rFonts w:hAnsi="宋体" w:cs="宋体"/>
          <w:color w:val="auto"/>
          <w:sz w:val="24"/>
          <w:szCs w:val="24"/>
          <w:highlight w:val="none"/>
        </w:rPr>
      </w:pPr>
      <w:r>
        <w:rPr>
          <w:rFonts w:hint="eastAsia" w:hAnsi="宋体" w:cs="宋体"/>
          <w:color w:val="auto"/>
          <w:sz w:val="24"/>
          <w:szCs w:val="24"/>
          <w:highlight w:val="none"/>
        </w:rPr>
        <w:t>项目名称：</w:t>
      </w:r>
    </w:p>
    <w:p>
      <w:pPr>
        <w:snapToGrid w:val="0"/>
        <w:spacing w:beforeLines="50" w:after="50"/>
        <w:ind w:firstLine="480" w:firstLineChars="200"/>
        <w:rPr>
          <w:rFonts w:hAnsi="宋体" w:cs="宋体"/>
          <w:color w:val="auto"/>
          <w:sz w:val="24"/>
          <w:szCs w:val="24"/>
          <w:highlight w:val="none"/>
        </w:rPr>
      </w:pPr>
      <w:r>
        <w:rPr>
          <w:rFonts w:hint="eastAsia" w:hAnsi="宋体" w:cs="宋体"/>
          <w:color w:val="auto"/>
          <w:sz w:val="24"/>
          <w:szCs w:val="24"/>
          <w:highlight w:val="none"/>
        </w:rPr>
        <w:t>项目编号：</w:t>
      </w:r>
    </w:p>
    <w:p>
      <w:pPr>
        <w:snapToGrid w:val="0"/>
        <w:spacing w:beforeLines="50" w:after="50"/>
        <w:ind w:firstLine="480" w:firstLineChars="200"/>
        <w:rPr>
          <w:rFonts w:hAnsi="宋体" w:cs="宋体"/>
          <w:color w:val="auto"/>
          <w:sz w:val="24"/>
          <w:szCs w:val="24"/>
          <w:highlight w:val="none"/>
        </w:rPr>
      </w:pPr>
      <w:r>
        <w:rPr>
          <w:rFonts w:hint="eastAsia" w:hAnsi="宋体" w:cs="宋体"/>
          <w:color w:val="auto"/>
          <w:sz w:val="24"/>
          <w:szCs w:val="24"/>
          <w:highlight w:val="none"/>
        </w:rPr>
        <w:t>磋商响应文件名称：资格文件、商务技术文件或报价文件</w:t>
      </w:r>
    </w:p>
    <w:p>
      <w:pPr>
        <w:snapToGrid w:val="0"/>
        <w:spacing w:beforeLines="50" w:after="50"/>
        <w:ind w:firstLine="480" w:firstLineChars="200"/>
        <w:rPr>
          <w:rFonts w:hAnsi="宋体" w:cs="宋体"/>
          <w:color w:val="auto"/>
          <w:sz w:val="24"/>
          <w:szCs w:val="24"/>
          <w:highlight w:val="none"/>
        </w:rPr>
      </w:pPr>
      <w:r>
        <w:rPr>
          <w:rFonts w:hint="eastAsia" w:hAnsi="宋体" w:cs="宋体"/>
          <w:color w:val="auto"/>
          <w:sz w:val="24"/>
          <w:szCs w:val="24"/>
          <w:highlight w:val="none"/>
        </w:rPr>
        <w:t>响应供应商名称：</w:t>
      </w:r>
    </w:p>
    <w:p>
      <w:pPr>
        <w:snapToGrid w:val="0"/>
        <w:spacing w:beforeLines="50" w:after="50"/>
        <w:ind w:firstLine="480" w:firstLineChars="200"/>
        <w:rPr>
          <w:rFonts w:hAnsi="宋体" w:cs="宋体"/>
          <w:color w:val="auto"/>
          <w:sz w:val="24"/>
          <w:szCs w:val="24"/>
          <w:highlight w:val="none"/>
        </w:rPr>
      </w:pPr>
      <w:r>
        <w:rPr>
          <w:rFonts w:hint="eastAsia" w:hAnsi="宋体" w:cs="宋体"/>
          <w:color w:val="auto"/>
          <w:sz w:val="24"/>
          <w:szCs w:val="24"/>
          <w:highlight w:val="none"/>
        </w:rPr>
        <w:t>响应供应商地址：</w:t>
      </w:r>
    </w:p>
    <w:p>
      <w:pPr>
        <w:snapToGrid w:val="0"/>
        <w:spacing w:beforeLines="50" w:after="50"/>
        <w:ind w:firstLine="480" w:firstLineChars="200"/>
        <w:rPr>
          <w:rFonts w:hAnsi="宋体" w:cs="宋体"/>
          <w:color w:val="auto"/>
          <w:sz w:val="24"/>
          <w:szCs w:val="24"/>
          <w:highlight w:val="none"/>
        </w:rPr>
      </w:pPr>
      <w:r>
        <w:rPr>
          <w:rFonts w:hint="eastAsia" w:hAnsi="宋体" w:cs="宋体"/>
          <w:color w:val="auto"/>
          <w:sz w:val="24"/>
          <w:szCs w:val="24"/>
          <w:highlight w:val="none"/>
        </w:rPr>
        <w:t>法定代表人或授权代表签字：</w:t>
      </w:r>
    </w:p>
    <w:p>
      <w:pPr>
        <w:snapToGrid w:val="0"/>
        <w:spacing w:beforeLines="50" w:after="50"/>
        <w:ind w:firstLine="480" w:firstLineChars="200"/>
        <w:rPr>
          <w:rFonts w:hAnsi="宋体" w:cs="宋体"/>
          <w:color w:val="auto"/>
          <w:sz w:val="24"/>
          <w:szCs w:val="24"/>
          <w:highlight w:val="none"/>
        </w:rPr>
      </w:pPr>
      <w:r>
        <w:rPr>
          <w:rFonts w:hint="eastAsia" w:hAnsi="宋体" w:cs="宋体"/>
          <w:color w:val="auto"/>
          <w:sz w:val="24"/>
          <w:szCs w:val="24"/>
          <w:highlight w:val="none"/>
        </w:rPr>
        <w:t>联系电话：</w:t>
      </w:r>
    </w:p>
    <w:p>
      <w:pPr>
        <w:snapToGrid w:val="0"/>
        <w:spacing w:beforeLines="50" w:after="50"/>
        <w:ind w:firstLine="2160" w:firstLineChars="900"/>
        <w:rPr>
          <w:rFonts w:hint="eastAsia" w:hAnsi="宋体" w:cs="宋体"/>
          <w:color w:val="auto"/>
          <w:sz w:val="24"/>
          <w:szCs w:val="24"/>
          <w:highlight w:val="none"/>
          <w:lang w:val="en-US" w:eastAsia="zh-CN"/>
        </w:rPr>
      </w:pPr>
    </w:p>
    <w:p>
      <w:pPr>
        <w:snapToGrid w:val="0"/>
        <w:spacing w:beforeLines="50" w:after="50"/>
        <w:ind w:firstLine="2160" w:firstLineChars="900"/>
        <w:rPr>
          <w:rFonts w:hint="eastAsia" w:hAnsi="宋体" w:cs="宋体"/>
          <w:color w:val="auto"/>
          <w:sz w:val="24"/>
          <w:szCs w:val="24"/>
          <w:highlight w:val="none"/>
          <w:lang w:val="en-US" w:eastAsia="zh-CN"/>
        </w:rPr>
      </w:pPr>
    </w:p>
    <w:p>
      <w:pPr>
        <w:snapToGrid w:val="0"/>
        <w:spacing w:beforeLines="50" w:after="50"/>
        <w:ind w:firstLine="2160" w:firstLineChars="900"/>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年  月  日</w:t>
      </w:r>
    </w:p>
    <w:p>
      <w:pPr>
        <w:snapToGrid w:val="0"/>
        <w:spacing w:beforeLines="50" w:after="50"/>
        <w:ind w:firstLine="2160" w:firstLineChars="900"/>
        <w:rPr>
          <w:rFonts w:hAnsi="宋体" w:cs="宋体"/>
          <w:color w:val="auto"/>
          <w:sz w:val="24"/>
          <w:szCs w:val="24"/>
          <w:highlight w:val="none"/>
        </w:rPr>
      </w:pPr>
    </w:p>
    <w:p>
      <w:pPr>
        <w:snapToGrid w:val="0"/>
        <w:spacing w:beforeLines="50" w:after="50"/>
        <w:ind w:firstLine="2160" w:firstLineChars="900"/>
        <w:rPr>
          <w:rFonts w:hAnsi="宋体" w:cs="宋体"/>
          <w:color w:val="auto"/>
          <w:sz w:val="24"/>
          <w:szCs w:val="24"/>
          <w:highlight w:val="none"/>
        </w:rPr>
      </w:pPr>
    </w:p>
    <w:p>
      <w:pPr>
        <w:snapToGrid w:val="0"/>
        <w:spacing w:before="50" w:after="50"/>
        <w:rPr>
          <w:rFonts w:hAnsi="宋体" w:cs="宋体"/>
          <w:b/>
          <w:color w:val="auto"/>
          <w:sz w:val="22"/>
          <w:szCs w:val="21"/>
          <w:highlight w:val="none"/>
        </w:rPr>
      </w:pPr>
    </w:p>
    <w:p>
      <w:pPr>
        <w:snapToGrid w:val="0"/>
        <w:spacing w:before="50" w:after="50"/>
        <w:ind w:left="720"/>
        <w:rPr>
          <w:rFonts w:hAnsi="宋体" w:cs="宋体"/>
          <w:b/>
          <w:color w:val="auto"/>
          <w:sz w:val="22"/>
          <w:szCs w:val="21"/>
          <w:highlight w:val="none"/>
        </w:rPr>
      </w:pPr>
      <w:r>
        <w:rPr>
          <w:rFonts w:hint="eastAsia" w:hAnsi="宋体" w:cs="宋体"/>
          <w:b/>
          <w:color w:val="auto"/>
          <w:sz w:val="22"/>
          <w:szCs w:val="21"/>
          <w:highlight w:val="none"/>
        </w:rPr>
        <w:br w:type="page"/>
      </w:r>
    </w:p>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Pr>
        <w:snapToGrid w:val="0"/>
        <w:spacing w:line="460" w:lineRule="atLeast"/>
        <w:ind w:firstLine="422" w:firstLineChars="200"/>
        <w:textAlignment w:val="bottom"/>
        <w:rPr>
          <w:rFonts w:hAnsi="宋体" w:cs="宋体"/>
          <w:color w:val="auto"/>
          <w:highlight w:val="none"/>
        </w:rPr>
      </w:pPr>
      <w:r>
        <w:rPr>
          <w:rFonts w:hint="eastAsia" w:hAnsi="宋体" w:cs="宋体"/>
          <w:b/>
          <w:color w:val="auto"/>
          <w:sz w:val="21"/>
          <w:szCs w:val="21"/>
          <w:highlight w:val="none"/>
        </w:rPr>
        <w:t>（一）、资格文件部分</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（1）有效期内的营业执照扫描件或复印件（复印件加盖有效公章）</w:t>
      </w:r>
    </w:p>
    <w:p>
      <w:pPr>
        <w:widowControl/>
        <w:autoSpaceDE/>
        <w:autoSpaceDN/>
        <w:adjustRightInd/>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（2）符合参加政府采购活动应当具备的一般条件的承诺函）（格式见附件）；</w:t>
      </w:r>
    </w:p>
    <w:p>
      <w:pPr>
        <w:widowControl/>
        <w:autoSpaceDE/>
        <w:autoSpaceDN/>
        <w:adjustRightInd/>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（3）落实政府采购政策需满足的资格要求（格式见附件）；</w:t>
      </w:r>
    </w:p>
    <w:p>
      <w:pPr>
        <w:widowControl/>
        <w:autoSpaceDE/>
        <w:autoSpaceDN/>
        <w:adjustRightInd/>
        <w:spacing w:line="500" w:lineRule="exact"/>
        <w:ind w:firstLine="420" w:firstLineChars="200"/>
        <w:textAlignment w:val="auto"/>
        <w:rPr>
          <w:rFonts w:hAnsi="宋体" w:cs="宋体"/>
          <w:color w:val="auto"/>
          <w:sz w:val="21"/>
          <w:szCs w:val="21"/>
          <w:highlight w:val="none"/>
        </w:rPr>
      </w:pPr>
    </w:p>
    <w:p>
      <w:pPr>
        <w:rPr>
          <w:rFonts w:hAnsi="宋体" w:cs="宋体"/>
          <w:b/>
          <w:color w:val="auto"/>
          <w:sz w:val="24"/>
          <w:szCs w:val="24"/>
          <w:highlight w:val="none"/>
        </w:rPr>
      </w:pPr>
    </w:p>
    <w:p>
      <w:pPr>
        <w:pStyle w:val="44"/>
        <w:ind w:left="680"/>
        <w:rPr>
          <w:rFonts w:ascii="宋体" w:hAnsi="宋体"/>
          <w:b/>
          <w:color w:val="auto"/>
          <w:sz w:val="24"/>
          <w:szCs w:val="24"/>
          <w:highlight w:val="none"/>
        </w:rPr>
      </w:pPr>
    </w:p>
    <w:p>
      <w:pPr>
        <w:pStyle w:val="45"/>
        <w:rPr>
          <w:rFonts w:hAnsi="宋体" w:cs="宋体"/>
          <w:color w:val="auto"/>
          <w:sz w:val="24"/>
          <w:szCs w:val="24"/>
          <w:highlight w:val="none"/>
        </w:rPr>
      </w:pPr>
    </w:p>
    <w:p>
      <w:pPr>
        <w:rPr>
          <w:rFonts w:hAnsi="宋体" w:cs="宋体"/>
          <w:b/>
          <w:color w:val="auto"/>
          <w:sz w:val="24"/>
          <w:szCs w:val="24"/>
          <w:highlight w:val="none"/>
        </w:rPr>
      </w:pPr>
    </w:p>
    <w:p>
      <w:pPr>
        <w:pStyle w:val="44"/>
        <w:ind w:left="680"/>
        <w:rPr>
          <w:rFonts w:ascii="宋体" w:hAnsi="宋体"/>
          <w:b/>
          <w:color w:val="auto"/>
          <w:sz w:val="24"/>
          <w:szCs w:val="24"/>
          <w:highlight w:val="none"/>
        </w:rPr>
      </w:pPr>
    </w:p>
    <w:p>
      <w:pPr>
        <w:pStyle w:val="45"/>
        <w:rPr>
          <w:rFonts w:hAnsi="宋体" w:cs="宋体"/>
          <w:color w:val="auto"/>
          <w:sz w:val="24"/>
          <w:szCs w:val="24"/>
          <w:highlight w:val="none"/>
        </w:rPr>
      </w:pPr>
    </w:p>
    <w:p>
      <w:pPr>
        <w:rPr>
          <w:rFonts w:hAnsi="宋体" w:cs="宋体"/>
          <w:b/>
          <w:color w:val="auto"/>
          <w:sz w:val="24"/>
          <w:szCs w:val="24"/>
          <w:highlight w:val="none"/>
        </w:rPr>
      </w:pPr>
    </w:p>
    <w:p>
      <w:pPr>
        <w:pStyle w:val="44"/>
        <w:ind w:left="680"/>
        <w:rPr>
          <w:rFonts w:ascii="宋体" w:hAnsi="宋体"/>
          <w:b/>
          <w:color w:val="auto"/>
          <w:sz w:val="24"/>
          <w:szCs w:val="24"/>
          <w:highlight w:val="none"/>
        </w:rPr>
      </w:pPr>
    </w:p>
    <w:p>
      <w:pPr>
        <w:pStyle w:val="45"/>
        <w:rPr>
          <w:rFonts w:hAnsi="宋体" w:cs="宋体"/>
          <w:color w:val="auto"/>
          <w:sz w:val="24"/>
          <w:szCs w:val="24"/>
          <w:highlight w:val="none"/>
        </w:rPr>
      </w:pPr>
    </w:p>
    <w:p>
      <w:pPr>
        <w:rPr>
          <w:rFonts w:hAnsi="宋体" w:cs="宋体"/>
          <w:b/>
          <w:color w:val="auto"/>
          <w:sz w:val="24"/>
          <w:szCs w:val="24"/>
          <w:highlight w:val="none"/>
        </w:rPr>
      </w:pPr>
    </w:p>
    <w:p>
      <w:pPr>
        <w:pStyle w:val="44"/>
        <w:ind w:left="680"/>
        <w:rPr>
          <w:rFonts w:ascii="宋体" w:hAnsi="宋体"/>
          <w:b/>
          <w:color w:val="auto"/>
          <w:sz w:val="24"/>
          <w:szCs w:val="24"/>
          <w:highlight w:val="none"/>
        </w:rPr>
      </w:pPr>
    </w:p>
    <w:p>
      <w:pPr>
        <w:pStyle w:val="45"/>
        <w:rPr>
          <w:rFonts w:hAnsi="宋体" w:cs="宋体"/>
          <w:color w:val="auto"/>
          <w:sz w:val="24"/>
          <w:szCs w:val="24"/>
          <w:highlight w:val="none"/>
        </w:rPr>
      </w:pPr>
    </w:p>
    <w:p>
      <w:pPr>
        <w:rPr>
          <w:rFonts w:hAnsi="宋体" w:cs="宋体"/>
          <w:color w:val="auto"/>
          <w:sz w:val="24"/>
          <w:szCs w:val="24"/>
          <w:highlight w:val="none"/>
        </w:rPr>
      </w:pPr>
    </w:p>
    <w:p>
      <w:pPr>
        <w:pStyle w:val="44"/>
        <w:ind w:left="680"/>
        <w:rPr>
          <w:rFonts w:ascii="宋体" w:hAnsi="宋体"/>
          <w:color w:val="auto"/>
          <w:sz w:val="24"/>
          <w:szCs w:val="24"/>
          <w:highlight w:val="none"/>
        </w:rPr>
      </w:pPr>
    </w:p>
    <w:p>
      <w:pPr>
        <w:rPr>
          <w:rFonts w:hAnsi="宋体" w:cs="宋体"/>
          <w:color w:val="auto"/>
          <w:sz w:val="24"/>
          <w:szCs w:val="24"/>
          <w:highlight w:val="none"/>
        </w:rPr>
      </w:pPr>
    </w:p>
    <w:p>
      <w:pPr>
        <w:pStyle w:val="44"/>
        <w:ind w:left="680"/>
        <w:rPr>
          <w:rFonts w:ascii="宋体" w:hAnsi="宋体"/>
          <w:color w:val="auto"/>
          <w:sz w:val="24"/>
          <w:szCs w:val="24"/>
          <w:highlight w:val="none"/>
        </w:rPr>
      </w:pPr>
    </w:p>
    <w:p>
      <w:pPr>
        <w:rPr>
          <w:rFonts w:hAnsi="宋体" w:cs="宋体"/>
          <w:color w:val="auto"/>
          <w:sz w:val="24"/>
          <w:szCs w:val="24"/>
          <w:highlight w:val="none"/>
        </w:rPr>
      </w:pPr>
    </w:p>
    <w:p>
      <w:pPr>
        <w:pStyle w:val="44"/>
        <w:ind w:left="680"/>
        <w:rPr>
          <w:rFonts w:ascii="宋体" w:hAnsi="宋体"/>
          <w:color w:val="auto"/>
          <w:sz w:val="24"/>
          <w:szCs w:val="24"/>
          <w:highlight w:val="none"/>
        </w:rPr>
      </w:pPr>
    </w:p>
    <w:p>
      <w:pPr>
        <w:rPr>
          <w:rFonts w:hAnsi="宋体" w:cs="宋体"/>
          <w:color w:val="auto"/>
          <w:sz w:val="24"/>
          <w:szCs w:val="24"/>
          <w:highlight w:val="none"/>
        </w:rPr>
      </w:pPr>
    </w:p>
    <w:p>
      <w:pPr>
        <w:pStyle w:val="44"/>
        <w:ind w:left="680"/>
        <w:rPr>
          <w:rFonts w:ascii="宋体" w:hAnsi="宋体"/>
          <w:color w:val="auto"/>
          <w:sz w:val="24"/>
          <w:szCs w:val="24"/>
          <w:highlight w:val="none"/>
        </w:rPr>
      </w:pPr>
    </w:p>
    <w:p>
      <w:pPr>
        <w:rPr>
          <w:rFonts w:hAnsi="宋体" w:cs="宋体"/>
          <w:color w:val="auto"/>
          <w:sz w:val="24"/>
          <w:szCs w:val="24"/>
          <w:highlight w:val="none"/>
        </w:rPr>
      </w:pPr>
    </w:p>
    <w:p>
      <w:pPr>
        <w:pStyle w:val="44"/>
        <w:ind w:left="680"/>
        <w:rPr>
          <w:rFonts w:ascii="宋体" w:hAnsi="宋体"/>
          <w:color w:val="auto"/>
          <w:sz w:val="24"/>
          <w:szCs w:val="24"/>
          <w:highlight w:val="none"/>
        </w:rPr>
      </w:pPr>
    </w:p>
    <w:p>
      <w:pPr>
        <w:rPr>
          <w:rFonts w:hAnsi="宋体" w:cs="宋体"/>
          <w:color w:val="auto"/>
          <w:sz w:val="24"/>
          <w:szCs w:val="24"/>
          <w:highlight w:val="none"/>
        </w:rPr>
      </w:pPr>
    </w:p>
    <w:p>
      <w:pPr>
        <w:pStyle w:val="44"/>
        <w:ind w:left="680"/>
        <w:rPr>
          <w:rFonts w:ascii="宋体" w:hAnsi="宋体"/>
          <w:color w:val="auto"/>
          <w:sz w:val="24"/>
          <w:szCs w:val="24"/>
          <w:highlight w:val="none"/>
        </w:rPr>
      </w:pPr>
    </w:p>
    <w:p>
      <w:pPr>
        <w:rPr>
          <w:rFonts w:hAnsi="宋体" w:cs="宋体"/>
          <w:color w:val="auto"/>
          <w:sz w:val="24"/>
          <w:szCs w:val="24"/>
          <w:highlight w:val="none"/>
        </w:rPr>
      </w:pPr>
    </w:p>
    <w:p>
      <w:pPr>
        <w:pStyle w:val="44"/>
        <w:ind w:left="680"/>
        <w:rPr>
          <w:rFonts w:ascii="宋体" w:hAnsi="宋体"/>
          <w:color w:val="auto"/>
          <w:highlight w:val="none"/>
        </w:rPr>
      </w:pPr>
    </w:p>
    <w:p>
      <w:pPr>
        <w:rPr>
          <w:rFonts w:hAnsi="宋体" w:cs="宋体"/>
          <w:color w:val="auto"/>
          <w:highlight w:val="none"/>
        </w:rPr>
      </w:pPr>
    </w:p>
    <w:p>
      <w:pPr>
        <w:spacing w:line="360" w:lineRule="auto"/>
        <w:jc w:val="both"/>
        <w:rPr>
          <w:rFonts w:hAnsi="宋体" w:cs="宋体"/>
          <w:b/>
          <w:color w:val="auto"/>
          <w:sz w:val="24"/>
          <w:szCs w:val="24"/>
          <w:highlight w:val="none"/>
        </w:rPr>
      </w:pPr>
    </w:p>
    <w:p>
      <w:pPr>
        <w:spacing w:line="360" w:lineRule="auto"/>
        <w:jc w:val="both"/>
        <w:rPr>
          <w:rFonts w:hAnsi="宋体" w:cs="宋体"/>
          <w:b/>
          <w:color w:val="auto"/>
          <w:sz w:val="28"/>
          <w:highlight w:val="none"/>
        </w:rPr>
      </w:pPr>
      <w:r>
        <w:rPr>
          <w:rFonts w:hint="eastAsia" w:hAnsi="宋体" w:cs="宋体"/>
          <w:b/>
          <w:color w:val="auto"/>
          <w:sz w:val="24"/>
          <w:szCs w:val="24"/>
          <w:highlight w:val="none"/>
        </w:rPr>
        <w:t>1.有效期内的营业执照及其他相关资质证书（复印件加盖有效公章）；</w:t>
      </w:r>
      <w:bookmarkStart w:id="717" w:name="_Toc2571_WPSOffice_Level1"/>
      <w:bookmarkStart w:id="718" w:name="_Toc9179_WPSOffice_Level1"/>
      <w:bookmarkStart w:id="719" w:name="_Toc5496_WPSOffice_Level1"/>
      <w:bookmarkStart w:id="720" w:name="_Toc374366059"/>
    </w:p>
    <w:bookmarkEnd w:id="717"/>
    <w:bookmarkEnd w:id="718"/>
    <w:bookmarkEnd w:id="719"/>
    <w:p>
      <w:pPr>
        <w:pStyle w:val="45"/>
        <w:rPr>
          <w:rFonts w:hAnsi="宋体" w:cs="宋体"/>
          <w:color w:val="auto"/>
          <w:highlight w:val="none"/>
        </w:rPr>
      </w:pPr>
    </w:p>
    <w:p>
      <w:pPr>
        <w:snapToGrid w:val="0"/>
        <w:spacing w:line="360" w:lineRule="auto"/>
        <w:ind w:right="480"/>
        <w:jc w:val="center"/>
        <w:rPr>
          <w:rFonts w:hAnsi="宋体" w:cs="宋体"/>
          <w:b/>
          <w:color w:val="auto"/>
          <w:sz w:val="24"/>
          <w:szCs w:val="22"/>
          <w:highlight w:val="none"/>
        </w:rPr>
      </w:pPr>
    </w:p>
    <w:p>
      <w:pPr>
        <w:snapToGrid w:val="0"/>
        <w:spacing w:line="360" w:lineRule="auto"/>
        <w:ind w:right="480"/>
        <w:jc w:val="center"/>
        <w:rPr>
          <w:rFonts w:hAnsi="宋体" w:cs="宋体"/>
          <w:b/>
          <w:color w:val="auto"/>
          <w:sz w:val="32"/>
          <w:szCs w:val="32"/>
          <w:highlight w:val="none"/>
        </w:rPr>
      </w:pPr>
      <w:r>
        <w:rPr>
          <w:rFonts w:hint="eastAsia" w:hAnsi="宋体" w:cs="宋体"/>
          <w:b/>
          <w:color w:val="auto"/>
          <w:sz w:val="24"/>
          <w:szCs w:val="22"/>
          <w:highlight w:val="none"/>
        </w:rPr>
        <w:t>2.符合参加政府采购活动应当具备的一般条件的承诺函</w:t>
      </w:r>
    </w:p>
    <w:p>
      <w:pPr>
        <w:snapToGrid w:val="0"/>
        <w:spacing w:line="500" w:lineRule="exact"/>
        <w:rPr>
          <w:rFonts w:hAnsi="宋体" w:cs="宋体"/>
          <w:color w:val="auto"/>
          <w:sz w:val="24"/>
          <w:szCs w:val="24"/>
          <w:highlight w:val="none"/>
        </w:rPr>
      </w:pPr>
      <w:r>
        <w:rPr>
          <w:rFonts w:hint="eastAsia" w:hAnsi="宋体" w:cs="宋体"/>
          <w:color w:val="auto"/>
          <w:sz w:val="24"/>
          <w:szCs w:val="24"/>
          <w:highlight w:val="none"/>
        </w:rPr>
        <w:t>（采购人）、（采购代理机构）：</w:t>
      </w:r>
    </w:p>
    <w:p>
      <w:pPr>
        <w:snapToGrid w:val="0"/>
        <w:spacing w:line="5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我方参与（项目名称）【招标编号：（采购编号）】政府采购活动，郑重承诺：</w:t>
      </w:r>
    </w:p>
    <w:p>
      <w:pPr>
        <w:snapToGrid w:val="0"/>
        <w:spacing w:line="500" w:lineRule="exact"/>
        <w:ind w:firstLine="360" w:firstLineChars="150"/>
        <w:rPr>
          <w:rFonts w:hAnsi="宋体" w:cs="宋体"/>
          <w:color w:val="auto"/>
          <w:sz w:val="24"/>
          <w:szCs w:val="24"/>
          <w:highlight w:val="none"/>
        </w:rPr>
      </w:pPr>
      <w:r>
        <w:rPr>
          <w:rFonts w:hint="eastAsia" w:hAnsi="宋体" w:cs="宋体"/>
          <w:color w:val="auto"/>
          <w:sz w:val="24"/>
          <w:szCs w:val="24"/>
          <w:highlight w:val="none"/>
        </w:rPr>
        <w:t>（一）具备《中华人民共和国政府采购法》第二十二条第一款规定的条件：</w:t>
      </w:r>
    </w:p>
    <w:p>
      <w:pPr>
        <w:snapToGrid w:val="0"/>
        <w:spacing w:line="5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1.具有独立承担民事责任的能力；</w:t>
      </w:r>
    </w:p>
    <w:p>
      <w:pPr>
        <w:snapToGrid w:val="0"/>
        <w:spacing w:line="5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2.具有良好的商业信誉和健全的财务会计制度； </w:t>
      </w:r>
    </w:p>
    <w:p>
      <w:pPr>
        <w:snapToGrid w:val="0"/>
        <w:spacing w:line="5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3.具有履行合同所必需的设备和专业技术能力；</w:t>
      </w:r>
    </w:p>
    <w:p>
      <w:pPr>
        <w:snapToGrid w:val="0"/>
        <w:spacing w:line="5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4.有依法缴纳税收和社会保障资金的良好记录；</w:t>
      </w:r>
    </w:p>
    <w:p>
      <w:pPr>
        <w:snapToGrid w:val="0"/>
        <w:spacing w:line="5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5.参加政府采购活动前三年内，在经营活动中没有重大违法记录；</w:t>
      </w:r>
    </w:p>
    <w:p>
      <w:pPr>
        <w:snapToGrid w:val="0"/>
        <w:spacing w:line="5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6.具有法律、行政法规规定的其他条件。</w:t>
      </w:r>
    </w:p>
    <w:p>
      <w:pPr>
        <w:snapToGrid w:val="0"/>
        <w:spacing w:line="5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（二）未被信用中国（www.creditchina.gov.cn)、中国政府采购网（www.ccgp.gov.cn）列入失信被执行人、重大税收违法案件当事人名单、政府采购严重违法失信行为记录名单。</w:t>
      </w:r>
    </w:p>
    <w:p>
      <w:pPr>
        <w:snapToGrid w:val="0"/>
        <w:spacing w:line="5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（三）不存在以下情况：</w:t>
      </w:r>
    </w:p>
    <w:p>
      <w:pPr>
        <w:snapToGrid w:val="0"/>
        <w:spacing w:line="5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1.单位负责人为同一人或者存在直接控股、管理关系的不同供应商参加同一合同项下的政府采购活动的；</w:t>
      </w:r>
    </w:p>
    <w:p>
      <w:pPr>
        <w:snapToGrid w:val="0"/>
        <w:spacing w:line="5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2.为采购项目提供整体设计、规范编制或者项目管理、监理、检测等服务后再参加该采购项目的其他采购活动的。</w:t>
      </w:r>
    </w:p>
    <w:p>
      <w:pPr>
        <w:snapToGrid w:val="0"/>
        <w:spacing w:line="500" w:lineRule="exact"/>
        <w:ind w:firstLine="5520" w:firstLineChars="2300"/>
        <w:rPr>
          <w:rFonts w:hAnsi="宋体" w:cs="宋体"/>
          <w:color w:val="auto"/>
          <w:sz w:val="24"/>
          <w:szCs w:val="24"/>
          <w:highlight w:val="none"/>
        </w:rPr>
      </w:pPr>
      <w:r>
        <w:rPr>
          <w:rFonts w:hint="eastAsia" w:hAnsi="宋体" w:cs="宋体"/>
          <w:color w:val="auto"/>
          <w:sz w:val="24"/>
          <w:szCs w:val="24"/>
          <w:highlight w:val="none"/>
          <w:lang w:val="zh-CN"/>
        </w:rPr>
        <w:t>供应商名称</w:t>
      </w:r>
      <w:r>
        <w:rPr>
          <w:rFonts w:hint="eastAsia" w:hAnsi="宋体" w:cs="宋体"/>
          <w:color w:val="auto"/>
          <w:sz w:val="24"/>
          <w:szCs w:val="24"/>
          <w:highlight w:val="none"/>
        </w:rPr>
        <w:t>（盖章）</w:t>
      </w:r>
      <w:r>
        <w:rPr>
          <w:rFonts w:hint="eastAsia" w:hAnsi="宋体" w:cs="宋体"/>
          <w:color w:val="auto"/>
          <w:sz w:val="24"/>
          <w:szCs w:val="24"/>
          <w:highlight w:val="none"/>
          <w:lang w:val="zh-CN"/>
        </w:rPr>
        <w:t>：</w:t>
      </w:r>
    </w:p>
    <w:p>
      <w:pPr>
        <w:snapToGrid w:val="0"/>
        <w:spacing w:line="500" w:lineRule="exact"/>
        <w:rPr>
          <w:rFonts w:hAnsi="宋体" w:cs="宋体"/>
          <w:color w:val="auto"/>
          <w:sz w:val="24"/>
          <w:szCs w:val="24"/>
          <w:highlight w:val="none"/>
        </w:rPr>
      </w:pPr>
      <w:r>
        <w:rPr>
          <w:rFonts w:hint="eastAsia" w:hAnsi="宋体" w:cs="宋体"/>
          <w:color w:val="auto"/>
          <w:sz w:val="24"/>
          <w:szCs w:val="24"/>
          <w:highlight w:val="none"/>
          <w:lang w:val="zh-CN"/>
        </w:rPr>
        <w:t xml:space="preserve">                        </w:t>
      </w:r>
      <w:r>
        <w:rPr>
          <w:rFonts w:hint="eastAsia" w:hAnsi="宋体" w:cs="宋体"/>
          <w:color w:val="auto"/>
          <w:sz w:val="24"/>
          <w:szCs w:val="24"/>
          <w:highlight w:val="none"/>
        </w:rPr>
        <w:t xml:space="preserve">                      </w:t>
      </w:r>
      <w:r>
        <w:rPr>
          <w:rFonts w:hint="eastAsia" w:hAnsi="宋体" w:cs="宋体"/>
          <w:color w:val="auto"/>
          <w:sz w:val="24"/>
          <w:szCs w:val="24"/>
          <w:highlight w:val="none"/>
          <w:lang w:val="zh-CN"/>
        </w:rPr>
        <w:t>日期</w:t>
      </w:r>
      <w:r>
        <w:rPr>
          <w:rFonts w:hint="eastAsia" w:hAnsi="宋体" w:cs="宋体"/>
          <w:color w:val="auto"/>
          <w:sz w:val="24"/>
          <w:szCs w:val="24"/>
          <w:highlight w:val="none"/>
        </w:rPr>
        <w:t xml:space="preserve">：  年  </w:t>
      </w:r>
      <w:r>
        <w:rPr>
          <w:rFonts w:hint="eastAsia" w:hAnsi="宋体" w:cs="宋体"/>
          <w:color w:val="auto"/>
          <w:sz w:val="24"/>
          <w:szCs w:val="24"/>
          <w:highlight w:val="none"/>
          <w:lang w:val="zh-CN"/>
        </w:rPr>
        <w:t>月</w:t>
      </w:r>
      <w:r>
        <w:rPr>
          <w:rFonts w:hint="eastAsia" w:hAnsi="宋体" w:cs="宋体"/>
          <w:color w:val="auto"/>
          <w:sz w:val="24"/>
          <w:szCs w:val="24"/>
          <w:highlight w:val="none"/>
        </w:rPr>
        <w:t xml:space="preserve">   </w:t>
      </w:r>
      <w:r>
        <w:rPr>
          <w:rFonts w:hint="eastAsia" w:hAnsi="宋体" w:cs="宋体"/>
          <w:color w:val="auto"/>
          <w:sz w:val="24"/>
          <w:szCs w:val="24"/>
          <w:highlight w:val="none"/>
          <w:lang w:val="zh-CN"/>
        </w:rPr>
        <w:t>日</w:t>
      </w:r>
    </w:p>
    <w:p>
      <w:pPr>
        <w:ind w:firstLine="630" w:firstLineChars="300"/>
        <w:rPr>
          <w:rFonts w:hAnsi="宋体" w:cs="宋体"/>
          <w:color w:val="auto"/>
          <w:sz w:val="21"/>
          <w:szCs w:val="21"/>
          <w:highlight w:val="none"/>
        </w:rPr>
      </w:pPr>
    </w:p>
    <w:p>
      <w:pPr>
        <w:pStyle w:val="44"/>
        <w:ind w:left="680"/>
        <w:rPr>
          <w:rFonts w:ascii="宋体" w:hAnsi="宋体"/>
          <w:color w:val="auto"/>
          <w:highlight w:val="none"/>
        </w:rPr>
      </w:pPr>
    </w:p>
    <w:p>
      <w:pPr>
        <w:snapToGrid w:val="0"/>
        <w:spacing w:before="50" w:after="50"/>
        <w:ind w:right="-1323" w:rightChars="-389"/>
        <w:rPr>
          <w:rFonts w:hAnsi="宋体" w:cs="宋体"/>
          <w:color w:val="auto"/>
          <w:sz w:val="21"/>
          <w:szCs w:val="21"/>
          <w:highlight w:val="none"/>
        </w:rPr>
      </w:pPr>
    </w:p>
    <w:p>
      <w:pPr>
        <w:pStyle w:val="44"/>
        <w:ind w:left="680"/>
        <w:rPr>
          <w:rFonts w:ascii="宋体" w:hAnsi="宋体"/>
          <w:color w:val="auto"/>
          <w:highlight w:val="none"/>
        </w:rPr>
      </w:pPr>
    </w:p>
    <w:p>
      <w:pPr>
        <w:pStyle w:val="45"/>
        <w:rPr>
          <w:rFonts w:hAnsi="宋体" w:cs="宋体"/>
          <w:color w:val="auto"/>
          <w:highlight w:val="none"/>
        </w:rPr>
      </w:pPr>
    </w:p>
    <w:p>
      <w:pPr>
        <w:snapToGrid w:val="0"/>
        <w:spacing w:line="500" w:lineRule="exact"/>
        <w:ind w:right="480"/>
        <w:jc w:val="center"/>
        <w:rPr>
          <w:rFonts w:hAnsi="宋体" w:cs="宋体"/>
          <w:b/>
          <w:color w:val="auto"/>
          <w:sz w:val="24"/>
          <w:szCs w:val="22"/>
          <w:highlight w:val="none"/>
        </w:rPr>
      </w:pPr>
      <w:r>
        <w:rPr>
          <w:rFonts w:hint="eastAsia" w:hAnsi="宋体" w:cs="宋体"/>
          <w:b/>
          <w:color w:val="auto"/>
          <w:sz w:val="24"/>
          <w:szCs w:val="22"/>
          <w:highlight w:val="none"/>
        </w:rPr>
        <w:t>3.落实政府采购政策需满足的资格要求</w:t>
      </w:r>
    </w:p>
    <w:p>
      <w:pPr>
        <w:spacing w:line="500" w:lineRule="exact"/>
        <w:rPr>
          <w:rFonts w:hAnsi="宋体" w:cs="宋体"/>
          <w:b/>
          <w:color w:val="auto"/>
          <w:sz w:val="24"/>
          <w:highlight w:val="none"/>
        </w:rPr>
      </w:pPr>
      <w:r>
        <w:rPr>
          <w:rFonts w:hint="eastAsia" w:hAnsi="宋体" w:cs="宋体"/>
          <w:b/>
          <w:bCs/>
          <w:color w:val="auto"/>
          <w:sz w:val="21"/>
          <w:szCs w:val="21"/>
          <w:highlight w:val="none"/>
        </w:rPr>
        <w:t>本项目专门面向中小企业（包括符合中小企业划分标准的个体工商户）采购，具体要求请详见《政府采购促进中小企业发展管理办法》（财库〔2020〕46号）、《国务院关于印发扎实稳住经济一揽子政策措施的通知》及《浙江省财政厅关于进一步发挥政府采购政策功能全力推动经济稳进提质的通知》等相关规定。此外，监狱企业、残疾人福利性单位在本项目采购活动中视同中小企业</w:t>
      </w:r>
      <w:r>
        <w:rPr>
          <w:rFonts w:hint="eastAsia" w:hAnsi="宋体" w:cs="宋体"/>
          <w:color w:val="auto"/>
          <w:sz w:val="21"/>
          <w:szCs w:val="21"/>
          <w:highlight w:val="none"/>
        </w:rPr>
        <w:t>。</w:t>
      </w:r>
    </w:p>
    <w:p>
      <w:pPr>
        <w:tabs>
          <w:tab w:val="left" w:pos="8621"/>
          <w:tab w:val="left" w:pos="9341"/>
        </w:tabs>
        <w:snapToGrid w:val="0"/>
        <w:spacing w:line="500" w:lineRule="exact"/>
        <w:ind w:firstLine="5271" w:firstLineChars="2500"/>
        <w:rPr>
          <w:rFonts w:hAnsi="宋体" w:cs="宋体"/>
          <w:b/>
          <w:color w:val="auto"/>
          <w:sz w:val="21"/>
          <w:szCs w:val="21"/>
          <w:highlight w:val="none"/>
        </w:rPr>
      </w:pPr>
    </w:p>
    <w:p>
      <w:pPr>
        <w:pStyle w:val="44"/>
        <w:spacing w:after="0" w:line="500" w:lineRule="exact"/>
        <w:ind w:left="0" w:leftChars="0" w:firstLine="440"/>
        <w:jc w:val="center"/>
        <w:rPr>
          <w:rFonts w:ascii="宋体" w:hAnsi="宋体"/>
          <w:color w:val="auto"/>
          <w:sz w:val="22"/>
          <w:szCs w:val="22"/>
          <w:highlight w:val="none"/>
        </w:rPr>
      </w:pPr>
      <w:r>
        <w:rPr>
          <w:rFonts w:hint="eastAsia" w:ascii="宋体" w:hAnsi="宋体"/>
          <w:color w:val="auto"/>
          <w:sz w:val="22"/>
          <w:szCs w:val="22"/>
          <w:highlight w:val="none"/>
        </w:rPr>
        <w:t>（1）中小企业声明函（工程、服务）</w:t>
      </w:r>
    </w:p>
    <w:p>
      <w:pPr>
        <w:pStyle w:val="44"/>
        <w:spacing w:after="0" w:line="500" w:lineRule="exact"/>
        <w:ind w:left="0" w:leftChars="0" w:firstLine="440"/>
        <w:rPr>
          <w:rFonts w:ascii="宋体" w:hAnsi="宋体"/>
          <w:color w:val="auto"/>
          <w:sz w:val="22"/>
          <w:szCs w:val="22"/>
          <w:highlight w:val="none"/>
        </w:rPr>
      </w:pPr>
      <w:r>
        <w:rPr>
          <w:rFonts w:hint="eastAsia" w:ascii="宋体" w:hAnsi="宋体"/>
          <w:color w:val="auto"/>
          <w:sz w:val="22"/>
          <w:szCs w:val="22"/>
          <w:highlight w:val="none"/>
        </w:rPr>
        <w:t>本公司郑重声明，根据《政府采购促进中小企业发展管理办法》（财库﹝2020﹞46 号）的规定，本公司参加</w:t>
      </w:r>
      <w:r>
        <w:rPr>
          <w:rFonts w:hint="eastAsia" w:ascii="宋体" w:hAnsi="宋体"/>
          <w:color w:val="auto"/>
          <w:sz w:val="22"/>
          <w:szCs w:val="22"/>
          <w:highlight w:val="none"/>
          <w:u w:val="single"/>
        </w:rPr>
        <w:t xml:space="preserve">（采购单位名称）       </w:t>
      </w:r>
      <w:r>
        <w:rPr>
          <w:rFonts w:hint="eastAsia" w:ascii="宋体" w:hAnsi="宋体"/>
          <w:color w:val="auto"/>
          <w:sz w:val="22"/>
          <w:szCs w:val="22"/>
          <w:highlight w:val="none"/>
        </w:rPr>
        <w:t>的</w:t>
      </w:r>
      <w:r>
        <w:rPr>
          <w:rFonts w:hint="eastAsia" w:ascii="宋体" w:hAnsi="宋体"/>
          <w:color w:val="auto"/>
          <w:sz w:val="22"/>
          <w:szCs w:val="22"/>
          <w:highlight w:val="none"/>
          <w:u w:val="single"/>
        </w:rPr>
        <w:t xml:space="preserve">（项目名称）     </w:t>
      </w:r>
      <w:r>
        <w:rPr>
          <w:rFonts w:hint="eastAsia" w:ascii="宋体" w:hAnsi="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pStyle w:val="44"/>
        <w:spacing w:after="0" w:line="500" w:lineRule="exact"/>
        <w:ind w:left="0" w:leftChars="0" w:firstLine="440"/>
        <w:rPr>
          <w:rFonts w:ascii="宋体" w:hAnsi="宋体"/>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u w:val="single"/>
        </w:rPr>
        <w:t xml:space="preserve">（标的名称） </w:t>
      </w:r>
      <w:r>
        <w:rPr>
          <w:rFonts w:hint="eastAsia" w:ascii="宋体" w:hAnsi="宋体"/>
          <w:color w:val="auto"/>
          <w:sz w:val="22"/>
          <w:szCs w:val="22"/>
          <w:highlight w:val="none"/>
        </w:rPr>
        <w:t>，属于</w:t>
      </w:r>
      <w:r>
        <w:rPr>
          <w:rFonts w:hint="eastAsia" w:ascii="宋体" w:hAnsi="宋体"/>
          <w:color w:val="auto"/>
          <w:sz w:val="22"/>
          <w:szCs w:val="22"/>
          <w:highlight w:val="none"/>
          <w:u w:val="single"/>
        </w:rPr>
        <w:t>（采购文件中明确的所属行业）</w:t>
      </w:r>
      <w:r>
        <w:rPr>
          <w:rFonts w:hint="eastAsia" w:ascii="宋体" w:hAnsi="宋体"/>
          <w:color w:val="auto"/>
          <w:sz w:val="22"/>
          <w:szCs w:val="22"/>
          <w:highlight w:val="none"/>
        </w:rPr>
        <w:t>； 承建（承接）企业为</w:t>
      </w:r>
      <w:r>
        <w:rPr>
          <w:rFonts w:hint="eastAsia" w:ascii="宋体" w:hAnsi="宋体"/>
          <w:color w:val="auto"/>
          <w:sz w:val="22"/>
          <w:szCs w:val="22"/>
          <w:highlight w:val="none"/>
          <w:u w:val="single"/>
        </w:rPr>
        <w:t>（企业名称）</w:t>
      </w:r>
      <w:r>
        <w:rPr>
          <w:rFonts w:hint="eastAsia" w:ascii="宋体" w:hAnsi="宋体"/>
          <w:color w:val="auto"/>
          <w:sz w:val="22"/>
          <w:szCs w:val="22"/>
          <w:highlight w:val="none"/>
        </w:rPr>
        <w:t>，从业人员</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人，营业收入为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万元，资产总额为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万元①，属于</w:t>
      </w:r>
      <w:r>
        <w:rPr>
          <w:rFonts w:hint="eastAsia" w:ascii="宋体" w:hAnsi="宋体"/>
          <w:color w:val="auto"/>
          <w:sz w:val="22"/>
          <w:szCs w:val="22"/>
          <w:highlight w:val="none"/>
          <w:u w:val="single"/>
        </w:rPr>
        <w:t>（中型企业、小型企业、微型企业）</w:t>
      </w:r>
      <w:r>
        <w:rPr>
          <w:rFonts w:hint="eastAsia" w:ascii="宋体" w:hAnsi="宋体"/>
          <w:color w:val="auto"/>
          <w:sz w:val="22"/>
          <w:szCs w:val="22"/>
          <w:highlight w:val="none"/>
        </w:rPr>
        <w:t xml:space="preserve">； </w:t>
      </w:r>
    </w:p>
    <w:p>
      <w:pPr>
        <w:pStyle w:val="44"/>
        <w:spacing w:after="0" w:line="500" w:lineRule="exact"/>
        <w:ind w:left="0" w:leftChars="0" w:firstLine="440"/>
        <w:rPr>
          <w:rFonts w:ascii="宋体" w:hAnsi="宋体"/>
          <w:color w:val="auto"/>
          <w:sz w:val="22"/>
          <w:szCs w:val="22"/>
          <w:highlight w:val="none"/>
        </w:rPr>
      </w:pPr>
      <w:r>
        <w:rPr>
          <w:rFonts w:hint="eastAsia" w:ascii="宋体" w:hAnsi="宋体"/>
          <w:color w:val="auto"/>
          <w:sz w:val="22"/>
          <w:szCs w:val="22"/>
          <w:highlight w:val="none"/>
        </w:rPr>
        <w:t>2.</w:t>
      </w:r>
      <w:r>
        <w:rPr>
          <w:rFonts w:hint="eastAsia" w:ascii="宋体" w:hAnsi="宋体"/>
          <w:color w:val="auto"/>
          <w:sz w:val="22"/>
          <w:szCs w:val="22"/>
          <w:highlight w:val="none"/>
          <w:u w:val="single"/>
        </w:rPr>
        <w:t xml:space="preserve">（标的名称） </w:t>
      </w:r>
      <w:r>
        <w:rPr>
          <w:rFonts w:hint="eastAsia" w:ascii="宋体" w:hAnsi="宋体"/>
          <w:color w:val="auto"/>
          <w:sz w:val="22"/>
          <w:szCs w:val="22"/>
          <w:highlight w:val="none"/>
        </w:rPr>
        <w:t>，属于</w:t>
      </w:r>
      <w:r>
        <w:rPr>
          <w:rFonts w:hint="eastAsia" w:ascii="宋体" w:hAnsi="宋体"/>
          <w:color w:val="auto"/>
          <w:sz w:val="22"/>
          <w:szCs w:val="22"/>
          <w:highlight w:val="none"/>
          <w:u w:val="single"/>
        </w:rPr>
        <w:t>（采购文件中明确的所属行业）</w:t>
      </w:r>
      <w:r>
        <w:rPr>
          <w:rFonts w:hint="eastAsia" w:ascii="宋体" w:hAnsi="宋体"/>
          <w:color w:val="auto"/>
          <w:sz w:val="22"/>
          <w:szCs w:val="22"/>
          <w:highlight w:val="none"/>
        </w:rPr>
        <w:t>； 承建（承接）企业为</w:t>
      </w:r>
      <w:r>
        <w:rPr>
          <w:rFonts w:hint="eastAsia" w:ascii="宋体" w:hAnsi="宋体"/>
          <w:color w:val="auto"/>
          <w:sz w:val="22"/>
          <w:szCs w:val="22"/>
          <w:highlight w:val="none"/>
          <w:u w:val="single"/>
        </w:rPr>
        <w:t>（企业名称）</w:t>
      </w:r>
      <w:r>
        <w:rPr>
          <w:rFonts w:hint="eastAsia" w:ascii="宋体" w:hAnsi="宋体"/>
          <w:color w:val="auto"/>
          <w:sz w:val="22"/>
          <w:szCs w:val="22"/>
          <w:highlight w:val="none"/>
        </w:rPr>
        <w:t>，从业人员</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人，营业收入为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万元，资产总额为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万元，属于</w:t>
      </w:r>
      <w:r>
        <w:rPr>
          <w:rFonts w:hint="eastAsia" w:ascii="宋体" w:hAnsi="宋体"/>
          <w:color w:val="auto"/>
          <w:sz w:val="22"/>
          <w:szCs w:val="22"/>
          <w:highlight w:val="none"/>
          <w:u w:val="single"/>
        </w:rPr>
        <w:t>（中型企业、小型企业、微型企业）</w:t>
      </w:r>
      <w:r>
        <w:rPr>
          <w:rFonts w:hint="eastAsia" w:ascii="宋体" w:hAnsi="宋体"/>
          <w:color w:val="auto"/>
          <w:sz w:val="22"/>
          <w:szCs w:val="22"/>
          <w:highlight w:val="none"/>
        </w:rPr>
        <w:t xml:space="preserve">； </w:t>
      </w:r>
    </w:p>
    <w:p>
      <w:pPr>
        <w:pStyle w:val="44"/>
        <w:spacing w:after="0" w:line="500" w:lineRule="exact"/>
        <w:ind w:left="0" w:leftChars="0" w:firstLine="440"/>
        <w:rPr>
          <w:rFonts w:ascii="宋体" w:hAnsi="宋体"/>
          <w:color w:val="auto"/>
          <w:sz w:val="22"/>
          <w:szCs w:val="22"/>
          <w:highlight w:val="none"/>
        </w:rPr>
      </w:pPr>
      <w:r>
        <w:rPr>
          <w:rFonts w:hint="eastAsia" w:ascii="宋体" w:hAnsi="宋体"/>
          <w:color w:val="auto"/>
          <w:sz w:val="22"/>
          <w:szCs w:val="22"/>
          <w:highlight w:val="none"/>
        </w:rPr>
        <w:t xml:space="preserve">…… </w:t>
      </w:r>
    </w:p>
    <w:p>
      <w:pPr>
        <w:pStyle w:val="44"/>
        <w:spacing w:after="0" w:line="500" w:lineRule="exact"/>
        <w:ind w:left="0" w:leftChars="0" w:firstLine="440"/>
        <w:rPr>
          <w:rFonts w:ascii="宋体" w:hAnsi="宋体"/>
          <w:color w:val="auto"/>
          <w:sz w:val="22"/>
          <w:szCs w:val="22"/>
          <w:highlight w:val="none"/>
        </w:rPr>
      </w:pPr>
      <w:r>
        <w:rPr>
          <w:rFonts w:hint="eastAsia" w:ascii="宋体" w:hAnsi="宋体"/>
          <w:color w:val="auto"/>
          <w:sz w:val="22"/>
          <w:szCs w:val="22"/>
          <w:highlight w:val="none"/>
        </w:rPr>
        <w:t xml:space="preserve">以上企业，不属于大企业的分支机构，不存在控股股东为大企业的情形，也不存在与大企业的负责人为同一人的情形。 </w:t>
      </w:r>
    </w:p>
    <w:p>
      <w:pPr>
        <w:pStyle w:val="44"/>
        <w:spacing w:after="0" w:line="500" w:lineRule="exact"/>
        <w:ind w:left="0" w:leftChars="0" w:firstLine="440"/>
        <w:rPr>
          <w:rFonts w:ascii="宋体" w:hAnsi="宋体"/>
          <w:color w:val="auto"/>
          <w:sz w:val="22"/>
          <w:szCs w:val="22"/>
          <w:highlight w:val="none"/>
        </w:rPr>
      </w:pPr>
      <w:r>
        <w:rPr>
          <w:rFonts w:hint="eastAsia" w:ascii="宋体" w:hAnsi="宋体"/>
          <w:color w:val="auto"/>
          <w:sz w:val="22"/>
          <w:szCs w:val="22"/>
          <w:highlight w:val="none"/>
        </w:rPr>
        <w:t xml:space="preserve">本企业对上述声明内容的真实性负责。如有虚假，将依法承担相应责任。 </w:t>
      </w:r>
    </w:p>
    <w:p>
      <w:pPr>
        <w:pStyle w:val="44"/>
        <w:spacing w:after="0" w:line="500" w:lineRule="exact"/>
        <w:ind w:left="0" w:leftChars="0" w:firstLine="440"/>
        <w:rPr>
          <w:rFonts w:ascii="宋体" w:hAnsi="宋体"/>
          <w:color w:val="auto"/>
          <w:sz w:val="22"/>
          <w:szCs w:val="22"/>
          <w:highlight w:val="none"/>
        </w:rPr>
      </w:pPr>
    </w:p>
    <w:p>
      <w:pPr>
        <w:pStyle w:val="44"/>
        <w:spacing w:after="0" w:line="500" w:lineRule="exact"/>
        <w:ind w:left="0" w:leftChars="0" w:firstLine="440"/>
        <w:rPr>
          <w:rFonts w:ascii="宋体" w:hAnsi="宋体"/>
          <w:color w:val="auto"/>
          <w:sz w:val="22"/>
          <w:szCs w:val="22"/>
          <w:highlight w:val="none"/>
        </w:rPr>
      </w:pPr>
      <w:r>
        <w:rPr>
          <w:rFonts w:hint="eastAsia" w:ascii="宋体" w:hAnsi="宋体"/>
          <w:color w:val="auto"/>
          <w:sz w:val="22"/>
          <w:szCs w:val="22"/>
          <w:highlight w:val="none"/>
        </w:rPr>
        <w:t xml:space="preserve">企业名称（盖章）： </w:t>
      </w:r>
    </w:p>
    <w:p>
      <w:pPr>
        <w:pStyle w:val="44"/>
        <w:spacing w:after="0" w:line="500" w:lineRule="exact"/>
        <w:ind w:left="0" w:leftChars="0" w:firstLine="440"/>
        <w:rPr>
          <w:rFonts w:ascii="宋体" w:hAnsi="宋体"/>
          <w:color w:val="auto"/>
          <w:sz w:val="22"/>
          <w:szCs w:val="22"/>
          <w:highlight w:val="none"/>
        </w:rPr>
      </w:pPr>
      <w:r>
        <w:rPr>
          <w:rFonts w:hint="eastAsia" w:ascii="宋体" w:hAnsi="宋体"/>
          <w:color w:val="auto"/>
          <w:sz w:val="22"/>
          <w:szCs w:val="22"/>
          <w:highlight w:val="none"/>
        </w:rPr>
        <w:t xml:space="preserve">日 期： </w:t>
      </w:r>
    </w:p>
    <w:p>
      <w:pPr>
        <w:pStyle w:val="44"/>
        <w:spacing w:after="0" w:line="500" w:lineRule="exact"/>
        <w:ind w:left="0" w:leftChars="0" w:firstLine="442"/>
        <w:rPr>
          <w:rFonts w:ascii="宋体" w:hAnsi="宋体"/>
          <w:color w:val="auto"/>
          <w:sz w:val="22"/>
          <w:szCs w:val="22"/>
          <w:highlight w:val="none"/>
        </w:rPr>
      </w:pPr>
      <w:r>
        <w:rPr>
          <w:rFonts w:hint="eastAsia" w:ascii="宋体" w:hAnsi="宋体"/>
          <w:b/>
          <w:color w:val="auto"/>
          <w:sz w:val="22"/>
          <w:szCs w:val="22"/>
          <w:highlight w:val="none"/>
        </w:rPr>
        <w:t>填报说明：</w:t>
      </w:r>
      <w:r>
        <w:rPr>
          <w:rFonts w:hint="eastAsia" w:ascii="宋体" w:hAnsi="宋体"/>
          <w:color w:val="auto"/>
          <w:sz w:val="22"/>
          <w:szCs w:val="22"/>
          <w:highlight w:val="none"/>
        </w:rPr>
        <w:t>①本声明函中“从业人员”、“营业收入”、“资产总额”填报上一年度数据，无上一年度数据的新成立企业可不填报。</w:t>
      </w:r>
    </w:p>
    <w:p>
      <w:pPr>
        <w:pStyle w:val="44"/>
        <w:spacing w:after="0" w:line="500" w:lineRule="exact"/>
        <w:ind w:left="0" w:leftChars="0" w:firstLine="440"/>
        <w:rPr>
          <w:rFonts w:ascii="宋体" w:hAnsi="宋体"/>
          <w:color w:val="auto"/>
          <w:sz w:val="22"/>
          <w:szCs w:val="22"/>
          <w:highlight w:val="none"/>
        </w:rPr>
      </w:pPr>
      <w:r>
        <w:rPr>
          <w:rFonts w:hint="eastAsia" w:ascii="宋体" w:hAnsi="宋体"/>
          <w:color w:val="auto"/>
          <w:sz w:val="22"/>
          <w:szCs w:val="22"/>
          <w:highlight w:val="none"/>
        </w:rPr>
        <w:t>②本项目采购标的对应的中小企业划分标准所属行业为《中小企业划型标准规定》（工信部联企业〔2011〕300号）中的中的“软件和信息技术服务业”，划型标准为：从业人员300人以下或营业收入10000万元以下的为中小微型企业。其中，从业人员100人及以上，且营业收入10000万元以上的为中型企业；从业人员10人及以上，且营业收入50万元及以上的为小型企业；从业人员10人以下或营业收入50万元以下的为微型企业。</w:t>
      </w:r>
    </w:p>
    <w:p>
      <w:pPr>
        <w:pStyle w:val="44"/>
        <w:spacing w:after="0" w:line="500" w:lineRule="exact"/>
        <w:ind w:left="0" w:leftChars="0" w:firstLine="440"/>
        <w:rPr>
          <w:rFonts w:ascii="宋体" w:hAnsi="宋体"/>
          <w:color w:val="auto"/>
          <w:sz w:val="22"/>
          <w:szCs w:val="22"/>
          <w:highlight w:val="none"/>
        </w:rPr>
      </w:pPr>
      <w:r>
        <w:rPr>
          <w:rFonts w:hint="eastAsia" w:ascii="宋体" w:hAnsi="宋体"/>
          <w:color w:val="auto"/>
          <w:sz w:val="22"/>
          <w:szCs w:val="22"/>
          <w:highlight w:val="none"/>
        </w:rPr>
        <w:t>③供应商应当按照《政府采购促进中小企业发展管理办法》规定和《中小企业划型标准规定》（工信部联企业〔2011〕300号），如实填写并提交《中小企业声明函》，对其声明内容的真实性负责，声明函内容不实的，属于提供虚假材料谋取中标、成交，将依照《中华人民共和国政府采购法》等国家有关规定追究相应责任。</w:t>
      </w:r>
    </w:p>
    <w:p>
      <w:pPr>
        <w:snapToGrid w:val="0"/>
        <w:spacing w:line="500" w:lineRule="exact"/>
        <w:jc w:val="center"/>
        <w:rPr>
          <w:rFonts w:hAnsi="宋体" w:cs="宋体"/>
          <w:color w:val="auto"/>
          <w:sz w:val="22"/>
          <w:szCs w:val="22"/>
          <w:highlight w:val="none"/>
        </w:rPr>
      </w:pPr>
    </w:p>
    <w:p>
      <w:pPr>
        <w:snapToGrid w:val="0"/>
        <w:spacing w:line="500" w:lineRule="exact"/>
        <w:jc w:val="center"/>
        <w:rPr>
          <w:rFonts w:hAnsi="宋体" w:cs="宋体"/>
          <w:color w:val="auto"/>
          <w:sz w:val="22"/>
          <w:szCs w:val="22"/>
          <w:highlight w:val="none"/>
        </w:rPr>
      </w:pPr>
      <w:r>
        <w:rPr>
          <w:rFonts w:hint="eastAsia" w:hAnsi="宋体" w:cs="宋体"/>
          <w:color w:val="auto"/>
          <w:sz w:val="22"/>
          <w:szCs w:val="22"/>
          <w:highlight w:val="none"/>
        </w:rPr>
        <w:t>（2）残疾人福利性单位声明函</w:t>
      </w:r>
    </w:p>
    <w:p>
      <w:pPr>
        <w:pStyle w:val="121"/>
        <w:spacing w:line="500" w:lineRule="exact"/>
        <w:ind w:firstLine="601"/>
        <w:rPr>
          <w:rFonts w:ascii="宋体" w:hAnsi="宋体" w:eastAsia="宋体" w:cs="宋体"/>
          <w:color w:val="auto"/>
          <w:kern w:val="2"/>
          <w:sz w:val="22"/>
          <w:highlight w:val="none"/>
        </w:rPr>
      </w:pPr>
      <w:r>
        <w:rPr>
          <w:rFonts w:hint="eastAsia" w:ascii="宋体" w:hAnsi="宋体" w:eastAsia="宋体" w:cs="宋体"/>
          <w:color w:val="auto"/>
          <w:kern w:val="2"/>
          <w:sz w:val="22"/>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121"/>
        <w:spacing w:line="500" w:lineRule="exact"/>
        <w:ind w:firstLine="600"/>
        <w:rPr>
          <w:rFonts w:ascii="宋体" w:hAnsi="宋体" w:eastAsia="宋体" w:cs="宋体"/>
          <w:color w:val="auto"/>
          <w:kern w:val="2"/>
          <w:sz w:val="22"/>
          <w:highlight w:val="none"/>
        </w:rPr>
      </w:pPr>
      <w:r>
        <w:rPr>
          <w:rFonts w:hint="eastAsia" w:ascii="宋体" w:hAnsi="宋体" w:eastAsia="宋体" w:cs="宋体"/>
          <w:color w:val="auto"/>
          <w:kern w:val="2"/>
          <w:sz w:val="22"/>
          <w:highlight w:val="none"/>
        </w:rPr>
        <w:t>本单位对上述声明的真实性负责。如有虚假，将依法承担相应责任。</w:t>
      </w:r>
    </w:p>
    <w:p>
      <w:pPr>
        <w:pStyle w:val="121"/>
        <w:spacing w:line="500" w:lineRule="exact"/>
        <w:rPr>
          <w:rFonts w:ascii="宋体" w:hAnsi="宋体" w:eastAsia="宋体" w:cs="宋体"/>
          <w:color w:val="auto"/>
          <w:spacing w:val="6"/>
          <w:sz w:val="22"/>
          <w:highlight w:val="none"/>
        </w:rPr>
      </w:pPr>
    </w:p>
    <w:p>
      <w:pPr>
        <w:pStyle w:val="121"/>
        <w:spacing w:line="500" w:lineRule="exact"/>
        <w:ind w:right="1560" w:firstLine="600"/>
        <w:jc w:val="center"/>
        <w:rPr>
          <w:rFonts w:ascii="宋体" w:hAnsi="宋体" w:eastAsia="宋体" w:cs="宋体"/>
          <w:color w:val="auto"/>
          <w:kern w:val="2"/>
          <w:sz w:val="22"/>
          <w:highlight w:val="none"/>
        </w:rPr>
      </w:pPr>
      <w:r>
        <w:rPr>
          <w:rFonts w:hint="eastAsia" w:ascii="宋体" w:hAnsi="宋体" w:eastAsia="宋体" w:cs="宋体"/>
          <w:color w:val="auto"/>
          <w:kern w:val="2"/>
          <w:sz w:val="22"/>
          <w:highlight w:val="none"/>
        </w:rPr>
        <w:t>单位名称（盖章）：</w:t>
      </w:r>
    </w:p>
    <w:p>
      <w:pPr>
        <w:pStyle w:val="121"/>
        <w:spacing w:line="500" w:lineRule="exact"/>
        <w:ind w:right="1560" w:firstLine="600"/>
        <w:jc w:val="center"/>
        <w:rPr>
          <w:rFonts w:ascii="宋体" w:hAnsi="宋体" w:eastAsia="宋体" w:cs="宋体"/>
          <w:color w:val="auto"/>
          <w:kern w:val="2"/>
          <w:sz w:val="22"/>
          <w:highlight w:val="none"/>
        </w:rPr>
      </w:pPr>
      <w:r>
        <w:rPr>
          <w:rFonts w:hint="eastAsia" w:ascii="宋体" w:hAnsi="宋体" w:eastAsia="宋体" w:cs="宋体"/>
          <w:color w:val="auto"/>
          <w:kern w:val="2"/>
          <w:sz w:val="22"/>
          <w:highlight w:val="none"/>
        </w:rPr>
        <w:t>日期：</w:t>
      </w:r>
    </w:p>
    <w:p>
      <w:pPr>
        <w:spacing w:line="500" w:lineRule="exact"/>
        <w:ind w:firstLine="436" w:firstLineChars="200"/>
        <w:jc w:val="center"/>
        <w:rPr>
          <w:rFonts w:hAnsi="宋体" w:cs="宋体"/>
          <w:color w:val="auto"/>
          <w:spacing w:val="-1"/>
          <w:sz w:val="22"/>
          <w:szCs w:val="22"/>
          <w:highlight w:val="none"/>
        </w:rPr>
      </w:pPr>
    </w:p>
    <w:p>
      <w:pPr>
        <w:spacing w:line="500" w:lineRule="exact"/>
        <w:ind w:firstLine="436" w:firstLineChars="200"/>
        <w:jc w:val="center"/>
        <w:rPr>
          <w:rFonts w:hAnsi="宋体" w:cs="宋体"/>
          <w:color w:val="auto"/>
          <w:spacing w:val="-1"/>
          <w:sz w:val="22"/>
          <w:szCs w:val="22"/>
          <w:highlight w:val="none"/>
        </w:rPr>
      </w:pPr>
    </w:p>
    <w:p>
      <w:pPr>
        <w:spacing w:line="500" w:lineRule="exact"/>
        <w:ind w:firstLine="436" w:firstLineChars="200"/>
        <w:jc w:val="center"/>
        <w:rPr>
          <w:rFonts w:hAnsi="宋体" w:cs="宋体"/>
          <w:color w:val="auto"/>
          <w:spacing w:val="-1"/>
          <w:sz w:val="22"/>
          <w:szCs w:val="22"/>
          <w:highlight w:val="none"/>
        </w:rPr>
      </w:pPr>
      <w:r>
        <w:rPr>
          <w:rFonts w:hint="eastAsia" w:hAnsi="宋体" w:cs="宋体"/>
          <w:color w:val="auto"/>
          <w:spacing w:val="-1"/>
          <w:sz w:val="22"/>
          <w:szCs w:val="22"/>
          <w:highlight w:val="none"/>
        </w:rPr>
        <w:t>（3）监狱企业证明文件</w:t>
      </w:r>
    </w:p>
    <w:p>
      <w:pPr>
        <w:snapToGrid w:val="0"/>
        <w:spacing w:line="500" w:lineRule="exact"/>
        <w:ind w:firstLine="654" w:firstLineChars="300"/>
        <w:rPr>
          <w:rFonts w:hAnsi="宋体" w:cs="宋体"/>
          <w:color w:val="auto"/>
          <w:sz w:val="22"/>
          <w:szCs w:val="22"/>
          <w:highlight w:val="none"/>
        </w:rPr>
      </w:pPr>
      <w:r>
        <w:rPr>
          <w:rFonts w:hint="eastAsia" w:hAnsi="宋体" w:cs="宋体"/>
          <w:color w:val="auto"/>
          <w:spacing w:val="-1"/>
          <w:sz w:val="22"/>
          <w:szCs w:val="22"/>
          <w:highlight w:val="none"/>
        </w:rPr>
        <w:t>监狱企业参加政府采购活动时，应当提供由省级以上监狱管理局、戒毒管理局（含新疆生产建设兵团）出具的属于监狱企业的证明文件。</w:t>
      </w:r>
    </w:p>
    <w:p>
      <w:pPr>
        <w:pStyle w:val="18"/>
        <w:ind w:firstLine="280"/>
        <w:rPr>
          <w:rFonts w:hAnsi="宋体" w:cs="宋体"/>
          <w:color w:val="auto"/>
          <w:highlight w:val="none"/>
        </w:rPr>
      </w:pPr>
    </w:p>
    <w:p>
      <w:pPr>
        <w:widowControl/>
        <w:snapToGrid w:val="0"/>
        <w:spacing w:before="120" w:after="50"/>
        <w:rPr>
          <w:rFonts w:hAnsi="宋体" w:cs="宋体"/>
          <w:b/>
          <w:color w:val="auto"/>
          <w:sz w:val="24"/>
          <w:highlight w:val="none"/>
        </w:rPr>
      </w:pPr>
      <w:bookmarkStart w:id="721" w:name="_Toc15336_WPSOffice_Level1"/>
      <w:bookmarkStart w:id="722" w:name="_Toc5760_WPSOffice_Level1"/>
      <w:bookmarkStart w:id="723" w:name="_Toc637_WPSOffice_Level1"/>
      <w:r>
        <w:rPr>
          <w:rFonts w:hint="eastAsia" w:hAnsi="宋体" w:cs="宋体"/>
          <w:b/>
          <w:color w:val="auto"/>
          <w:sz w:val="24"/>
          <w:highlight w:val="none"/>
        </w:rPr>
        <w:t>（二）商务技术响应文件（参考格式）</w:t>
      </w:r>
    </w:p>
    <w:p>
      <w:pPr>
        <w:snapToGrid w:val="0"/>
        <w:spacing w:before="50" w:after="50"/>
        <w:rPr>
          <w:rFonts w:hAnsi="宋体" w:cs="宋体"/>
          <w:b/>
          <w:color w:val="auto"/>
          <w:sz w:val="24"/>
          <w:highlight w:val="none"/>
        </w:rPr>
      </w:pPr>
    </w:p>
    <w:p>
      <w:pPr>
        <w:pStyle w:val="24"/>
        <w:snapToGrid w:val="0"/>
        <w:jc w:val="center"/>
        <w:rPr>
          <w:rFonts w:hAnsi="宋体" w:cs="宋体"/>
          <w:b/>
          <w:color w:val="auto"/>
          <w:sz w:val="28"/>
          <w:szCs w:val="20"/>
          <w:highlight w:val="none"/>
        </w:rPr>
      </w:pPr>
    </w:p>
    <w:p>
      <w:pPr>
        <w:pStyle w:val="124"/>
        <w:spacing w:line="460" w:lineRule="exact"/>
        <w:ind w:left="420" w:firstLine="0" w:firstLineChars="0"/>
        <w:textAlignment w:val="bottom"/>
        <w:rPr>
          <w:rFonts w:hAnsi="宋体" w:cs="宋体"/>
          <w:color w:val="auto"/>
          <w:sz w:val="21"/>
          <w:szCs w:val="21"/>
          <w:highlight w:val="none"/>
        </w:rPr>
      </w:pPr>
      <w:r>
        <w:rPr>
          <w:rFonts w:hint="eastAsia" w:ascii="宋体" w:hAnsi="宋体" w:cs="宋体"/>
          <w:color w:val="auto"/>
          <w:sz w:val="21"/>
          <w:szCs w:val="21"/>
          <w:highlight w:val="none"/>
        </w:rPr>
        <w:t>（1）响应供应商技术商务标自评得分汇总表；（格式内容参照技术商务评分表，格式见附件）；</w:t>
      </w:r>
    </w:p>
    <w:p>
      <w:pPr>
        <w:spacing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（2）法定代表人资格证明书及法定代表人授权委托书 （由法定代表人直接参加谈判并对相应文件签署的，只需提供前者 ）；</w:t>
      </w:r>
    </w:p>
    <w:p>
      <w:pPr>
        <w:pStyle w:val="97"/>
        <w:snapToGrid w:val="0"/>
        <w:spacing w:line="460" w:lineRule="exact"/>
        <w:ind w:left="420" w:firstLine="0" w:firstLineChars="0"/>
        <w:textAlignment w:val="bottom"/>
        <w:rPr>
          <w:rFonts w:ascii="宋体" w:hAnsi="宋体" w:cs="宋体"/>
          <w:color w:val="auto"/>
          <w:sz w:val="21"/>
          <w:szCs w:val="21"/>
          <w:highlight w:val="none"/>
        </w:rPr>
      </w:pPr>
      <w:r>
        <w:rPr>
          <w:rFonts w:hint="eastAsia" w:ascii="宋体" w:hAnsi="宋体" w:cs="宋体"/>
          <w:color w:val="auto"/>
          <w:sz w:val="21"/>
          <w:szCs w:val="21"/>
          <w:highlight w:val="none"/>
        </w:rPr>
        <w:t>（3）响应供应商情况表；（格式见附件）</w:t>
      </w:r>
    </w:p>
    <w:p>
      <w:pPr>
        <w:snapToGrid w:val="0"/>
        <w:spacing w:line="500" w:lineRule="exact"/>
        <w:ind w:firstLine="420" w:firstLineChars="200"/>
        <w:jc w:val="both"/>
        <w:textAlignment w:val="bottom"/>
        <w:rPr>
          <w:rFonts w:hAnsi="宋体" w:cs="宋体"/>
          <w:color w:val="auto"/>
          <w:sz w:val="21"/>
          <w:szCs w:val="21"/>
          <w:highlight w:val="none"/>
        </w:rPr>
      </w:pPr>
      <w:r>
        <w:rPr>
          <w:rFonts w:hint="eastAsia" w:hAnsi="宋体" w:cs="宋体"/>
          <w:color w:val="auto"/>
          <w:sz w:val="21"/>
          <w:szCs w:val="21"/>
          <w:highlight w:val="none"/>
        </w:rPr>
        <w:t>（4）服务条款对比表；（格式见附件）</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（5）拟投入本项目的服务团队人员表；（格式见附件）</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（6）商务条款偏离表；（格式见附件）</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（7）响应供应商2021年1月1日以来至今同类项目服务业绩（提供合同复印件加盖单位公章，格式见附件）；</w:t>
      </w:r>
    </w:p>
    <w:p>
      <w:pPr>
        <w:autoSpaceDE/>
        <w:autoSpaceDN/>
        <w:adjustRightInd/>
        <w:spacing w:line="500" w:lineRule="exact"/>
        <w:ind w:firstLine="420" w:firstLineChars="200"/>
        <w:jc w:val="both"/>
        <w:textAlignment w:val="auto"/>
        <w:rPr>
          <w:rFonts w:hAnsi="宋体" w:cs="宋体"/>
          <w:bCs/>
          <w:color w:val="auto"/>
          <w:sz w:val="21"/>
          <w:szCs w:val="21"/>
          <w:highlight w:val="none"/>
        </w:rPr>
      </w:pPr>
      <w:r>
        <w:rPr>
          <w:rFonts w:hint="eastAsia" w:hAnsi="宋体" w:cs="宋体"/>
          <w:color w:val="auto"/>
          <w:sz w:val="21"/>
          <w:szCs w:val="21"/>
          <w:highlight w:val="none"/>
        </w:rPr>
        <w:t>（8）</w:t>
      </w:r>
      <w:r>
        <w:rPr>
          <w:rFonts w:hint="eastAsia" w:hAnsi="宋体" w:cs="宋体"/>
          <w:bCs/>
          <w:color w:val="auto"/>
          <w:sz w:val="21"/>
          <w:szCs w:val="21"/>
          <w:highlight w:val="none"/>
        </w:rPr>
        <w:t>针对本项目的详细服务方案（格式自拟）；</w:t>
      </w:r>
    </w:p>
    <w:p>
      <w:pPr>
        <w:autoSpaceDE/>
        <w:autoSpaceDN/>
        <w:adjustRightInd/>
        <w:spacing w:line="500" w:lineRule="exact"/>
        <w:ind w:firstLine="420" w:firstLineChars="200"/>
        <w:jc w:val="both"/>
        <w:textAlignment w:val="auto"/>
        <w:rPr>
          <w:rFonts w:hAnsi="宋体" w:cs="宋体"/>
          <w:bCs/>
          <w:color w:val="auto"/>
          <w:sz w:val="21"/>
          <w:szCs w:val="21"/>
          <w:highlight w:val="none"/>
        </w:rPr>
      </w:pPr>
      <w:r>
        <w:rPr>
          <w:rFonts w:hint="eastAsia" w:hAnsi="宋体" w:cs="宋体"/>
          <w:bCs/>
          <w:color w:val="auto"/>
          <w:sz w:val="21"/>
          <w:szCs w:val="21"/>
          <w:highlight w:val="none"/>
        </w:rPr>
        <w:t>①对本项目的需求理解，重点难点的分析等；</w:t>
      </w:r>
    </w:p>
    <w:p>
      <w:pPr>
        <w:spacing w:line="500" w:lineRule="exact"/>
        <w:ind w:firstLine="420" w:firstLineChars="200"/>
        <w:rPr>
          <w:rFonts w:hAnsi="宋体" w:cs="宋体"/>
          <w:color w:val="auto"/>
          <w:highlight w:val="none"/>
        </w:rPr>
      </w:pPr>
      <w:r>
        <w:rPr>
          <w:rFonts w:hint="eastAsia" w:hAnsi="宋体" w:cs="宋体"/>
          <w:bCs/>
          <w:color w:val="auto"/>
          <w:sz w:val="21"/>
          <w:szCs w:val="21"/>
          <w:highlight w:val="none"/>
        </w:rPr>
        <w:t>②组织方案（包括</w:t>
      </w:r>
      <w:r>
        <w:rPr>
          <w:rFonts w:hint="eastAsia" w:hAnsi="宋体" w:cs="宋体"/>
          <w:color w:val="auto"/>
          <w:sz w:val="21"/>
          <w:szCs w:val="21"/>
          <w:highlight w:val="none"/>
        </w:rPr>
        <w:t>总体方案设计；</w:t>
      </w:r>
      <w:r>
        <w:rPr>
          <w:rFonts w:hint="eastAsia"/>
          <w:color w:val="auto"/>
          <w:sz w:val="21"/>
          <w:szCs w:val="21"/>
          <w:highlight w:val="none"/>
        </w:rPr>
        <w:t>系统建设方案、功能介绍；</w:t>
      </w:r>
      <w:r>
        <w:rPr>
          <w:rStyle w:val="143"/>
          <w:rFonts w:hAnsi="宋体"/>
          <w:color w:val="auto"/>
          <w:sz w:val="21"/>
          <w:szCs w:val="21"/>
          <w:highlight w:val="none"/>
        </w:rPr>
        <w:t>项目实施的技术力量安排</w:t>
      </w:r>
      <w:r>
        <w:rPr>
          <w:rFonts w:hint="eastAsia" w:hAnsi="宋体" w:cs="宋体"/>
          <w:bCs/>
          <w:color w:val="auto"/>
          <w:sz w:val="21"/>
          <w:szCs w:val="21"/>
          <w:highlight w:val="none"/>
        </w:rPr>
        <w:t>及技术保障；</w:t>
      </w:r>
      <w:r>
        <w:rPr>
          <w:rFonts w:hint="eastAsia"/>
          <w:color w:val="auto"/>
          <w:sz w:val="21"/>
          <w:szCs w:val="21"/>
          <w:highlight w:val="none"/>
        </w:rPr>
        <w:t>质量保证措施及承诺</w:t>
      </w:r>
      <w:r>
        <w:rPr>
          <w:rFonts w:hint="eastAsia" w:hAnsi="宋体" w:cs="宋体"/>
          <w:bCs/>
          <w:color w:val="auto"/>
          <w:sz w:val="21"/>
          <w:szCs w:val="21"/>
          <w:highlight w:val="none"/>
        </w:rPr>
        <w:t>；验收方案；</w:t>
      </w:r>
      <w:r>
        <w:rPr>
          <w:rFonts w:hint="eastAsia"/>
          <w:color w:val="auto"/>
          <w:sz w:val="21"/>
          <w:szCs w:val="21"/>
          <w:highlight w:val="none"/>
        </w:rPr>
        <w:t>突发事件紧急预案；</w:t>
      </w:r>
      <w:r>
        <w:rPr>
          <w:rFonts w:hint="eastAsia" w:cs="宋体"/>
          <w:color w:val="auto"/>
          <w:sz w:val="21"/>
          <w:szCs w:val="21"/>
          <w:highlight w:val="none"/>
        </w:rPr>
        <w:t>技术培训</w:t>
      </w:r>
      <w:r>
        <w:rPr>
          <w:rFonts w:hint="eastAsia" w:hAnsi="宋体" w:cs="宋体"/>
          <w:bCs/>
          <w:color w:val="auto"/>
          <w:sz w:val="21"/>
          <w:szCs w:val="21"/>
          <w:highlight w:val="none"/>
        </w:rPr>
        <w:t>等）</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9</w:t>
      </w:r>
      <w:r>
        <w:rPr>
          <w:rFonts w:hint="eastAsia" w:hAnsi="宋体" w:cs="宋体"/>
          <w:color w:val="auto"/>
          <w:sz w:val="21"/>
          <w:szCs w:val="21"/>
          <w:highlight w:val="none"/>
        </w:rPr>
        <w:t>）响应供应商</w:t>
      </w:r>
      <w:r>
        <w:rPr>
          <w:rFonts w:hint="eastAsia" w:hAnsi="宋体" w:cs="宋体"/>
          <w:bCs/>
          <w:color w:val="auto"/>
          <w:sz w:val="21"/>
          <w:szCs w:val="21"/>
          <w:highlight w:val="none"/>
        </w:rPr>
        <w:t>针对本项目的优惠条件及合理化建议</w:t>
      </w:r>
      <w:r>
        <w:rPr>
          <w:rFonts w:hint="eastAsia" w:hAnsi="宋体" w:cs="宋体"/>
          <w:color w:val="auto"/>
          <w:sz w:val="21"/>
          <w:szCs w:val="21"/>
          <w:highlight w:val="none"/>
        </w:rPr>
        <w:t>；</w:t>
      </w:r>
    </w:p>
    <w:p>
      <w:pPr>
        <w:snapToGrid w:val="0"/>
        <w:spacing w:line="500" w:lineRule="exact"/>
        <w:ind w:firstLine="420" w:firstLineChars="200"/>
        <w:jc w:val="both"/>
        <w:textAlignment w:val="bottom"/>
        <w:rPr>
          <w:rFonts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10</w:t>
      </w:r>
      <w:r>
        <w:rPr>
          <w:rFonts w:hint="eastAsia" w:hAnsi="宋体" w:cs="宋体"/>
          <w:color w:val="auto"/>
          <w:sz w:val="21"/>
          <w:szCs w:val="21"/>
          <w:highlight w:val="none"/>
        </w:rPr>
        <w:t>）评分规则中涉及的所需提供的资料；</w:t>
      </w:r>
    </w:p>
    <w:p>
      <w:pPr>
        <w:snapToGrid w:val="0"/>
        <w:spacing w:line="500" w:lineRule="exact"/>
        <w:ind w:firstLine="420" w:firstLineChars="200"/>
        <w:jc w:val="both"/>
        <w:textAlignment w:val="bottom"/>
        <w:rPr>
          <w:rFonts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11</w:t>
      </w:r>
      <w:r>
        <w:rPr>
          <w:rFonts w:hint="eastAsia" w:hAnsi="宋体" w:cs="宋体"/>
          <w:color w:val="auto"/>
          <w:sz w:val="21"/>
          <w:szCs w:val="21"/>
          <w:highlight w:val="none"/>
        </w:rPr>
        <w:t>）磋商响应供应商需要说明的其他文件和说明（格式自拟）。</w:t>
      </w:r>
    </w:p>
    <w:p>
      <w:pPr>
        <w:autoSpaceDE/>
        <w:autoSpaceDN/>
        <w:adjustRightInd/>
        <w:spacing w:line="500" w:lineRule="exact"/>
        <w:ind w:firstLine="422" w:firstLineChars="200"/>
        <w:jc w:val="both"/>
        <w:textAlignment w:val="auto"/>
        <w:rPr>
          <w:rFonts w:hAnsi="宋体" w:cs="宋体"/>
          <w:b/>
          <w:color w:val="auto"/>
          <w:kern w:val="2"/>
          <w:sz w:val="21"/>
          <w:szCs w:val="21"/>
          <w:highlight w:val="none"/>
        </w:rPr>
      </w:pPr>
      <w:r>
        <w:rPr>
          <w:rFonts w:hint="eastAsia" w:hAnsi="宋体" w:cs="宋体"/>
          <w:b/>
          <w:color w:val="auto"/>
          <w:kern w:val="2"/>
          <w:sz w:val="21"/>
          <w:szCs w:val="21"/>
          <w:highlight w:val="none"/>
        </w:rPr>
        <w:t>（★</w:t>
      </w:r>
      <w:r>
        <w:rPr>
          <w:rFonts w:hint="eastAsia" w:hAnsi="宋体" w:cs="宋体"/>
          <w:b/>
          <w:color w:val="auto"/>
          <w:sz w:val="21"/>
          <w:szCs w:val="21"/>
          <w:highlight w:val="none"/>
        </w:rPr>
        <w:t>商务技术响应文件</w:t>
      </w:r>
      <w:r>
        <w:rPr>
          <w:rFonts w:hint="eastAsia" w:hAnsi="宋体" w:cs="宋体"/>
          <w:b/>
          <w:color w:val="auto"/>
          <w:kern w:val="2"/>
          <w:sz w:val="21"/>
          <w:szCs w:val="21"/>
          <w:highlight w:val="none"/>
        </w:rPr>
        <w:t>中不能出现报价信息）</w:t>
      </w:r>
    </w:p>
    <w:p>
      <w:pPr>
        <w:pStyle w:val="24"/>
        <w:snapToGrid w:val="0"/>
        <w:jc w:val="center"/>
        <w:rPr>
          <w:rFonts w:hAnsi="宋体" w:cs="宋体"/>
          <w:b/>
          <w:color w:val="auto"/>
          <w:sz w:val="28"/>
          <w:szCs w:val="20"/>
          <w:highlight w:val="none"/>
        </w:rPr>
      </w:pPr>
    </w:p>
    <w:p>
      <w:pPr>
        <w:snapToGrid w:val="0"/>
        <w:spacing w:before="50" w:after="50"/>
        <w:rPr>
          <w:rFonts w:hAnsi="宋体" w:cs="宋体"/>
          <w:b/>
          <w:color w:val="auto"/>
          <w:sz w:val="24"/>
          <w:highlight w:val="none"/>
        </w:rPr>
      </w:pPr>
      <w:r>
        <w:rPr>
          <w:rFonts w:hint="eastAsia" w:hAnsi="宋体" w:cs="宋体"/>
          <w:b/>
          <w:color w:val="auto"/>
          <w:sz w:val="28"/>
          <w:highlight w:val="none"/>
        </w:rPr>
        <w:br w:type="page"/>
      </w:r>
      <w:r>
        <w:rPr>
          <w:rFonts w:hint="eastAsia" w:hAnsi="宋体" w:cs="宋体"/>
          <w:b/>
          <w:color w:val="auto"/>
          <w:sz w:val="24"/>
          <w:highlight w:val="none"/>
        </w:rPr>
        <w:t>1.供应商商务技术响应文件自评得分汇总表（格式参照技术商务评分表，需标注对应页码）</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85"/>
        <w:gridCol w:w="2190"/>
        <w:gridCol w:w="766"/>
        <w:gridCol w:w="1110"/>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36" w:type="dxa"/>
            <w:vAlign w:val="center"/>
          </w:tcPr>
          <w:p>
            <w:pPr>
              <w:widowControl/>
              <w:autoSpaceDE/>
              <w:autoSpaceDN/>
              <w:adjustRightInd/>
              <w:snapToGrid w:val="0"/>
              <w:spacing w:line="46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序号</w:t>
            </w:r>
          </w:p>
        </w:tc>
        <w:tc>
          <w:tcPr>
            <w:tcW w:w="1485" w:type="dxa"/>
            <w:vAlign w:val="center"/>
          </w:tcPr>
          <w:p>
            <w:pPr>
              <w:widowControl/>
              <w:autoSpaceDE/>
              <w:autoSpaceDN/>
              <w:adjustRightInd/>
              <w:snapToGrid w:val="0"/>
              <w:spacing w:line="46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评分项目</w:t>
            </w:r>
          </w:p>
        </w:tc>
        <w:tc>
          <w:tcPr>
            <w:tcW w:w="2190" w:type="dxa"/>
            <w:vAlign w:val="center"/>
          </w:tcPr>
          <w:p>
            <w:pPr>
              <w:widowControl/>
              <w:autoSpaceDE/>
              <w:autoSpaceDN/>
              <w:adjustRightInd/>
              <w:snapToGrid w:val="0"/>
              <w:spacing w:line="46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评标要点及说明</w:t>
            </w:r>
          </w:p>
        </w:tc>
        <w:tc>
          <w:tcPr>
            <w:tcW w:w="766" w:type="dxa"/>
            <w:vAlign w:val="center"/>
          </w:tcPr>
          <w:p>
            <w:pPr>
              <w:widowControl/>
              <w:autoSpaceDE/>
              <w:autoSpaceDN/>
              <w:adjustRightInd/>
              <w:snapToGrid w:val="0"/>
              <w:spacing w:line="46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分值</w:t>
            </w:r>
          </w:p>
        </w:tc>
        <w:tc>
          <w:tcPr>
            <w:tcW w:w="1110" w:type="dxa"/>
            <w:vAlign w:val="center"/>
          </w:tcPr>
          <w:p>
            <w:pPr>
              <w:widowControl/>
              <w:autoSpaceDE/>
              <w:autoSpaceDN/>
              <w:adjustRightInd/>
              <w:snapToGrid w:val="0"/>
              <w:spacing w:line="46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自评分</w:t>
            </w:r>
          </w:p>
        </w:tc>
        <w:tc>
          <w:tcPr>
            <w:tcW w:w="1937" w:type="dxa"/>
            <w:vAlign w:val="center"/>
          </w:tcPr>
          <w:p>
            <w:pPr>
              <w:widowControl/>
              <w:autoSpaceDE/>
              <w:autoSpaceDN/>
              <w:adjustRightInd/>
              <w:snapToGrid w:val="0"/>
              <w:spacing w:line="46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磋商响应文件响应页码</w:t>
            </w:r>
          </w:p>
        </w:tc>
      </w:tr>
    </w:tbl>
    <w:p>
      <w:pPr>
        <w:widowControl/>
        <w:autoSpaceDE/>
        <w:autoSpaceDN/>
        <w:adjustRightInd/>
        <w:textAlignment w:val="auto"/>
        <w:rPr>
          <w:rFonts w:hAnsi="宋体" w:cs="宋体"/>
          <w:b/>
          <w:color w:val="auto"/>
          <w:sz w:val="28"/>
          <w:highlight w:val="none"/>
        </w:rPr>
      </w:pPr>
    </w:p>
    <w:p>
      <w:pPr>
        <w:pStyle w:val="24"/>
        <w:snapToGrid w:val="0"/>
        <w:jc w:val="center"/>
        <w:rPr>
          <w:rFonts w:hAnsi="宋体" w:cs="宋体"/>
          <w:b/>
          <w:color w:val="auto"/>
          <w:sz w:val="28"/>
          <w:szCs w:val="20"/>
          <w:highlight w:val="none"/>
        </w:rPr>
      </w:pPr>
    </w:p>
    <w:p>
      <w:pPr>
        <w:spacing w:line="360" w:lineRule="auto"/>
        <w:jc w:val="both"/>
        <w:rPr>
          <w:rFonts w:hAnsi="宋体" w:cs="宋体"/>
          <w:b/>
          <w:color w:val="auto"/>
          <w:sz w:val="24"/>
          <w:szCs w:val="24"/>
          <w:highlight w:val="none"/>
        </w:rPr>
      </w:pPr>
    </w:p>
    <w:p>
      <w:pPr>
        <w:spacing w:line="360" w:lineRule="auto"/>
        <w:jc w:val="both"/>
        <w:rPr>
          <w:rFonts w:hAnsi="宋体" w:cs="宋体"/>
          <w:b/>
          <w:color w:val="auto"/>
          <w:sz w:val="24"/>
          <w:szCs w:val="24"/>
          <w:highlight w:val="none"/>
        </w:rPr>
      </w:pPr>
      <w:r>
        <w:rPr>
          <w:rFonts w:hint="eastAsia" w:hAnsi="宋体" w:cs="宋体"/>
          <w:b/>
          <w:color w:val="auto"/>
          <w:sz w:val="24"/>
          <w:szCs w:val="24"/>
          <w:highlight w:val="none"/>
        </w:rPr>
        <w:t>2.法定代表人资格证明书及法定代表人授权委托书 （由法定代表人直接参加谈判并对相应文件签署的，只需提供前者 ）；</w:t>
      </w:r>
    </w:p>
    <w:p>
      <w:pPr>
        <w:snapToGrid w:val="0"/>
        <w:spacing w:before="50" w:after="50"/>
        <w:jc w:val="center"/>
        <w:rPr>
          <w:rFonts w:hAnsi="宋体" w:cs="宋体"/>
          <w:b/>
          <w:color w:val="auto"/>
          <w:sz w:val="28"/>
          <w:highlight w:val="none"/>
        </w:rPr>
      </w:pPr>
    </w:p>
    <w:p>
      <w:pPr>
        <w:spacing w:line="300" w:lineRule="auto"/>
        <w:jc w:val="center"/>
        <w:rPr>
          <w:rFonts w:hAnsi="宋体" w:cs="宋体"/>
          <w:b/>
          <w:bCs/>
          <w:color w:val="auto"/>
          <w:sz w:val="24"/>
          <w:szCs w:val="24"/>
          <w:highlight w:val="none"/>
        </w:rPr>
      </w:pPr>
      <w:r>
        <w:rPr>
          <w:rFonts w:hint="eastAsia" w:hAnsi="宋体" w:cs="宋体"/>
          <w:b/>
          <w:bCs/>
          <w:color w:val="auto"/>
          <w:sz w:val="24"/>
          <w:szCs w:val="24"/>
          <w:highlight w:val="none"/>
        </w:rPr>
        <w:t>法定代表人资格证明书</w:t>
      </w:r>
    </w:p>
    <w:p>
      <w:pPr>
        <w:jc w:val="center"/>
        <w:rPr>
          <w:rFonts w:hAnsi="宋体" w:cs="宋体"/>
          <w:color w:val="auto"/>
          <w:sz w:val="24"/>
          <w:szCs w:val="24"/>
          <w:highlight w:val="none"/>
        </w:rPr>
      </w:pPr>
    </w:p>
    <w:p>
      <w:pPr>
        <w:spacing w:line="360" w:lineRule="auto"/>
        <w:textAlignment w:val="auto"/>
        <w:rPr>
          <w:rFonts w:hAnsi="宋体" w:cs="宋体"/>
          <w:color w:val="auto"/>
          <w:sz w:val="24"/>
          <w:highlight w:val="none"/>
        </w:rPr>
      </w:pPr>
    </w:p>
    <w:p>
      <w:pPr>
        <w:spacing w:line="360" w:lineRule="auto"/>
        <w:textAlignment w:val="auto"/>
        <w:rPr>
          <w:rFonts w:hAnsi="宋体" w:cs="宋体"/>
          <w:color w:val="auto"/>
          <w:sz w:val="24"/>
          <w:szCs w:val="24"/>
          <w:highlight w:val="none"/>
          <w:u w:val="single"/>
        </w:rPr>
      </w:pPr>
      <w:r>
        <w:rPr>
          <w:rFonts w:hint="eastAsia" w:hAnsi="宋体" w:cs="宋体"/>
          <w:color w:val="auto"/>
          <w:sz w:val="24"/>
          <w:szCs w:val="24"/>
          <w:highlight w:val="none"/>
        </w:rPr>
        <w:t>供应商名称：</w:t>
      </w:r>
      <w:r>
        <w:rPr>
          <w:rFonts w:hint="eastAsia" w:hAnsi="宋体" w:cs="宋体"/>
          <w:color w:val="auto"/>
          <w:sz w:val="24"/>
          <w:szCs w:val="24"/>
          <w:highlight w:val="none"/>
          <w:u w:val="single"/>
        </w:rPr>
        <w:t xml:space="preserve">                               </w:t>
      </w:r>
    </w:p>
    <w:p>
      <w:pPr>
        <w:spacing w:line="360" w:lineRule="auto"/>
        <w:textAlignment w:val="auto"/>
        <w:rPr>
          <w:rFonts w:hAnsi="宋体" w:cs="宋体"/>
          <w:color w:val="auto"/>
          <w:sz w:val="24"/>
          <w:szCs w:val="24"/>
          <w:highlight w:val="none"/>
        </w:rPr>
      </w:pPr>
      <w:r>
        <w:rPr>
          <w:rFonts w:hint="eastAsia" w:hAnsi="宋体" w:cs="宋体"/>
          <w:color w:val="auto"/>
          <w:sz w:val="24"/>
          <w:szCs w:val="24"/>
          <w:highlight w:val="none"/>
        </w:rPr>
        <w:t>单位性质：</w:t>
      </w:r>
      <w:r>
        <w:rPr>
          <w:rFonts w:hint="eastAsia" w:hAnsi="宋体" w:cs="宋体"/>
          <w:color w:val="auto"/>
          <w:sz w:val="24"/>
          <w:szCs w:val="24"/>
          <w:highlight w:val="none"/>
          <w:u w:val="single"/>
        </w:rPr>
        <w:t xml:space="preserve">                                 </w:t>
      </w:r>
    </w:p>
    <w:p>
      <w:pPr>
        <w:spacing w:line="360" w:lineRule="auto"/>
        <w:textAlignment w:val="auto"/>
        <w:rPr>
          <w:rFonts w:hAnsi="宋体" w:cs="宋体"/>
          <w:color w:val="auto"/>
          <w:sz w:val="24"/>
          <w:szCs w:val="24"/>
          <w:highlight w:val="none"/>
        </w:rPr>
      </w:pPr>
      <w:r>
        <w:rPr>
          <w:rFonts w:hint="eastAsia" w:hAnsi="宋体" w:cs="宋体"/>
          <w:color w:val="auto"/>
          <w:sz w:val="24"/>
          <w:szCs w:val="24"/>
          <w:highlight w:val="none"/>
        </w:rPr>
        <w:t>地址：</w:t>
      </w:r>
      <w:r>
        <w:rPr>
          <w:rFonts w:hint="eastAsia" w:hAnsi="宋体" w:cs="宋体"/>
          <w:color w:val="auto"/>
          <w:sz w:val="24"/>
          <w:szCs w:val="24"/>
          <w:highlight w:val="none"/>
          <w:u w:val="single"/>
        </w:rPr>
        <w:t xml:space="preserve">                                     </w:t>
      </w:r>
    </w:p>
    <w:p>
      <w:pPr>
        <w:spacing w:line="360" w:lineRule="auto"/>
        <w:textAlignment w:val="auto"/>
        <w:rPr>
          <w:rFonts w:hAnsi="宋体" w:cs="宋体"/>
          <w:color w:val="auto"/>
          <w:sz w:val="24"/>
          <w:szCs w:val="24"/>
          <w:highlight w:val="none"/>
        </w:rPr>
      </w:pPr>
      <w:r>
        <w:rPr>
          <w:rFonts w:hint="eastAsia" w:hAnsi="宋体" w:cs="宋体"/>
          <w:color w:val="auto"/>
          <w:sz w:val="24"/>
          <w:szCs w:val="24"/>
          <w:highlight w:val="none"/>
        </w:rPr>
        <w:t>成立时间：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p>
    <w:p>
      <w:pPr>
        <w:spacing w:line="360" w:lineRule="auto"/>
        <w:textAlignment w:val="auto"/>
        <w:rPr>
          <w:rFonts w:hAnsi="宋体" w:cs="宋体"/>
          <w:color w:val="auto"/>
          <w:sz w:val="24"/>
          <w:szCs w:val="24"/>
          <w:highlight w:val="none"/>
        </w:rPr>
      </w:pPr>
      <w:r>
        <w:rPr>
          <w:rFonts w:hint="eastAsia" w:hAnsi="宋体" w:cs="宋体"/>
          <w:color w:val="auto"/>
          <w:sz w:val="24"/>
          <w:szCs w:val="24"/>
          <w:highlight w:val="none"/>
        </w:rPr>
        <w:t>经营期限：</w:t>
      </w:r>
      <w:r>
        <w:rPr>
          <w:rFonts w:hint="eastAsia" w:hAnsi="宋体" w:cs="宋体"/>
          <w:color w:val="auto"/>
          <w:sz w:val="24"/>
          <w:szCs w:val="24"/>
          <w:highlight w:val="none"/>
          <w:u w:val="single"/>
        </w:rPr>
        <w:t xml:space="preserve">                                 </w:t>
      </w:r>
    </w:p>
    <w:p>
      <w:pPr>
        <w:spacing w:line="360" w:lineRule="auto"/>
        <w:textAlignment w:val="auto"/>
        <w:rPr>
          <w:rFonts w:hAnsi="宋体" w:cs="宋体"/>
          <w:color w:val="auto"/>
          <w:sz w:val="24"/>
          <w:szCs w:val="24"/>
          <w:highlight w:val="none"/>
        </w:rPr>
      </w:pPr>
      <w:r>
        <w:rPr>
          <w:rFonts w:hint="eastAsia" w:hAnsi="宋体" w:cs="宋体"/>
          <w:color w:val="auto"/>
          <w:sz w:val="24"/>
          <w:szCs w:val="24"/>
          <w:highlight w:val="none"/>
        </w:rPr>
        <w:t>姓名：</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性别：</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年龄：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职务：</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系</w:t>
      </w:r>
      <w:r>
        <w:rPr>
          <w:rFonts w:hint="eastAsia" w:hAnsi="宋体" w:cs="宋体"/>
          <w:color w:val="auto"/>
          <w:sz w:val="24"/>
          <w:szCs w:val="24"/>
          <w:highlight w:val="none"/>
          <w:u w:val="single"/>
        </w:rPr>
        <w:t xml:space="preserve">        (供应商名称)                </w:t>
      </w:r>
      <w:r>
        <w:rPr>
          <w:rFonts w:hint="eastAsia" w:hAnsi="宋体" w:cs="宋体"/>
          <w:color w:val="auto"/>
          <w:sz w:val="24"/>
          <w:szCs w:val="24"/>
          <w:highlight w:val="none"/>
        </w:rPr>
        <w:t>的法定代表人。</w:t>
      </w:r>
    </w:p>
    <w:p>
      <w:pPr>
        <w:spacing w:line="360" w:lineRule="auto"/>
        <w:textAlignment w:val="auto"/>
        <w:rPr>
          <w:rFonts w:hAnsi="宋体" w:cs="宋体"/>
          <w:color w:val="auto"/>
          <w:sz w:val="24"/>
          <w:szCs w:val="24"/>
          <w:highlight w:val="none"/>
        </w:rPr>
      </w:pPr>
      <w:r>
        <w:rPr>
          <w:rFonts w:hint="eastAsia" w:hAnsi="宋体" w:cs="宋体"/>
          <w:color w:val="auto"/>
          <w:sz w:val="24"/>
          <w:szCs w:val="24"/>
          <w:highlight w:val="none"/>
        </w:rPr>
        <w:t>特此证明。</w:t>
      </w:r>
    </w:p>
    <w:p>
      <w:pPr>
        <w:spacing w:line="360" w:lineRule="auto"/>
        <w:ind w:firstLine="5280" w:firstLineChars="2200"/>
        <w:textAlignment w:val="auto"/>
        <w:rPr>
          <w:rFonts w:hAnsi="宋体" w:cs="宋体"/>
          <w:color w:val="auto"/>
          <w:sz w:val="24"/>
          <w:szCs w:val="24"/>
          <w:highlight w:val="none"/>
        </w:rPr>
      </w:pPr>
    </w:p>
    <w:p>
      <w:pPr>
        <w:autoSpaceDE/>
        <w:autoSpaceDN/>
        <w:adjustRightInd/>
        <w:spacing w:line="500" w:lineRule="exact"/>
        <w:jc w:val="both"/>
        <w:textAlignment w:val="auto"/>
        <w:rPr>
          <w:rFonts w:hAnsi="宋体" w:cs="宋体"/>
          <w:color w:val="auto"/>
          <w:sz w:val="24"/>
          <w:szCs w:val="24"/>
          <w:highlight w:val="none"/>
        </w:rPr>
      </w:pPr>
      <w:r>
        <w:rPr>
          <w:rFonts w:hint="eastAsia" w:hAnsi="宋体" w:cs="宋体"/>
          <w:color w:val="auto"/>
          <w:sz w:val="24"/>
          <w:szCs w:val="24"/>
          <w:highlight w:val="none"/>
        </w:rPr>
        <w:t>法定代表人身份证（正反面）复印件粘贴处：</w:t>
      </w:r>
    </w:p>
    <w:p>
      <w:pPr>
        <w:spacing w:line="360" w:lineRule="auto"/>
        <w:ind w:firstLine="5280" w:firstLineChars="2200"/>
        <w:textAlignment w:val="auto"/>
        <w:rPr>
          <w:rFonts w:hAnsi="宋体" w:cs="宋体"/>
          <w:color w:val="auto"/>
          <w:sz w:val="24"/>
          <w:szCs w:val="24"/>
          <w:highlight w:val="none"/>
        </w:rPr>
      </w:pPr>
    </w:p>
    <w:p>
      <w:pPr>
        <w:spacing w:line="360" w:lineRule="auto"/>
        <w:ind w:firstLine="5280" w:firstLineChars="2200"/>
        <w:textAlignment w:val="auto"/>
        <w:rPr>
          <w:rFonts w:hAnsi="宋体" w:cs="宋体"/>
          <w:color w:val="auto"/>
          <w:sz w:val="24"/>
          <w:szCs w:val="24"/>
          <w:highlight w:val="none"/>
        </w:rPr>
      </w:pPr>
    </w:p>
    <w:p>
      <w:pPr>
        <w:spacing w:line="360" w:lineRule="auto"/>
        <w:ind w:firstLine="5280" w:firstLineChars="2200"/>
        <w:textAlignment w:val="auto"/>
        <w:rPr>
          <w:rFonts w:hAnsi="宋体" w:cs="宋体"/>
          <w:color w:val="auto"/>
          <w:sz w:val="24"/>
          <w:szCs w:val="24"/>
          <w:highlight w:val="none"/>
        </w:rPr>
      </w:pPr>
      <w:r>
        <w:rPr>
          <w:rFonts w:hint="eastAsia" w:hAnsi="宋体" w:cs="宋体"/>
          <w:color w:val="auto"/>
          <w:sz w:val="24"/>
          <w:szCs w:val="24"/>
          <w:highlight w:val="none"/>
        </w:rPr>
        <w:t>供应商： (单位公章)</w:t>
      </w:r>
    </w:p>
    <w:p>
      <w:pPr>
        <w:spacing w:line="360" w:lineRule="auto"/>
        <w:jc w:val="center"/>
        <w:rPr>
          <w:rFonts w:hAnsi="宋体" w:cs="宋体"/>
          <w:color w:val="auto"/>
          <w:sz w:val="24"/>
          <w:szCs w:val="24"/>
          <w:highlight w:val="none"/>
        </w:rPr>
      </w:pPr>
      <w:r>
        <w:rPr>
          <w:rFonts w:hint="eastAsia" w:hAnsi="宋体" w:cs="宋体"/>
          <w:color w:val="auto"/>
          <w:sz w:val="24"/>
          <w:szCs w:val="24"/>
          <w:highlight w:val="none"/>
        </w:rPr>
        <w:t xml:space="preserve">                               日  期：  年  月  日</w:t>
      </w:r>
    </w:p>
    <w:p>
      <w:pPr>
        <w:rPr>
          <w:rFonts w:hAnsi="宋体" w:cs="宋体"/>
          <w:color w:val="auto"/>
          <w:highlight w:val="none"/>
        </w:rPr>
      </w:pPr>
    </w:p>
    <w:p>
      <w:pPr>
        <w:snapToGrid w:val="0"/>
        <w:spacing w:before="50" w:after="50"/>
        <w:jc w:val="center"/>
        <w:outlineLvl w:val="1"/>
        <w:rPr>
          <w:rFonts w:hAnsi="宋体" w:cs="宋体"/>
          <w:b/>
          <w:color w:val="auto"/>
          <w:sz w:val="28"/>
          <w:highlight w:val="none"/>
        </w:rPr>
      </w:pPr>
    </w:p>
    <w:p>
      <w:pPr>
        <w:snapToGrid w:val="0"/>
        <w:spacing w:before="50" w:after="50"/>
        <w:jc w:val="center"/>
        <w:outlineLvl w:val="1"/>
        <w:rPr>
          <w:rFonts w:hAnsi="宋体" w:cs="宋体"/>
          <w:b/>
          <w:color w:val="auto"/>
          <w:sz w:val="28"/>
          <w:highlight w:val="none"/>
        </w:rPr>
      </w:pPr>
      <w:r>
        <w:rPr>
          <w:rFonts w:hint="eastAsia" w:hAnsi="宋体" w:cs="宋体"/>
          <w:b/>
          <w:color w:val="auto"/>
          <w:sz w:val="28"/>
          <w:highlight w:val="none"/>
        </w:rPr>
        <w:br w:type="page"/>
      </w:r>
    </w:p>
    <w:p>
      <w:pPr>
        <w:snapToGrid w:val="0"/>
        <w:spacing w:before="50" w:after="50"/>
        <w:jc w:val="center"/>
        <w:outlineLvl w:val="1"/>
        <w:rPr>
          <w:rFonts w:hAnsi="宋体" w:cs="宋体"/>
          <w:b/>
          <w:color w:val="auto"/>
          <w:sz w:val="28"/>
          <w:highlight w:val="none"/>
        </w:rPr>
      </w:pPr>
    </w:p>
    <w:p>
      <w:pPr>
        <w:snapToGrid w:val="0"/>
        <w:spacing w:before="50" w:after="50"/>
        <w:jc w:val="center"/>
        <w:rPr>
          <w:rFonts w:hAnsi="宋体" w:cs="宋体"/>
          <w:b/>
          <w:color w:val="auto"/>
          <w:sz w:val="28"/>
          <w:highlight w:val="none"/>
        </w:rPr>
      </w:pPr>
      <w:r>
        <w:rPr>
          <w:rFonts w:hint="eastAsia" w:hAnsi="宋体" w:cs="宋体"/>
          <w:b/>
          <w:color w:val="auto"/>
          <w:sz w:val="28"/>
          <w:highlight w:val="none"/>
        </w:rPr>
        <w:t>法定代表人授权委托书</w:t>
      </w:r>
    </w:p>
    <w:p>
      <w:pPr>
        <w:spacing w:line="360" w:lineRule="auto"/>
        <w:rPr>
          <w:rFonts w:hAnsi="宋体" w:cs="宋体"/>
          <w:color w:val="auto"/>
          <w:sz w:val="24"/>
          <w:szCs w:val="24"/>
          <w:highlight w:val="none"/>
        </w:rPr>
      </w:pPr>
    </w:p>
    <w:p>
      <w:pPr>
        <w:spacing w:line="360" w:lineRule="auto"/>
        <w:rPr>
          <w:rFonts w:hAnsi="宋体" w:cs="宋体"/>
          <w:color w:val="auto"/>
          <w:sz w:val="24"/>
          <w:szCs w:val="24"/>
          <w:highlight w:val="none"/>
        </w:rPr>
      </w:pPr>
      <w:r>
        <w:rPr>
          <w:rFonts w:hint="eastAsia" w:hAnsi="宋体" w:cs="宋体"/>
          <w:color w:val="auto"/>
          <w:sz w:val="24"/>
          <w:szCs w:val="24"/>
          <w:highlight w:val="none"/>
        </w:rPr>
        <w:t>_______ （采购人）：</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响应供应商名称）法定代表人（或单位负责人）------------------------授----------------（全权代表姓名）为全权代表，参加贵公司组织的-----------------------采购活动，全权处理采购活动中的一切事宜。</w:t>
      </w:r>
    </w:p>
    <w:p>
      <w:pPr>
        <w:spacing w:line="400" w:lineRule="exact"/>
        <w:rPr>
          <w:rFonts w:hAnsi="宋体" w:cs="宋体"/>
          <w:color w:val="auto"/>
          <w:sz w:val="24"/>
          <w:szCs w:val="24"/>
          <w:highlight w:val="none"/>
        </w:rPr>
      </w:pPr>
    </w:p>
    <w:p>
      <w:pPr>
        <w:autoSpaceDE/>
        <w:autoSpaceDN/>
        <w:adjustRightInd/>
        <w:spacing w:line="500" w:lineRule="exact"/>
        <w:jc w:val="both"/>
        <w:textAlignment w:val="auto"/>
        <w:rPr>
          <w:rFonts w:hAnsi="宋体" w:cs="宋体"/>
          <w:color w:val="auto"/>
          <w:sz w:val="24"/>
          <w:szCs w:val="24"/>
          <w:highlight w:val="none"/>
        </w:rPr>
      </w:pPr>
      <w:r>
        <w:rPr>
          <w:rFonts w:hint="eastAsia" w:hAnsi="宋体" w:cs="宋体"/>
          <w:color w:val="auto"/>
          <w:sz w:val="24"/>
          <w:szCs w:val="24"/>
          <w:highlight w:val="none"/>
        </w:rPr>
        <w:t>附：</w:t>
      </w:r>
    </w:p>
    <w:p>
      <w:pPr>
        <w:autoSpaceDE/>
        <w:autoSpaceDN/>
        <w:adjustRightInd/>
        <w:spacing w:line="500" w:lineRule="exact"/>
        <w:jc w:val="both"/>
        <w:textAlignment w:val="auto"/>
        <w:rPr>
          <w:rFonts w:hAnsi="宋体" w:cs="宋体"/>
          <w:color w:val="auto"/>
          <w:sz w:val="24"/>
          <w:szCs w:val="24"/>
          <w:highlight w:val="none"/>
        </w:rPr>
      </w:pPr>
      <w:r>
        <w:rPr>
          <w:rFonts w:hint="eastAsia" w:hAnsi="宋体" w:cs="宋体"/>
          <w:color w:val="auto"/>
          <w:sz w:val="24"/>
          <w:szCs w:val="24"/>
          <w:highlight w:val="none"/>
        </w:rPr>
        <w:t xml:space="preserve">姓名____________职务_______身份证号码_________________ </w:t>
      </w:r>
    </w:p>
    <w:p>
      <w:pPr>
        <w:autoSpaceDE/>
        <w:autoSpaceDN/>
        <w:adjustRightInd/>
        <w:spacing w:line="500" w:lineRule="exact"/>
        <w:jc w:val="both"/>
        <w:textAlignment w:val="auto"/>
        <w:rPr>
          <w:rFonts w:hAnsi="宋体" w:cs="宋体"/>
          <w:color w:val="auto"/>
          <w:sz w:val="24"/>
          <w:szCs w:val="24"/>
          <w:highlight w:val="none"/>
        </w:rPr>
      </w:pPr>
      <w:r>
        <w:rPr>
          <w:rFonts w:hint="eastAsia" w:hAnsi="宋体" w:cs="宋体"/>
          <w:color w:val="auto"/>
          <w:sz w:val="24"/>
          <w:szCs w:val="24"/>
          <w:highlight w:val="none"/>
        </w:rPr>
        <w:t xml:space="preserve">详细通讯地址________________________邮政编码__________________ </w:t>
      </w:r>
    </w:p>
    <w:p>
      <w:pPr>
        <w:autoSpaceDE/>
        <w:autoSpaceDN/>
        <w:adjustRightInd/>
        <w:spacing w:line="500" w:lineRule="exact"/>
        <w:jc w:val="both"/>
        <w:textAlignment w:val="auto"/>
        <w:rPr>
          <w:rFonts w:hAnsi="宋体" w:cs="宋体"/>
          <w:color w:val="auto"/>
          <w:sz w:val="24"/>
          <w:szCs w:val="24"/>
          <w:highlight w:val="none"/>
        </w:rPr>
      </w:pPr>
      <w:r>
        <w:rPr>
          <w:rFonts w:hint="eastAsia" w:hAnsi="宋体" w:cs="宋体"/>
          <w:color w:val="auto"/>
          <w:sz w:val="24"/>
          <w:szCs w:val="24"/>
          <w:highlight w:val="none"/>
        </w:rPr>
        <w:t xml:space="preserve">电话__________________传真_____________________ </w:t>
      </w:r>
    </w:p>
    <w:p>
      <w:pPr>
        <w:autoSpaceDE/>
        <w:autoSpaceDN/>
        <w:adjustRightInd/>
        <w:spacing w:line="500" w:lineRule="exact"/>
        <w:jc w:val="both"/>
        <w:textAlignment w:val="auto"/>
        <w:rPr>
          <w:rFonts w:hAnsi="宋体" w:cs="宋体"/>
          <w:color w:val="auto"/>
          <w:sz w:val="24"/>
          <w:szCs w:val="24"/>
          <w:highlight w:val="none"/>
        </w:rPr>
      </w:pPr>
      <w:r>
        <w:rPr>
          <w:rFonts w:hint="eastAsia" w:hAnsi="宋体" w:cs="宋体"/>
          <w:color w:val="auto"/>
          <w:sz w:val="24"/>
          <w:szCs w:val="24"/>
          <w:highlight w:val="none"/>
        </w:rPr>
        <w:t>手机__________________电子邮箱_________________</w:t>
      </w:r>
    </w:p>
    <w:p>
      <w:pPr>
        <w:autoSpaceDE/>
        <w:autoSpaceDN/>
        <w:adjustRightInd/>
        <w:spacing w:line="500" w:lineRule="exact"/>
        <w:jc w:val="both"/>
        <w:textAlignment w:val="auto"/>
        <w:rPr>
          <w:rFonts w:hAnsi="宋体" w:cs="宋体"/>
          <w:color w:val="auto"/>
          <w:sz w:val="24"/>
          <w:szCs w:val="24"/>
          <w:highlight w:val="none"/>
        </w:rPr>
      </w:pPr>
    </w:p>
    <w:p>
      <w:pPr>
        <w:autoSpaceDE/>
        <w:autoSpaceDN/>
        <w:adjustRightInd/>
        <w:spacing w:line="500" w:lineRule="exact"/>
        <w:jc w:val="both"/>
        <w:textAlignment w:val="auto"/>
        <w:rPr>
          <w:rFonts w:hAnsi="宋体" w:cs="宋体"/>
          <w:color w:val="auto"/>
          <w:sz w:val="24"/>
          <w:szCs w:val="24"/>
          <w:highlight w:val="none"/>
        </w:rPr>
      </w:pPr>
      <w:r>
        <w:rPr>
          <w:rFonts w:hint="eastAsia" w:hAnsi="宋体" w:cs="宋体"/>
          <w:color w:val="auto"/>
          <w:sz w:val="24"/>
          <w:szCs w:val="24"/>
          <w:highlight w:val="none"/>
        </w:rPr>
        <w:t>法定代表人（或单位负责人）身份证（正反面）复印件粘贴处：</w:t>
      </w:r>
    </w:p>
    <w:p>
      <w:pPr>
        <w:autoSpaceDE/>
        <w:autoSpaceDN/>
        <w:adjustRightInd/>
        <w:spacing w:line="500" w:lineRule="exact"/>
        <w:jc w:val="both"/>
        <w:textAlignment w:val="auto"/>
        <w:rPr>
          <w:rFonts w:hAnsi="宋体" w:cs="宋体"/>
          <w:color w:val="auto"/>
          <w:sz w:val="24"/>
          <w:szCs w:val="24"/>
          <w:highlight w:val="none"/>
        </w:rPr>
      </w:pPr>
    </w:p>
    <w:p>
      <w:pPr>
        <w:autoSpaceDE/>
        <w:autoSpaceDN/>
        <w:adjustRightInd/>
        <w:spacing w:line="500" w:lineRule="exact"/>
        <w:jc w:val="both"/>
        <w:textAlignment w:val="auto"/>
        <w:rPr>
          <w:rFonts w:hAnsi="宋体" w:cs="宋体"/>
          <w:color w:val="auto"/>
          <w:sz w:val="24"/>
          <w:szCs w:val="24"/>
          <w:highlight w:val="none"/>
        </w:rPr>
      </w:pPr>
      <w:r>
        <w:rPr>
          <w:rFonts w:hint="eastAsia" w:hAnsi="宋体" w:cs="宋体"/>
          <w:color w:val="auto"/>
          <w:sz w:val="24"/>
          <w:szCs w:val="24"/>
          <w:highlight w:val="none"/>
        </w:rPr>
        <w:t>授权代表身份证（正反面）复印件粘贴处：</w:t>
      </w:r>
    </w:p>
    <w:p>
      <w:pPr>
        <w:autoSpaceDE/>
        <w:autoSpaceDN/>
        <w:adjustRightInd/>
        <w:spacing w:line="500" w:lineRule="exact"/>
        <w:jc w:val="both"/>
        <w:textAlignment w:val="auto"/>
        <w:rPr>
          <w:rFonts w:hAnsi="宋体" w:cs="宋体"/>
          <w:color w:val="auto"/>
          <w:sz w:val="24"/>
          <w:szCs w:val="24"/>
          <w:highlight w:val="none"/>
        </w:rPr>
      </w:pPr>
    </w:p>
    <w:p>
      <w:pPr>
        <w:autoSpaceDE/>
        <w:autoSpaceDN/>
        <w:adjustRightInd/>
        <w:spacing w:line="500" w:lineRule="exact"/>
        <w:ind w:firstLine="4320" w:firstLineChars="1800"/>
        <w:jc w:val="both"/>
        <w:textAlignment w:val="auto"/>
        <w:rPr>
          <w:rFonts w:hAnsi="宋体" w:cs="宋体"/>
          <w:color w:val="auto"/>
          <w:sz w:val="24"/>
          <w:szCs w:val="24"/>
          <w:highlight w:val="none"/>
        </w:rPr>
      </w:pPr>
      <w:r>
        <w:rPr>
          <w:rFonts w:hint="eastAsia" w:hAnsi="宋体" w:cs="宋体"/>
          <w:color w:val="auto"/>
          <w:sz w:val="24"/>
          <w:szCs w:val="24"/>
          <w:highlight w:val="none"/>
        </w:rPr>
        <w:t>单位名称（公章）：     </w:t>
      </w:r>
    </w:p>
    <w:p>
      <w:pPr>
        <w:autoSpaceDE/>
        <w:autoSpaceDN/>
        <w:adjustRightInd/>
        <w:spacing w:line="500" w:lineRule="exact"/>
        <w:ind w:firstLine="3360" w:firstLineChars="1400"/>
        <w:jc w:val="both"/>
        <w:textAlignment w:val="auto"/>
        <w:rPr>
          <w:rFonts w:hAnsi="宋体" w:cs="宋体"/>
          <w:color w:val="auto"/>
          <w:sz w:val="24"/>
          <w:szCs w:val="24"/>
          <w:highlight w:val="none"/>
        </w:rPr>
      </w:pPr>
      <w:r>
        <w:rPr>
          <w:rFonts w:hint="eastAsia" w:hAnsi="宋体" w:cs="宋体"/>
          <w:color w:val="auto"/>
          <w:sz w:val="24"/>
          <w:szCs w:val="24"/>
          <w:highlight w:val="none"/>
        </w:rPr>
        <w:t>法定代表人（或单位负责人）签字（或盖章）： </w:t>
      </w:r>
    </w:p>
    <w:p>
      <w:pPr>
        <w:autoSpaceDE/>
        <w:autoSpaceDN/>
        <w:adjustRightInd/>
        <w:spacing w:line="500" w:lineRule="exact"/>
        <w:ind w:firstLine="3840" w:firstLineChars="1600"/>
        <w:jc w:val="both"/>
        <w:textAlignment w:val="auto"/>
        <w:rPr>
          <w:rFonts w:hAnsi="宋体" w:cs="宋体"/>
          <w:color w:val="auto"/>
          <w:sz w:val="24"/>
          <w:szCs w:val="24"/>
          <w:highlight w:val="none"/>
        </w:rPr>
      </w:pPr>
      <w:r>
        <w:rPr>
          <w:rFonts w:hint="eastAsia" w:hAnsi="宋体" w:cs="宋体"/>
          <w:color w:val="auto"/>
          <w:sz w:val="24"/>
          <w:szCs w:val="24"/>
          <w:highlight w:val="none"/>
        </w:rPr>
        <w:t>被授权人（全权代表）签字（或盖章）：</w:t>
      </w:r>
    </w:p>
    <w:p>
      <w:pPr>
        <w:autoSpaceDE/>
        <w:autoSpaceDN/>
        <w:adjustRightInd/>
        <w:spacing w:line="500" w:lineRule="exact"/>
        <w:ind w:firstLine="5280" w:firstLineChars="2200"/>
        <w:jc w:val="both"/>
        <w:textAlignment w:val="auto"/>
        <w:rPr>
          <w:rFonts w:hAnsi="宋体" w:cs="宋体"/>
          <w:color w:val="auto"/>
          <w:sz w:val="24"/>
          <w:szCs w:val="24"/>
          <w:highlight w:val="none"/>
        </w:rPr>
      </w:pPr>
      <w:r>
        <w:rPr>
          <w:rFonts w:hint="eastAsia" w:hAnsi="宋体" w:cs="宋体"/>
          <w:color w:val="auto"/>
          <w:sz w:val="24"/>
          <w:szCs w:val="24"/>
          <w:highlight w:val="none"/>
        </w:rPr>
        <w:t>日期：____年____月____日</w:t>
      </w:r>
    </w:p>
    <w:p>
      <w:pPr>
        <w:autoSpaceDE/>
        <w:autoSpaceDN/>
        <w:adjustRightInd/>
        <w:spacing w:line="500" w:lineRule="exact"/>
        <w:ind w:firstLine="5280" w:firstLineChars="2200"/>
        <w:jc w:val="both"/>
        <w:textAlignment w:val="auto"/>
        <w:rPr>
          <w:rFonts w:hAnsi="宋体" w:cs="宋体"/>
          <w:color w:val="auto"/>
          <w:sz w:val="24"/>
          <w:szCs w:val="24"/>
          <w:highlight w:val="none"/>
        </w:rPr>
      </w:pPr>
    </w:p>
    <w:p>
      <w:pPr>
        <w:autoSpaceDE/>
        <w:autoSpaceDN/>
        <w:adjustRightInd/>
        <w:spacing w:line="500" w:lineRule="exact"/>
        <w:ind w:firstLine="5280" w:firstLineChars="2200"/>
        <w:jc w:val="both"/>
        <w:textAlignment w:val="auto"/>
        <w:rPr>
          <w:rFonts w:hAnsi="宋体" w:cs="宋体"/>
          <w:color w:val="auto"/>
          <w:sz w:val="24"/>
          <w:szCs w:val="24"/>
          <w:highlight w:val="none"/>
        </w:rPr>
      </w:pPr>
    </w:p>
    <w:p>
      <w:pPr>
        <w:pStyle w:val="44"/>
        <w:ind w:left="680"/>
        <w:rPr>
          <w:rFonts w:ascii="宋体" w:hAnsi="宋体"/>
          <w:color w:val="auto"/>
          <w:sz w:val="24"/>
          <w:szCs w:val="24"/>
          <w:highlight w:val="none"/>
        </w:rPr>
      </w:pPr>
    </w:p>
    <w:p>
      <w:pPr>
        <w:rPr>
          <w:rFonts w:hAnsi="宋体" w:cs="宋体"/>
          <w:color w:val="auto"/>
          <w:highlight w:val="none"/>
        </w:rPr>
      </w:pPr>
    </w:p>
    <w:p>
      <w:pPr>
        <w:widowControl/>
        <w:autoSpaceDE/>
        <w:autoSpaceDN/>
        <w:adjustRightInd/>
        <w:snapToGrid w:val="0"/>
        <w:jc w:val="center"/>
        <w:textAlignment w:val="auto"/>
        <w:rPr>
          <w:rFonts w:hAnsi="宋体" w:cs="宋体"/>
          <w:b/>
          <w:color w:val="auto"/>
          <w:sz w:val="28"/>
          <w:highlight w:val="none"/>
        </w:rPr>
      </w:pPr>
    </w:p>
    <w:p>
      <w:pPr>
        <w:pStyle w:val="24"/>
        <w:snapToGrid w:val="0"/>
        <w:jc w:val="center"/>
        <w:rPr>
          <w:rFonts w:hAnsi="宋体" w:cs="宋体"/>
          <w:b/>
          <w:color w:val="auto"/>
          <w:sz w:val="28"/>
          <w:szCs w:val="20"/>
          <w:highlight w:val="none"/>
        </w:rPr>
      </w:pPr>
      <w:r>
        <w:rPr>
          <w:rFonts w:hint="eastAsia" w:hAnsi="宋体" w:cs="宋体"/>
          <w:b/>
          <w:color w:val="auto"/>
          <w:sz w:val="28"/>
          <w:szCs w:val="20"/>
          <w:highlight w:val="none"/>
        </w:rPr>
        <w:t>3.响应供应商情况表</w:t>
      </w:r>
      <w:bookmarkEnd w:id="721"/>
      <w:bookmarkEnd w:id="722"/>
      <w:bookmarkEnd w:id="723"/>
    </w:p>
    <w:p>
      <w:pPr>
        <w:pStyle w:val="24"/>
        <w:snapToGrid w:val="0"/>
        <w:spacing w:afterLines="50"/>
        <w:ind w:right="480" w:firstLine="6240" w:firstLineChars="2600"/>
        <w:rPr>
          <w:rFonts w:hAnsi="宋体" w:cs="宋体"/>
          <w:color w:val="auto"/>
          <w:sz w:val="24"/>
          <w:szCs w:val="24"/>
          <w:highlight w:val="none"/>
        </w:rPr>
      </w:pPr>
    </w:p>
    <w:tbl>
      <w:tblPr>
        <w:tblStyle w:val="46"/>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3078"/>
        <w:gridCol w:w="1434"/>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7" w:type="dxa"/>
            <w:tcMar>
              <w:left w:w="142" w:type="dxa"/>
              <w:right w:w="142" w:type="dxa"/>
            </w:tcMar>
            <w:vAlign w:val="center"/>
          </w:tcPr>
          <w:p>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单位名称</w:t>
            </w:r>
          </w:p>
        </w:tc>
        <w:tc>
          <w:tcPr>
            <w:tcW w:w="3078" w:type="dxa"/>
            <w:tcMar>
              <w:left w:w="142" w:type="dxa"/>
              <w:right w:w="142" w:type="dxa"/>
            </w:tcMar>
            <w:vAlign w:val="center"/>
          </w:tcPr>
          <w:p>
            <w:pPr>
              <w:pStyle w:val="24"/>
              <w:snapToGrid w:val="0"/>
              <w:jc w:val="both"/>
              <w:rPr>
                <w:rFonts w:hAnsi="宋体" w:cs="宋体"/>
                <w:color w:val="auto"/>
                <w:sz w:val="24"/>
                <w:szCs w:val="24"/>
                <w:highlight w:val="none"/>
              </w:rPr>
            </w:pPr>
          </w:p>
        </w:tc>
        <w:tc>
          <w:tcPr>
            <w:tcW w:w="1434" w:type="dxa"/>
            <w:tcMar>
              <w:left w:w="142" w:type="dxa"/>
              <w:right w:w="142" w:type="dxa"/>
            </w:tcMar>
            <w:vAlign w:val="center"/>
          </w:tcPr>
          <w:p>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电    话</w:t>
            </w:r>
          </w:p>
        </w:tc>
        <w:tc>
          <w:tcPr>
            <w:tcW w:w="2695" w:type="dxa"/>
            <w:tcMar>
              <w:left w:w="142" w:type="dxa"/>
              <w:right w:w="142" w:type="dxa"/>
            </w:tcMar>
            <w:vAlign w:val="center"/>
          </w:tcPr>
          <w:p>
            <w:pPr>
              <w:pStyle w:val="24"/>
              <w:snapToGrid w:val="0"/>
              <w:jc w:val="both"/>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7" w:type="dxa"/>
            <w:tcMar>
              <w:left w:w="142" w:type="dxa"/>
              <w:right w:w="142" w:type="dxa"/>
            </w:tcMar>
            <w:vAlign w:val="center"/>
          </w:tcPr>
          <w:p>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地址</w:t>
            </w:r>
          </w:p>
        </w:tc>
        <w:tc>
          <w:tcPr>
            <w:tcW w:w="3078" w:type="dxa"/>
            <w:tcMar>
              <w:left w:w="142" w:type="dxa"/>
              <w:right w:w="142" w:type="dxa"/>
            </w:tcMar>
            <w:vAlign w:val="center"/>
          </w:tcPr>
          <w:p>
            <w:pPr>
              <w:pStyle w:val="24"/>
              <w:snapToGrid w:val="0"/>
              <w:jc w:val="both"/>
              <w:rPr>
                <w:rFonts w:hAnsi="宋体" w:cs="宋体"/>
                <w:color w:val="auto"/>
                <w:sz w:val="24"/>
                <w:szCs w:val="24"/>
                <w:highlight w:val="none"/>
              </w:rPr>
            </w:pPr>
          </w:p>
        </w:tc>
        <w:tc>
          <w:tcPr>
            <w:tcW w:w="1434" w:type="dxa"/>
            <w:tcMar>
              <w:left w:w="142" w:type="dxa"/>
              <w:right w:w="142" w:type="dxa"/>
            </w:tcMar>
            <w:vAlign w:val="center"/>
          </w:tcPr>
          <w:p>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传    真</w:t>
            </w:r>
          </w:p>
        </w:tc>
        <w:tc>
          <w:tcPr>
            <w:tcW w:w="2695" w:type="dxa"/>
            <w:tcMar>
              <w:left w:w="142" w:type="dxa"/>
              <w:right w:w="142" w:type="dxa"/>
            </w:tcMar>
            <w:vAlign w:val="center"/>
          </w:tcPr>
          <w:p>
            <w:pPr>
              <w:pStyle w:val="24"/>
              <w:snapToGrid w:val="0"/>
              <w:jc w:val="both"/>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7" w:type="dxa"/>
            <w:tcMar>
              <w:left w:w="142" w:type="dxa"/>
              <w:right w:w="142" w:type="dxa"/>
            </w:tcMar>
            <w:vAlign w:val="center"/>
          </w:tcPr>
          <w:p>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主管部门</w:t>
            </w:r>
          </w:p>
        </w:tc>
        <w:tc>
          <w:tcPr>
            <w:tcW w:w="3078" w:type="dxa"/>
            <w:tcMar>
              <w:left w:w="142" w:type="dxa"/>
              <w:right w:w="142" w:type="dxa"/>
            </w:tcMar>
            <w:vAlign w:val="center"/>
          </w:tcPr>
          <w:p>
            <w:pPr>
              <w:pStyle w:val="24"/>
              <w:snapToGrid w:val="0"/>
              <w:jc w:val="both"/>
              <w:rPr>
                <w:rFonts w:hAnsi="宋体" w:cs="宋体"/>
                <w:color w:val="auto"/>
                <w:sz w:val="24"/>
                <w:szCs w:val="24"/>
                <w:highlight w:val="none"/>
              </w:rPr>
            </w:pPr>
          </w:p>
        </w:tc>
        <w:tc>
          <w:tcPr>
            <w:tcW w:w="1434" w:type="dxa"/>
            <w:tcMar>
              <w:left w:w="142" w:type="dxa"/>
              <w:right w:w="142" w:type="dxa"/>
            </w:tcMar>
            <w:vAlign w:val="center"/>
          </w:tcPr>
          <w:p>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企业性质</w:t>
            </w:r>
          </w:p>
        </w:tc>
        <w:tc>
          <w:tcPr>
            <w:tcW w:w="2695" w:type="dxa"/>
            <w:tcMar>
              <w:left w:w="142" w:type="dxa"/>
              <w:right w:w="142" w:type="dxa"/>
            </w:tcMar>
            <w:vAlign w:val="center"/>
          </w:tcPr>
          <w:p>
            <w:pPr>
              <w:pStyle w:val="24"/>
              <w:snapToGrid w:val="0"/>
              <w:jc w:val="both"/>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7" w:type="dxa"/>
            <w:tcMar>
              <w:left w:w="142" w:type="dxa"/>
              <w:right w:w="142" w:type="dxa"/>
            </w:tcMar>
            <w:vAlign w:val="center"/>
          </w:tcPr>
          <w:p>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法定代表人（或单位负责人）</w:t>
            </w:r>
          </w:p>
        </w:tc>
        <w:tc>
          <w:tcPr>
            <w:tcW w:w="3078" w:type="dxa"/>
            <w:tcMar>
              <w:left w:w="142" w:type="dxa"/>
              <w:right w:w="142" w:type="dxa"/>
            </w:tcMar>
            <w:vAlign w:val="center"/>
          </w:tcPr>
          <w:p>
            <w:pPr>
              <w:pStyle w:val="24"/>
              <w:snapToGrid w:val="0"/>
              <w:jc w:val="both"/>
              <w:rPr>
                <w:rFonts w:hAnsi="宋体" w:cs="宋体"/>
                <w:color w:val="auto"/>
                <w:sz w:val="24"/>
                <w:szCs w:val="24"/>
                <w:highlight w:val="none"/>
              </w:rPr>
            </w:pPr>
          </w:p>
        </w:tc>
        <w:tc>
          <w:tcPr>
            <w:tcW w:w="1434" w:type="dxa"/>
            <w:tcMar>
              <w:left w:w="142" w:type="dxa"/>
              <w:right w:w="142" w:type="dxa"/>
            </w:tcMar>
            <w:vAlign w:val="center"/>
          </w:tcPr>
          <w:p>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注册资金</w:t>
            </w:r>
          </w:p>
        </w:tc>
        <w:tc>
          <w:tcPr>
            <w:tcW w:w="2695" w:type="dxa"/>
            <w:tcMar>
              <w:left w:w="142" w:type="dxa"/>
              <w:right w:w="142" w:type="dxa"/>
            </w:tcMar>
            <w:vAlign w:val="center"/>
          </w:tcPr>
          <w:p>
            <w:pPr>
              <w:pStyle w:val="24"/>
              <w:snapToGrid w:val="0"/>
              <w:jc w:val="both"/>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7" w:type="dxa"/>
            <w:tcMar>
              <w:left w:w="142" w:type="dxa"/>
              <w:right w:w="142" w:type="dxa"/>
            </w:tcMar>
            <w:vAlign w:val="center"/>
          </w:tcPr>
          <w:p>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授权代表</w:t>
            </w:r>
          </w:p>
        </w:tc>
        <w:tc>
          <w:tcPr>
            <w:tcW w:w="3078" w:type="dxa"/>
            <w:tcMar>
              <w:left w:w="142" w:type="dxa"/>
              <w:right w:w="142" w:type="dxa"/>
            </w:tcMar>
            <w:vAlign w:val="center"/>
          </w:tcPr>
          <w:p>
            <w:pPr>
              <w:pStyle w:val="24"/>
              <w:snapToGrid w:val="0"/>
              <w:jc w:val="both"/>
              <w:rPr>
                <w:rFonts w:hAnsi="宋体" w:cs="宋体"/>
                <w:color w:val="auto"/>
                <w:sz w:val="24"/>
                <w:szCs w:val="24"/>
                <w:highlight w:val="none"/>
              </w:rPr>
            </w:pPr>
          </w:p>
        </w:tc>
        <w:tc>
          <w:tcPr>
            <w:tcW w:w="1434" w:type="dxa"/>
            <w:tcMar>
              <w:left w:w="142" w:type="dxa"/>
              <w:right w:w="142" w:type="dxa"/>
            </w:tcMar>
            <w:vAlign w:val="center"/>
          </w:tcPr>
          <w:p>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职    务</w:t>
            </w:r>
          </w:p>
        </w:tc>
        <w:tc>
          <w:tcPr>
            <w:tcW w:w="2695" w:type="dxa"/>
            <w:tcMar>
              <w:left w:w="142" w:type="dxa"/>
              <w:right w:w="142" w:type="dxa"/>
            </w:tcMar>
            <w:vAlign w:val="center"/>
          </w:tcPr>
          <w:p>
            <w:pPr>
              <w:pStyle w:val="24"/>
              <w:snapToGrid w:val="0"/>
              <w:jc w:val="both"/>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5" w:hRule="atLeast"/>
          <w:jc w:val="center"/>
        </w:trPr>
        <w:tc>
          <w:tcPr>
            <w:tcW w:w="2017" w:type="dxa"/>
            <w:tcMar>
              <w:left w:w="142" w:type="dxa"/>
              <w:right w:w="142" w:type="dxa"/>
            </w:tcMar>
            <w:vAlign w:val="center"/>
          </w:tcPr>
          <w:p>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单</w:t>
            </w:r>
          </w:p>
          <w:p>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位</w:t>
            </w:r>
          </w:p>
          <w:p>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概</w:t>
            </w:r>
          </w:p>
          <w:p>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况</w:t>
            </w:r>
          </w:p>
        </w:tc>
        <w:tc>
          <w:tcPr>
            <w:tcW w:w="7207" w:type="dxa"/>
            <w:gridSpan w:val="3"/>
            <w:tcMar>
              <w:left w:w="142" w:type="dxa"/>
              <w:right w:w="142" w:type="dxa"/>
            </w:tcMar>
            <w:vAlign w:val="center"/>
          </w:tcPr>
          <w:p>
            <w:pPr>
              <w:pStyle w:val="24"/>
              <w:snapToGrid w:val="0"/>
              <w:jc w:val="both"/>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2" w:hRule="atLeast"/>
          <w:jc w:val="center"/>
        </w:trPr>
        <w:tc>
          <w:tcPr>
            <w:tcW w:w="2017" w:type="dxa"/>
            <w:tcMar>
              <w:left w:w="142" w:type="dxa"/>
              <w:right w:w="142" w:type="dxa"/>
            </w:tcMar>
            <w:vAlign w:val="center"/>
          </w:tcPr>
          <w:p>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优</w:t>
            </w:r>
          </w:p>
          <w:p>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势</w:t>
            </w:r>
          </w:p>
          <w:p>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及</w:t>
            </w:r>
          </w:p>
          <w:p>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特</w:t>
            </w:r>
          </w:p>
          <w:p>
            <w:pPr>
              <w:pStyle w:val="24"/>
              <w:snapToGrid w:val="0"/>
              <w:jc w:val="center"/>
              <w:rPr>
                <w:rFonts w:hAnsi="宋体" w:cs="宋体"/>
                <w:color w:val="auto"/>
                <w:sz w:val="24"/>
                <w:szCs w:val="24"/>
                <w:highlight w:val="none"/>
              </w:rPr>
            </w:pPr>
            <w:r>
              <w:rPr>
                <w:rFonts w:hint="eastAsia" w:hAnsi="宋体" w:cs="宋体"/>
                <w:color w:val="auto"/>
                <w:sz w:val="24"/>
                <w:szCs w:val="24"/>
                <w:highlight w:val="none"/>
              </w:rPr>
              <w:t>长</w:t>
            </w:r>
          </w:p>
        </w:tc>
        <w:tc>
          <w:tcPr>
            <w:tcW w:w="7207" w:type="dxa"/>
            <w:gridSpan w:val="3"/>
            <w:tcMar>
              <w:left w:w="142" w:type="dxa"/>
              <w:right w:w="142" w:type="dxa"/>
            </w:tcMar>
            <w:vAlign w:val="center"/>
          </w:tcPr>
          <w:p>
            <w:pPr>
              <w:pStyle w:val="24"/>
              <w:snapToGrid w:val="0"/>
              <w:jc w:val="both"/>
              <w:rPr>
                <w:rFonts w:hAnsi="宋体" w:cs="宋体"/>
                <w:color w:val="auto"/>
                <w:sz w:val="24"/>
                <w:szCs w:val="24"/>
                <w:highlight w:val="none"/>
              </w:rPr>
            </w:pPr>
          </w:p>
        </w:tc>
      </w:tr>
    </w:tbl>
    <w:p>
      <w:pPr>
        <w:pStyle w:val="24"/>
        <w:snapToGrid w:val="0"/>
        <w:ind w:firstLine="360" w:firstLineChars="150"/>
        <w:rPr>
          <w:rFonts w:hAnsi="宋体" w:cs="宋体"/>
          <w:color w:val="auto"/>
          <w:sz w:val="24"/>
          <w:szCs w:val="24"/>
          <w:highlight w:val="none"/>
        </w:rPr>
      </w:pPr>
      <w:r>
        <w:rPr>
          <w:rFonts w:hint="eastAsia" w:hAnsi="宋体" w:cs="宋体"/>
          <w:color w:val="auto"/>
          <w:sz w:val="24"/>
          <w:szCs w:val="24"/>
          <w:highlight w:val="none"/>
        </w:rPr>
        <w:t>注：此表在不改变表式的情况下，可自行制作</w:t>
      </w:r>
    </w:p>
    <w:p>
      <w:pPr>
        <w:autoSpaceDE/>
        <w:autoSpaceDN/>
        <w:adjustRightInd/>
        <w:spacing w:line="500" w:lineRule="exact"/>
        <w:ind w:firstLine="5280" w:firstLineChars="2200"/>
        <w:jc w:val="both"/>
        <w:textAlignment w:val="auto"/>
        <w:rPr>
          <w:rFonts w:hAnsi="宋体" w:cs="宋体"/>
          <w:color w:val="auto"/>
          <w:sz w:val="24"/>
          <w:szCs w:val="24"/>
          <w:highlight w:val="none"/>
        </w:rPr>
      </w:pPr>
    </w:p>
    <w:p>
      <w:pPr>
        <w:widowControl/>
        <w:autoSpaceDE/>
        <w:autoSpaceDN/>
        <w:adjustRightInd/>
        <w:textAlignment w:val="auto"/>
        <w:rPr>
          <w:rFonts w:hAnsi="宋体" w:cs="宋体"/>
          <w:b/>
          <w:bCs/>
          <w:color w:val="auto"/>
          <w:kern w:val="2"/>
          <w:sz w:val="21"/>
          <w:szCs w:val="21"/>
          <w:highlight w:val="none"/>
        </w:rPr>
      </w:pPr>
      <w:r>
        <w:rPr>
          <w:rFonts w:hint="eastAsia" w:hAnsi="宋体" w:cs="宋体"/>
          <w:b/>
          <w:bCs/>
          <w:color w:val="auto"/>
          <w:kern w:val="2"/>
          <w:sz w:val="21"/>
          <w:szCs w:val="21"/>
          <w:highlight w:val="none"/>
        </w:rPr>
        <w:br w:type="page"/>
      </w:r>
    </w:p>
    <w:p>
      <w:pPr>
        <w:widowControl/>
        <w:autoSpaceDE/>
        <w:autoSpaceDN/>
        <w:adjustRightInd/>
        <w:textAlignment w:val="auto"/>
        <w:rPr>
          <w:rFonts w:hAnsi="宋体" w:cs="宋体"/>
          <w:b/>
          <w:bCs/>
          <w:color w:val="auto"/>
          <w:kern w:val="2"/>
          <w:sz w:val="21"/>
          <w:szCs w:val="21"/>
          <w:highlight w:val="none"/>
        </w:rPr>
      </w:pPr>
    </w:p>
    <w:p>
      <w:pPr>
        <w:pStyle w:val="44"/>
        <w:ind w:left="17" w:leftChars="0" w:hanging="17" w:hangingChars="7"/>
        <w:jc w:val="center"/>
        <w:rPr>
          <w:rFonts w:ascii="宋体" w:hAnsi="宋体"/>
          <w:b/>
          <w:color w:val="auto"/>
          <w:sz w:val="24"/>
          <w:highlight w:val="none"/>
        </w:rPr>
      </w:pPr>
      <w:bookmarkStart w:id="724" w:name="_Toc184785940"/>
      <w:bookmarkStart w:id="725" w:name="_Toc237176518"/>
      <w:bookmarkStart w:id="726" w:name="_Toc499294831"/>
      <w:bookmarkStart w:id="727" w:name="_Toc217289142"/>
      <w:bookmarkStart w:id="728" w:name="_Toc237413925"/>
      <w:bookmarkStart w:id="729" w:name="_Toc295737640"/>
      <w:bookmarkStart w:id="730" w:name="_Toc265065994"/>
      <w:bookmarkStart w:id="731" w:name="_Toc237340119"/>
      <w:bookmarkStart w:id="732" w:name="_Toc256977550"/>
      <w:bookmarkStart w:id="733" w:name="_Toc354841325"/>
      <w:bookmarkStart w:id="734" w:name="_Toc296075062"/>
      <w:bookmarkStart w:id="735" w:name="_Toc295910888"/>
      <w:bookmarkStart w:id="736" w:name="_Toc237189792"/>
      <w:bookmarkStart w:id="737" w:name="_Toc264211082"/>
      <w:bookmarkStart w:id="738" w:name="_Toc237414020"/>
      <w:bookmarkStart w:id="739" w:name="_Toc237182511"/>
      <w:bookmarkStart w:id="740" w:name="_Toc296074351"/>
      <w:bookmarkStart w:id="741" w:name="_Toc237193463"/>
      <w:r>
        <w:rPr>
          <w:rFonts w:hint="eastAsia" w:ascii="宋体" w:hAnsi="宋体"/>
          <w:b/>
          <w:color w:val="auto"/>
          <w:sz w:val="24"/>
          <w:highlight w:val="none"/>
        </w:rPr>
        <w:t>4.</w:t>
      </w:r>
      <w:bookmarkEnd w:id="724"/>
      <w:bookmarkEnd w:id="725"/>
      <w:bookmarkEnd w:id="726"/>
      <w:bookmarkEnd w:id="727"/>
      <w:r>
        <w:rPr>
          <w:rFonts w:hint="eastAsia" w:ascii="宋体" w:hAnsi="宋体"/>
          <w:b/>
          <w:color w:val="auto"/>
          <w:sz w:val="24"/>
          <w:highlight w:val="none"/>
        </w:rPr>
        <w:t>服务</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r>
        <w:rPr>
          <w:rFonts w:hint="eastAsia" w:ascii="宋体" w:hAnsi="宋体"/>
          <w:b/>
          <w:color w:val="auto"/>
          <w:sz w:val="24"/>
          <w:highlight w:val="none"/>
        </w:rPr>
        <w:t>条款对比表</w:t>
      </w:r>
    </w:p>
    <w:tbl>
      <w:tblPr>
        <w:tblStyle w:val="46"/>
        <w:tblpPr w:leftFromText="180" w:rightFromText="180" w:vertAnchor="text" w:horzAnchor="page" w:tblpX="1430" w:tblpY="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2906"/>
        <w:gridCol w:w="3128"/>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92" w:type="dxa"/>
            <w:vAlign w:val="center"/>
          </w:tcPr>
          <w:p>
            <w:pPr>
              <w:spacing w:line="300" w:lineRule="auto"/>
              <w:jc w:val="center"/>
              <w:rPr>
                <w:rFonts w:hAnsi="宋体" w:cs="宋体"/>
                <w:color w:val="auto"/>
                <w:sz w:val="21"/>
                <w:szCs w:val="21"/>
                <w:highlight w:val="none"/>
              </w:rPr>
            </w:pPr>
            <w:r>
              <w:rPr>
                <w:rFonts w:hint="eastAsia" w:hAnsi="宋体" w:cs="宋体"/>
                <w:color w:val="auto"/>
                <w:sz w:val="21"/>
                <w:szCs w:val="21"/>
                <w:highlight w:val="none"/>
              </w:rPr>
              <w:t>序号</w:t>
            </w:r>
          </w:p>
        </w:tc>
        <w:tc>
          <w:tcPr>
            <w:tcW w:w="2906" w:type="dxa"/>
            <w:vAlign w:val="center"/>
          </w:tcPr>
          <w:p>
            <w:pPr>
              <w:spacing w:line="300" w:lineRule="auto"/>
              <w:jc w:val="center"/>
              <w:rPr>
                <w:rFonts w:hAnsi="宋体" w:cs="宋体"/>
                <w:color w:val="auto"/>
                <w:sz w:val="21"/>
                <w:szCs w:val="21"/>
                <w:highlight w:val="none"/>
              </w:rPr>
            </w:pPr>
            <w:r>
              <w:rPr>
                <w:rFonts w:hint="eastAsia" w:hAnsi="宋体" w:cs="宋体"/>
                <w:color w:val="auto"/>
                <w:sz w:val="21"/>
                <w:szCs w:val="21"/>
                <w:highlight w:val="none"/>
              </w:rPr>
              <w:t>磋商文件要求的服务内容</w:t>
            </w:r>
          </w:p>
        </w:tc>
        <w:tc>
          <w:tcPr>
            <w:tcW w:w="3128" w:type="dxa"/>
            <w:vAlign w:val="center"/>
          </w:tcPr>
          <w:p>
            <w:pPr>
              <w:spacing w:line="300" w:lineRule="auto"/>
              <w:jc w:val="center"/>
              <w:rPr>
                <w:rFonts w:hAnsi="宋体" w:cs="宋体"/>
                <w:color w:val="auto"/>
                <w:sz w:val="21"/>
                <w:szCs w:val="21"/>
                <w:highlight w:val="none"/>
              </w:rPr>
            </w:pPr>
            <w:r>
              <w:rPr>
                <w:rFonts w:hint="eastAsia" w:hAnsi="宋体" w:cs="宋体"/>
                <w:color w:val="auto"/>
                <w:sz w:val="21"/>
                <w:szCs w:val="21"/>
                <w:highlight w:val="none"/>
              </w:rPr>
              <w:t>响应的服务内容</w:t>
            </w:r>
          </w:p>
        </w:tc>
        <w:tc>
          <w:tcPr>
            <w:tcW w:w="2036" w:type="dxa"/>
            <w:vAlign w:val="center"/>
          </w:tcPr>
          <w:p>
            <w:pPr>
              <w:spacing w:line="300" w:lineRule="auto"/>
              <w:jc w:val="center"/>
              <w:rPr>
                <w:rFonts w:hAnsi="宋体" w:cs="宋体"/>
                <w:color w:val="auto"/>
                <w:sz w:val="21"/>
                <w:szCs w:val="21"/>
                <w:highlight w:val="none"/>
              </w:rPr>
            </w:pPr>
            <w:r>
              <w:rPr>
                <w:rFonts w:hint="eastAsia" w:hAnsi="宋体" w:cs="宋体"/>
                <w:color w:val="auto"/>
                <w:sz w:val="21"/>
                <w:szCs w:val="21"/>
                <w:highlight w:val="none"/>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300" w:lineRule="auto"/>
              <w:jc w:val="center"/>
              <w:rPr>
                <w:rFonts w:hAnsi="宋体" w:cs="宋体"/>
                <w:color w:val="auto"/>
                <w:sz w:val="21"/>
                <w:szCs w:val="21"/>
                <w:highlight w:val="none"/>
              </w:rPr>
            </w:pPr>
          </w:p>
        </w:tc>
        <w:tc>
          <w:tcPr>
            <w:tcW w:w="2906" w:type="dxa"/>
            <w:vAlign w:val="center"/>
          </w:tcPr>
          <w:p>
            <w:pPr>
              <w:spacing w:line="300" w:lineRule="auto"/>
              <w:jc w:val="center"/>
              <w:rPr>
                <w:rFonts w:hAnsi="宋体" w:cs="宋体"/>
                <w:color w:val="auto"/>
                <w:sz w:val="21"/>
                <w:szCs w:val="21"/>
                <w:highlight w:val="none"/>
              </w:rPr>
            </w:pPr>
          </w:p>
        </w:tc>
        <w:tc>
          <w:tcPr>
            <w:tcW w:w="3128" w:type="dxa"/>
            <w:vAlign w:val="center"/>
          </w:tcPr>
          <w:p>
            <w:pPr>
              <w:spacing w:line="300" w:lineRule="auto"/>
              <w:jc w:val="center"/>
              <w:rPr>
                <w:rFonts w:hAnsi="宋体" w:cs="宋体"/>
                <w:color w:val="auto"/>
                <w:sz w:val="21"/>
                <w:szCs w:val="21"/>
                <w:highlight w:val="none"/>
              </w:rPr>
            </w:pPr>
          </w:p>
        </w:tc>
        <w:tc>
          <w:tcPr>
            <w:tcW w:w="2036" w:type="dxa"/>
            <w:vAlign w:val="center"/>
          </w:tcPr>
          <w:p>
            <w:pPr>
              <w:spacing w:line="300" w:lineRule="auto"/>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300" w:lineRule="auto"/>
              <w:jc w:val="center"/>
              <w:rPr>
                <w:rFonts w:hAnsi="宋体" w:cs="宋体"/>
                <w:color w:val="auto"/>
                <w:sz w:val="21"/>
                <w:szCs w:val="21"/>
                <w:highlight w:val="none"/>
              </w:rPr>
            </w:pPr>
          </w:p>
        </w:tc>
        <w:tc>
          <w:tcPr>
            <w:tcW w:w="2906" w:type="dxa"/>
            <w:vAlign w:val="center"/>
          </w:tcPr>
          <w:p>
            <w:pPr>
              <w:spacing w:line="300" w:lineRule="auto"/>
              <w:jc w:val="center"/>
              <w:rPr>
                <w:rFonts w:hAnsi="宋体" w:cs="宋体"/>
                <w:color w:val="auto"/>
                <w:sz w:val="21"/>
                <w:szCs w:val="21"/>
                <w:highlight w:val="none"/>
              </w:rPr>
            </w:pPr>
          </w:p>
        </w:tc>
        <w:tc>
          <w:tcPr>
            <w:tcW w:w="3128" w:type="dxa"/>
            <w:vAlign w:val="center"/>
          </w:tcPr>
          <w:p>
            <w:pPr>
              <w:spacing w:line="300" w:lineRule="auto"/>
              <w:jc w:val="center"/>
              <w:rPr>
                <w:rFonts w:hAnsi="宋体" w:cs="宋体"/>
                <w:color w:val="auto"/>
                <w:sz w:val="21"/>
                <w:szCs w:val="21"/>
                <w:highlight w:val="none"/>
              </w:rPr>
            </w:pPr>
          </w:p>
        </w:tc>
        <w:tc>
          <w:tcPr>
            <w:tcW w:w="2036" w:type="dxa"/>
            <w:vAlign w:val="center"/>
          </w:tcPr>
          <w:p>
            <w:pPr>
              <w:spacing w:line="300" w:lineRule="auto"/>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300" w:lineRule="auto"/>
              <w:jc w:val="center"/>
              <w:rPr>
                <w:rFonts w:hAnsi="宋体" w:cs="宋体"/>
                <w:color w:val="auto"/>
                <w:sz w:val="21"/>
                <w:szCs w:val="21"/>
                <w:highlight w:val="none"/>
              </w:rPr>
            </w:pPr>
          </w:p>
        </w:tc>
        <w:tc>
          <w:tcPr>
            <w:tcW w:w="2906" w:type="dxa"/>
            <w:vAlign w:val="center"/>
          </w:tcPr>
          <w:p>
            <w:pPr>
              <w:spacing w:line="300" w:lineRule="auto"/>
              <w:jc w:val="center"/>
              <w:rPr>
                <w:rFonts w:hAnsi="宋体" w:cs="宋体"/>
                <w:color w:val="auto"/>
                <w:sz w:val="21"/>
                <w:szCs w:val="21"/>
                <w:highlight w:val="none"/>
              </w:rPr>
            </w:pPr>
          </w:p>
        </w:tc>
        <w:tc>
          <w:tcPr>
            <w:tcW w:w="3128" w:type="dxa"/>
            <w:vAlign w:val="center"/>
          </w:tcPr>
          <w:p>
            <w:pPr>
              <w:spacing w:line="300" w:lineRule="auto"/>
              <w:jc w:val="center"/>
              <w:rPr>
                <w:rFonts w:hAnsi="宋体" w:cs="宋体"/>
                <w:color w:val="auto"/>
                <w:sz w:val="21"/>
                <w:szCs w:val="21"/>
                <w:highlight w:val="none"/>
              </w:rPr>
            </w:pPr>
          </w:p>
        </w:tc>
        <w:tc>
          <w:tcPr>
            <w:tcW w:w="2036" w:type="dxa"/>
            <w:vAlign w:val="center"/>
          </w:tcPr>
          <w:p>
            <w:pPr>
              <w:spacing w:line="300" w:lineRule="auto"/>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300" w:lineRule="auto"/>
              <w:jc w:val="center"/>
              <w:rPr>
                <w:rFonts w:hAnsi="宋体" w:cs="宋体"/>
                <w:color w:val="auto"/>
                <w:sz w:val="21"/>
                <w:szCs w:val="21"/>
                <w:highlight w:val="none"/>
              </w:rPr>
            </w:pPr>
          </w:p>
        </w:tc>
        <w:tc>
          <w:tcPr>
            <w:tcW w:w="2906" w:type="dxa"/>
            <w:vAlign w:val="center"/>
          </w:tcPr>
          <w:p>
            <w:pPr>
              <w:spacing w:line="300" w:lineRule="auto"/>
              <w:jc w:val="center"/>
              <w:rPr>
                <w:rFonts w:hAnsi="宋体" w:cs="宋体"/>
                <w:color w:val="auto"/>
                <w:sz w:val="21"/>
                <w:szCs w:val="21"/>
                <w:highlight w:val="none"/>
              </w:rPr>
            </w:pPr>
          </w:p>
        </w:tc>
        <w:tc>
          <w:tcPr>
            <w:tcW w:w="3128" w:type="dxa"/>
            <w:vAlign w:val="center"/>
          </w:tcPr>
          <w:p>
            <w:pPr>
              <w:spacing w:line="300" w:lineRule="auto"/>
              <w:jc w:val="center"/>
              <w:rPr>
                <w:rFonts w:hAnsi="宋体" w:cs="宋体"/>
                <w:color w:val="auto"/>
                <w:sz w:val="21"/>
                <w:szCs w:val="21"/>
                <w:highlight w:val="none"/>
              </w:rPr>
            </w:pPr>
          </w:p>
        </w:tc>
        <w:tc>
          <w:tcPr>
            <w:tcW w:w="2036" w:type="dxa"/>
            <w:vAlign w:val="center"/>
          </w:tcPr>
          <w:p>
            <w:pPr>
              <w:spacing w:line="300" w:lineRule="auto"/>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300" w:lineRule="auto"/>
              <w:jc w:val="center"/>
              <w:rPr>
                <w:rFonts w:hAnsi="宋体" w:cs="宋体"/>
                <w:color w:val="auto"/>
                <w:sz w:val="21"/>
                <w:szCs w:val="21"/>
                <w:highlight w:val="none"/>
              </w:rPr>
            </w:pPr>
          </w:p>
        </w:tc>
        <w:tc>
          <w:tcPr>
            <w:tcW w:w="2906" w:type="dxa"/>
            <w:vAlign w:val="center"/>
          </w:tcPr>
          <w:p>
            <w:pPr>
              <w:spacing w:line="300" w:lineRule="auto"/>
              <w:jc w:val="center"/>
              <w:rPr>
                <w:rFonts w:hAnsi="宋体" w:cs="宋体"/>
                <w:color w:val="auto"/>
                <w:sz w:val="21"/>
                <w:szCs w:val="21"/>
                <w:highlight w:val="none"/>
              </w:rPr>
            </w:pPr>
          </w:p>
        </w:tc>
        <w:tc>
          <w:tcPr>
            <w:tcW w:w="3128" w:type="dxa"/>
            <w:vAlign w:val="center"/>
          </w:tcPr>
          <w:p>
            <w:pPr>
              <w:spacing w:line="300" w:lineRule="auto"/>
              <w:jc w:val="center"/>
              <w:rPr>
                <w:rFonts w:hAnsi="宋体" w:cs="宋体"/>
                <w:color w:val="auto"/>
                <w:sz w:val="21"/>
                <w:szCs w:val="21"/>
                <w:highlight w:val="none"/>
              </w:rPr>
            </w:pPr>
          </w:p>
        </w:tc>
        <w:tc>
          <w:tcPr>
            <w:tcW w:w="2036" w:type="dxa"/>
            <w:vAlign w:val="center"/>
          </w:tcPr>
          <w:p>
            <w:pPr>
              <w:spacing w:line="300" w:lineRule="auto"/>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300" w:lineRule="auto"/>
              <w:jc w:val="center"/>
              <w:rPr>
                <w:rFonts w:hAnsi="宋体" w:cs="宋体"/>
                <w:color w:val="auto"/>
                <w:sz w:val="21"/>
                <w:szCs w:val="21"/>
                <w:highlight w:val="none"/>
              </w:rPr>
            </w:pPr>
          </w:p>
        </w:tc>
        <w:tc>
          <w:tcPr>
            <w:tcW w:w="2906" w:type="dxa"/>
            <w:vAlign w:val="center"/>
          </w:tcPr>
          <w:p>
            <w:pPr>
              <w:spacing w:line="300" w:lineRule="auto"/>
              <w:jc w:val="center"/>
              <w:rPr>
                <w:rFonts w:hAnsi="宋体" w:cs="宋体"/>
                <w:color w:val="auto"/>
                <w:sz w:val="21"/>
                <w:szCs w:val="21"/>
                <w:highlight w:val="none"/>
              </w:rPr>
            </w:pPr>
          </w:p>
        </w:tc>
        <w:tc>
          <w:tcPr>
            <w:tcW w:w="3128" w:type="dxa"/>
            <w:vAlign w:val="center"/>
          </w:tcPr>
          <w:p>
            <w:pPr>
              <w:spacing w:line="300" w:lineRule="auto"/>
              <w:jc w:val="center"/>
              <w:rPr>
                <w:rFonts w:hAnsi="宋体" w:cs="宋体"/>
                <w:color w:val="auto"/>
                <w:sz w:val="21"/>
                <w:szCs w:val="21"/>
                <w:highlight w:val="none"/>
              </w:rPr>
            </w:pPr>
          </w:p>
        </w:tc>
        <w:tc>
          <w:tcPr>
            <w:tcW w:w="2036" w:type="dxa"/>
            <w:vAlign w:val="center"/>
          </w:tcPr>
          <w:p>
            <w:pPr>
              <w:spacing w:line="300" w:lineRule="auto"/>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300" w:lineRule="auto"/>
              <w:jc w:val="center"/>
              <w:rPr>
                <w:rFonts w:hAnsi="宋体" w:cs="宋体"/>
                <w:color w:val="auto"/>
                <w:sz w:val="21"/>
                <w:szCs w:val="21"/>
                <w:highlight w:val="none"/>
              </w:rPr>
            </w:pPr>
          </w:p>
        </w:tc>
        <w:tc>
          <w:tcPr>
            <w:tcW w:w="2906" w:type="dxa"/>
            <w:vAlign w:val="center"/>
          </w:tcPr>
          <w:p>
            <w:pPr>
              <w:spacing w:line="300" w:lineRule="auto"/>
              <w:jc w:val="center"/>
              <w:rPr>
                <w:rFonts w:hAnsi="宋体" w:cs="宋体"/>
                <w:color w:val="auto"/>
                <w:sz w:val="21"/>
                <w:szCs w:val="21"/>
                <w:highlight w:val="none"/>
              </w:rPr>
            </w:pPr>
          </w:p>
        </w:tc>
        <w:tc>
          <w:tcPr>
            <w:tcW w:w="3128" w:type="dxa"/>
            <w:vAlign w:val="center"/>
          </w:tcPr>
          <w:p>
            <w:pPr>
              <w:spacing w:line="300" w:lineRule="auto"/>
              <w:jc w:val="center"/>
              <w:rPr>
                <w:rFonts w:hAnsi="宋体" w:cs="宋体"/>
                <w:color w:val="auto"/>
                <w:sz w:val="21"/>
                <w:szCs w:val="21"/>
                <w:highlight w:val="none"/>
              </w:rPr>
            </w:pPr>
          </w:p>
        </w:tc>
        <w:tc>
          <w:tcPr>
            <w:tcW w:w="2036" w:type="dxa"/>
            <w:vAlign w:val="center"/>
          </w:tcPr>
          <w:p>
            <w:pPr>
              <w:spacing w:line="300" w:lineRule="auto"/>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300" w:lineRule="auto"/>
              <w:jc w:val="center"/>
              <w:rPr>
                <w:rFonts w:hAnsi="宋体" w:cs="宋体"/>
                <w:color w:val="auto"/>
                <w:sz w:val="21"/>
                <w:szCs w:val="21"/>
                <w:highlight w:val="none"/>
              </w:rPr>
            </w:pPr>
          </w:p>
        </w:tc>
        <w:tc>
          <w:tcPr>
            <w:tcW w:w="2906" w:type="dxa"/>
            <w:vAlign w:val="center"/>
          </w:tcPr>
          <w:p>
            <w:pPr>
              <w:spacing w:line="300" w:lineRule="auto"/>
              <w:jc w:val="center"/>
              <w:rPr>
                <w:rFonts w:hAnsi="宋体" w:cs="宋体"/>
                <w:color w:val="auto"/>
                <w:sz w:val="21"/>
                <w:szCs w:val="21"/>
                <w:highlight w:val="none"/>
              </w:rPr>
            </w:pPr>
          </w:p>
        </w:tc>
        <w:tc>
          <w:tcPr>
            <w:tcW w:w="3128" w:type="dxa"/>
            <w:vAlign w:val="center"/>
          </w:tcPr>
          <w:p>
            <w:pPr>
              <w:spacing w:line="300" w:lineRule="auto"/>
              <w:jc w:val="center"/>
              <w:rPr>
                <w:rFonts w:hAnsi="宋体" w:cs="宋体"/>
                <w:color w:val="auto"/>
                <w:sz w:val="21"/>
                <w:szCs w:val="21"/>
                <w:highlight w:val="none"/>
              </w:rPr>
            </w:pPr>
          </w:p>
        </w:tc>
        <w:tc>
          <w:tcPr>
            <w:tcW w:w="2036" w:type="dxa"/>
            <w:vAlign w:val="center"/>
          </w:tcPr>
          <w:p>
            <w:pPr>
              <w:spacing w:line="300" w:lineRule="auto"/>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300" w:lineRule="auto"/>
              <w:jc w:val="center"/>
              <w:rPr>
                <w:rFonts w:hAnsi="宋体" w:cs="宋体"/>
                <w:color w:val="auto"/>
                <w:sz w:val="21"/>
                <w:szCs w:val="21"/>
                <w:highlight w:val="none"/>
              </w:rPr>
            </w:pPr>
          </w:p>
        </w:tc>
        <w:tc>
          <w:tcPr>
            <w:tcW w:w="2906" w:type="dxa"/>
            <w:vAlign w:val="center"/>
          </w:tcPr>
          <w:p>
            <w:pPr>
              <w:spacing w:line="300" w:lineRule="auto"/>
              <w:jc w:val="center"/>
              <w:rPr>
                <w:rFonts w:hAnsi="宋体" w:cs="宋体"/>
                <w:color w:val="auto"/>
                <w:sz w:val="21"/>
                <w:szCs w:val="21"/>
                <w:highlight w:val="none"/>
              </w:rPr>
            </w:pPr>
          </w:p>
        </w:tc>
        <w:tc>
          <w:tcPr>
            <w:tcW w:w="3128" w:type="dxa"/>
            <w:vAlign w:val="center"/>
          </w:tcPr>
          <w:p>
            <w:pPr>
              <w:spacing w:line="300" w:lineRule="auto"/>
              <w:jc w:val="center"/>
              <w:rPr>
                <w:rFonts w:hAnsi="宋体" w:cs="宋体"/>
                <w:color w:val="auto"/>
                <w:sz w:val="21"/>
                <w:szCs w:val="21"/>
                <w:highlight w:val="none"/>
              </w:rPr>
            </w:pPr>
          </w:p>
        </w:tc>
        <w:tc>
          <w:tcPr>
            <w:tcW w:w="2036" w:type="dxa"/>
            <w:vAlign w:val="center"/>
          </w:tcPr>
          <w:p>
            <w:pPr>
              <w:spacing w:line="300" w:lineRule="auto"/>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300" w:lineRule="auto"/>
              <w:jc w:val="center"/>
              <w:rPr>
                <w:rFonts w:hAnsi="宋体" w:cs="宋体"/>
                <w:color w:val="auto"/>
                <w:sz w:val="21"/>
                <w:szCs w:val="21"/>
                <w:highlight w:val="none"/>
              </w:rPr>
            </w:pPr>
          </w:p>
        </w:tc>
        <w:tc>
          <w:tcPr>
            <w:tcW w:w="2906" w:type="dxa"/>
            <w:vAlign w:val="center"/>
          </w:tcPr>
          <w:p>
            <w:pPr>
              <w:spacing w:line="300" w:lineRule="auto"/>
              <w:jc w:val="center"/>
              <w:rPr>
                <w:rFonts w:hAnsi="宋体" w:cs="宋体"/>
                <w:color w:val="auto"/>
                <w:sz w:val="21"/>
                <w:szCs w:val="21"/>
                <w:highlight w:val="none"/>
              </w:rPr>
            </w:pPr>
          </w:p>
        </w:tc>
        <w:tc>
          <w:tcPr>
            <w:tcW w:w="3128" w:type="dxa"/>
            <w:vAlign w:val="center"/>
          </w:tcPr>
          <w:p>
            <w:pPr>
              <w:spacing w:line="300" w:lineRule="auto"/>
              <w:jc w:val="center"/>
              <w:rPr>
                <w:rFonts w:hAnsi="宋体" w:cs="宋体"/>
                <w:color w:val="auto"/>
                <w:sz w:val="21"/>
                <w:szCs w:val="21"/>
                <w:highlight w:val="none"/>
              </w:rPr>
            </w:pPr>
          </w:p>
        </w:tc>
        <w:tc>
          <w:tcPr>
            <w:tcW w:w="2036" w:type="dxa"/>
            <w:vAlign w:val="center"/>
          </w:tcPr>
          <w:p>
            <w:pPr>
              <w:spacing w:line="300" w:lineRule="auto"/>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300" w:lineRule="auto"/>
              <w:jc w:val="center"/>
              <w:rPr>
                <w:rFonts w:hAnsi="宋体" w:cs="宋体"/>
                <w:color w:val="auto"/>
                <w:sz w:val="21"/>
                <w:szCs w:val="21"/>
                <w:highlight w:val="none"/>
              </w:rPr>
            </w:pPr>
          </w:p>
        </w:tc>
        <w:tc>
          <w:tcPr>
            <w:tcW w:w="2906" w:type="dxa"/>
            <w:vAlign w:val="center"/>
          </w:tcPr>
          <w:p>
            <w:pPr>
              <w:spacing w:line="300" w:lineRule="auto"/>
              <w:jc w:val="center"/>
              <w:rPr>
                <w:rFonts w:hAnsi="宋体" w:cs="宋体"/>
                <w:color w:val="auto"/>
                <w:sz w:val="21"/>
                <w:szCs w:val="21"/>
                <w:highlight w:val="none"/>
              </w:rPr>
            </w:pPr>
          </w:p>
        </w:tc>
        <w:tc>
          <w:tcPr>
            <w:tcW w:w="3128" w:type="dxa"/>
            <w:vAlign w:val="center"/>
          </w:tcPr>
          <w:p>
            <w:pPr>
              <w:spacing w:line="300" w:lineRule="auto"/>
              <w:jc w:val="center"/>
              <w:rPr>
                <w:rFonts w:hAnsi="宋体" w:cs="宋体"/>
                <w:color w:val="auto"/>
                <w:sz w:val="21"/>
                <w:szCs w:val="21"/>
                <w:highlight w:val="none"/>
              </w:rPr>
            </w:pPr>
          </w:p>
        </w:tc>
        <w:tc>
          <w:tcPr>
            <w:tcW w:w="2036" w:type="dxa"/>
            <w:vAlign w:val="center"/>
          </w:tcPr>
          <w:p>
            <w:pPr>
              <w:spacing w:line="300" w:lineRule="auto"/>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300" w:lineRule="auto"/>
              <w:jc w:val="center"/>
              <w:rPr>
                <w:rFonts w:hAnsi="宋体" w:cs="宋体"/>
                <w:color w:val="auto"/>
                <w:sz w:val="21"/>
                <w:szCs w:val="21"/>
                <w:highlight w:val="none"/>
              </w:rPr>
            </w:pPr>
          </w:p>
        </w:tc>
        <w:tc>
          <w:tcPr>
            <w:tcW w:w="2906" w:type="dxa"/>
            <w:vAlign w:val="center"/>
          </w:tcPr>
          <w:p>
            <w:pPr>
              <w:spacing w:line="300" w:lineRule="auto"/>
              <w:jc w:val="center"/>
              <w:rPr>
                <w:rFonts w:hAnsi="宋体" w:cs="宋体"/>
                <w:color w:val="auto"/>
                <w:sz w:val="21"/>
                <w:szCs w:val="21"/>
                <w:highlight w:val="none"/>
              </w:rPr>
            </w:pPr>
          </w:p>
        </w:tc>
        <w:tc>
          <w:tcPr>
            <w:tcW w:w="3128" w:type="dxa"/>
            <w:vAlign w:val="center"/>
          </w:tcPr>
          <w:p>
            <w:pPr>
              <w:spacing w:line="300" w:lineRule="auto"/>
              <w:jc w:val="center"/>
              <w:rPr>
                <w:rFonts w:hAnsi="宋体" w:cs="宋体"/>
                <w:color w:val="auto"/>
                <w:sz w:val="21"/>
                <w:szCs w:val="21"/>
                <w:highlight w:val="none"/>
              </w:rPr>
            </w:pPr>
          </w:p>
        </w:tc>
        <w:tc>
          <w:tcPr>
            <w:tcW w:w="2036" w:type="dxa"/>
            <w:vAlign w:val="center"/>
          </w:tcPr>
          <w:p>
            <w:pPr>
              <w:spacing w:line="300" w:lineRule="auto"/>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300" w:lineRule="auto"/>
              <w:jc w:val="center"/>
              <w:rPr>
                <w:rFonts w:hAnsi="宋体" w:cs="宋体"/>
                <w:color w:val="auto"/>
                <w:sz w:val="21"/>
                <w:szCs w:val="21"/>
                <w:highlight w:val="none"/>
              </w:rPr>
            </w:pPr>
          </w:p>
        </w:tc>
        <w:tc>
          <w:tcPr>
            <w:tcW w:w="2906" w:type="dxa"/>
            <w:vAlign w:val="center"/>
          </w:tcPr>
          <w:p>
            <w:pPr>
              <w:spacing w:line="300" w:lineRule="auto"/>
              <w:jc w:val="center"/>
              <w:rPr>
                <w:rFonts w:hAnsi="宋体" w:cs="宋体"/>
                <w:color w:val="auto"/>
                <w:sz w:val="21"/>
                <w:szCs w:val="21"/>
                <w:highlight w:val="none"/>
              </w:rPr>
            </w:pPr>
          </w:p>
        </w:tc>
        <w:tc>
          <w:tcPr>
            <w:tcW w:w="3128" w:type="dxa"/>
            <w:vAlign w:val="center"/>
          </w:tcPr>
          <w:p>
            <w:pPr>
              <w:spacing w:line="300" w:lineRule="auto"/>
              <w:jc w:val="center"/>
              <w:rPr>
                <w:rFonts w:hAnsi="宋体" w:cs="宋体"/>
                <w:color w:val="auto"/>
                <w:sz w:val="21"/>
                <w:szCs w:val="21"/>
                <w:highlight w:val="none"/>
              </w:rPr>
            </w:pPr>
          </w:p>
        </w:tc>
        <w:tc>
          <w:tcPr>
            <w:tcW w:w="2036" w:type="dxa"/>
            <w:vAlign w:val="center"/>
          </w:tcPr>
          <w:p>
            <w:pPr>
              <w:spacing w:line="300" w:lineRule="auto"/>
              <w:jc w:val="center"/>
              <w:rPr>
                <w:rFonts w:hAnsi="宋体" w:cs="宋体"/>
                <w:color w:val="auto"/>
                <w:sz w:val="21"/>
                <w:szCs w:val="21"/>
                <w:highlight w:val="none"/>
              </w:rPr>
            </w:pPr>
          </w:p>
        </w:tc>
      </w:tr>
    </w:tbl>
    <w:p>
      <w:pPr>
        <w:spacing w:line="300" w:lineRule="auto"/>
        <w:jc w:val="both"/>
        <w:rPr>
          <w:rFonts w:hAnsi="宋体" w:cs="宋体"/>
          <w:color w:val="auto"/>
          <w:sz w:val="21"/>
          <w:szCs w:val="21"/>
          <w:highlight w:val="none"/>
        </w:rPr>
      </w:pPr>
    </w:p>
    <w:p>
      <w:pPr>
        <w:spacing w:line="300" w:lineRule="auto"/>
        <w:rPr>
          <w:rFonts w:hAnsi="宋体" w:cs="宋体"/>
          <w:color w:val="auto"/>
          <w:sz w:val="21"/>
          <w:szCs w:val="21"/>
          <w:highlight w:val="none"/>
        </w:rPr>
      </w:pPr>
      <w:r>
        <w:rPr>
          <w:rFonts w:hint="eastAsia" w:hAnsi="宋体" w:cs="宋体"/>
          <w:color w:val="auto"/>
          <w:sz w:val="21"/>
          <w:szCs w:val="21"/>
          <w:highlight w:val="none"/>
        </w:rPr>
        <w:t>注：行数不够可自行添加，有偏离请在技术偏离表中详细说明。</w:t>
      </w:r>
    </w:p>
    <w:p>
      <w:pPr>
        <w:spacing w:line="300" w:lineRule="auto"/>
        <w:jc w:val="center"/>
        <w:rPr>
          <w:rFonts w:hAnsi="宋体" w:cs="宋体"/>
          <w:color w:val="auto"/>
          <w:sz w:val="21"/>
          <w:szCs w:val="21"/>
          <w:highlight w:val="none"/>
        </w:rPr>
      </w:pPr>
    </w:p>
    <w:p>
      <w:pPr>
        <w:spacing w:line="300" w:lineRule="auto"/>
        <w:ind w:firstLine="480" w:firstLineChars="200"/>
        <w:rPr>
          <w:rFonts w:hAnsi="宋体" w:cs="宋体"/>
          <w:color w:val="auto"/>
          <w:sz w:val="24"/>
          <w:highlight w:val="none"/>
        </w:rPr>
      </w:pPr>
      <w:r>
        <w:rPr>
          <w:rFonts w:hint="eastAsia" w:hAnsi="宋体" w:cs="宋体"/>
          <w:color w:val="auto"/>
          <w:sz w:val="24"/>
          <w:highlight w:val="none"/>
        </w:rPr>
        <w:t xml:space="preserve">供应商全称（加盖公章）：                </w:t>
      </w:r>
    </w:p>
    <w:p>
      <w:pPr>
        <w:spacing w:line="300" w:lineRule="auto"/>
        <w:ind w:firstLine="480" w:firstLineChars="200"/>
        <w:jc w:val="center"/>
        <w:rPr>
          <w:rFonts w:hAnsi="宋体" w:cs="宋体"/>
          <w:color w:val="auto"/>
          <w:sz w:val="24"/>
          <w:highlight w:val="none"/>
        </w:rPr>
      </w:pPr>
    </w:p>
    <w:p>
      <w:pPr>
        <w:spacing w:line="300" w:lineRule="auto"/>
        <w:ind w:firstLine="480" w:firstLineChars="200"/>
        <w:rPr>
          <w:rFonts w:hAnsi="宋体" w:cs="宋体"/>
          <w:color w:val="auto"/>
          <w:sz w:val="24"/>
          <w:highlight w:val="none"/>
        </w:rPr>
      </w:pPr>
      <w:r>
        <w:rPr>
          <w:rFonts w:hint="eastAsia" w:hAnsi="宋体" w:cs="宋体"/>
          <w:color w:val="auto"/>
          <w:sz w:val="24"/>
          <w:highlight w:val="none"/>
        </w:rPr>
        <w:t>法定代表人或其授权代表签字：</w:t>
      </w:r>
    </w:p>
    <w:p>
      <w:pPr>
        <w:spacing w:line="300" w:lineRule="auto"/>
        <w:jc w:val="center"/>
        <w:rPr>
          <w:rFonts w:hAnsi="宋体" w:cs="宋体"/>
          <w:color w:val="auto"/>
          <w:sz w:val="24"/>
          <w:highlight w:val="none"/>
        </w:rPr>
      </w:pPr>
    </w:p>
    <w:p>
      <w:pPr>
        <w:rPr>
          <w:rFonts w:hAnsi="宋体" w:cs="宋体"/>
          <w:b/>
          <w:bCs/>
          <w:color w:val="auto"/>
          <w:kern w:val="2"/>
          <w:sz w:val="21"/>
          <w:szCs w:val="21"/>
          <w:highlight w:val="none"/>
        </w:rPr>
      </w:pPr>
      <w:r>
        <w:rPr>
          <w:rFonts w:hint="eastAsia" w:hAnsi="宋体" w:cs="宋体"/>
          <w:color w:val="auto"/>
          <w:sz w:val="24"/>
          <w:highlight w:val="none"/>
        </w:rPr>
        <w:t xml:space="preserve">                                  年     月     日</w:t>
      </w:r>
    </w:p>
    <w:bookmarkEnd w:id="720"/>
    <w:p>
      <w:pPr>
        <w:widowControl/>
        <w:rPr>
          <w:rFonts w:hAnsi="宋体" w:cs="宋体"/>
          <w:color w:val="auto"/>
          <w:sz w:val="30"/>
          <w:szCs w:val="30"/>
          <w:highlight w:val="none"/>
        </w:rPr>
      </w:pPr>
      <w:r>
        <w:rPr>
          <w:rFonts w:hint="eastAsia" w:hAnsi="宋体" w:cs="宋体"/>
          <w:color w:val="auto"/>
          <w:sz w:val="30"/>
          <w:szCs w:val="30"/>
          <w:highlight w:val="none"/>
        </w:rPr>
        <w:br w:type="page"/>
      </w:r>
    </w:p>
    <w:p>
      <w:pPr>
        <w:pStyle w:val="44"/>
        <w:spacing w:beforeLines="100" w:after="0" w:line="360" w:lineRule="auto"/>
        <w:ind w:left="0" w:leftChars="0" w:hanging="680"/>
        <w:jc w:val="center"/>
        <w:rPr>
          <w:rFonts w:ascii="宋体" w:hAnsi="宋体"/>
          <w:b/>
          <w:color w:val="auto"/>
          <w:sz w:val="24"/>
          <w:szCs w:val="24"/>
          <w:highlight w:val="none"/>
        </w:rPr>
      </w:pPr>
      <w:r>
        <w:rPr>
          <w:rFonts w:hint="eastAsia" w:ascii="宋体" w:hAnsi="宋体"/>
          <w:color w:val="auto"/>
          <w:sz w:val="24"/>
          <w:szCs w:val="24"/>
          <w:highlight w:val="none"/>
        </w:rPr>
        <w:t>5.</w:t>
      </w:r>
      <w:r>
        <w:rPr>
          <w:rFonts w:hint="eastAsia" w:ascii="宋体" w:hAnsi="宋体"/>
          <w:b/>
          <w:color w:val="auto"/>
          <w:sz w:val="24"/>
          <w:szCs w:val="24"/>
          <w:highlight w:val="none"/>
        </w:rPr>
        <w:t>项目服务团队人员一览表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520"/>
        <w:gridCol w:w="720"/>
        <w:gridCol w:w="720"/>
        <w:gridCol w:w="720"/>
        <w:gridCol w:w="1080"/>
        <w:gridCol w:w="1080"/>
        <w:gridCol w:w="16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Ansi="宋体" w:cs="宋体"/>
                <w:bCs/>
                <w:color w:val="auto"/>
                <w:sz w:val="24"/>
                <w:szCs w:val="24"/>
                <w:highlight w:val="none"/>
              </w:rPr>
            </w:pPr>
            <w:r>
              <w:rPr>
                <w:rFonts w:hint="eastAsia" w:hAnsi="宋体" w:cs="宋体"/>
                <w:bCs/>
                <w:color w:val="auto"/>
                <w:sz w:val="24"/>
                <w:szCs w:val="24"/>
                <w:highlight w:val="none"/>
              </w:rPr>
              <w:t>姓名</w:t>
            </w: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Ansi="宋体" w:cs="宋体"/>
                <w:bCs/>
                <w:color w:val="auto"/>
                <w:sz w:val="24"/>
                <w:szCs w:val="24"/>
                <w:highlight w:val="none"/>
              </w:rPr>
            </w:pPr>
            <w:r>
              <w:rPr>
                <w:rFonts w:hint="eastAsia" w:hAnsi="宋体" w:cs="宋体"/>
                <w:bCs/>
                <w:color w:val="auto"/>
                <w:sz w:val="24"/>
                <w:szCs w:val="24"/>
                <w:highlight w:val="none"/>
              </w:rPr>
              <w:t>本项目主要工作</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Ansi="宋体" w:cs="宋体"/>
                <w:bCs/>
                <w:color w:val="auto"/>
                <w:sz w:val="24"/>
                <w:szCs w:val="24"/>
                <w:highlight w:val="none"/>
              </w:rPr>
            </w:pPr>
            <w:r>
              <w:rPr>
                <w:rFonts w:hint="eastAsia" w:hAnsi="宋体" w:cs="宋体"/>
                <w:bCs/>
                <w:color w:val="auto"/>
                <w:sz w:val="24"/>
                <w:szCs w:val="24"/>
                <w:highlight w:val="none"/>
              </w:rPr>
              <w:t>年龄</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Ansi="宋体" w:cs="宋体"/>
                <w:bCs/>
                <w:color w:val="auto"/>
                <w:sz w:val="24"/>
                <w:szCs w:val="24"/>
                <w:highlight w:val="none"/>
              </w:rPr>
            </w:pPr>
            <w:r>
              <w:rPr>
                <w:rFonts w:hint="eastAsia" w:hAnsi="宋体" w:cs="宋体"/>
                <w:bCs/>
                <w:color w:val="auto"/>
                <w:sz w:val="24"/>
                <w:szCs w:val="24"/>
                <w:highlight w:val="none"/>
              </w:rPr>
              <w:t>性别</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Ansi="宋体" w:cs="宋体"/>
                <w:bCs/>
                <w:color w:val="auto"/>
                <w:sz w:val="24"/>
                <w:szCs w:val="24"/>
                <w:highlight w:val="none"/>
              </w:rPr>
            </w:pPr>
            <w:r>
              <w:rPr>
                <w:rFonts w:hint="eastAsia" w:hAnsi="宋体" w:cs="宋体"/>
                <w:bCs/>
                <w:color w:val="auto"/>
                <w:sz w:val="24"/>
                <w:szCs w:val="24"/>
                <w:highlight w:val="none"/>
              </w:rPr>
              <w:t>专业</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Ansi="宋体" w:cs="宋体"/>
                <w:bCs/>
                <w:color w:val="auto"/>
                <w:sz w:val="24"/>
                <w:szCs w:val="24"/>
                <w:highlight w:val="none"/>
              </w:rPr>
            </w:pPr>
            <w:r>
              <w:rPr>
                <w:rFonts w:hint="eastAsia" w:hAnsi="宋体" w:cs="宋体"/>
                <w:bCs/>
                <w:color w:val="auto"/>
                <w:sz w:val="24"/>
                <w:szCs w:val="24"/>
                <w:highlight w:val="none"/>
              </w:rPr>
              <w:t>专业</w:t>
            </w:r>
          </w:p>
          <w:p>
            <w:pPr>
              <w:spacing w:line="460" w:lineRule="exact"/>
              <w:jc w:val="center"/>
              <w:rPr>
                <w:rFonts w:hAnsi="宋体" w:cs="宋体"/>
                <w:bCs/>
                <w:color w:val="auto"/>
                <w:sz w:val="24"/>
                <w:szCs w:val="24"/>
                <w:highlight w:val="none"/>
              </w:rPr>
            </w:pPr>
            <w:r>
              <w:rPr>
                <w:rFonts w:hint="eastAsia" w:hAnsi="宋体" w:cs="宋体"/>
                <w:bCs/>
                <w:color w:val="auto"/>
                <w:sz w:val="24"/>
                <w:szCs w:val="24"/>
                <w:highlight w:val="none"/>
              </w:rPr>
              <w:t>年限</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Ansi="宋体" w:cs="宋体"/>
                <w:bCs/>
                <w:color w:val="auto"/>
                <w:sz w:val="24"/>
                <w:szCs w:val="24"/>
                <w:highlight w:val="none"/>
              </w:rPr>
            </w:pPr>
            <w:r>
              <w:rPr>
                <w:rFonts w:hint="eastAsia" w:hAnsi="宋体" w:cs="宋体"/>
                <w:bCs/>
                <w:color w:val="auto"/>
                <w:sz w:val="24"/>
                <w:szCs w:val="24"/>
                <w:highlight w:val="none"/>
              </w:rPr>
              <w:t>职务</w:t>
            </w:r>
          </w:p>
          <w:p>
            <w:pPr>
              <w:spacing w:line="460" w:lineRule="exact"/>
              <w:jc w:val="center"/>
              <w:rPr>
                <w:rFonts w:hAnsi="宋体" w:cs="宋体"/>
                <w:bCs/>
                <w:color w:val="auto"/>
                <w:sz w:val="24"/>
                <w:szCs w:val="24"/>
                <w:highlight w:val="none"/>
              </w:rPr>
            </w:pPr>
            <w:r>
              <w:rPr>
                <w:rFonts w:hint="eastAsia" w:hAnsi="宋体" w:cs="宋体"/>
                <w:bCs/>
                <w:color w:val="auto"/>
                <w:sz w:val="24"/>
                <w:szCs w:val="24"/>
                <w:highlight w:val="none"/>
              </w:rPr>
              <w:t>和职称</w:t>
            </w: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Ansi="宋体" w:cs="宋体"/>
                <w:bCs/>
                <w:color w:val="auto"/>
                <w:sz w:val="24"/>
                <w:szCs w:val="24"/>
                <w:highlight w:val="none"/>
              </w:rPr>
            </w:pPr>
            <w:r>
              <w:rPr>
                <w:rFonts w:hint="eastAsia" w:hAnsi="宋体" w:cs="宋体"/>
                <w:bCs/>
                <w:color w:val="auto"/>
                <w:sz w:val="24"/>
                <w:szCs w:val="24"/>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pPr>
              <w:pStyle w:val="125"/>
              <w:widowControl w:val="0"/>
              <w:pBdr>
                <w:left w:val="none" w:color="auto" w:sz="0" w:space="0"/>
                <w:bottom w:val="none" w:color="auto" w:sz="0" w:space="0"/>
                <w:right w:val="none" w:color="auto" w:sz="0" w:space="0"/>
              </w:pBdr>
              <w:spacing w:before="0" w:beforeAutospacing="0" w:after="0" w:afterAutospacing="0" w:line="46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项目负责人</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pStyle w:val="26"/>
              <w:spacing w:line="460" w:lineRule="exact"/>
              <w:ind w:left="8500"/>
              <w:rPr>
                <w:rFonts w:hAnsi="宋体" w:cs="宋体"/>
                <w:color w:val="auto"/>
                <w:sz w:val="2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Ansi="宋体" w:cs="宋体"/>
                <w:color w:val="auto"/>
                <w:sz w:val="22"/>
                <w:highlight w:val="none"/>
              </w:rPr>
            </w:pPr>
            <w:r>
              <w:rPr>
                <w:rFonts w:hint="eastAsia" w:hAnsi="宋体" w:cs="宋体"/>
                <w:color w:val="auto"/>
                <w:sz w:val="22"/>
                <w:highlight w:val="none"/>
              </w:rPr>
              <w:t>驻场人员</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Ansi="宋体" w:cs="宋体"/>
                <w:color w:val="auto"/>
                <w:sz w:val="22"/>
                <w:highlight w:val="none"/>
              </w:rPr>
            </w:pPr>
            <w:r>
              <w:rPr>
                <w:rFonts w:hint="eastAsia" w:hAnsi="宋体" w:cs="宋体"/>
                <w:color w:val="auto"/>
                <w:sz w:val="22"/>
                <w:highlight w:val="none"/>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Ansi="宋体" w:cs="宋体"/>
                <w:color w:val="auto"/>
                <w:sz w:val="22"/>
                <w:highlight w:val="none"/>
              </w:rPr>
            </w:pPr>
          </w:p>
        </w:tc>
      </w:tr>
    </w:tbl>
    <w:p>
      <w:pPr>
        <w:spacing w:line="460" w:lineRule="atLeast"/>
        <w:rPr>
          <w:rFonts w:hAnsi="宋体" w:cs="宋体"/>
          <w:color w:val="auto"/>
          <w:sz w:val="21"/>
          <w:szCs w:val="21"/>
          <w:highlight w:val="none"/>
        </w:rPr>
      </w:pPr>
      <w:r>
        <w:rPr>
          <w:rFonts w:hint="eastAsia" w:hAnsi="宋体" w:cs="宋体"/>
          <w:color w:val="auto"/>
          <w:sz w:val="21"/>
          <w:szCs w:val="21"/>
          <w:highlight w:val="none"/>
        </w:rPr>
        <w:t>注：1.本表应附毕业证书、职称证书（或学位证书）、身份证、</w:t>
      </w:r>
      <w:r>
        <w:rPr>
          <w:rFonts w:hint="eastAsia" w:hAnsi="宋体" w:cs="宋体"/>
          <w:color w:val="auto"/>
          <w:kern w:val="2"/>
          <w:sz w:val="21"/>
          <w:szCs w:val="21"/>
          <w:highlight w:val="none"/>
        </w:rPr>
        <w:t>资质资格证书、职称证书、荣誉证书、社保证明</w:t>
      </w:r>
      <w:r>
        <w:rPr>
          <w:rFonts w:hint="eastAsia" w:hAnsi="宋体" w:cs="宋体"/>
          <w:color w:val="auto"/>
          <w:sz w:val="21"/>
          <w:szCs w:val="21"/>
          <w:highlight w:val="none"/>
        </w:rPr>
        <w:t>等证明文件复印件。</w:t>
      </w:r>
    </w:p>
    <w:p>
      <w:pPr>
        <w:spacing w:line="460" w:lineRule="atLeast"/>
        <w:ind w:firstLine="420" w:firstLineChars="200"/>
        <w:rPr>
          <w:rFonts w:hAnsi="宋体" w:cs="宋体"/>
          <w:color w:val="auto"/>
          <w:sz w:val="21"/>
          <w:szCs w:val="21"/>
          <w:highlight w:val="none"/>
        </w:rPr>
      </w:pPr>
      <w:r>
        <w:rPr>
          <w:rFonts w:hint="eastAsia" w:hAnsi="宋体" w:cs="宋体"/>
          <w:color w:val="auto"/>
          <w:sz w:val="21"/>
          <w:szCs w:val="21"/>
          <w:highlight w:val="none"/>
        </w:rPr>
        <w:t>2.表格可以延续。</w:t>
      </w:r>
    </w:p>
    <w:p>
      <w:pPr>
        <w:spacing w:line="460" w:lineRule="atLeast"/>
        <w:ind w:firstLine="480"/>
        <w:rPr>
          <w:rFonts w:hAnsi="宋体" w:cs="宋体"/>
          <w:color w:val="auto"/>
          <w:sz w:val="21"/>
          <w:szCs w:val="21"/>
          <w:highlight w:val="none"/>
        </w:rPr>
      </w:pPr>
    </w:p>
    <w:p>
      <w:pPr>
        <w:spacing w:line="30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供应商全称（加盖公章）：              </w:t>
      </w:r>
    </w:p>
    <w:p>
      <w:pPr>
        <w:spacing w:line="300" w:lineRule="auto"/>
        <w:ind w:firstLine="420" w:firstLineChars="200"/>
        <w:jc w:val="center"/>
        <w:rPr>
          <w:rFonts w:hAnsi="宋体" w:cs="宋体"/>
          <w:color w:val="auto"/>
          <w:sz w:val="21"/>
          <w:szCs w:val="21"/>
          <w:highlight w:val="none"/>
        </w:rPr>
      </w:pPr>
    </w:p>
    <w:p>
      <w:pPr>
        <w:spacing w:line="30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法定代表人或其授权代表签字：</w:t>
      </w:r>
    </w:p>
    <w:p>
      <w:pPr>
        <w:spacing w:line="300" w:lineRule="auto"/>
        <w:jc w:val="center"/>
        <w:rPr>
          <w:rFonts w:hAnsi="宋体" w:cs="宋体"/>
          <w:color w:val="auto"/>
          <w:sz w:val="21"/>
          <w:szCs w:val="21"/>
          <w:highlight w:val="none"/>
        </w:rPr>
      </w:pPr>
    </w:p>
    <w:p>
      <w:pPr>
        <w:widowControl/>
        <w:autoSpaceDE/>
        <w:autoSpaceDN/>
        <w:adjustRightInd/>
        <w:textAlignment w:val="auto"/>
        <w:rPr>
          <w:rFonts w:hAnsi="宋体" w:cs="宋体"/>
          <w:color w:val="auto"/>
          <w:sz w:val="21"/>
          <w:szCs w:val="21"/>
          <w:highlight w:val="none"/>
        </w:rPr>
      </w:pPr>
      <w:r>
        <w:rPr>
          <w:rFonts w:hint="eastAsia" w:hAnsi="宋体" w:cs="宋体"/>
          <w:color w:val="auto"/>
          <w:sz w:val="21"/>
          <w:szCs w:val="21"/>
          <w:highlight w:val="none"/>
        </w:rPr>
        <w:t xml:space="preserve">                                 年     月     日</w:t>
      </w:r>
    </w:p>
    <w:p>
      <w:pPr>
        <w:pStyle w:val="44"/>
        <w:ind w:left="680"/>
        <w:rPr>
          <w:rFonts w:ascii="宋体" w:hAnsi="宋体"/>
          <w:color w:val="auto"/>
          <w:highlight w:val="none"/>
        </w:rPr>
      </w:pPr>
    </w:p>
    <w:p>
      <w:pPr>
        <w:pStyle w:val="18"/>
        <w:ind w:firstLine="280"/>
        <w:rPr>
          <w:rFonts w:hAnsi="宋体" w:cs="宋体"/>
          <w:color w:val="auto"/>
          <w:highlight w:val="none"/>
        </w:rPr>
      </w:pPr>
      <w:r>
        <w:rPr>
          <w:rFonts w:hint="eastAsia" w:hAnsi="宋体" w:cs="宋体"/>
          <w:color w:val="auto"/>
          <w:highlight w:val="none"/>
        </w:rPr>
        <w:br w:type="page"/>
      </w:r>
    </w:p>
    <w:p>
      <w:pPr>
        <w:widowControl/>
        <w:autoSpaceDE/>
        <w:autoSpaceDN/>
        <w:adjustRightInd/>
        <w:textAlignment w:val="auto"/>
        <w:rPr>
          <w:rFonts w:hAnsi="宋体" w:cs="宋体"/>
          <w:color w:val="auto"/>
          <w:sz w:val="21"/>
          <w:szCs w:val="21"/>
          <w:highlight w:val="none"/>
        </w:rPr>
      </w:pPr>
    </w:p>
    <w:p>
      <w:pPr>
        <w:autoSpaceDE/>
        <w:autoSpaceDN/>
        <w:adjustRightInd/>
        <w:spacing w:line="460" w:lineRule="exact"/>
        <w:jc w:val="center"/>
        <w:textAlignment w:val="auto"/>
        <w:rPr>
          <w:rFonts w:hAnsi="宋体" w:cs="宋体"/>
          <w:b/>
          <w:color w:val="auto"/>
          <w:sz w:val="28"/>
          <w:highlight w:val="none"/>
        </w:rPr>
      </w:pPr>
      <w:r>
        <w:rPr>
          <w:rFonts w:hint="eastAsia" w:hAnsi="宋体" w:cs="宋体"/>
          <w:b/>
          <w:color w:val="auto"/>
          <w:sz w:val="28"/>
          <w:highlight w:val="none"/>
        </w:rPr>
        <w:t>6.商务条款偏离表</w:t>
      </w:r>
    </w:p>
    <w:p>
      <w:pPr>
        <w:pStyle w:val="41"/>
        <w:widowControl w:val="0"/>
        <w:ind w:firstLine="720" w:firstLineChars="300"/>
        <w:rPr>
          <w:color w:val="auto"/>
          <w:highlight w:val="none"/>
          <w:u w:val="single"/>
        </w:rPr>
      </w:pPr>
      <w:r>
        <w:rPr>
          <w:rFonts w:hint="eastAsia"/>
          <w:color w:val="auto"/>
          <w:highlight w:val="none"/>
        </w:rPr>
        <w:t>项目名称：           项目编号：</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914"/>
        <w:gridCol w:w="2101"/>
        <w:gridCol w:w="2029"/>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486" w:type="dxa"/>
            <w:vAlign w:val="center"/>
          </w:tcPr>
          <w:p>
            <w:pPr>
              <w:spacing w:line="380" w:lineRule="exact"/>
              <w:jc w:val="center"/>
              <w:rPr>
                <w:rFonts w:hAnsi="宋体" w:cs="宋体"/>
                <w:color w:val="auto"/>
                <w:sz w:val="21"/>
                <w:szCs w:val="21"/>
                <w:highlight w:val="none"/>
              </w:rPr>
            </w:pPr>
            <w:r>
              <w:rPr>
                <w:rFonts w:hint="eastAsia" w:hAnsi="宋体" w:cs="宋体"/>
                <w:color w:val="auto"/>
                <w:sz w:val="21"/>
                <w:szCs w:val="21"/>
                <w:highlight w:val="none"/>
              </w:rPr>
              <w:t>内容</w:t>
            </w:r>
          </w:p>
        </w:tc>
        <w:tc>
          <w:tcPr>
            <w:tcW w:w="914" w:type="dxa"/>
            <w:vAlign w:val="center"/>
          </w:tcPr>
          <w:p>
            <w:pPr>
              <w:spacing w:line="380" w:lineRule="exact"/>
              <w:jc w:val="center"/>
              <w:rPr>
                <w:rFonts w:hAnsi="宋体" w:cs="宋体"/>
                <w:color w:val="auto"/>
                <w:sz w:val="21"/>
                <w:szCs w:val="21"/>
                <w:highlight w:val="none"/>
              </w:rPr>
            </w:pPr>
            <w:r>
              <w:rPr>
                <w:rFonts w:hint="eastAsia" w:hAnsi="宋体" w:cs="宋体"/>
                <w:color w:val="auto"/>
                <w:sz w:val="21"/>
                <w:szCs w:val="21"/>
                <w:highlight w:val="none"/>
              </w:rPr>
              <w:t>序号</w:t>
            </w:r>
          </w:p>
        </w:tc>
        <w:tc>
          <w:tcPr>
            <w:tcW w:w="2101" w:type="dxa"/>
            <w:vAlign w:val="center"/>
          </w:tcPr>
          <w:p>
            <w:pPr>
              <w:spacing w:line="380" w:lineRule="exact"/>
              <w:jc w:val="center"/>
              <w:rPr>
                <w:rFonts w:hAnsi="宋体" w:cs="宋体"/>
                <w:color w:val="auto"/>
                <w:sz w:val="21"/>
                <w:szCs w:val="21"/>
                <w:highlight w:val="none"/>
              </w:rPr>
            </w:pPr>
            <w:r>
              <w:rPr>
                <w:rFonts w:hint="eastAsia" w:hAnsi="宋体" w:cs="宋体"/>
                <w:color w:val="auto"/>
                <w:sz w:val="21"/>
                <w:szCs w:val="21"/>
                <w:highlight w:val="none"/>
              </w:rPr>
              <w:t>竞争性磋商文件的具体要求</w:t>
            </w:r>
          </w:p>
        </w:tc>
        <w:tc>
          <w:tcPr>
            <w:tcW w:w="2029" w:type="dxa"/>
            <w:vAlign w:val="center"/>
          </w:tcPr>
          <w:p>
            <w:pPr>
              <w:spacing w:line="380" w:lineRule="exact"/>
              <w:jc w:val="center"/>
              <w:rPr>
                <w:rFonts w:hAnsi="宋体" w:cs="宋体"/>
                <w:color w:val="auto"/>
                <w:sz w:val="21"/>
                <w:szCs w:val="21"/>
                <w:highlight w:val="none"/>
              </w:rPr>
            </w:pPr>
            <w:r>
              <w:rPr>
                <w:rFonts w:hint="eastAsia" w:hAnsi="宋体" w:cs="宋体"/>
                <w:color w:val="auto"/>
                <w:sz w:val="21"/>
                <w:szCs w:val="21"/>
                <w:highlight w:val="none"/>
              </w:rPr>
              <w:t>响应竞争性磋商文件的响应或承诺</w:t>
            </w:r>
          </w:p>
        </w:tc>
        <w:tc>
          <w:tcPr>
            <w:tcW w:w="1501" w:type="dxa"/>
            <w:vAlign w:val="center"/>
          </w:tcPr>
          <w:p>
            <w:pPr>
              <w:spacing w:line="380" w:lineRule="exact"/>
              <w:jc w:val="center"/>
              <w:rPr>
                <w:rFonts w:hAnsi="宋体" w:cs="宋体"/>
                <w:color w:val="auto"/>
                <w:sz w:val="21"/>
                <w:szCs w:val="21"/>
                <w:highlight w:val="none"/>
              </w:rPr>
            </w:pPr>
            <w:r>
              <w:rPr>
                <w:rFonts w:hint="eastAsia" w:hAnsi="宋体" w:cs="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486" w:type="dxa"/>
            <w:vMerge w:val="restart"/>
            <w:vAlign w:val="center"/>
          </w:tcPr>
          <w:p>
            <w:pPr>
              <w:spacing w:line="380" w:lineRule="exact"/>
              <w:jc w:val="center"/>
              <w:rPr>
                <w:rFonts w:hAnsi="宋体" w:cs="宋体"/>
                <w:color w:val="auto"/>
                <w:sz w:val="21"/>
                <w:szCs w:val="21"/>
                <w:highlight w:val="none"/>
              </w:rPr>
            </w:pPr>
            <w:r>
              <w:rPr>
                <w:rFonts w:hint="eastAsia" w:hAnsi="宋体" w:cs="宋体"/>
                <w:color w:val="auto"/>
                <w:sz w:val="21"/>
                <w:szCs w:val="21"/>
                <w:highlight w:val="none"/>
              </w:rPr>
              <w:t>商</w:t>
            </w:r>
          </w:p>
          <w:p>
            <w:pPr>
              <w:spacing w:line="380" w:lineRule="exact"/>
              <w:jc w:val="center"/>
              <w:rPr>
                <w:rFonts w:hAnsi="宋体" w:cs="宋体"/>
                <w:color w:val="auto"/>
                <w:sz w:val="21"/>
                <w:szCs w:val="21"/>
                <w:highlight w:val="none"/>
              </w:rPr>
            </w:pPr>
            <w:r>
              <w:rPr>
                <w:rFonts w:hint="eastAsia" w:hAnsi="宋体" w:cs="宋体"/>
                <w:color w:val="auto"/>
                <w:sz w:val="21"/>
                <w:szCs w:val="21"/>
                <w:highlight w:val="none"/>
              </w:rPr>
              <w:t>务</w:t>
            </w:r>
          </w:p>
          <w:p>
            <w:pPr>
              <w:spacing w:line="380" w:lineRule="exact"/>
              <w:jc w:val="center"/>
              <w:rPr>
                <w:rFonts w:hAnsi="宋体" w:cs="宋体"/>
                <w:color w:val="auto"/>
                <w:sz w:val="21"/>
                <w:szCs w:val="21"/>
                <w:highlight w:val="none"/>
              </w:rPr>
            </w:pPr>
            <w:r>
              <w:rPr>
                <w:rFonts w:hint="eastAsia" w:hAnsi="宋体" w:cs="宋体"/>
                <w:color w:val="auto"/>
                <w:sz w:val="21"/>
                <w:szCs w:val="21"/>
                <w:highlight w:val="none"/>
              </w:rPr>
              <w:t>条</w:t>
            </w:r>
          </w:p>
          <w:p>
            <w:pPr>
              <w:spacing w:line="380" w:lineRule="exact"/>
              <w:jc w:val="center"/>
              <w:rPr>
                <w:rFonts w:hAnsi="宋体" w:cs="宋体"/>
                <w:color w:val="auto"/>
                <w:sz w:val="21"/>
                <w:szCs w:val="21"/>
                <w:highlight w:val="none"/>
              </w:rPr>
            </w:pPr>
            <w:r>
              <w:rPr>
                <w:rFonts w:hint="eastAsia" w:hAnsi="宋体" w:cs="宋体"/>
                <w:color w:val="auto"/>
                <w:sz w:val="21"/>
                <w:szCs w:val="21"/>
                <w:highlight w:val="none"/>
              </w:rPr>
              <w:t>款</w:t>
            </w:r>
          </w:p>
        </w:tc>
        <w:tc>
          <w:tcPr>
            <w:tcW w:w="914" w:type="dxa"/>
            <w:vAlign w:val="center"/>
          </w:tcPr>
          <w:p>
            <w:pPr>
              <w:spacing w:line="380" w:lineRule="exact"/>
              <w:jc w:val="center"/>
              <w:rPr>
                <w:rFonts w:hAnsi="宋体" w:cs="宋体"/>
                <w:color w:val="auto"/>
                <w:sz w:val="21"/>
                <w:szCs w:val="21"/>
                <w:highlight w:val="none"/>
              </w:rPr>
            </w:pPr>
          </w:p>
        </w:tc>
        <w:tc>
          <w:tcPr>
            <w:tcW w:w="2101" w:type="dxa"/>
            <w:vAlign w:val="center"/>
          </w:tcPr>
          <w:p>
            <w:pPr>
              <w:spacing w:line="380" w:lineRule="exact"/>
              <w:jc w:val="center"/>
              <w:rPr>
                <w:rFonts w:hAnsi="宋体" w:cs="宋体"/>
                <w:color w:val="auto"/>
                <w:sz w:val="21"/>
                <w:szCs w:val="21"/>
                <w:highlight w:val="none"/>
              </w:rPr>
            </w:pPr>
          </w:p>
        </w:tc>
        <w:tc>
          <w:tcPr>
            <w:tcW w:w="2029" w:type="dxa"/>
            <w:vAlign w:val="center"/>
          </w:tcPr>
          <w:p>
            <w:pPr>
              <w:spacing w:line="380" w:lineRule="exact"/>
              <w:jc w:val="center"/>
              <w:rPr>
                <w:rFonts w:hAnsi="宋体" w:cs="宋体"/>
                <w:color w:val="auto"/>
                <w:sz w:val="21"/>
                <w:szCs w:val="21"/>
                <w:highlight w:val="none"/>
              </w:rPr>
            </w:pPr>
          </w:p>
        </w:tc>
        <w:tc>
          <w:tcPr>
            <w:tcW w:w="1501" w:type="dxa"/>
            <w:vAlign w:val="center"/>
          </w:tcPr>
          <w:p>
            <w:pPr>
              <w:spacing w:line="38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486" w:type="dxa"/>
            <w:vMerge w:val="continue"/>
          </w:tcPr>
          <w:p>
            <w:pPr>
              <w:spacing w:line="380" w:lineRule="exact"/>
              <w:jc w:val="center"/>
              <w:rPr>
                <w:rFonts w:hAnsi="宋体" w:cs="宋体"/>
                <w:color w:val="auto"/>
                <w:sz w:val="21"/>
                <w:szCs w:val="21"/>
                <w:highlight w:val="none"/>
              </w:rPr>
            </w:pPr>
          </w:p>
        </w:tc>
        <w:tc>
          <w:tcPr>
            <w:tcW w:w="914" w:type="dxa"/>
            <w:vAlign w:val="center"/>
          </w:tcPr>
          <w:p>
            <w:pPr>
              <w:spacing w:line="380" w:lineRule="exact"/>
              <w:jc w:val="center"/>
              <w:rPr>
                <w:rFonts w:hAnsi="宋体" w:cs="宋体"/>
                <w:color w:val="auto"/>
                <w:sz w:val="21"/>
                <w:szCs w:val="21"/>
                <w:highlight w:val="none"/>
              </w:rPr>
            </w:pPr>
          </w:p>
        </w:tc>
        <w:tc>
          <w:tcPr>
            <w:tcW w:w="2101" w:type="dxa"/>
            <w:vAlign w:val="center"/>
          </w:tcPr>
          <w:p>
            <w:pPr>
              <w:spacing w:line="380" w:lineRule="exact"/>
              <w:jc w:val="center"/>
              <w:rPr>
                <w:rFonts w:hAnsi="宋体" w:cs="宋体"/>
                <w:color w:val="auto"/>
                <w:sz w:val="21"/>
                <w:szCs w:val="21"/>
                <w:highlight w:val="none"/>
              </w:rPr>
            </w:pPr>
          </w:p>
        </w:tc>
        <w:tc>
          <w:tcPr>
            <w:tcW w:w="2029" w:type="dxa"/>
            <w:vAlign w:val="center"/>
          </w:tcPr>
          <w:p>
            <w:pPr>
              <w:spacing w:line="380" w:lineRule="exact"/>
              <w:jc w:val="center"/>
              <w:rPr>
                <w:rFonts w:hAnsi="宋体" w:cs="宋体"/>
                <w:color w:val="auto"/>
                <w:sz w:val="21"/>
                <w:szCs w:val="21"/>
                <w:highlight w:val="none"/>
              </w:rPr>
            </w:pPr>
          </w:p>
        </w:tc>
        <w:tc>
          <w:tcPr>
            <w:tcW w:w="1501" w:type="dxa"/>
            <w:vAlign w:val="center"/>
          </w:tcPr>
          <w:p>
            <w:pPr>
              <w:spacing w:line="38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486" w:type="dxa"/>
            <w:vMerge w:val="continue"/>
          </w:tcPr>
          <w:p>
            <w:pPr>
              <w:spacing w:line="380" w:lineRule="exact"/>
              <w:jc w:val="center"/>
              <w:rPr>
                <w:rFonts w:hAnsi="宋体" w:cs="宋体"/>
                <w:color w:val="auto"/>
                <w:sz w:val="21"/>
                <w:szCs w:val="21"/>
                <w:highlight w:val="none"/>
              </w:rPr>
            </w:pPr>
          </w:p>
        </w:tc>
        <w:tc>
          <w:tcPr>
            <w:tcW w:w="914" w:type="dxa"/>
            <w:vAlign w:val="center"/>
          </w:tcPr>
          <w:p>
            <w:pPr>
              <w:spacing w:line="380" w:lineRule="exact"/>
              <w:jc w:val="center"/>
              <w:rPr>
                <w:rFonts w:hAnsi="宋体" w:cs="宋体"/>
                <w:color w:val="auto"/>
                <w:sz w:val="21"/>
                <w:szCs w:val="21"/>
                <w:highlight w:val="none"/>
              </w:rPr>
            </w:pPr>
          </w:p>
        </w:tc>
        <w:tc>
          <w:tcPr>
            <w:tcW w:w="2101" w:type="dxa"/>
            <w:vAlign w:val="center"/>
          </w:tcPr>
          <w:p>
            <w:pPr>
              <w:spacing w:line="380" w:lineRule="exact"/>
              <w:jc w:val="center"/>
              <w:rPr>
                <w:rFonts w:hAnsi="宋体" w:cs="宋体"/>
                <w:color w:val="auto"/>
                <w:sz w:val="21"/>
                <w:szCs w:val="21"/>
                <w:highlight w:val="none"/>
              </w:rPr>
            </w:pPr>
          </w:p>
        </w:tc>
        <w:tc>
          <w:tcPr>
            <w:tcW w:w="2029" w:type="dxa"/>
            <w:vAlign w:val="center"/>
          </w:tcPr>
          <w:p>
            <w:pPr>
              <w:spacing w:line="380" w:lineRule="exact"/>
              <w:jc w:val="center"/>
              <w:rPr>
                <w:rFonts w:hAnsi="宋体" w:cs="宋体"/>
                <w:color w:val="auto"/>
                <w:sz w:val="21"/>
                <w:szCs w:val="21"/>
                <w:highlight w:val="none"/>
              </w:rPr>
            </w:pPr>
          </w:p>
        </w:tc>
        <w:tc>
          <w:tcPr>
            <w:tcW w:w="1501" w:type="dxa"/>
            <w:vAlign w:val="center"/>
          </w:tcPr>
          <w:p>
            <w:pPr>
              <w:spacing w:line="38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486" w:type="dxa"/>
            <w:vMerge w:val="continue"/>
          </w:tcPr>
          <w:p>
            <w:pPr>
              <w:spacing w:line="380" w:lineRule="exact"/>
              <w:jc w:val="center"/>
              <w:rPr>
                <w:rFonts w:hAnsi="宋体" w:cs="宋体"/>
                <w:color w:val="auto"/>
                <w:sz w:val="21"/>
                <w:szCs w:val="21"/>
                <w:highlight w:val="none"/>
              </w:rPr>
            </w:pPr>
          </w:p>
        </w:tc>
        <w:tc>
          <w:tcPr>
            <w:tcW w:w="914" w:type="dxa"/>
            <w:vAlign w:val="center"/>
          </w:tcPr>
          <w:p>
            <w:pPr>
              <w:spacing w:line="380" w:lineRule="exact"/>
              <w:jc w:val="center"/>
              <w:rPr>
                <w:rFonts w:hAnsi="宋体" w:cs="宋体"/>
                <w:color w:val="auto"/>
                <w:sz w:val="21"/>
                <w:szCs w:val="21"/>
                <w:highlight w:val="none"/>
              </w:rPr>
            </w:pPr>
          </w:p>
        </w:tc>
        <w:tc>
          <w:tcPr>
            <w:tcW w:w="2101" w:type="dxa"/>
            <w:vAlign w:val="center"/>
          </w:tcPr>
          <w:p>
            <w:pPr>
              <w:spacing w:line="380" w:lineRule="exact"/>
              <w:jc w:val="center"/>
              <w:rPr>
                <w:rFonts w:hAnsi="宋体" w:cs="宋体"/>
                <w:color w:val="auto"/>
                <w:sz w:val="21"/>
                <w:szCs w:val="21"/>
                <w:highlight w:val="none"/>
              </w:rPr>
            </w:pPr>
          </w:p>
        </w:tc>
        <w:tc>
          <w:tcPr>
            <w:tcW w:w="2029" w:type="dxa"/>
            <w:vAlign w:val="center"/>
          </w:tcPr>
          <w:p>
            <w:pPr>
              <w:spacing w:line="380" w:lineRule="exact"/>
              <w:jc w:val="center"/>
              <w:rPr>
                <w:rFonts w:hAnsi="宋体" w:cs="宋体"/>
                <w:color w:val="auto"/>
                <w:sz w:val="21"/>
                <w:szCs w:val="21"/>
                <w:highlight w:val="none"/>
              </w:rPr>
            </w:pPr>
          </w:p>
        </w:tc>
        <w:tc>
          <w:tcPr>
            <w:tcW w:w="1501" w:type="dxa"/>
            <w:vAlign w:val="center"/>
          </w:tcPr>
          <w:p>
            <w:pPr>
              <w:spacing w:line="380" w:lineRule="exact"/>
              <w:jc w:val="center"/>
              <w:rPr>
                <w:rFonts w:hAnsi="宋体" w:cs="宋体"/>
                <w:color w:val="auto"/>
                <w:sz w:val="21"/>
                <w:szCs w:val="21"/>
                <w:highlight w:val="none"/>
              </w:rPr>
            </w:pPr>
          </w:p>
        </w:tc>
      </w:tr>
    </w:tbl>
    <w:p>
      <w:pPr>
        <w:pStyle w:val="24"/>
        <w:spacing w:line="360" w:lineRule="auto"/>
        <w:rPr>
          <w:rFonts w:hAnsi="宋体" w:cs="宋体"/>
          <w:color w:val="auto"/>
          <w:highlight w:val="none"/>
        </w:rPr>
      </w:pPr>
    </w:p>
    <w:p>
      <w:pPr>
        <w:pStyle w:val="24"/>
        <w:spacing w:line="360" w:lineRule="auto"/>
        <w:rPr>
          <w:rFonts w:hAnsi="宋体" w:cs="宋体"/>
          <w:color w:val="auto"/>
          <w:sz w:val="24"/>
          <w:szCs w:val="24"/>
          <w:highlight w:val="none"/>
        </w:rPr>
      </w:pPr>
      <w:r>
        <w:rPr>
          <w:rFonts w:hint="eastAsia" w:hAnsi="宋体" w:cs="宋体"/>
          <w:color w:val="auto"/>
          <w:sz w:val="24"/>
          <w:szCs w:val="24"/>
          <w:highlight w:val="none"/>
        </w:rPr>
        <w:t>说明：1.各供应商可根据自身的具体情况，自行填写其他承诺事项。</w:t>
      </w:r>
    </w:p>
    <w:p>
      <w:pPr>
        <w:pStyle w:val="24"/>
        <w:spacing w:line="360" w:lineRule="auto"/>
        <w:rPr>
          <w:rFonts w:hAnsi="宋体" w:cs="宋体"/>
          <w:color w:val="auto"/>
          <w:sz w:val="24"/>
          <w:szCs w:val="24"/>
          <w:highlight w:val="none"/>
        </w:rPr>
      </w:pPr>
      <w:r>
        <w:rPr>
          <w:rFonts w:hint="eastAsia" w:hAnsi="宋体" w:cs="宋体"/>
          <w:color w:val="auto"/>
          <w:sz w:val="24"/>
          <w:szCs w:val="24"/>
          <w:highlight w:val="none"/>
        </w:rPr>
        <w:t>   2.供应商的承诺内容须具体明确。响应情况分别为：正偏离、响应或负偏离。供应商可在备注栏内就偏离原因进行简要说明。</w:t>
      </w:r>
    </w:p>
    <w:p>
      <w:pPr>
        <w:pStyle w:val="24"/>
        <w:spacing w:line="360" w:lineRule="auto"/>
        <w:ind w:firstLine="720" w:firstLineChars="300"/>
        <w:rPr>
          <w:rFonts w:hAnsi="宋体" w:cs="宋体"/>
          <w:color w:val="auto"/>
          <w:sz w:val="24"/>
          <w:szCs w:val="24"/>
          <w:highlight w:val="none"/>
        </w:rPr>
      </w:pPr>
    </w:p>
    <w:p>
      <w:pPr>
        <w:pStyle w:val="24"/>
        <w:snapToGrid w:val="0"/>
        <w:spacing w:line="360" w:lineRule="auto"/>
        <w:rPr>
          <w:rFonts w:hAnsi="宋体" w:cs="宋体"/>
          <w:color w:val="auto"/>
          <w:sz w:val="24"/>
          <w:szCs w:val="24"/>
          <w:highlight w:val="none"/>
        </w:rPr>
      </w:pPr>
      <w:r>
        <w:rPr>
          <w:rFonts w:hint="eastAsia" w:hAnsi="宋体" w:cs="宋体"/>
          <w:color w:val="auto"/>
          <w:sz w:val="24"/>
          <w:szCs w:val="24"/>
          <w:highlight w:val="none"/>
        </w:rPr>
        <w:t>供应商（盖章）：__________________________</w:t>
      </w:r>
    </w:p>
    <w:p>
      <w:pPr>
        <w:pStyle w:val="24"/>
        <w:snapToGrid w:val="0"/>
        <w:spacing w:line="360" w:lineRule="auto"/>
        <w:rPr>
          <w:rFonts w:hAnsi="宋体" w:cs="宋体"/>
          <w:color w:val="auto"/>
          <w:sz w:val="24"/>
          <w:szCs w:val="24"/>
          <w:highlight w:val="none"/>
        </w:rPr>
      </w:pPr>
      <w:r>
        <w:rPr>
          <w:rFonts w:hint="eastAsia" w:hAnsi="宋体" w:cs="宋体"/>
          <w:color w:val="auto"/>
          <w:sz w:val="24"/>
          <w:szCs w:val="24"/>
          <w:highlight w:val="none"/>
        </w:rPr>
        <w:t>法定代表人或其授权代表（签字）：__________________</w:t>
      </w:r>
    </w:p>
    <w:p>
      <w:pPr>
        <w:snapToGrid w:val="0"/>
        <w:spacing w:line="480" w:lineRule="auto"/>
        <w:rPr>
          <w:rFonts w:hAnsi="宋体" w:cs="宋体"/>
          <w:color w:val="auto"/>
          <w:sz w:val="24"/>
          <w:szCs w:val="24"/>
          <w:highlight w:val="none"/>
        </w:rPr>
      </w:pPr>
      <w:r>
        <w:rPr>
          <w:rFonts w:hint="eastAsia" w:hAnsi="宋体" w:cs="宋体"/>
          <w:color w:val="auto"/>
          <w:sz w:val="24"/>
          <w:szCs w:val="24"/>
          <w:highlight w:val="none"/>
        </w:rPr>
        <w:t>日期：年____月____日</w:t>
      </w:r>
    </w:p>
    <w:p>
      <w:pPr>
        <w:pStyle w:val="44"/>
        <w:ind w:left="680"/>
        <w:rPr>
          <w:rFonts w:ascii="宋体" w:hAnsi="宋体"/>
          <w:color w:val="auto"/>
          <w:sz w:val="24"/>
          <w:szCs w:val="24"/>
          <w:highlight w:val="none"/>
        </w:rPr>
      </w:pPr>
    </w:p>
    <w:p>
      <w:pPr>
        <w:rPr>
          <w:rFonts w:hAnsi="宋体" w:cs="宋体"/>
          <w:color w:val="auto"/>
          <w:sz w:val="24"/>
          <w:szCs w:val="24"/>
          <w:highlight w:val="none"/>
        </w:rPr>
      </w:pPr>
    </w:p>
    <w:p>
      <w:pPr>
        <w:pStyle w:val="44"/>
        <w:ind w:left="680"/>
        <w:rPr>
          <w:rFonts w:ascii="宋体" w:hAnsi="宋体"/>
          <w:color w:val="auto"/>
          <w:sz w:val="24"/>
          <w:szCs w:val="24"/>
          <w:highlight w:val="none"/>
        </w:rPr>
      </w:pPr>
    </w:p>
    <w:p>
      <w:pPr>
        <w:rPr>
          <w:rFonts w:hAnsi="宋体" w:cs="宋体"/>
          <w:color w:val="auto"/>
          <w:sz w:val="24"/>
          <w:szCs w:val="24"/>
          <w:highlight w:val="none"/>
        </w:rPr>
      </w:pPr>
    </w:p>
    <w:p>
      <w:pPr>
        <w:pStyle w:val="44"/>
        <w:ind w:left="680"/>
        <w:rPr>
          <w:rFonts w:ascii="宋体" w:hAnsi="宋体"/>
          <w:color w:val="auto"/>
          <w:sz w:val="24"/>
          <w:szCs w:val="24"/>
          <w:highlight w:val="none"/>
        </w:rPr>
      </w:pPr>
    </w:p>
    <w:p>
      <w:pPr>
        <w:rPr>
          <w:rFonts w:hAnsi="宋体" w:cs="宋体"/>
          <w:color w:val="auto"/>
          <w:sz w:val="24"/>
          <w:szCs w:val="24"/>
          <w:highlight w:val="none"/>
        </w:rPr>
      </w:pPr>
    </w:p>
    <w:p>
      <w:pPr>
        <w:pStyle w:val="44"/>
        <w:ind w:left="680"/>
        <w:rPr>
          <w:rFonts w:ascii="宋体" w:hAnsi="宋体"/>
          <w:color w:val="auto"/>
          <w:sz w:val="24"/>
          <w:szCs w:val="24"/>
          <w:highlight w:val="none"/>
        </w:rPr>
      </w:pPr>
    </w:p>
    <w:p>
      <w:pPr>
        <w:rPr>
          <w:rFonts w:hAnsi="宋体" w:cs="宋体"/>
          <w:color w:val="auto"/>
          <w:sz w:val="24"/>
          <w:szCs w:val="24"/>
          <w:highlight w:val="none"/>
        </w:rPr>
      </w:pPr>
    </w:p>
    <w:p>
      <w:pPr>
        <w:pStyle w:val="44"/>
        <w:ind w:left="680"/>
        <w:rPr>
          <w:rFonts w:ascii="宋体" w:hAnsi="宋体"/>
          <w:color w:val="auto"/>
          <w:sz w:val="24"/>
          <w:szCs w:val="24"/>
          <w:highlight w:val="none"/>
        </w:rPr>
      </w:pPr>
    </w:p>
    <w:p>
      <w:pPr>
        <w:rPr>
          <w:rFonts w:hAnsi="宋体" w:cs="宋体"/>
          <w:color w:val="auto"/>
          <w:highlight w:val="none"/>
        </w:rPr>
      </w:pPr>
    </w:p>
    <w:p>
      <w:pPr>
        <w:snapToGrid w:val="0"/>
        <w:spacing w:before="50" w:after="50"/>
        <w:jc w:val="center"/>
        <w:rPr>
          <w:rFonts w:hAnsi="宋体" w:cs="宋体"/>
          <w:b/>
          <w:bCs/>
          <w:color w:val="auto"/>
          <w:sz w:val="24"/>
          <w:highlight w:val="none"/>
        </w:rPr>
      </w:pPr>
      <w:bookmarkStart w:id="742" w:name="_Toc237414030"/>
      <w:bookmarkStart w:id="743" w:name="_Toc237413935"/>
      <w:bookmarkStart w:id="744" w:name="_Toc256507110"/>
      <w:bookmarkStart w:id="745" w:name="_Toc237340129"/>
      <w:bookmarkStart w:id="746" w:name="_Toc255551952"/>
      <w:bookmarkStart w:id="747" w:name="_Toc237189802"/>
      <w:bookmarkStart w:id="748" w:name="_Toc361092710"/>
      <w:bookmarkStart w:id="749" w:name="_Toc237193473"/>
      <w:bookmarkStart w:id="750" w:name="_Toc256507276"/>
      <w:bookmarkStart w:id="751" w:name="_Toc237182521"/>
      <w:bookmarkStart w:id="752" w:name="_Toc256682238"/>
      <w:r>
        <w:rPr>
          <w:rFonts w:hint="eastAsia" w:hAnsi="宋体" w:cs="宋体"/>
          <w:b/>
          <w:color w:val="auto"/>
          <w:sz w:val="24"/>
          <w:szCs w:val="24"/>
          <w:highlight w:val="none"/>
        </w:rPr>
        <w:t>7</w:t>
      </w:r>
      <w:r>
        <w:rPr>
          <w:rFonts w:hint="eastAsia" w:hAnsi="宋体" w:cs="宋体"/>
          <w:b/>
          <w:bCs/>
          <w:color w:val="auto"/>
          <w:sz w:val="24"/>
          <w:highlight w:val="none"/>
        </w:rPr>
        <w:t>.2021年1月1日以来至今同类项目服务业绩</w:t>
      </w:r>
      <w:bookmarkEnd w:id="742"/>
      <w:bookmarkEnd w:id="743"/>
      <w:bookmarkEnd w:id="744"/>
      <w:bookmarkEnd w:id="745"/>
      <w:bookmarkEnd w:id="746"/>
      <w:bookmarkEnd w:id="747"/>
      <w:bookmarkEnd w:id="748"/>
      <w:bookmarkEnd w:id="749"/>
      <w:bookmarkEnd w:id="750"/>
      <w:bookmarkEnd w:id="751"/>
      <w:bookmarkEnd w:id="752"/>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28"/>
        <w:gridCol w:w="2545"/>
        <w:gridCol w:w="1791"/>
        <w:gridCol w:w="160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序号</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项 目 名 称</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项目起止时间</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业主单位</w:t>
            </w:r>
          </w:p>
        </w:tc>
        <w:tc>
          <w:tcPr>
            <w:tcW w:w="1602"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24"/>
                <w:highlight w:val="none"/>
              </w:rPr>
            </w:pPr>
            <w:r>
              <w:rPr>
                <w:rFonts w:hint="eastAsia" w:hAnsi="宋体" w:cs="宋体"/>
                <w:color w:val="auto"/>
                <w:sz w:val="24"/>
                <w:highlight w:val="none"/>
              </w:rPr>
              <w:t>合同金额</w:t>
            </w:r>
          </w:p>
          <w:p>
            <w:pPr>
              <w:widowControl/>
              <w:snapToGrid w:val="0"/>
              <w:jc w:val="center"/>
              <w:rPr>
                <w:rFonts w:hAnsi="宋体" w:cs="宋体"/>
                <w:color w:val="auto"/>
                <w:sz w:val="24"/>
                <w:highlight w:val="none"/>
              </w:rPr>
            </w:pPr>
            <w:r>
              <w:rPr>
                <w:rFonts w:hint="eastAsia" w:hAnsi="宋体" w:cs="宋体"/>
                <w:color w:val="auto"/>
                <w:sz w:val="24"/>
                <w:highlight w:val="none"/>
              </w:rPr>
              <w:t>（人民币）</w:t>
            </w:r>
          </w:p>
        </w:tc>
        <w:tc>
          <w:tcPr>
            <w:tcW w:w="9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9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9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9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9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9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9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9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9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c>
          <w:tcPr>
            <w:tcW w:w="9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highlight w:val="none"/>
              </w:rPr>
            </w:pPr>
            <w:r>
              <w:rPr>
                <w:rFonts w:hint="eastAsia" w:hAnsi="宋体" w:cs="宋体"/>
                <w:color w:val="auto"/>
                <w:sz w:val="24"/>
                <w:highlight w:val="none"/>
              </w:rPr>
              <w:t> </w:t>
            </w:r>
          </w:p>
        </w:tc>
      </w:tr>
    </w:tbl>
    <w:p>
      <w:pPr>
        <w:spacing w:line="300" w:lineRule="auto"/>
        <w:jc w:val="center"/>
        <w:rPr>
          <w:rFonts w:hAnsi="宋体" w:cs="宋体"/>
          <w:color w:val="auto"/>
          <w:sz w:val="21"/>
          <w:szCs w:val="21"/>
          <w:highlight w:val="none"/>
        </w:rPr>
      </w:pPr>
    </w:p>
    <w:p>
      <w:pPr>
        <w:spacing w:line="300" w:lineRule="auto"/>
        <w:rPr>
          <w:rFonts w:hAnsi="宋体" w:cs="宋体"/>
          <w:color w:val="auto"/>
          <w:sz w:val="24"/>
          <w:highlight w:val="none"/>
        </w:rPr>
      </w:pPr>
      <w:r>
        <w:rPr>
          <w:rFonts w:hint="eastAsia" w:hAnsi="宋体" w:cs="宋体"/>
          <w:color w:val="auto"/>
          <w:sz w:val="24"/>
          <w:highlight w:val="none"/>
        </w:rPr>
        <w:t xml:space="preserve">供应商全称（加盖公章）：            </w:t>
      </w:r>
    </w:p>
    <w:p>
      <w:pPr>
        <w:spacing w:line="300" w:lineRule="auto"/>
        <w:jc w:val="center"/>
        <w:rPr>
          <w:rFonts w:hAnsi="宋体" w:cs="宋体"/>
          <w:color w:val="auto"/>
          <w:sz w:val="24"/>
          <w:highlight w:val="none"/>
        </w:rPr>
      </w:pPr>
    </w:p>
    <w:p>
      <w:pPr>
        <w:spacing w:line="300" w:lineRule="auto"/>
        <w:rPr>
          <w:rFonts w:hAnsi="宋体" w:cs="宋体"/>
          <w:color w:val="auto"/>
          <w:sz w:val="24"/>
          <w:highlight w:val="none"/>
        </w:rPr>
      </w:pPr>
      <w:r>
        <w:rPr>
          <w:rFonts w:hint="eastAsia" w:hAnsi="宋体" w:cs="宋体"/>
          <w:color w:val="auto"/>
          <w:sz w:val="24"/>
          <w:highlight w:val="none"/>
        </w:rPr>
        <w:t>法定代表人或其授权代表签字：</w:t>
      </w:r>
    </w:p>
    <w:p>
      <w:pPr>
        <w:spacing w:line="300" w:lineRule="auto"/>
        <w:jc w:val="center"/>
        <w:rPr>
          <w:rFonts w:hAnsi="宋体" w:cs="宋体"/>
          <w:color w:val="auto"/>
          <w:sz w:val="24"/>
          <w:highlight w:val="none"/>
        </w:rPr>
      </w:pPr>
    </w:p>
    <w:p>
      <w:pPr>
        <w:autoSpaceDE/>
        <w:autoSpaceDN/>
        <w:adjustRightInd/>
        <w:spacing w:line="500" w:lineRule="exact"/>
        <w:ind w:firstLine="480" w:firstLineChars="200"/>
        <w:jc w:val="both"/>
        <w:textAlignment w:val="auto"/>
        <w:rPr>
          <w:rFonts w:hAnsi="宋体" w:cs="宋体"/>
          <w:color w:val="auto"/>
          <w:sz w:val="24"/>
          <w:highlight w:val="none"/>
        </w:rPr>
      </w:pPr>
      <w:r>
        <w:rPr>
          <w:rFonts w:hint="eastAsia" w:hAnsi="宋体" w:cs="宋体"/>
          <w:color w:val="auto"/>
          <w:sz w:val="24"/>
          <w:highlight w:val="none"/>
        </w:rPr>
        <w:t>年     月     日</w:t>
      </w:r>
    </w:p>
    <w:p>
      <w:pPr>
        <w:autoSpaceDE/>
        <w:autoSpaceDN/>
        <w:adjustRightInd/>
        <w:spacing w:line="500" w:lineRule="exact"/>
        <w:ind w:firstLine="480" w:firstLineChars="200"/>
        <w:jc w:val="both"/>
        <w:textAlignment w:val="auto"/>
        <w:rPr>
          <w:rFonts w:hAnsi="宋体" w:cs="宋体"/>
          <w:color w:val="auto"/>
          <w:sz w:val="24"/>
          <w:highlight w:val="none"/>
        </w:rPr>
      </w:pPr>
    </w:p>
    <w:p>
      <w:pPr>
        <w:autoSpaceDE/>
        <w:autoSpaceDN/>
        <w:adjustRightInd/>
        <w:spacing w:line="500" w:lineRule="exact"/>
        <w:ind w:firstLine="480" w:firstLineChars="200"/>
        <w:jc w:val="both"/>
        <w:textAlignment w:val="auto"/>
        <w:rPr>
          <w:rFonts w:hAnsi="宋体" w:cs="宋体"/>
          <w:color w:val="auto"/>
          <w:sz w:val="24"/>
          <w:highlight w:val="none"/>
        </w:rPr>
      </w:pPr>
    </w:p>
    <w:p>
      <w:pPr>
        <w:autoSpaceDE/>
        <w:autoSpaceDN/>
        <w:adjustRightInd/>
        <w:spacing w:line="500" w:lineRule="exact"/>
        <w:ind w:firstLine="480" w:firstLineChars="200"/>
        <w:jc w:val="both"/>
        <w:textAlignment w:val="auto"/>
        <w:rPr>
          <w:rFonts w:hAnsi="宋体" w:cs="宋体"/>
          <w:color w:val="auto"/>
          <w:sz w:val="24"/>
          <w:highlight w:val="none"/>
        </w:rPr>
      </w:pPr>
    </w:p>
    <w:p>
      <w:pPr>
        <w:autoSpaceDE/>
        <w:autoSpaceDN/>
        <w:adjustRightInd/>
        <w:spacing w:line="500" w:lineRule="exact"/>
        <w:ind w:firstLine="480" w:firstLineChars="200"/>
        <w:jc w:val="both"/>
        <w:textAlignment w:val="auto"/>
        <w:rPr>
          <w:rFonts w:hAnsi="宋体" w:cs="宋体"/>
          <w:color w:val="auto"/>
          <w:sz w:val="24"/>
          <w:highlight w:val="none"/>
        </w:rPr>
      </w:pPr>
    </w:p>
    <w:p>
      <w:pPr>
        <w:autoSpaceDE/>
        <w:autoSpaceDN/>
        <w:adjustRightInd/>
        <w:spacing w:line="500" w:lineRule="exact"/>
        <w:ind w:firstLine="480" w:firstLineChars="200"/>
        <w:jc w:val="both"/>
        <w:textAlignment w:val="auto"/>
        <w:rPr>
          <w:rFonts w:hAnsi="宋体" w:cs="宋体"/>
          <w:color w:val="auto"/>
          <w:sz w:val="24"/>
          <w:highlight w:val="none"/>
        </w:rPr>
      </w:pPr>
    </w:p>
    <w:p>
      <w:pPr>
        <w:autoSpaceDE/>
        <w:autoSpaceDN/>
        <w:adjustRightInd/>
        <w:spacing w:line="500" w:lineRule="exact"/>
        <w:ind w:firstLine="480" w:firstLineChars="200"/>
        <w:jc w:val="both"/>
        <w:textAlignment w:val="auto"/>
        <w:rPr>
          <w:rFonts w:hAnsi="宋体" w:cs="宋体"/>
          <w:color w:val="auto"/>
          <w:sz w:val="24"/>
          <w:highlight w:val="none"/>
        </w:rPr>
      </w:pPr>
    </w:p>
    <w:p>
      <w:pPr>
        <w:autoSpaceDE/>
        <w:autoSpaceDN/>
        <w:adjustRightInd/>
        <w:spacing w:line="500" w:lineRule="exact"/>
        <w:ind w:firstLine="480" w:firstLineChars="200"/>
        <w:jc w:val="both"/>
        <w:textAlignment w:val="auto"/>
        <w:rPr>
          <w:rFonts w:hAnsi="宋体" w:cs="宋体"/>
          <w:color w:val="auto"/>
          <w:sz w:val="24"/>
          <w:highlight w:val="none"/>
        </w:rPr>
      </w:pPr>
    </w:p>
    <w:p>
      <w:pPr>
        <w:autoSpaceDE/>
        <w:autoSpaceDN/>
        <w:adjustRightInd/>
        <w:spacing w:line="500" w:lineRule="exact"/>
        <w:ind w:firstLine="480" w:firstLineChars="200"/>
        <w:jc w:val="both"/>
        <w:textAlignment w:val="auto"/>
        <w:rPr>
          <w:rFonts w:hAnsi="宋体" w:cs="宋体"/>
          <w:color w:val="auto"/>
          <w:sz w:val="24"/>
          <w:highlight w:val="none"/>
        </w:rPr>
      </w:pPr>
    </w:p>
    <w:p>
      <w:pPr>
        <w:autoSpaceDE/>
        <w:autoSpaceDN/>
        <w:adjustRightInd/>
        <w:spacing w:line="500" w:lineRule="exact"/>
        <w:ind w:firstLine="480" w:firstLineChars="200"/>
        <w:jc w:val="both"/>
        <w:textAlignment w:val="auto"/>
        <w:rPr>
          <w:rFonts w:hAnsi="宋体" w:cs="宋体"/>
          <w:color w:val="auto"/>
          <w:sz w:val="24"/>
          <w:highlight w:val="none"/>
        </w:rPr>
      </w:pPr>
    </w:p>
    <w:p>
      <w:pPr>
        <w:autoSpaceDE/>
        <w:autoSpaceDN/>
        <w:adjustRightInd/>
        <w:spacing w:line="500" w:lineRule="exact"/>
        <w:ind w:firstLine="420" w:firstLineChars="200"/>
        <w:jc w:val="both"/>
        <w:textAlignment w:val="auto"/>
        <w:rPr>
          <w:rFonts w:hAnsi="宋体" w:cs="宋体"/>
          <w:color w:val="auto"/>
          <w:sz w:val="21"/>
          <w:szCs w:val="21"/>
          <w:highlight w:val="none"/>
        </w:rPr>
      </w:pPr>
    </w:p>
    <w:p>
      <w:pPr>
        <w:autoSpaceDE/>
        <w:autoSpaceDN/>
        <w:adjustRightInd/>
        <w:spacing w:line="500" w:lineRule="exact"/>
        <w:ind w:firstLine="420" w:firstLineChars="200"/>
        <w:jc w:val="both"/>
        <w:textAlignment w:val="auto"/>
        <w:rPr>
          <w:rFonts w:hAnsi="宋体" w:cs="宋体"/>
          <w:bCs/>
          <w:color w:val="auto"/>
          <w:sz w:val="21"/>
          <w:szCs w:val="21"/>
          <w:highlight w:val="none"/>
        </w:rPr>
      </w:pPr>
      <w:r>
        <w:rPr>
          <w:rFonts w:hint="eastAsia" w:hAnsi="宋体" w:cs="宋体"/>
          <w:color w:val="auto"/>
          <w:sz w:val="21"/>
          <w:szCs w:val="21"/>
          <w:highlight w:val="none"/>
        </w:rPr>
        <w:t>8.</w:t>
      </w:r>
      <w:r>
        <w:rPr>
          <w:rFonts w:hint="eastAsia" w:hAnsi="宋体" w:cs="宋体"/>
          <w:bCs/>
          <w:color w:val="auto"/>
          <w:sz w:val="21"/>
          <w:szCs w:val="21"/>
          <w:highlight w:val="none"/>
        </w:rPr>
        <w:t>针对本项目的详细服务方案（格式自拟）；</w:t>
      </w:r>
    </w:p>
    <w:p>
      <w:pPr>
        <w:autoSpaceDE/>
        <w:autoSpaceDN/>
        <w:adjustRightInd/>
        <w:spacing w:line="500" w:lineRule="exact"/>
        <w:ind w:firstLine="420" w:firstLineChars="200"/>
        <w:jc w:val="both"/>
        <w:textAlignment w:val="auto"/>
        <w:rPr>
          <w:rFonts w:hAnsi="宋体" w:cs="宋体"/>
          <w:bCs/>
          <w:color w:val="auto"/>
          <w:sz w:val="21"/>
          <w:szCs w:val="21"/>
          <w:highlight w:val="none"/>
        </w:rPr>
      </w:pPr>
      <w:r>
        <w:rPr>
          <w:rFonts w:hint="eastAsia" w:hAnsi="宋体" w:cs="宋体"/>
          <w:bCs/>
          <w:color w:val="auto"/>
          <w:sz w:val="21"/>
          <w:szCs w:val="21"/>
          <w:highlight w:val="none"/>
        </w:rPr>
        <w:t>①对本项目的需求理解，重点难点的分析等；</w:t>
      </w:r>
    </w:p>
    <w:p>
      <w:pPr>
        <w:autoSpaceDE/>
        <w:autoSpaceDN/>
        <w:adjustRightInd/>
        <w:spacing w:line="500" w:lineRule="exact"/>
        <w:ind w:firstLine="420" w:firstLineChars="200"/>
        <w:jc w:val="both"/>
        <w:textAlignment w:val="auto"/>
        <w:rPr>
          <w:rFonts w:hAnsi="宋体" w:cs="宋体"/>
          <w:bCs/>
          <w:color w:val="auto"/>
          <w:sz w:val="21"/>
          <w:szCs w:val="21"/>
          <w:highlight w:val="none"/>
        </w:rPr>
      </w:pPr>
      <w:r>
        <w:rPr>
          <w:rFonts w:hint="eastAsia" w:hAnsi="宋体" w:cs="宋体"/>
          <w:bCs/>
          <w:color w:val="auto"/>
          <w:sz w:val="21"/>
          <w:szCs w:val="21"/>
          <w:highlight w:val="none"/>
        </w:rPr>
        <w:t>②组织方案（包括</w:t>
      </w:r>
      <w:r>
        <w:rPr>
          <w:rFonts w:hint="eastAsia" w:hAnsi="宋体" w:cs="宋体"/>
          <w:color w:val="auto"/>
          <w:sz w:val="21"/>
          <w:szCs w:val="21"/>
          <w:highlight w:val="none"/>
        </w:rPr>
        <w:t>总体方案设计；</w:t>
      </w:r>
      <w:r>
        <w:rPr>
          <w:rFonts w:hint="eastAsia"/>
          <w:color w:val="auto"/>
          <w:sz w:val="21"/>
          <w:szCs w:val="21"/>
          <w:highlight w:val="none"/>
        </w:rPr>
        <w:t>系统建设方案、功能介绍；</w:t>
      </w:r>
      <w:r>
        <w:rPr>
          <w:rStyle w:val="143"/>
          <w:rFonts w:hAnsi="宋体"/>
          <w:color w:val="auto"/>
          <w:sz w:val="21"/>
          <w:szCs w:val="21"/>
          <w:highlight w:val="none"/>
        </w:rPr>
        <w:t>项目实施的技术力量安排</w:t>
      </w:r>
      <w:r>
        <w:rPr>
          <w:rFonts w:hint="eastAsia" w:hAnsi="宋体" w:cs="宋体"/>
          <w:bCs/>
          <w:color w:val="auto"/>
          <w:sz w:val="21"/>
          <w:szCs w:val="21"/>
          <w:highlight w:val="none"/>
        </w:rPr>
        <w:t>及技术保障；</w:t>
      </w:r>
      <w:r>
        <w:rPr>
          <w:rFonts w:hint="eastAsia"/>
          <w:color w:val="auto"/>
          <w:sz w:val="21"/>
          <w:szCs w:val="21"/>
          <w:highlight w:val="none"/>
        </w:rPr>
        <w:t>质量保证措施及承诺</w:t>
      </w:r>
      <w:r>
        <w:rPr>
          <w:rFonts w:hint="eastAsia" w:hAnsi="宋体" w:cs="宋体"/>
          <w:bCs/>
          <w:color w:val="auto"/>
          <w:sz w:val="21"/>
          <w:szCs w:val="21"/>
          <w:highlight w:val="none"/>
        </w:rPr>
        <w:t>；验收方案；</w:t>
      </w:r>
      <w:r>
        <w:rPr>
          <w:rFonts w:hint="eastAsia"/>
          <w:color w:val="auto"/>
          <w:sz w:val="21"/>
          <w:szCs w:val="21"/>
          <w:highlight w:val="none"/>
        </w:rPr>
        <w:t>突发事件紧急预案；</w:t>
      </w:r>
      <w:r>
        <w:rPr>
          <w:rFonts w:hint="eastAsia" w:cs="宋体"/>
          <w:color w:val="auto"/>
          <w:sz w:val="21"/>
          <w:szCs w:val="21"/>
          <w:highlight w:val="none"/>
        </w:rPr>
        <w:t>技术培训</w:t>
      </w:r>
      <w:r>
        <w:rPr>
          <w:rFonts w:hint="eastAsia" w:hAnsi="宋体" w:cs="宋体"/>
          <w:bCs/>
          <w:color w:val="auto"/>
          <w:sz w:val="21"/>
          <w:szCs w:val="21"/>
          <w:highlight w:val="none"/>
        </w:rPr>
        <w:t>等）</w:t>
      </w:r>
    </w:p>
    <w:p>
      <w:pPr>
        <w:autoSpaceDE/>
        <w:autoSpaceDN/>
        <w:adjustRightInd/>
        <w:spacing w:line="500" w:lineRule="exact"/>
        <w:ind w:firstLine="840" w:firstLineChars="400"/>
        <w:jc w:val="both"/>
        <w:textAlignment w:val="auto"/>
        <w:rPr>
          <w:rFonts w:hAnsi="宋体" w:cs="宋体"/>
          <w:color w:val="auto"/>
          <w:sz w:val="21"/>
          <w:szCs w:val="21"/>
          <w:highlight w:val="none"/>
        </w:rPr>
      </w:pPr>
    </w:p>
    <w:p>
      <w:pPr>
        <w:autoSpaceDE/>
        <w:autoSpaceDN/>
        <w:adjustRightInd/>
        <w:spacing w:line="500" w:lineRule="exact"/>
        <w:ind w:firstLine="840" w:firstLineChars="400"/>
        <w:jc w:val="both"/>
        <w:textAlignment w:val="auto"/>
        <w:rPr>
          <w:rFonts w:hAnsi="宋体" w:cs="宋体"/>
          <w:color w:val="auto"/>
          <w:sz w:val="21"/>
          <w:szCs w:val="21"/>
          <w:highlight w:val="none"/>
        </w:rPr>
      </w:pPr>
    </w:p>
    <w:p>
      <w:pPr>
        <w:spacing w:line="500" w:lineRule="exact"/>
        <w:ind w:firstLine="420" w:firstLineChars="200"/>
        <w:jc w:val="both"/>
        <w:textAlignment w:val="bottom"/>
        <w:rPr>
          <w:rFonts w:hAnsi="宋体" w:cs="宋体"/>
          <w:color w:val="auto"/>
          <w:sz w:val="21"/>
          <w:szCs w:val="21"/>
          <w:highlight w:val="none"/>
        </w:rPr>
      </w:pPr>
    </w:p>
    <w:p>
      <w:pPr>
        <w:spacing w:line="500" w:lineRule="exact"/>
        <w:ind w:firstLine="420" w:firstLineChars="200"/>
        <w:jc w:val="both"/>
        <w:textAlignment w:val="bottom"/>
        <w:rPr>
          <w:rFonts w:hAnsi="宋体" w:cs="宋体"/>
          <w:color w:val="auto"/>
          <w:sz w:val="21"/>
          <w:highlight w:val="none"/>
        </w:rPr>
      </w:pPr>
      <w:r>
        <w:rPr>
          <w:rFonts w:hint="eastAsia" w:hAnsi="宋体" w:cs="宋体"/>
          <w:color w:val="auto"/>
          <w:sz w:val="21"/>
          <w:szCs w:val="21"/>
          <w:highlight w:val="none"/>
        </w:rPr>
        <w:t>9..磋商响应供应商需要说明的其他文件和说明（格式自拟）</w:t>
      </w:r>
    </w:p>
    <w:p>
      <w:pPr>
        <w:autoSpaceDE/>
        <w:autoSpaceDN/>
        <w:adjustRightInd/>
        <w:spacing w:line="480" w:lineRule="exact"/>
        <w:ind w:firstLine="602" w:firstLineChars="200"/>
        <w:jc w:val="both"/>
        <w:textAlignment w:val="auto"/>
        <w:rPr>
          <w:rFonts w:hAnsi="宋体" w:cs="宋体"/>
          <w:b/>
          <w:bCs/>
          <w:color w:val="auto"/>
          <w:sz w:val="30"/>
          <w:szCs w:val="30"/>
          <w:highlight w:val="none"/>
        </w:rPr>
      </w:pPr>
    </w:p>
    <w:p>
      <w:pPr>
        <w:autoSpaceDE/>
        <w:autoSpaceDN/>
        <w:adjustRightInd/>
        <w:spacing w:line="480" w:lineRule="exact"/>
        <w:ind w:firstLine="602" w:firstLineChars="200"/>
        <w:jc w:val="both"/>
        <w:textAlignment w:val="auto"/>
        <w:rPr>
          <w:rFonts w:hAnsi="宋体" w:cs="宋体"/>
          <w:b/>
          <w:bCs/>
          <w:color w:val="auto"/>
          <w:sz w:val="30"/>
          <w:szCs w:val="30"/>
          <w:highlight w:val="none"/>
        </w:rPr>
      </w:pPr>
    </w:p>
    <w:p>
      <w:pPr>
        <w:autoSpaceDE/>
        <w:autoSpaceDN/>
        <w:adjustRightInd/>
        <w:spacing w:line="480" w:lineRule="exact"/>
        <w:ind w:firstLine="602" w:firstLineChars="200"/>
        <w:jc w:val="both"/>
        <w:textAlignment w:val="auto"/>
        <w:rPr>
          <w:rFonts w:hAnsi="宋体" w:cs="宋体"/>
          <w:b/>
          <w:bCs/>
          <w:color w:val="auto"/>
          <w:sz w:val="30"/>
          <w:szCs w:val="30"/>
          <w:highlight w:val="none"/>
        </w:rPr>
      </w:pPr>
    </w:p>
    <w:p>
      <w:pPr>
        <w:autoSpaceDE/>
        <w:autoSpaceDN/>
        <w:adjustRightInd/>
        <w:spacing w:line="480" w:lineRule="exact"/>
        <w:ind w:firstLine="602" w:firstLineChars="200"/>
        <w:jc w:val="both"/>
        <w:textAlignment w:val="auto"/>
        <w:rPr>
          <w:rFonts w:hAnsi="宋体" w:cs="宋体"/>
          <w:b/>
          <w:bCs/>
          <w:color w:val="auto"/>
          <w:sz w:val="30"/>
          <w:szCs w:val="30"/>
          <w:highlight w:val="none"/>
        </w:rPr>
      </w:pPr>
    </w:p>
    <w:p>
      <w:pPr>
        <w:autoSpaceDE/>
        <w:autoSpaceDN/>
        <w:adjustRightInd/>
        <w:spacing w:line="480" w:lineRule="exact"/>
        <w:ind w:firstLine="602" w:firstLineChars="200"/>
        <w:jc w:val="both"/>
        <w:textAlignment w:val="auto"/>
        <w:rPr>
          <w:rFonts w:hAnsi="宋体" w:cs="宋体"/>
          <w:b/>
          <w:bCs/>
          <w:color w:val="auto"/>
          <w:sz w:val="30"/>
          <w:szCs w:val="30"/>
          <w:highlight w:val="none"/>
        </w:rPr>
      </w:pPr>
    </w:p>
    <w:p>
      <w:pPr>
        <w:pStyle w:val="18"/>
        <w:ind w:firstLine="280"/>
        <w:rPr>
          <w:rFonts w:hAnsi="宋体" w:cs="宋体"/>
          <w:color w:val="auto"/>
          <w:highlight w:val="none"/>
        </w:rPr>
      </w:pPr>
    </w:p>
    <w:p>
      <w:pPr>
        <w:autoSpaceDE/>
        <w:autoSpaceDN/>
        <w:adjustRightInd/>
        <w:spacing w:line="480" w:lineRule="exact"/>
        <w:ind w:firstLine="602" w:firstLineChars="200"/>
        <w:jc w:val="both"/>
        <w:textAlignment w:val="auto"/>
        <w:rPr>
          <w:rFonts w:hAnsi="宋体" w:cs="宋体"/>
          <w:b/>
          <w:bCs/>
          <w:color w:val="auto"/>
          <w:sz w:val="30"/>
          <w:szCs w:val="30"/>
          <w:highlight w:val="none"/>
        </w:rPr>
      </w:pPr>
    </w:p>
    <w:p>
      <w:pPr>
        <w:autoSpaceDE/>
        <w:autoSpaceDN/>
        <w:adjustRightInd/>
        <w:spacing w:line="480" w:lineRule="exact"/>
        <w:ind w:firstLine="602" w:firstLineChars="200"/>
        <w:jc w:val="both"/>
        <w:textAlignment w:val="auto"/>
        <w:rPr>
          <w:rFonts w:hAnsi="宋体" w:cs="宋体"/>
          <w:b/>
          <w:bCs/>
          <w:color w:val="auto"/>
          <w:sz w:val="30"/>
          <w:szCs w:val="30"/>
          <w:highlight w:val="none"/>
        </w:rPr>
      </w:pPr>
    </w:p>
    <w:p>
      <w:pPr>
        <w:autoSpaceDE/>
        <w:autoSpaceDN/>
        <w:adjustRightInd/>
        <w:spacing w:line="480" w:lineRule="exact"/>
        <w:ind w:firstLine="602" w:firstLineChars="200"/>
        <w:jc w:val="both"/>
        <w:textAlignment w:val="auto"/>
        <w:rPr>
          <w:rFonts w:hAnsi="宋体" w:cs="宋体"/>
          <w:b/>
          <w:bCs/>
          <w:color w:val="auto"/>
          <w:sz w:val="30"/>
          <w:szCs w:val="30"/>
          <w:highlight w:val="none"/>
        </w:rPr>
      </w:pPr>
    </w:p>
    <w:p>
      <w:pPr>
        <w:autoSpaceDE/>
        <w:autoSpaceDN/>
        <w:adjustRightInd/>
        <w:spacing w:line="480" w:lineRule="exact"/>
        <w:ind w:firstLine="602" w:firstLineChars="200"/>
        <w:jc w:val="both"/>
        <w:textAlignment w:val="auto"/>
        <w:rPr>
          <w:rFonts w:hAnsi="宋体" w:cs="宋体"/>
          <w:b/>
          <w:bCs/>
          <w:color w:val="auto"/>
          <w:sz w:val="30"/>
          <w:szCs w:val="30"/>
          <w:highlight w:val="none"/>
        </w:rPr>
      </w:pPr>
    </w:p>
    <w:p>
      <w:pPr>
        <w:autoSpaceDE/>
        <w:autoSpaceDN/>
        <w:adjustRightInd/>
        <w:spacing w:line="480" w:lineRule="exact"/>
        <w:ind w:firstLine="602" w:firstLineChars="200"/>
        <w:jc w:val="both"/>
        <w:textAlignment w:val="auto"/>
        <w:rPr>
          <w:rFonts w:hAnsi="宋体" w:cs="宋体"/>
          <w:b/>
          <w:bCs/>
          <w:color w:val="auto"/>
          <w:sz w:val="30"/>
          <w:szCs w:val="30"/>
          <w:highlight w:val="none"/>
        </w:rPr>
      </w:pPr>
    </w:p>
    <w:p>
      <w:pPr>
        <w:autoSpaceDE/>
        <w:autoSpaceDN/>
        <w:adjustRightInd/>
        <w:spacing w:line="480" w:lineRule="exact"/>
        <w:ind w:firstLine="602" w:firstLineChars="200"/>
        <w:jc w:val="both"/>
        <w:textAlignment w:val="auto"/>
        <w:rPr>
          <w:rFonts w:hAnsi="宋体" w:cs="宋体"/>
          <w:b/>
          <w:bCs/>
          <w:color w:val="auto"/>
          <w:sz w:val="30"/>
          <w:szCs w:val="30"/>
          <w:highlight w:val="none"/>
        </w:rPr>
      </w:pPr>
    </w:p>
    <w:p>
      <w:pPr>
        <w:autoSpaceDE/>
        <w:autoSpaceDN/>
        <w:adjustRightInd/>
        <w:spacing w:line="480" w:lineRule="exact"/>
        <w:ind w:firstLine="602" w:firstLineChars="200"/>
        <w:jc w:val="both"/>
        <w:textAlignment w:val="auto"/>
        <w:rPr>
          <w:rFonts w:hAnsi="宋体" w:cs="宋体"/>
          <w:b/>
          <w:bCs/>
          <w:color w:val="auto"/>
          <w:sz w:val="30"/>
          <w:szCs w:val="30"/>
          <w:highlight w:val="none"/>
        </w:rPr>
      </w:pPr>
    </w:p>
    <w:p>
      <w:pPr>
        <w:autoSpaceDE/>
        <w:autoSpaceDN/>
        <w:adjustRightInd/>
        <w:spacing w:line="480" w:lineRule="exact"/>
        <w:ind w:firstLine="602" w:firstLineChars="200"/>
        <w:jc w:val="both"/>
        <w:textAlignment w:val="auto"/>
        <w:rPr>
          <w:rFonts w:hAnsi="宋体" w:cs="宋体"/>
          <w:b/>
          <w:bCs/>
          <w:color w:val="auto"/>
          <w:sz w:val="30"/>
          <w:szCs w:val="30"/>
          <w:highlight w:val="none"/>
        </w:rPr>
      </w:pPr>
    </w:p>
    <w:p>
      <w:pPr>
        <w:pageBreakBefore/>
        <w:autoSpaceDE/>
        <w:autoSpaceDN/>
        <w:adjustRightInd/>
        <w:spacing w:line="480" w:lineRule="exact"/>
        <w:ind w:firstLine="602" w:firstLineChars="200"/>
        <w:jc w:val="both"/>
        <w:textAlignment w:val="auto"/>
        <w:rPr>
          <w:rFonts w:hAnsi="宋体" w:cs="宋体"/>
          <w:b/>
          <w:bCs/>
          <w:color w:val="auto"/>
          <w:sz w:val="30"/>
          <w:szCs w:val="30"/>
          <w:highlight w:val="none"/>
        </w:rPr>
      </w:pPr>
      <w:r>
        <w:rPr>
          <w:rFonts w:hint="eastAsia" w:hAnsi="宋体" w:cs="宋体"/>
          <w:b/>
          <w:bCs/>
          <w:color w:val="auto"/>
          <w:sz w:val="30"/>
          <w:szCs w:val="30"/>
          <w:highlight w:val="none"/>
        </w:rPr>
        <w:t>（三）.价格响应文件部分参考格式:</w:t>
      </w:r>
    </w:p>
    <w:p>
      <w:pPr>
        <w:autoSpaceDE/>
        <w:autoSpaceDN/>
        <w:snapToGrid w:val="0"/>
        <w:spacing w:line="48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（1）磋商响应函（加盖公章）（格式见附件）；</w:t>
      </w:r>
    </w:p>
    <w:p>
      <w:pPr>
        <w:autoSpaceDE/>
        <w:autoSpaceDN/>
        <w:snapToGrid w:val="0"/>
        <w:spacing w:line="48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（2）开标（报价）一览表（加盖公章）（格式见附件）；</w:t>
      </w:r>
    </w:p>
    <w:p>
      <w:pPr>
        <w:autoSpaceDE/>
        <w:autoSpaceDN/>
        <w:snapToGrid w:val="0"/>
        <w:spacing w:line="48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（3）供应商针对报价需要说明的其他文件和说明（格式自拟）。</w:t>
      </w:r>
    </w:p>
    <w:p>
      <w:pPr>
        <w:spacing w:line="480" w:lineRule="auto"/>
        <w:rPr>
          <w:rFonts w:hAnsi="宋体" w:cs="宋体"/>
          <w:b/>
          <w:bCs/>
          <w:color w:val="auto"/>
          <w:sz w:val="30"/>
          <w:szCs w:val="30"/>
          <w:highlight w:val="none"/>
        </w:rPr>
      </w:pPr>
    </w:p>
    <w:p>
      <w:pPr>
        <w:spacing w:line="360" w:lineRule="auto"/>
        <w:ind w:firstLine="480"/>
        <w:rPr>
          <w:rFonts w:hAnsi="宋体" w:cs="宋体"/>
          <w:b/>
          <w:color w:val="auto"/>
          <w:sz w:val="30"/>
          <w:szCs w:val="30"/>
          <w:highlight w:val="none"/>
        </w:rPr>
      </w:pPr>
    </w:p>
    <w:p>
      <w:pPr>
        <w:spacing w:line="360" w:lineRule="auto"/>
        <w:ind w:firstLine="480"/>
        <w:rPr>
          <w:rFonts w:hAnsi="宋体" w:cs="宋体"/>
          <w:b/>
          <w:color w:val="auto"/>
          <w:sz w:val="30"/>
          <w:szCs w:val="30"/>
          <w:highlight w:val="none"/>
        </w:rPr>
      </w:pPr>
    </w:p>
    <w:p>
      <w:pPr>
        <w:spacing w:line="360" w:lineRule="auto"/>
        <w:ind w:firstLine="480"/>
        <w:rPr>
          <w:rFonts w:hAnsi="宋体" w:cs="宋体"/>
          <w:b/>
          <w:color w:val="auto"/>
          <w:sz w:val="30"/>
          <w:szCs w:val="30"/>
          <w:highlight w:val="none"/>
        </w:rPr>
      </w:pPr>
    </w:p>
    <w:p>
      <w:pPr>
        <w:spacing w:line="360" w:lineRule="auto"/>
        <w:ind w:firstLine="480"/>
        <w:rPr>
          <w:rFonts w:hAnsi="宋体" w:cs="宋体"/>
          <w:b/>
          <w:color w:val="auto"/>
          <w:sz w:val="30"/>
          <w:szCs w:val="30"/>
          <w:highlight w:val="none"/>
        </w:rPr>
      </w:pPr>
    </w:p>
    <w:p>
      <w:pPr>
        <w:spacing w:line="360" w:lineRule="auto"/>
        <w:ind w:firstLine="480"/>
        <w:rPr>
          <w:rFonts w:hAnsi="宋体" w:cs="宋体"/>
          <w:b/>
          <w:color w:val="auto"/>
          <w:sz w:val="30"/>
          <w:szCs w:val="30"/>
          <w:highlight w:val="none"/>
        </w:rPr>
      </w:pPr>
    </w:p>
    <w:p>
      <w:pPr>
        <w:spacing w:line="360" w:lineRule="auto"/>
        <w:ind w:firstLine="480"/>
        <w:rPr>
          <w:rFonts w:hAnsi="宋体" w:cs="宋体"/>
          <w:b/>
          <w:color w:val="auto"/>
          <w:sz w:val="30"/>
          <w:szCs w:val="30"/>
          <w:highlight w:val="none"/>
        </w:rPr>
      </w:pPr>
    </w:p>
    <w:p>
      <w:pPr>
        <w:spacing w:line="360" w:lineRule="auto"/>
        <w:ind w:firstLine="480"/>
        <w:rPr>
          <w:rFonts w:hAnsi="宋体" w:cs="宋体"/>
          <w:b/>
          <w:color w:val="auto"/>
          <w:sz w:val="30"/>
          <w:szCs w:val="30"/>
          <w:highlight w:val="none"/>
        </w:rPr>
      </w:pPr>
    </w:p>
    <w:p>
      <w:pPr>
        <w:spacing w:line="360" w:lineRule="auto"/>
        <w:ind w:firstLine="480"/>
        <w:rPr>
          <w:rFonts w:hAnsi="宋体" w:cs="宋体"/>
          <w:b/>
          <w:color w:val="auto"/>
          <w:sz w:val="30"/>
          <w:szCs w:val="30"/>
          <w:highlight w:val="none"/>
        </w:rPr>
      </w:pPr>
    </w:p>
    <w:p>
      <w:pPr>
        <w:spacing w:line="360" w:lineRule="auto"/>
        <w:ind w:firstLine="480"/>
        <w:rPr>
          <w:rFonts w:hAnsi="宋体" w:cs="宋体"/>
          <w:b/>
          <w:color w:val="auto"/>
          <w:sz w:val="30"/>
          <w:szCs w:val="30"/>
          <w:highlight w:val="none"/>
        </w:rPr>
      </w:pPr>
    </w:p>
    <w:p>
      <w:pPr>
        <w:spacing w:line="360" w:lineRule="auto"/>
        <w:ind w:firstLine="480"/>
        <w:rPr>
          <w:rFonts w:hAnsi="宋体" w:cs="宋体"/>
          <w:b/>
          <w:color w:val="auto"/>
          <w:sz w:val="30"/>
          <w:szCs w:val="30"/>
          <w:highlight w:val="none"/>
        </w:rPr>
      </w:pPr>
    </w:p>
    <w:p>
      <w:pPr>
        <w:spacing w:line="360" w:lineRule="auto"/>
        <w:ind w:firstLine="480"/>
        <w:rPr>
          <w:rFonts w:hAnsi="宋体" w:cs="宋体"/>
          <w:b/>
          <w:color w:val="auto"/>
          <w:sz w:val="30"/>
          <w:szCs w:val="30"/>
          <w:highlight w:val="none"/>
        </w:rPr>
      </w:pPr>
    </w:p>
    <w:p>
      <w:pPr>
        <w:spacing w:line="360" w:lineRule="auto"/>
        <w:ind w:firstLine="480"/>
        <w:rPr>
          <w:rFonts w:hAnsi="宋体" w:cs="宋体"/>
          <w:b/>
          <w:color w:val="auto"/>
          <w:sz w:val="30"/>
          <w:szCs w:val="30"/>
          <w:highlight w:val="none"/>
        </w:rPr>
      </w:pPr>
    </w:p>
    <w:p>
      <w:pPr>
        <w:pStyle w:val="18"/>
        <w:ind w:firstLine="280"/>
        <w:rPr>
          <w:rFonts w:hAnsi="宋体" w:cs="宋体"/>
          <w:color w:val="auto"/>
          <w:highlight w:val="none"/>
        </w:rPr>
      </w:pPr>
    </w:p>
    <w:p>
      <w:pPr>
        <w:spacing w:line="360" w:lineRule="auto"/>
        <w:ind w:firstLine="480"/>
        <w:rPr>
          <w:rFonts w:hAnsi="宋体" w:cs="宋体"/>
          <w:b/>
          <w:color w:val="auto"/>
          <w:sz w:val="30"/>
          <w:szCs w:val="30"/>
          <w:highlight w:val="none"/>
        </w:rPr>
      </w:pPr>
    </w:p>
    <w:p>
      <w:pPr>
        <w:pStyle w:val="17"/>
        <w:rPr>
          <w:rFonts w:hAnsi="宋体" w:cs="宋体"/>
          <w:color w:val="auto"/>
          <w:highlight w:val="none"/>
        </w:rPr>
      </w:pPr>
    </w:p>
    <w:p>
      <w:pPr>
        <w:spacing w:line="360" w:lineRule="auto"/>
        <w:ind w:firstLine="480"/>
        <w:rPr>
          <w:rFonts w:hAnsi="宋体" w:cs="宋体"/>
          <w:b/>
          <w:color w:val="auto"/>
          <w:sz w:val="30"/>
          <w:szCs w:val="30"/>
          <w:highlight w:val="none"/>
        </w:rPr>
      </w:pPr>
    </w:p>
    <w:p>
      <w:pPr>
        <w:pStyle w:val="44"/>
        <w:ind w:left="680"/>
        <w:rPr>
          <w:rFonts w:ascii="宋体" w:hAnsi="宋体"/>
          <w:color w:val="auto"/>
          <w:highlight w:val="none"/>
        </w:rPr>
      </w:pPr>
    </w:p>
    <w:p>
      <w:pPr>
        <w:spacing w:line="360" w:lineRule="auto"/>
        <w:ind w:firstLine="480"/>
        <w:rPr>
          <w:rFonts w:hAnsi="宋体" w:cs="宋体"/>
          <w:b/>
          <w:color w:val="auto"/>
          <w:sz w:val="30"/>
          <w:szCs w:val="30"/>
          <w:highlight w:val="none"/>
        </w:rPr>
      </w:pPr>
    </w:p>
    <w:p>
      <w:pPr>
        <w:spacing w:line="360" w:lineRule="auto"/>
        <w:ind w:firstLine="480"/>
        <w:rPr>
          <w:rFonts w:hAnsi="宋体" w:cs="宋体"/>
          <w:b/>
          <w:color w:val="auto"/>
          <w:sz w:val="30"/>
          <w:szCs w:val="30"/>
          <w:highlight w:val="none"/>
        </w:rPr>
      </w:pPr>
      <w:r>
        <w:rPr>
          <w:rFonts w:hint="eastAsia" w:hAnsi="宋体" w:cs="宋体"/>
          <w:b/>
          <w:color w:val="auto"/>
          <w:sz w:val="30"/>
          <w:szCs w:val="30"/>
          <w:highlight w:val="none"/>
        </w:rPr>
        <w:t>1. 磋商响应函</w:t>
      </w:r>
    </w:p>
    <w:p>
      <w:pPr>
        <w:pStyle w:val="44"/>
        <w:ind w:left="680"/>
        <w:jc w:val="center"/>
        <w:rPr>
          <w:rFonts w:ascii="宋体" w:hAnsi="宋体"/>
          <w:color w:val="auto"/>
          <w:highlight w:val="none"/>
        </w:rPr>
      </w:pPr>
      <w:r>
        <w:rPr>
          <w:rFonts w:hint="eastAsia" w:ascii="宋体" w:hAnsi="宋体"/>
          <w:b/>
          <w:color w:val="auto"/>
          <w:sz w:val="30"/>
          <w:szCs w:val="30"/>
          <w:highlight w:val="none"/>
        </w:rPr>
        <w:t>磋商响应函</w:t>
      </w:r>
    </w:p>
    <w:p>
      <w:pPr>
        <w:snapToGrid w:val="0"/>
        <w:spacing w:line="500" w:lineRule="exact"/>
        <w:rPr>
          <w:rFonts w:hAnsi="宋体" w:cs="宋体"/>
          <w:color w:val="auto"/>
          <w:sz w:val="21"/>
          <w:szCs w:val="21"/>
          <w:highlight w:val="none"/>
        </w:rPr>
      </w:pPr>
      <w:r>
        <w:rPr>
          <w:rFonts w:hint="eastAsia" w:hAnsi="宋体" w:cs="宋体"/>
          <w:color w:val="auto"/>
          <w:sz w:val="21"/>
          <w:szCs w:val="21"/>
          <w:highlight w:val="none"/>
        </w:rPr>
        <w:t>致：（磋商采购单位名称）：</w:t>
      </w:r>
    </w:p>
    <w:p>
      <w:pPr>
        <w:snapToGrid w:val="0"/>
        <w:spacing w:line="500" w:lineRule="exact"/>
        <w:ind w:firstLine="480"/>
        <w:rPr>
          <w:rFonts w:hAnsi="宋体" w:cs="宋体"/>
          <w:color w:val="auto"/>
          <w:sz w:val="21"/>
          <w:szCs w:val="21"/>
          <w:highlight w:val="none"/>
        </w:rPr>
      </w:pPr>
      <w:r>
        <w:rPr>
          <w:rFonts w:hint="eastAsia" w:hAnsi="宋体" w:cs="宋体"/>
          <w:color w:val="auto"/>
          <w:sz w:val="21"/>
          <w:szCs w:val="21"/>
          <w:highlight w:val="none"/>
        </w:rPr>
        <w:t>根据贵方项目的竞争性磋商采购公告/磋商响应邀请书（项目编号：     ），签字代表_____（全名）经正式授权并代表供应商（供应商名称）提交技术商务响应文件、价格响应文件正本各一份、副本份。</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据此函，签字代表宣布同意如下：</w:t>
      </w:r>
    </w:p>
    <w:p>
      <w:pPr>
        <w:snapToGrid w:val="0"/>
        <w:spacing w:line="500" w:lineRule="exact"/>
        <w:ind w:left="207" w:leftChars="61" w:firstLine="105" w:firstLineChars="50"/>
        <w:rPr>
          <w:rFonts w:hAnsi="宋体" w:cs="宋体"/>
          <w:color w:val="auto"/>
          <w:sz w:val="21"/>
          <w:szCs w:val="21"/>
          <w:highlight w:val="none"/>
        </w:rPr>
      </w:pPr>
      <w:r>
        <w:rPr>
          <w:rFonts w:hint="eastAsia" w:hAnsi="宋体" w:cs="宋体"/>
          <w:color w:val="auto"/>
          <w:sz w:val="21"/>
          <w:szCs w:val="21"/>
          <w:highlight w:val="none"/>
        </w:rPr>
        <w:t>（1）我方自愿按照磋商采购文件规定的各项要求向采购人提供项目所需专业服务和项目成果。</w:t>
      </w:r>
    </w:p>
    <w:p>
      <w:pPr>
        <w:snapToGrid w:val="0"/>
        <w:spacing w:line="500" w:lineRule="exact"/>
        <w:ind w:firstLine="315" w:firstLineChars="150"/>
        <w:rPr>
          <w:rFonts w:hAnsi="宋体" w:cs="宋体"/>
          <w:color w:val="auto"/>
          <w:sz w:val="21"/>
          <w:szCs w:val="21"/>
          <w:highlight w:val="none"/>
        </w:rPr>
      </w:pPr>
      <w:r>
        <w:rPr>
          <w:rFonts w:hint="eastAsia" w:hAnsi="宋体" w:cs="宋体"/>
          <w:color w:val="auto"/>
          <w:sz w:val="21"/>
          <w:szCs w:val="21"/>
          <w:highlight w:val="none"/>
        </w:rPr>
        <w:t>（2）本供应商已详细审查全部“磋商采购文件”，包括修改文件（如有的话）以及全部参考资料和有关附件，已经了解我方对于磋商采购文件、采购过程、采购结果有依法进行询问、质疑、投诉的权利及相关渠道和要求。</w:t>
      </w:r>
    </w:p>
    <w:p>
      <w:pPr>
        <w:snapToGrid w:val="0"/>
        <w:spacing w:line="500" w:lineRule="exact"/>
        <w:ind w:firstLine="315" w:firstLineChars="150"/>
        <w:rPr>
          <w:rFonts w:hAnsi="宋体" w:cs="宋体"/>
          <w:color w:val="auto"/>
          <w:sz w:val="21"/>
          <w:szCs w:val="21"/>
          <w:highlight w:val="none"/>
        </w:rPr>
      </w:pPr>
      <w:r>
        <w:rPr>
          <w:rFonts w:hint="eastAsia" w:hAnsi="宋体" w:cs="宋体"/>
          <w:color w:val="auto"/>
          <w:sz w:val="21"/>
          <w:szCs w:val="21"/>
          <w:highlight w:val="none"/>
        </w:rPr>
        <w:t>（3）本供应商在磋商之前已经与贵方进行了充分的沟通，完全理解并接受磋商采购文件的各项规定和要求，对磋商采购文件的合理性、合法性不再有异议。</w:t>
      </w:r>
    </w:p>
    <w:p>
      <w:pPr>
        <w:snapToGrid w:val="0"/>
        <w:spacing w:line="500" w:lineRule="exact"/>
        <w:ind w:firstLine="315" w:firstLineChars="150"/>
        <w:rPr>
          <w:rFonts w:hAnsi="宋体" w:cs="宋体"/>
          <w:color w:val="auto"/>
          <w:sz w:val="21"/>
          <w:szCs w:val="21"/>
          <w:highlight w:val="none"/>
        </w:rPr>
      </w:pPr>
      <w:r>
        <w:rPr>
          <w:rFonts w:hint="eastAsia" w:hAnsi="宋体" w:cs="宋体"/>
          <w:color w:val="auto"/>
          <w:sz w:val="21"/>
          <w:szCs w:val="21"/>
          <w:highlight w:val="none"/>
        </w:rPr>
        <w:t>（4）本磋商响应文件有效期自递交之日起</w:t>
      </w:r>
      <w:r>
        <w:rPr>
          <w:rFonts w:hint="eastAsia" w:hAnsi="宋体" w:cs="宋体"/>
          <w:color w:val="auto"/>
          <w:sz w:val="21"/>
          <w:szCs w:val="21"/>
          <w:highlight w:val="none"/>
          <w:u w:val="single"/>
        </w:rPr>
        <w:t>_90_</w:t>
      </w:r>
      <w:r>
        <w:rPr>
          <w:rFonts w:hint="eastAsia" w:hAnsi="宋体" w:cs="宋体"/>
          <w:color w:val="auto"/>
          <w:sz w:val="21"/>
          <w:szCs w:val="21"/>
          <w:highlight w:val="none"/>
        </w:rPr>
        <w:t>天。</w:t>
      </w:r>
    </w:p>
    <w:p>
      <w:pPr>
        <w:snapToGrid w:val="0"/>
        <w:spacing w:line="500" w:lineRule="exact"/>
        <w:ind w:firstLine="315" w:firstLineChars="150"/>
        <w:rPr>
          <w:rFonts w:hAnsi="宋体" w:cs="宋体"/>
          <w:color w:val="auto"/>
          <w:sz w:val="21"/>
          <w:szCs w:val="21"/>
          <w:highlight w:val="none"/>
        </w:rPr>
      </w:pPr>
      <w:r>
        <w:rPr>
          <w:rFonts w:hint="eastAsia" w:hAnsi="宋体" w:cs="宋体"/>
          <w:color w:val="auto"/>
          <w:sz w:val="21"/>
          <w:szCs w:val="21"/>
          <w:highlight w:val="none"/>
        </w:rPr>
        <w:t>（5）如成交，本磋商响应文件至本项目合同履行完毕止均保持有效，本供应商将按“磋商采购文件”及政府采购法律、法规的规定履行合同责任和义务。</w:t>
      </w:r>
    </w:p>
    <w:p>
      <w:pPr>
        <w:snapToGrid w:val="0"/>
        <w:spacing w:line="500" w:lineRule="exact"/>
        <w:ind w:firstLine="315" w:firstLineChars="150"/>
        <w:rPr>
          <w:rFonts w:hAnsi="宋体" w:cs="宋体"/>
          <w:color w:val="auto"/>
          <w:sz w:val="21"/>
          <w:szCs w:val="21"/>
          <w:highlight w:val="none"/>
        </w:rPr>
      </w:pPr>
      <w:r>
        <w:rPr>
          <w:rFonts w:hint="eastAsia" w:hAnsi="宋体" w:cs="宋体"/>
          <w:color w:val="auto"/>
          <w:sz w:val="21"/>
          <w:szCs w:val="21"/>
          <w:highlight w:val="none"/>
        </w:rPr>
        <w:t>（6）供应商同意按照贵方要求提供与磋商有关的一切数据或资料。</w:t>
      </w:r>
    </w:p>
    <w:p>
      <w:pPr>
        <w:snapToGrid w:val="0"/>
        <w:spacing w:line="500" w:lineRule="exact"/>
        <w:ind w:firstLine="315" w:firstLineChars="150"/>
        <w:rPr>
          <w:rFonts w:hAnsi="宋体" w:cs="宋体"/>
          <w:color w:val="auto"/>
          <w:sz w:val="21"/>
          <w:szCs w:val="21"/>
          <w:highlight w:val="none"/>
        </w:rPr>
      </w:pPr>
      <w:r>
        <w:rPr>
          <w:rFonts w:hint="eastAsia" w:hAnsi="宋体" w:cs="宋体"/>
          <w:color w:val="auto"/>
          <w:sz w:val="21"/>
          <w:szCs w:val="21"/>
          <w:highlight w:val="none"/>
        </w:rPr>
        <w:t>（7）与本磋商采购有关的一切正式往来信函请寄：</w:t>
      </w:r>
    </w:p>
    <w:p>
      <w:pPr>
        <w:snapToGrid w:val="0"/>
        <w:spacing w:line="500" w:lineRule="exact"/>
        <w:rPr>
          <w:rFonts w:hAnsi="宋体" w:cs="宋体"/>
          <w:color w:val="auto"/>
          <w:sz w:val="21"/>
          <w:szCs w:val="21"/>
          <w:highlight w:val="none"/>
        </w:rPr>
      </w:pPr>
      <w:r>
        <w:rPr>
          <w:rFonts w:hint="eastAsia" w:hAnsi="宋体" w:cs="宋体"/>
          <w:color w:val="auto"/>
          <w:sz w:val="21"/>
          <w:szCs w:val="21"/>
          <w:highlight w:val="none"/>
        </w:rPr>
        <w:t>地址：__________</w:t>
      </w:r>
      <w:r>
        <w:rPr>
          <w:rFonts w:hint="eastAsia" w:hAnsi="宋体" w:cs="宋体"/>
          <w:color w:val="auto"/>
          <w:sz w:val="21"/>
          <w:szCs w:val="21"/>
          <w:highlight w:val="none"/>
          <w:u w:val="single"/>
        </w:rPr>
        <w:t xml:space="preserve">        _</w:t>
      </w:r>
      <w:r>
        <w:rPr>
          <w:rFonts w:hint="eastAsia" w:hAnsi="宋体" w:cs="宋体"/>
          <w:color w:val="auto"/>
          <w:sz w:val="21"/>
          <w:szCs w:val="21"/>
          <w:highlight w:val="none"/>
        </w:rPr>
        <w:t>____邮编：__________   电话：______________</w:t>
      </w:r>
    </w:p>
    <w:p>
      <w:pPr>
        <w:snapToGrid w:val="0"/>
        <w:spacing w:line="500" w:lineRule="exact"/>
        <w:rPr>
          <w:rFonts w:hAnsi="宋体" w:cs="宋体"/>
          <w:color w:val="auto"/>
          <w:sz w:val="21"/>
          <w:szCs w:val="21"/>
          <w:highlight w:val="none"/>
        </w:rPr>
      </w:pPr>
      <w:r>
        <w:rPr>
          <w:rFonts w:hint="eastAsia" w:hAnsi="宋体" w:cs="宋体"/>
          <w:color w:val="auto"/>
          <w:sz w:val="21"/>
          <w:szCs w:val="21"/>
          <w:highlight w:val="none"/>
        </w:rPr>
        <w:t>传真：______________法定代表人（或单位负责人）姓名 ___________  职务：_____________</w:t>
      </w:r>
    </w:p>
    <w:p>
      <w:pPr>
        <w:snapToGrid w:val="0"/>
        <w:spacing w:line="500" w:lineRule="exact"/>
        <w:rPr>
          <w:rFonts w:hAnsi="宋体" w:cs="宋体"/>
          <w:color w:val="auto"/>
          <w:sz w:val="21"/>
          <w:szCs w:val="21"/>
          <w:highlight w:val="none"/>
        </w:rPr>
      </w:pPr>
      <w:r>
        <w:rPr>
          <w:rFonts w:hint="eastAsia" w:hAnsi="宋体" w:cs="宋体"/>
          <w:color w:val="auto"/>
          <w:sz w:val="21"/>
          <w:szCs w:val="21"/>
          <w:highlight w:val="none"/>
        </w:rPr>
        <w:t>供应商名称(公章):___________________</w:t>
      </w:r>
    </w:p>
    <w:p>
      <w:pPr>
        <w:snapToGrid w:val="0"/>
        <w:spacing w:line="500" w:lineRule="exact"/>
        <w:rPr>
          <w:rFonts w:hAnsi="宋体" w:cs="宋体"/>
          <w:color w:val="auto"/>
          <w:sz w:val="21"/>
          <w:szCs w:val="21"/>
          <w:highlight w:val="none"/>
        </w:rPr>
      </w:pPr>
      <w:r>
        <w:rPr>
          <w:rFonts w:hint="eastAsia" w:hAnsi="宋体" w:cs="宋体"/>
          <w:color w:val="auto"/>
          <w:sz w:val="21"/>
          <w:szCs w:val="21"/>
          <w:highlight w:val="none"/>
        </w:rPr>
        <w:t>开户银行：______________银行账号：______________</w:t>
      </w:r>
    </w:p>
    <w:p>
      <w:pPr>
        <w:snapToGrid w:val="0"/>
        <w:spacing w:line="500" w:lineRule="exact"/>
        <w:rPr>
          <w:rFonts w:hAnsi="宋体" w:cs="宋体"/>
          <w:color w:val="auto"/>
          <w:sz w:val="21"/>
          <w:szCs w:val="21"/>
          <w:highlight w:val="none"/>
        </w:rPr>
      </w:pPr>
      <w:r>
        <w:rPr>
          <w:rFonts w:hint="eastAsia" w:hAnsi="宋体" w:cs="宋体"/>
          <w:color w:val="auto"/>
          <w:sz w:val="21"/>
          <w:szCs w:val="21"/>
          <w:highlight w:val="none"/>
        </w:rPr>
        <w:t xml:space="preserve">法定代表人（或单位负责人）或其授权代表签字:___________                      </w:t>
      </w:r>
    </w:p>
    <w:p>
      <w:pPr>
        <w:snapToGrid w:val="0"/>
        <w:spacing w:line="500" w:lineRule="exact"/>
        <w:rPr>
          <w:rFonts w:hAnsi="宋体" w:cs="宋体"/>
          <w:color w:val="auto"/>
          <w:sz w:val="21"/>
          <w:szCs w:val="21"/>
          <w:highlight w:val="none"/>
        </w:rPr>
      </w:pPr>
      <w:r>
        <w:rPr>
          <w:rFonts w:hint="eastAsia" w:hAnsi="宋体" w:cs="宋体"/>
          <w:color w:val="auto"/>
          <w:sz w:val="21"/>
          <w:szCs w:val="21"/>
          <w:highlight w:val="none"/>
        </w:rPr>
        <w:t>日期:_____年___月___日</w:t>
      </w:r>
    </w:p>
    <w:p>
      <w:pPr>
        <w:ind w:firstLine="420" w:firstLineChars="200"/>
        <w:rPr>
          <w:rFonts w:hAnsi="宋体" w:cs="宋体"/>
          <w:color w:val="auto"/>
          <w:sz w:val="21"/>
          <w:szCs w:val="21"/>
          <w:highlight w:val="none"/>
        </w:rPr>
      </w:pPr>
    </w:p>
    <w:p>
      <w:pPr>
        <w:pStyle w:val="44"/>
        <w:ind w:left="680"/>
        <w:rPr>
          <w:rFonts w:ascii="宋体" w:hAnsi="宋体"/>
          <w:color w:val="auto"/>
          <w:highlight w:val="none"/>
        </w:rPr>
      </w:pPr>
    </w:p>
    <w:p>
      <w:pPr>
        <w:snapToGrid w:val="0"/>
        <w:spacing w:line="360" w:lineRule="auto"/>
        <w:rPr>
          <w:rFonts w:hAnsi="宋体" w:cs="宋体"/>
          <w:color w:val="auto"/>
          <w:sz w:val="24"/>
          <w:highlight w:val="none"/>
        </w:rPr>
      </w:pPr>
    </w:p>
    <w:p>
      <w:pPr>
        <w:pStyle w:val="62"/>
        <w:rPr>
          <w:rFonts w:ascii="宋体" w:hAnsi="宋体" w:eastAsia="宋体" w:cs="宋体"/>
          <w:color w:val="auto"/>
          <w:highlight w:val="none"/>
        </w:rPr>
      </w:pPr>
    </w:p>
    <w:p>
      <w:pPr>
        <w:pStyle w:val="62"/>
        <w:rPr>
          <w:rFonts w:ascii="宋体" w:hAnsi="宋体" w:eastAsia="宋体" w:cs="宋体"/>
          <w:color w:val="auto"/>
          <w:highlight w:val="none"/>
        </w:rPr>
      </w:pPr>
    </w:p>
    <w:p>
      <w:pPr>
        <w:numPr>
          <w:ilvl w:val="0"/>
          <w:numId w:val="13"/>
        </w:numPr>
        <w:snapToGrid w:val="0"/>
        <w:spacing w:beforeLines="50" w:after="50"/>
        <w:jc w:val="center"/>
        <w:rPr>
          <w:rFonts w:hAnsi="宋体" w:cs="宋体"/>
          <w:b/>
          <w:color w:val="auto"/>
          <w:sz w:val="30"/>
          <w:szCs w:val="30"/>
          <w:highlight w:val="none"/>
        </w:rPr>
      </w:pPr>
      <w:bookmarkStart w:id="753" w:name="_Toc296075060"/>
      <w:bookmarkStart w:id="754" w:name="_Toc354841330"/>
      <w:r>
        <w:rPr>
          <w:rFonts w:hint="eastAsia" w:hAnsi="宋体" w:cs="宋体"/>
          <w:b/>
          <w:color w:val="auto"/>
          <w:sz w:val="30"/>
          <w:szCs w:val="30"/>
          <w:highlight w:val="none"/>
        </w:rPr>
        <w:t>磋商报价一览表</w:t>
      </w:r>
    </w:p>
    <w:p>
      <w:pPr>
        <w:pStyle w:val="18"/>
        <w:spacing w:before="156"/>
        <w:ind w:firstLine="210"/>
        <w:rPr>
          <w:rFonts w:hAnsi="宋体" w:cs="宋体"/>
          <w:b/>
          <w:color w:val="auto"/>
          <w:sz w:val="21"/>
          <w:szCs w:val="21"/>
          <w:highlight w:val="none"/>
        </w:rPr>
      </w:pPr>
      <w:r>
        <w:rPr>
          <w:rFonts w:hint="eastAsia" w:hAnsi="宋体" w:cs="宋体"/>
          <w:color w:val="auto"/>
          <w:sz w:val="21"/>
          <w:szCs w:val="21"/>
          <w:highlight w:val="none"/>
        </w:rPr>
        <w:t xml:space="preserve">项目名称：                        项目编号：                  </w:t>
      </w:r>
    </w:p>
    <w:bookmarkEnd w:id="753"/>
    <w:bookmarkEnd w:id="754"/>
    <w:tbl>
      <w:tblPr>
        <w:tblStyle w:val="4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0"/>
        <w:gridCol w:w="1656"/>
        <w:gridCol w:w="7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9" w:hRule="atLeast"/>
        </w:trPr>
        <w:tc>
          <w:tcPr>
            <w:tcW w:w="780" w:type="dxa"/>
            <w:tcBorders>
              <w:right w:val="single" w:color="auto" w:sz="4" w:space="0"/>
            </w:tcBorders>
            <w:vAlign w:val="center"/>
          </w:tcPr>
          <w:p>
            <w:pPr>
              <w:spacing w:line="460" w:lineRule="exact"/>
              <w:jc w:val="center"/>
              <w:rPr>
                <w:rFonts w:hAnsi="宋体" w:cs="宋体"/>
                <w:color w:val="auto"/>
                <w:sz w:val="24"/>
                <w:highlight w:val="none"/>
              </w:rPr>
            </w:pPr>
            <w:r>
              <w:rPr>
                <w:rFonts w:hint="eastAsia" w:hAnsi="宋体" w:cs="宋体"/>
                <w:color w:val="auto"/>
                <w:sz w:val="24"/>
                <w:highlight w:val="none"/>
              </w:rPr>
              <w:t>序号</w:t>
            </w:r>
          </w:p>
        </w:tc>
        <w:tc>
          <w:tcPr>
            <w:tcW w:w="1656" w:type="dxa"/>
            <w:tcBorders>
              <w:left w:val="single" w:color="auto" w:sz="4" w:space="0"/>
            </w:tcBorders>
            <w:vAlign w:val="center"/>
          </w:tcPr>
          <w:p>
            <w:pPr>
              <w:spacing w:line="460" w:lineRule="exact"/>
              <w:jc w:val="center"/>
              <w:rPr>
                <w:rFonts w:hAnsi="宋体" w:cs="宋体"/>
                <w:color w:val="auto"/>
                <w:sz w:val="24"/>
                <w:highlight w:val="none"/>
              </w:rPr>
            </w:pPr>
            <w:r>
              <w:rPr>
                <w:rFonts w:hint="eastAsia" w:hAnsi="宋体" w:cs="宋体"/>
                <w:color w:val="auto"/>
                <w:sz w:val="21"/>
                <w:szCs w:val="21"/>
                <w:highlight w:val="none"/>
              </w:rPr>
              <w:t>服务期限</w:t>
            </w:r>
          </w:p>
        </w:tc>
        <w:tc>
          <w:tcPr>
            <w:tcW w:w="7221" w:type="dxa"/>
            <w:vAlign w:val="center"/>
          </w:tcPr>
          <w:p>
            <w:pPr>
              <w:widowControl/>
              <w:spacing w:line="460" w:lineRule="exact"/>
              <w:jc w:val="center"/>
              <w:rPr>
                <w:rFonts w:hAnsi="宋体" w:cs="宋体"/>
                <w:color w:val="auto"/>
                <w:sz w:val="21"/>
                <w:szCs w:val="21"/>
                <w:highlight w:val="none"/>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1" w:hRule="atLeast"/>
        </w:trPr>
        <w:tc>
          <w:tcPr>
            <w:tcW w:w="780" w:type="dxa"/>
            <w:tcBorders>
              <w:right w:val="single" w:color="auto" w:sz="4" w:space="0"/>
            </w:tcBorders>
            <w:vAlign w:val="center"/>
          </w:tcPr>
          <w:p>
            <w:pPr>
              <w:spacing w:line="460" w:lineRule="exact"/>
              <w:jc w:val="center"/>
              <w:rPr>
                <w:rFonts w:hAnsi="宋体" w:cs="宋体"/>
                <w:color w:val="auto"/>
                <w:sz w:val="24"/>
                <w:highlight w:val="none"/>
              </w:rPr>
            </w:pPr>
            <w:r>
              <w:rPr>
                <w:rFonts w:hint="eastAsia" w:hAnsi="宋体" w:cs="宋体"/>
                <w:color w:val="auto"/>
                <w:sz w:val="24"/>
                <w:highlight w:val="none"/>
              </w:rPr>
              <w:t>1</w:t>
            </w:r>
          </w:p>
        </w:tc>
        <w:tc>
          <w:tcPr>
            <w:tcW w:w="1656" w:type="dxa"/>
            <w:tcBorders>
              <w:left w:val="single" w:color="auto" w:sz="4" w:space="0"/>
            </w:tcBorders>
            <w:vAlign w:val="center"/>
          </w:tcPr>
          <w:p>
            <w:pPr>
              <w:spacing w:line="460" w:lineRule="exact"/>
              <w:jc w:val="center"/>
              <w:rPr>
                <w:rFonts w:hAnsi="宋体" w:cs="宋体"/>
                <w:color w:val="auto"/>
                <w:sz w:val="21"/>
                <w:szCs w:val="21"/>
                <w:highlight w:val="none"/>
              </w:rPr>
            </w:pPr>
            <w:r>
              <w:rPr>
                <w:rFonts w:hint="eastAsia" w:hAnsi="宋体" w:cs="宋体"/>
                <w:color w:val="auto"/>
                <w:sz w:val="21"/>
                <w:szCs w:val="21"/>
                <w:highlight w:val="none"/>
              </w:rPr>
              <w:t>首次磋商报价</w:t>
            </w:r>
          </w:p>
        </w:tc>
        <w:tc>
          <w:tcPr>
            <w:tcW w:w="7221" w:type="dxa"/>
            <w:vAlign w:val="center"/>
          </w:tcPr>
          <w:p>
            <w:pPr>
              <w:spacing w:line="460" w:lineRule="exact"/>
              <w:rPr>
                <w:rFonts w:hAnsi="宋体" w:cs="宋体"/>
                <w:color w:val="auto"/>
                <w:sz w:val="21"/>
                <w:szCs w:val="21"/>
                <w:highlight w:val="none"/>
              </w:rPr>
            </w:pPr>
            <w:r>
              <w:rPr>
                <w:rFonts w:hint="eastAsia" w:hAnsi="宋体" w:cs="宋体"/>
                <w:color w:val="auto"/>
                <w:sz w:val="21"/>
                <w:szCs w:val="21"/>
                <w:highlight w:val="none"/>
              </w:rPr>
              <w:t>我方首次磋商报价￥：         元</w:t>
            </w:r>
          </w:p>
          <w:p>
            <w:pPr>
              <w:spacing w:line="460" w:lineRule="exact"/>
              <w:rPr>
                <w:rFonts w:hAnsi="宋体" w:cs="宋体"/>
                <w:color w:val="auto"/>
                <w:sz w:val="21"/>
                <w:szCs w:val="21"/>
                <w:highlight w:val="none"/>
              </w:rPr>
            </w:pPr>
          </w:p>
          <w:p>
            <w:pPr>
              <w:spacing w:line="460" w:lineRule="exact"/>
              <w:rPr>
                <w:rFonts w:hAnsi="宋体" w:cs="宋体"/>
                <w:color w:val="auto"/>
                <w:sz w:val="21"/>
                <w:szCs w:val="21"/>
                <w:highlight w:val="none"/>
                <w:u w:val="single"/>
              </w:rPr>
            </w:pPr>
            <w:r>
              <w:rPr>
                <w:rFonts w:hint="eastAsia" w:hAnsi="宋体" w:cs="宋体"/>
                <w:color w:val="auto"/>
                <w:sz w:val="21"/>
                <w:szCs w:val="21"/>
                <w:highlight w:val="none"/>
              </w:rPr>
              <w:t>（大写）</w:t>
            </w:r>
            <w:r>
              <w:rPr>
                <w:rFonts w:hint="eastAsia" w:hAnsi="宋体" w:cs="宋体"/>
                <w:color w:val="auto"/>
                <w:sz w:val="21"/>
                <w:szCs w:val="21"/>
                <w:highlight w:val="none"/>
                <w:u w:val="singl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1" w:hRule="atLeast"/>
        </w:trPr>
        <w:tc>
          <w:tcPr>
            <w:tcW w:w="780" w:type="dxa"/>
            <w:tcBorders>
              <w:right w:val="single" w:color="auto" w:sz="4" w:space="0"/>
            </w:tcBorders>
            <w:vAlign w:val="center"/>
          </w:tcPr>
          <w:p>
            <w:pPr>
              <w:spacing w:line="460" w:lineRule="exact"/>
              <w:jc w:val="center"/>
              <w:rPr>
                <w:rFonts w:hAnsi="宋体" w:cs="宋体"/>
                <w:color w:val="auto"/>
                <w:sz w:val="24"/>
                <w:highlight w:val="none"/>
              </w:rPr>
            </w:pPr>
            <w:r>
              <w:rPr>
                <w:rFonts w:hint="eastAsia" w:hAnsi="宋体" w:cs="宋体"/>
                <w:color w:val="auto"/>
                <w:sz w:val="24"/>
                <w:highlight w:val="none"/>
              </w:rPr>
              <w:t>2</w:t>
            </w:r>
          </w:p>
        </w:tc>
        <w:tc>
          <w:tcPr>
            <w:tcW w:w="1656" w:type="dxa"/>
            <w:tcBorders>
              <w:left w:val="single" w:color="auto" w:sz="4" w:space="0"/>
            </w:tcBorders>
            <w:vAlign w:val="center"/>
          </w:tcPr>
          <w:p>
            <w:pPr>
              <w:spacing w:line="460" w:lineRule="exact"/>
              <w:jc w:val="center"/>
              <w:rPr>
                <w:rFonts w:hAnsi="宋体" w:cs="宋体"/>
                <w:color w:val="auto"/>
                <w:sz w:val="24"/>
                <w:highlight w:val="none"/>
              </w:rPr>
            </w:pPr>
            <w:r>
              <w:rPr>
                <w:rFonts w:hint="eastAsia" w:hAnsi="宋体" w:cs="宋体"/>
                <w:color w:val="auto"/>
                <w:sz w:val="21"/>
                <w:szCs w:val="21"/>
                <w:highlight w:val="none"/>
              </w:rPr>
              <w:t>报价说明</w:t>
            </w:r>
          </w:p>
        </w:tc>
        <w:tc>
          <w:tcPr>
            <w:tcW w:w="7221" w:type="dxa"/>
            <w:vAlign w:val="center"/>
          </w:tcPr>
          <w:p>
            <w:pPr>
              <w:widowControl/>
              <w:spacing w:line="460" w:lineRule="exact"/>
              <w:jc w:val="both"/>
              <w:rPr>
                <w:rFonts w:hAnsi="宋体" w:cs="宋体"/>
                <w:color w:val="auto"/>
                <w:sz w:val="21"/>
                <w:szCs w:val="21"/>
                <w:highlight w:val="none"/>
                <w:u w:val="single"/>
              </w:rPr>
            </w:pPr>
            <w:r>
              <w:rPr>
                <w:rFonts w:hint="eastAsia" w:hAnsi="宋体" w:cs="宋体"/>
                <w:color w:val="auto"/>
                <w:sz w:val="21"/>
                <w:szCs w:val="21"/>
                <w:highlight w:val="none"/>
              </w:rPr>
              <w:t>本供应商已知悉并同意，供应商成交后应根据磋商文件中约定的金额向本项目的政府采购代理机构计算支付采购代理服务费，为此，我方已根据财政部财库〔2018〕2号《政府采购代理机构管理暂行办法》的规定并按本次招标的报价要求，将应支付的采购代理服务费包含在上述的项目报价中。</w:t>
            </w:r>
          </w:p>
        </w:tc>
      </w:tr>
    </w:tbl>
    <w:p>
      <w:pPr>
        <w:ind w:firstLine="840" w:firstLineChars="400"/>
        <w:rPr>
          <w:rFonts w:hAnsi="宋体" w:cs="宋体"/>
          <w:color w:val="auto"/>
          <w:kern w:val="2"/>
          <w:sz w:val="21"/>
          <w:szCs w:val="21"/>
          <w:highlight w:val="none"/>
        </w:rPr>
      </w:pPr>
    </w:p>
    <w:p>
      <w:pPr>
        <w:ind w:firstLine="840" w:firstLineChars="400"/>
        <w:rPr>
          <w:rFonts w:hAnsi="宋体" w:cs="宋体"/>
          <w:color w:val="auto"/>
          <w:kern w:val="2"/>
          <w:sz w:val="21"/>
          <w:szCs w:val="21"/>
          <w:highlight w:val="none"/>
        </w:rPr>
      </w:pPr>
    </w:p>
    <w:p>
      <w:pPr>
        <w:ind w:firstLine="840" w:firstLineChars="400"/>
        <w:rPr>
          <w:rFonts w:hAnsi="宋体" w:cs="宋体"/>
          <w:color w:val="auto"/>
          <w:kern w:val="2"/>
          <w:sz w:val="21"/>
          <w:szCs w:val="21"/>
          <w:highlight w:val="none"/>
        </w:rPr>
      </w:pPr>
    </w:p>
    <w:p>
      <w:pPr>
        <w:ind w:firstLine="840" w:firstLineChars="400"/>
        <w:rPr>
          <w:rFonts w:hAnsi="宋体" w:cs="宋体"/>
          <w:color w:val="auto"/>
          <w:sz w:val="21"/>
          <w:szCs w:val="21"/>
          <w:highlight w:val="none"/>
        </w:rPr>
      </w:pPr>
      <w:r>
        <w:rPr>
          <w:rFonts w:hint="eastAsia" w:hAnsi="宋体" w:cs="宋体"/>
          <w:color w:val="auto"/>
          <w:sz w:val="21"/>
          <w:szCs w:val="21"/>
          <w:highlight w:val="none"/>
        </w:rPr>
        <w:t>供应商全称（加盖公章）：</w:t>
      </w:r>
    </w:p>
    <w:p>
      <w:pPr>
        <w:jc w:val="center"/>
        <w:rPr>
          <w:rFonts w:hAnsi="宋体" w:cs="宋体"/>
          <w:color w:val="auto"/>
          <w:sz w:val="21"/>
          <w:szCs w:val="21"/>
          <w:highlight w:val="none"/>
        </w:rPr>
      </w:pPr>
    </w:p>
    <w:p>
      <w:pPr>
        <w:ind w:firstLine="630" w:firstLineChars="300"/>
        <w:rPr>
          <w:rFonts w:hAnsi="宋体" w:cs="宋体"/>
          <w:color w:val="auto"/>
          <w:sz w:val="21"/>
          <w:szCs w:val="21"/>
          <w:highlight w:val="none"/>
        </w:rPr>
      </w:pPr>
      <w:r>
        <w:rPr>
          <w:rFonts w:hint="eastAsia" w:hAnsi="宋体" w:cs="宋体"/>
          <w:color w:val="auto"/>
          <w:sz w:val="21"/>
          <w:szCs w:val="21"/>
          <w:highlight w:val="none"/>
        </w:rPr>
        <w:t>法定代表人或其授权代表签字：</w:t>
      </w:r>
    </w:p>
    <w:p>
      <w:pPr>
        <w:rPr>
          <w:rFonts w:hAnsi="宋体" w:cs="宋体"/>
          <w:smallCaps/>
          <w:color w:val="auto"/>
          <w:sz w:val="21"/>
          <w:szCs w:val="21"/>
          <w:highlight w:val="none"/>
        </w:rPr>
      </w:pPr>
    </w:p>
    <w:p>
      <w:pPr>
        <w:ind w:firstLine="2940" w:firstLineChars="1400"/>
        <w:rPr>
          <w:rFonts w:hAnsi="宋体" w:cs="宋体"/>
          <w:color w:val="auto"/>
          <w:sz w:val="24"/>
          <w:highlight w:val="none"/>
        </w:rPr>
      </w:pPr>
      <w:r>
        <w:rPr>
          <w:rFonts w:hint="eastAsia" w:hAnsi="宋体" w:cs="宋体"/>
          <w:color w:val="auto"/>
          <w:sz w:val="21"/>
          <w:szCs w:val="21"/>
          <w:highlight w:val="none"/>
        </w:rPr>
        <w:t xml:space="preserve">日期：    年      月      日 </w:t>
      </w:r>
    </w:p>
    <w:p>
      <w:pPr>
        <w:ind w:firstLine="4800" w:firstLineChars="2000"/>
        <w:rPr>
          <w:rFonts w:hAnsi="宋体" w:cs="宋体"/>
          <w:color w:val="auto"/>
          <w:sz w:val="24"/>
          <w:highlight w:val="none"/>
        </w:rPr>
      </w:pPr>
    </w:p>
    <w:p>
      <w:pPr>
        <w:rPr>
          <w:rFonts w:hAnsi="宋体" w:cs="宋体"/>
          <w:b/>
          <w:color w:val="auto"/>
          <w:sz w:val="24"/>
          <w:highlight w:val="none"/>
        </w:rPr>
      </w:pPr>
    </w:p>
    <w:p>
      <w:pPr>
        <w:rPr>
          <w:rFonts w:hAnsi="宋体" w:cs="宋体"/>
          <w:b/>
          <w:color w:val="auto"/>
          <w:sz w:val="24"/>
          <w:highlight w:val="none"/>
        </w:rPr>
      </w:pPr>
    </w:p>
    <w:p>
      <w:pPr>
        <w:snapToGrid w:val="0"/>
        <w:spacing w:line="500" w:lineRule="exact"/>
        <w:ind w:left="-99" w:leftChars="-29" w:right="-1323" w:rightChars="-389" w:firstLine="420" w:firstLineChars="200"/>
        <w:rPr>
          <w:rFonts w:hAnsi="宋体" w:cs="宋体"/>
          <w:color w:val="auto"/>
          <w:sz w:val="21"/>
          <w:szCs w:val="21"/>
          <w:highlight w:val="none"/>
        </w:rPr>
      </w:pPr>
    </w:p>
    <w:p>
      <w:pPr>
        <w:pStyle w:val="18"/>
        <w:ind w:firstLine="210"/>
        <w:rPr>
          <w:rFonts w:hAnsi="宋体" w:cs="宋体"/>
          <w:color w:val="auto"/>
          <w:sz w:val="21"/>
          <w:szCs w:val="21"/>
          <w:highlight w:val="none"/>
        </w:rPr>
      </w:pPr>
    </w:p>
    <w:p>
      <w:pPr>
        <w:pStyle w:val="18"/>
        <w:ind w:firstLine="210"/>
        <w:rPr>
          <w:rFonts w:hAnsi="宋体" w:cs="宋体"/>
          <w:color w:val="auto"/>
          <w:sz w:val="21"/>
          <w:szCs w:val="21"/>
          <w:highlight w:val="none"/>
        </w:rPr>
      </w:pPr>
    </w:p>
    <w:p>
      <w:pPr>
        <w:pStyle w:val="18"/>
        <w:ind w:firstLine="210"/>
        <w:rPr>
          <w:rFonts w:hAnsi="宋体" w:cs="宋体"/>
          <w:color w:val="auto"/>
          <w:sz w:val="21"/>
          <w:szCs w:val="21"/>
          <w:highlight w:val="none"/>
        </w:rPr>
      </w:pPr>
    </w:p>
    <w:p>
      <w:pPr>
        <w:ind w:firstLine="720" w:firstLineChars="300"/>
        <w:rPr>
          <w:rFonts w:hAnsi="宋体" w:cs="宋体"/>
          <w:color w:val="auto"/>
          <w:sz w:val="24"/>
          <w:szCs w:val="24"/>
          <w:highlight w:val="none"/>
        </w:rPr>
      </w:pPr>
    </w:p>
    <w:p>
      <w:pPr>
        <w:snapToGrid w:val="0"/>
        <w:spacing w:before="50" w:after="50"/>
        <w:jc w:val="center"/>
        <w:rPr>
          <w:rFonts w:hAnsi="宋体" w:cs="宋体"/>
          <w:b/>
          <w:color w:val="auto"/>
          <w:sz w:val="28"/>
          <w:highlight w:val="none"/>
        </w:rPr>
      </w:pPr>
    </w:p>
    <w:p>
      <w:pPr>
        <w:pStyle w:val="44"/>
        <w:ind w:left="680"/>
        <w:rPr>
          <w:rFonts w:ascii="宋体" w:hAnsi="宋体"/>
          <w:color w:val="auto"/>
          <w:highlight w:val="none"/>
        </w:rPr>
      </w:pPr>
    </w:p>
    <w:sectPr>
      <w:footerReference r:id="rId9"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PingFang SC">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汉仪仿宋简">
    <w:altName w:val="仿宋"/>
    <w:panose1 w:val="00000000000000000000"/>
    <w:charset w:val="86"/>
    <w:family w:val="modern"/>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MingLiUfalt">
    <w:altName w:val="MingLiU-ExtB"/>
    <w:panose1 w:val="00000000000000000000"/>
    <w:charset w:val="88"/>
    <w:family w:val="modern"/>
    <w:pitch w:val="default"/>
    <w:sig w:usb0="00000000" w:usb1="00000000" w:usb2="00000010" w:usb3="00000000" w:csb0="00100000" w:csb1="00000000"/>
  </w:font>
  <w:font w:nam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1"/>
      </w:pBdr>
      <w:ind w:right="5"/>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rPr>
        <w:rStyle w:val="50"/>
      </w:rPr>
      <w:fldChar w:fldCharType="begin"/>
    </w:r>
    <w:r>
      <w:rPr>
        <w:rStyle w:val="50"/>
      </w:rPr>
      <w:instrText xml:space="preserve">PAGE  </w:instrText>
    </w:r>
    <w:r>
      <w:rPr>
        <w:rStyle w:val="50"/>
      </w:rP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1"/>
      </w:pBdr>
      <w:ind w:right="5"/>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1"/>
      </w:pBdr>
      <w:ind w:right="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Bdr>
                              <w:top w:val="single" w:color="auto" w:sz="4" w:space="1"/>
                            </w:pBdr>
                            <w:ind w:right="5"/>
                            <w:jc w:val="center"/>
                          </w:pPr>
                          <w:r>
                            <w:rPr>
                              <w:szCs w:val="21"/>
                            </w:rPr>
                            <w:fldChar w:fldCharType="begin"/>
                          </w:r>
                          <w:r>
                            <w:rPr>
                              <w:szCs w:val="21"/>
                            </w:rPr>
                            <w:instrText xml:space="preserve"> PAGE </w:instrText>
                          </w:r>
                          <w:r>
                            <w:rPr>
                              <w:szCs w:val="21"/>
                            </w:rPr>
                            <w:fldChar w:fldCharType="separate"/>
                          </w:r>
                          <w:r>
                            <w:rPr>
                              <w:szCs w:val="21"/>
                            </w:rPr>
                            <w:t>84</w:t>
                          </w:r>
                          <w:r>
                            <w:rPr>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9"/>
                      <w:pBdr>
                        <w:top w:val="single" w:color="auto" w:sz="4" w:space="1"/>
                      </w:pBdr>
                      <w:ind w:right="5"/>
                      <w:jc w:val="center"/>
                    </w:pPr>
                    <w:r>
                      <w:rPr>
                        <w:szCs w:val="21"/>
                      </w:rPr>
                      <w:fldChar w:fldCharType="begin"/>
                    </w:r>
                    <w:r>
                      <w:rPr>
                        <w:szCs w:val="21"/>
                      </w:rPr>
                      <w:instrText xml:space="preserve"> PAGE </w:instrText>
                    </w:r>
                    <w:r>
                      <w:rPr>
                        <w:szCs w:val="21"/>
                      </w:rPr>
                      <w:fldChar w:fldCharType="separate"/>
                    </w:r>
                    <w:r>
                      <w:rPr>
                        <w:szCs w:val="21"/>
                      </w:rPr>
                      <w:t>84</w:t>
                    </w:r>
                    <w:r>
                      <w:rPr>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rFonts w:hint="eastAsia"/>
      </w:rPr>
      <w:t>金华市天盈招标代理有限公司</w:t>
    </w:r>
  </w:p>
  <w:p>
    <w:pPr>
      <w:pStyle w:val="31"/>
      <w:rPr>
        <w:rFonts w:hint="eastAsia" w:eastAsia="宋体"/>
        <w:lang w:eastAsia="zh-CN"/>
      </w:rPr>
    </w:pPr>
    <w:r>
      <w:rPr>
        <w:rFonts w:hint="eastAsia"/>
      </w:rPr>
      <w:t>项目编号：</w:t>
    </w:r>
    <w:r>
      <w:rPr>
        <w:rFonts w:hint="eastAsia"/>
        <w:lang w:eastAsia="zh-CN"/>
      </w:rPr>
      <w:t>TY2024-FW107-ZFCG107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_x0000_s3078" o:spid="_x0000_s3078" o:spt="136" type="#_x0000_t136" style="position:absolute;left:0pt;height:47.6pt;width:619.3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金华市天盈财务咨询有限公司"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_x0000_s3076" o:spid="_x0000_s3076" o:spt="136" type="#_x0000_t136" style="position:absolute;left:0pt;height:47.6pt;width:619.3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金华市天盈财务咨询有限公司" style="font-family:宋体;font-size:1pt;v-text-align:center;"/>
        </v:shape>
      </w:pict>
    </w:r>
    <w:r>
      <w:rPr>
        <w:rFonts w:hint="eastAsia"/>
      </w:rPr>
      <w:t>金华市天盈招标代理有限公司</w:t>
    </w:r>
  </w:p>
  <w:p>
    <w:pPr>
      <w:pStyle w:val="31"/>
    </w:pPr>
    <w:r>
      <w:rPr>
        <w:rFonts w:hint="eastAsia"/>
      </w:rPr>
      <w:t>磋商文件编号：</w:t>
    </w:r>
    <w:r>
      <w:t xml:space="preserve">TY2015-FW079-ZFCG079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CE0FC"/>
    <w:multiLevelType w:val="singleLevel"/>
    <w:tmpl w:val="8BACE0FC"/>
    <w:lvl w:ilvl="0" w:tentative="0">
      <w:start w:val="1"/>
      <w:numFmt w:val="chineseCounting"/>
      <w:suff w:val="nothing"/>
      <w:lvlText w:val="（%1）"/>
      <w:lvlJc w:val="left"/>
      <w:rPr>
        <w:rFonts w:hint="eastAsia"/>
      </w:rPr>
    </w:lvl>
  </w:abstractNum>
  <w:abstractNum w:abstractNumId="1">
    <w:nsid w:val="CC1EC1D4"/>
    <w:multiLevelType w:val="singleLevel"/>
    <w:tmpl w:val="CC1EC1D4"/>
    <w:lvl w:ilvl="0" w:tentative="0">
      <w:start w:val="1"/>
      <w:numFmt w:val="chineseCounting"/>
      <w:suff w:val="nothing"/>
      <w:lvlText w:val="（%1）"/>
      <w:lvlJc w:val="left"/>
      <w:rPr>
        <w:rFonts w:hint="eastAsia"/>
      </w:rPr>
    </w:lvl>
  </w:abstractNum>
  <w:abstractNum w:abstractNumId="2">
    <w:nsid w:val="D00501DF"/>
    <w:multiLevelType w:val="singleLevel"/>
    <w:tmpl w:val="D00501DF"/>
    <w:lvl w:ilvl="0" w:tentative="0">
      <w:start w:val="1"/>
      <w:numFmt w:val="chineseCounting"/>
      <w:suff w:val="nothing"/>
      <w:lvlText w:val="（%1）"/>
      <w:lvlJc w:val="left"/>
      <w:pPr>
        <w:ind w:left="0" w:firstLine="420"/>
      </w:pPr>
      <w:rPr>
        <w:rFonts w:hint="eastAsia"/>
      </w:rPr>
    </w:lvl>
  </w:abstractNum>
  <w:abstractNum w:abstractNumId="3">
    <w:nsid w:val="D3FE833E"/>
    <w:multiLevelType w:val="singleLevel"/>
    <w:tmpl w:val="D3FE833E"/>
    <w:lvl w:ilvl="0" w:tentative="0">
      <w:start w:val="1"/>
      <w:numFmt w:val="chineseCounting"/>
      <w:suff w:val="nothing"/>
      <w:lvlText w:val="（%1）"/>
      <w:lvlJc w:val="left"/>
      <w:pPr>
        <w:ind w:left="0" w:firstLine="420"/>
      </w:pPr>
      <w:rPr>
        <w:rFonts w:hint="eastAsia"/>
      </w:rPr>
    </w:lvl>
  </w:abstractNum>
  <w:abstractNum w:abstractNumId="4">
    <w:nsid w:val="E3685EE7"/>
    <w:multiLevelType w:val="singleLevel"/>
    <w:tmpl w:val="E3685EE7"/>
    <w:lvl w:ilvl="0" w:tentative="0">
      <w:start w:val="1"/>
      <w:numFmt w:val="decimal"/>
      <w:suff w:val="nothing"/>
      <w:lvlText w:val="（%1）"/>
      <w:lvlJc w:val="left"/>
      <w:pPr>
        <w:ind w:left="420" w:firstLine="0"/>
      </w:pPr>
    </w:lvl>
  </w:abstractNum>
  <w:abstractNum w:abstractNumId="5">
    <w:nsid w:val="EBEED6F0"/>
    <w:multiLevelType w:val="singleLevel"/>
    <w:tmpl w:val="EBEED6F0"/>
    <w:lvl w:ilvl="0" w:tentative="0">
      <w:start w:val="1"/>
      <w:numFmt w:val="chineseCounting"/>
      <w:suff w:val="nothing"/>
      <w:lvlText w:val="（%1）"/>
      <w:lvlJc w:val="left"/>
      <w:pPr>
        <w:ind w:left="0" w:firstLine="420"/>
      </w:pPr>
      <w:rPr>
        <w:rFonts w:hint="eastAsia"/>
      </w:rPr>
    </w:lvl>
  </w:abstractNum>
  <w:abstractNum w:abstractNumId="6">
    <w:nsid w:val="00000009"/>
    <w:multiLevelType w:val="singleLevel"/>
    <w:tmpl w:val="00000009"/>
    <w:lvl w:ilvl="0" w:tentative="0">
      <w:start w:val="2"/>
      <w:numFmt w:val="decimal"/>
      <w:suff w:val="nothing"/>
      <w:lvlText w:val="%1."/>
      <w:lvlJc w:val="left"/>
    </w:lvl>
  </w:abstractNum>
  <w:abstractNum w:abstractNumId="7">
    <w:nsid w:val="053ADA01"/>
    <w:multiLevelType w:val="singleLevel"/>
    <w:tmpl w:val="053ADA01"/>
    <w:lvl w:ilvl="0" w:tentative="0">
      <w:start w:val="1"/>
      <w:numFmt w:val="decimal"/>
      <w:suff w:val="nothing"/>
      <w:lvlText w:val="（%1）"/>
      <w:lvlJc w:val="left"/>
    </w:lvl>
  </w:abstractNum>
  <w:abstractNum w:abstractNumId="8">
    <w:nsid w:val="0CC061D9"/>
    <w:multiLevelType w:val="multilevel"/>
    <w:tmpl w:val="0CC061D9"/>
    <w:lvl w:ilvl="0" w:tentative="0">
      <w:start w:val="1"/>
      <w:numFmt w:val="japaneseCounting"/>
      <w:lvlText w:val="（%1）"/>
      <w:lvlJc w:val="left"/>
      <w:pPr>
        <w:ind w:left="1036" w:hanging="720"/>
      </w:pPr>
      <w:rPr>
        <w:rFonts w:hint="default" w:cs="Times New Roman"/>
      </w:rPr>
    </w:lvl>
    <w:lvl w:ilvl="1" w:tentative="0">
      <w:start w:val="1"/>
      <w:numFmt w:val="lowerLetter"/>
      <w:lvlText w:val="%2)"/>
      <w:lvlJc w:val="left"/>
      <w:pPr>
        <w:ind w:left="1156" w:hanging="420"/>
      </w:pPr>
      <w:rPr>
        <w:rFonts w:cs="Times New Roman"/>
      </w:rPr>
    </w:lvl>
    <w:lvl w:ilvl="2" w:tentative="0">
      <w:start w:val="1"/>
      <w:numFmt w:val="lowerRoman"/>
      <w:lvlText w:val="%3."/>
      <w:lvlJc w:val="right"/>
      <w:pPr>
        <w:ind w:left="1576" w:hanging="420"/>
      </w:pPr>
      <w:rPr>
        <w:rFonts w:cs="Times New Roman"/>
      </w:rPr>
    </w:lvl>
    <w:lvl w:ilvl="3" w:tentative="0">
      <w:start w:val="1"/>
      <w:numFmt w:val="decimal"/>
      <w:lvlText w:val="%4."/>
      <w:lvlJc w:val="left"/>
      <w:pPr>
        <w:ind w:left="1996" w:hanging="420"/>
      </w:pPr>
      <w:rPr>
        <w:rFonts w:cs="Times New Roman"/>
      </w:rPr>
    </w:lvl>
    <w:lvl w:ilvl="4" w:tentative="0">
      <w:start w:val="1"/>
      <w:numFmt w:val="lowerLetter"/>
      <w:lvlText w:val="%5)"/>
      <w:lvlJc w:val="left"/>
      <w:pPr>
        <w:ind w:left="2416" w:hanging="420"/>
      </w:pPr>
      <w:rPr>
        <w:rFonts w:cs="Times New Roman"/>
      </w:rPr>
    </w:lvl>
    <w:lvl w:ilvl="5" w:tentative="0">
      <w:start w:val="1"/>
      <w:numFmt w:val="lowerRoman"/>
      <w:lvlText w:val="%6."/>
      <w:lvlJc w:val="right"/>
      <w:pPr>
        <w:ind w:left="2836" w:hanging="420"/>
      </w:pPr>
      <w:rPr>
        <w:rFonts w:cs="Times New Roman"/>
      </w:rPr>
    </w:lvl>
    <w:lvl w:ilvl="6" w:tentative="0">
      <w:start w:val="1"/>
      <w:numFmt w:val="decimal"/>
      <w:lvlText w:val="%7."/>
      <w:lvlJc w:val="left"/>
      <w:pPr>
        <w:ind w:left="3256" w:hanging="420"/>
      </w:pPr>
      <w:rPr>
        <w:rFonts w:cs="Times New Roman"/>
      </w:rPr>
    </w:lvl>
    <w:lvl w:ilvl="7" w:tentative="0">
      <w:start w:val="1"/>
      <w:numFmt w:val="lowerLetter"/>
      <w:lvlText w:val="%8)"/>
      <w:lvlJc w:val="left"/>
      <w:pPr>
        <w:ind w:left="3676" w:hanging="420"/>
      </w:pPr>
      <w:rPr>
        <w:rFonts w:cs="Times New Roman"/>
      </w:rPr>
    </w:lvl>
    <w:lvl w:ilvl="8" w:tentative="0">
      <w:start w:val="1"/>
      <w:numFmt w:val="lowerRoman"/>
      <w:lvlText w:val="%9."/>
      <w:lvlJc w:val="right"/>
      <w:pPr>
        <w:ind w:left="4096" w:hanging="420"/>
      </w:pPr>
      <w:rPr>
        <w:rFonts w:cs="Times New Roman"/>
      </w:rPr>
    </w:lvl>
  </w:abstractNum>
  <w:abstractNum w:abstractNumId="9">
    <w:nsid w:val="1F7F5B30"/>
    <w:multiLevelType w:val="multilevel"/>
    <w:tmpl w:val="1F7F5B30"/>
    <w:lvl w:ilvl="0" w:tentative="0">
      <w:start w:val="1"/>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0">
    <w:nsid w:val="3D1EC4F0"/>
    <w:multiLevelType w:val="singleLevel"/>
    <w:tmpl w:val="3D1EC4F0"/>
    <w:lvl w:ilvl="0" w:tentative="0">
      <w:start w:val="1"/>
      <w:numFmt w:val="chineseCounting"/>
      <w:suff w:val="nothing"/>
      <w:lvlText w:val="（%1）"/>
      <w:lvlJc w:val="left"/>
      <w:pPr>
        <w:ind w:left="0" w:firstLine="420"/>
      </w:pPr>
      <w:rPr>
        <w:rFonts w:hint="eastAsia"/>
      </w:rPr>
    </w:lvl>
  </w:abstractNum>
  <w:abstractNum w:abstractNumId="11">
    <w:nsid w:val="50ED5EF6"/>
    <w:multiLevelType w:val="multilevel"/>
    <w:tmpl w:val="50ED5EF6"/>
    <w:lvl w:ilvl="0" w:tentative="0">
      <w:start w:val="1"/>
      <w:numFmt w:val="bullet"/>
      <w:lvlText w:val=""/>
      <w:lvlJc w:val="left"/>
      <w:pPr>
        <w:ind w:left="420" w:hanging="420"/>
      </w:pPr>
      <w:rPr>
        <w:rFonts w:hint="default" w:ascii="Wingdings" w:hAnsi="Wingdings"/>
      </w:rPr>
    </w:lvl>
    <w:lvl w:ilvl="1" w:tentative="0">
      <w:start w:val="1"/>
      <w:numFmt w:val="bullet"/>
      <w:pStyle w:val="19"/>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5A34E2AA"/>
    <w:multiLevelType w:val="multilevel"/>
    <w:tmpl w:val="5A34E2AA"/>
    <w:lvl w:ilvl="0" w:tentative="0">
      <w:start w:val="1"/>
      <w:numFmt w:val="decimal"/>
      <w:lvlText w:val="%1."/>
      <w:lvlJc w:val="left"/>
      <w:pPr>
        <w:tabs>
          <w:tab w:val="left" w:pos="0"/>
        </w:tabs>
        <w:ind w:left="562"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11"/>
  </w:num>
  <w:num w:numId="2">
    <w:abstractNumId w:val="12"/>
  </w:num>
  <w:num w:numId="3">
    <w:abstractNumId w:val="5"/>
  </w:num>
  <w:num w:numId="4">
    <w:abstractNumId w:val="10"/>
  </w:num>
  <w:num w:numId="5">
    <w:abstractNumId w:val="1"/>
  </w:num>
  <w:num w:numId="6">
    <w:abstractNumId w:val="0"/>
  </w:num>
  <w:num w:numId="7">
    <w:abstractNumId w:val="2"/>
  </w:num>
  <w:num w:numId="8">
    <w:abstractNumId w:val="4"/>
  </w:num>
  <w:num w:numId="9">
    <w:abstractNumId w:val="7"/>
  </w:num>
  <w:num w:numId="10">
    <w:abstractNumId w:val="9"/>
  </w:num>
  <w:num w:numId="11">
    <w:abstractNumId w:val="3"/>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720"/>
  <w:drawingGridHorizontalSpacing w:val="170"/>
  <w:drawingGridVerticalSpacing w:val="240"/>
  <w:doNotShadeFormData w:val="1"/>
  <w:noPunctuationKerning w:val="1"/>
  <w:characterSpacingControl w:val="doNotCompress"/>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xY2JhM2JjMzgwNjlhYmI0ZGQwYTQ4ZmNhYjRhZjYifQ=="/>
  </w:docVars>
  <w:rsids>
    <w:rsidRoot w:val="00172A27"/>
    <w:rsid w:val="00001EB6"/>
    <w:rsid w:val="00003500"/>
    <w:rsid w:val="000065BD"/>
    <w:rsid w:val="00007516"/>
    <w:rsid w:val="00007883"/>
    <w:rsid w:val="00015486"/>
    <w:rsid w:val="000154EA"/>
    <w:rsid w:val="00017C3C"/>
    <w:rsid w:val="000206FF"/>
    <w:rsid w:val="0002178E"/>
    <w:rsid w:val="00021D75"/>
    <w:rsid w:val="000238C4"/>
    <w:rsid w:val="00023E48"/>
    <w:rsid w:val="00030FF3"/>
    <w:rsid w:val="00032297"/>
    <w:rsid w:val="00035DAE"/>
    <w:rsid w:val="000369B0"/>
    <w:rsid w:val="00036CDB"/>
    <w:rsid w:val="000373B3"/>
    <w:rsid w:val="00045EB0"/>
    <w:rsid w:val="000467D2"/>
    <w:rsid w:val="00046A60"/>
    <w:rsid w:val="00046D0B"/>
    <w:rsid w:val="000516B4"/>
    <w:rsid w:val="0005498B"/>
    <w:rsid w:val="00061A27"/>
    <w:rsid w:val="00062A94"/>
    <w:rsid w:val="00063A59"/>
    <w:rsid w:val="000648FC"/>
    <w:rsid w:val="000668ED"/>
    <w:rsid w:val="00067B6D"/>
    <w:rsid w:val="00070D06"/>
    <w:rsid w:val="00070FD8"/>
    <w:rsid w:val="000714CD"/>
    <w:rsid w:val="000742F5"/>
    <w:rsid w:val="00074798"/>
    <w:rsid w:val="000751EF"/>
    <w:rsid w:val="0007591B"/>
    <w:rsid w:val="00075CCD"/>
    <w:rsid w:val="00075E2E"/>
    <w:rsid w:val="00077C8B"/>
    <w:rsid w:val="00084135"/>
    <w:rsid w:val="00085D72"/>
    <w:rsid w:val="000864C0"/>
    <w:rsid w:val="0008675E"/>
    <w:rsid w:val="000906D8"/>
    <w:rsid w:val="000908B3"/>
    <w:rsid w:val="000917BE"/>
    <w:rsid w:val="00092611"/>
    <w:rsid w:val="0009304F"/>
    <w:rsid w:val="000939FE"/>
    <w:rsid w:val="000978B2"/>
    <w:rsid w:val="00097E77"/>
    <w:rsid w:val="000A203F"/>
    <w:rsid w:val="000A2319"/>
    <w:rsid w:val="000A3250"/>
    <w:rsid w:val="000A406D"/>
    <w:rsid w:val="000A50BB"/>
    <w:rsid w:val="000A6B3A"/>
    <w:rsid w:val="000A7CF1"/>
    <w:rsid w:val="000B2786"/>
    <w:rsid w:val="000B2B42"/>
    <w:rsid w:val="000B3B89"/>
    <w:rsid w:val="000B4210"/>
    <w:rsid w:val="000B625E"/>
    <w:rsid w:val="000B7D41"/>
    <w:rsid w:val="000C027A"/>
    <w:rsid w:val="000C1604"/>
    <w:rsid w:val="000C350F"/>
    <w:rsid w:val="000D0D41"/>
    <w:rsid w:val="000D5A60"/>
    <w:rsid w:val="000D6D5A"/>
    <w:rsid w:val="000E16C7"/>
    <w:rsid w:val="000E4D83"/>
    <w:rsid w:val="000E70B6"/>
    <w:rsid w:val="000F0EB5"/>
    <w:rsid w:val="000F1633"/>
    <w:rsid w:val="000F2066"/>
    <w:rsid w:val="000F20FF"/>
    <w:rsid w:val="000F38AA"/>
    <w:rsid w:val="000F4595"/>
    <w:rsid w:val="000F6D7E"/>
    <w:rsid w:val="001003F8"/>
    <w:rsid w:val="00101C5B"/>
    <w:rsid w:val="00103546"/>
    <w:rsid w:val="00111403"/>
    <w:rsid w:val="00111793"/>
    <w:rsid w:val="00112938"/>
    <w:rsid w:val="00113519"/>
    <w:rsid w:val="00114592"/>
    <w:rsid w:val="00114C58"/>
    <w:rsid w:val="00114C86"/>
    <w:rsid w:val="00116B60"/>
    <w:rsid w:val="0011732B"/>
    <w:rsid w:val="001174C3"/>
    <w:rsid w:val="001252A4"/>
    <w:rsid w:val="0012683A"/>
    <w:rsid w:val="00126E54"/>
    <w:rsid w:val="0013218C"/>
    <w:rsid w:val="00133F03"/>
    <w:rsid w:val="0013570A"/>
    <w:rsid w:val="00135CAD"/>
    <w:rsid w:val="001366F1"/>
    <w:rsid w:val="00137A87"/>
    <w:rsid w:val="00137E5A"/>
    <w:rsid w:val="0014043C"/>
    <w:rsid w:val="00140803"/>
    <w:rsid w:val="00141E7C"/>
    <w:rsid w:val="001430BE"/>
    <w:rsid w:val="00152A88"/>
    <w:rsid w:val="00161E40"/>
    <w:rsid w:val="00162ACA"/>
    <w:rsid w:val="00164762"/>
    <w:rsid w:val="00165EA4"/>
    <w:rsid w:val="00172A27"/>
    <w:rsid w:val="00174962"/>
    <w:rsid w:val="0018376C"/>
    <w:rsid w:val="00184F1F"/>
    <w:rsid w:val="001903F3"/>
    <w:rsid w:val="00192B7D"/>
    <w:rsid w:val="001935A3"/>
    <w:rsid w:val="00193CA7"/>
    <w:rsid w:val="00193CF1"/>
    <w:rsid w:val="0019478E"/>
    <w:rsid w:val="00195926"/>
    <w:rsid w:val="00197623"/>
    <w:rsid w:val="001978D8"/>
    <w:rsid w:val="001A09C3"/>
    <w:rsid w:val="001A1683"/>
    <w:rsid w:val="001A27A0"/>
    <w:rsid w:val="001A542C"/>
    <w:rsid w:val="001A6382"/>
    <w:rsid w:val="001A704E"/>
    <w:rsid w:val="001A7908"/>
    <w:rsid w:val="001B0673"/>
    <w:rsid w:val="001B3108"/>
    <w:rsid w:val="001B37AE"/>
    <w:rsid w:val="001B4220"/>
    <w:rsid w:val="001B7930"/>
    <w:rsid w:val="001C21A1"/>
    <w:rsid w:val="001D1627"/>
    <w:rsid w:val="001D1EF7"/>
    <w:rsid w:val="001D36C3"/>
    <w:rsid w:val="001D3993"/>
    <w:rsid w:val="001D5481"/>
    <w:rsid w:val="001D5D60"/>
    <w:rsid w:val="001D69E3"/>
    <w:rsid w:val="001D6E79"/>
    <w:rsid w:val="001D7531"/>
    <w:rsid w:val="001D78EF"/>
    <w:rsid w:val="001E2C3A"/>
    <w:rsid w:val="001E43F7"/>
    <w:rsid w:val="001E5D1D"/>
    <w:rsid w:val="001E5FB3"/>
    <w:rsid w:val="001E6C59"/>
    <w:rsid w:val="001F201B"/>
    <w:rsid w:val="001F24D4"/>
    <w:rsid w:val="001F36D0"/>
    <w:rsid w:val="001F62E5"/>
    <w:rsid w:val="001F72D7"/>
    <w:rsid w:val="002009A6"/>
    <w:rsid w:val="00200A38"/>
    <w:rsid w:val="0020131E"/>
    <w:rsid w:val="002039DF"/>
    <w:rsid w:val="00203D41"/>
    <w:rsid w:val="00211D2D"/>
    <w:rsid w:val="00212F67"/>
    <w:rsid w:val="002130FE"/>
    <w:rsid w:val="00217A5A"/>
    <w:rsid w:val="002203D8"/>
    <w:rsid w:val="002215EF"/>
    <w:rsid w:val="0022233C"/>
    <w:rsid w:val="00222E49"/>
    <w:rsid w:val="00222E6E"/>
    <w:rsid w:val="00222E8E"/>
    <w:rsid w:val="00223679"/>
    <w:rsid w:val="002264CD"/>
    <w:rsid w:val="00226DBA"/>
    <w:rsid w:val="00230717"/>
    <w:rsid w:val="00231E68"/>
    <w:rsid w:val="0023215A"/>
    <w:rsid w:val="00233E4F"/>
    <w:rsid w:val="002342B9"/>
    <w:rsid w:val="002344AE"/>
    <w:rsid w:val="00235E11"/>
    <w:rsid w:val="00237354"/>
    <w:rsid w:val="0023746D"/>
    <w:rsid w:val="00237E05"/>
    <w:rsid w:val="00237ED5"/>
    <w:rsid w:val="002416C3"/>
    <w:rsid w:val="0024470F"/>
    <w:rsid w:val="002469C8"/>
    <w:rsid w:val="0024716E"/>
    <w:rsid w:val="00247936"/>
    <w:rsid w:val="00250098"/>
    <w:rsid w:val="0025414B"/>
    <w:rsid w:val="002542F5"/>
    <w:rsid w:val="00255574"/>
    <w:rsid w:val="0025652C"/>
    <w:rsid w:val="00260BAB"/>
    <w:rsid w:val="00260EA8"/>
    <w:rsid w:val="00261261"/>
    <w:rsid w:val="00261367"/>
    <w:rsid w:val="00261DDC"/>
    <w:rsid w:val="00262AEE"/>
    <w:rsid w:val="00263E5A"/>
    <w:rsid w:val="00264505"/>
    <w:rsid w:val="0026719E"/>
    <w:rsid w:val="0027177E"/>
    <w:rsid w:val="00271A81"/>
    <w:rsid w:val="00271A99"/>
    <w:rsid w:val="002730FA"/>
    <w:rsid w:val="00273A5A"/>
    <w:rsid w:val="00274DC6"/>
    <w:rsid w:val="0027585D"/>
    <w:rsid w:val="00275E92"/>
    <w:rsid w:val="00276306"/>
    <w:rsid w:val="002806D4"/>
    <w:rsid w:val="00281757"/>
    <w:rsid w:val="00284C5E"/>
    <w:rsid w:val="00287C08"/>
    <w:rsid w:val="00291DC2"/>
    <w:rsid w:val="002930FC"/>
    <w:rsid w:val="00294432"/>
    <w:rsid w:val="0029615A"/>
    <w:rsid w:val="002969ED"/>
    <w:rsid w:val="002A19AC"/>
    <w:rsid w:val="002A2A0C"/>
    <w:rsid w:val="002A5DDA"/>
    <w:rsid w:val="002B030F"/>
    <w:rsid w:val="002B04B6"/>
    <w:rsid w:val="002B2487"/>
    <w:rsid w:val="002B5049"/>
    <w:rsid w:val="002B509F"/>
    <w:rsid w:val="002C0129"/>
    <w:rsid w:val="002C0A96"/>
    <w:rsid w:val="002C0D7E"/>
    <w:rsid w:val="002C2842"/>
    <w:rsid w:val="002C4E9D"/>
    <w:rsid w:val="002C59B2"/>
    <w:rsid w:val="002D302A"/>
    <w:rsid w:val="002D6F1F"/>
    <w:rsid w:val="002D75D0"/>
    <w:rsid w:val="002E04C3"/>
    <w:rsid w:val="002E0B6F"/>
    <w:rsid w:val="002E18B8"/>
    <w:rsid w:val="002E1C9E"/>
    <w:rsid w:val="002E3B24"/>
    <w:rsid w:val="002E4D39"/>
    <w:rsid w:val="002E5CB8"/>
    <w:rsid w:val="002E7967"/>
    <w:rsid w:val="002F0F02"/>
    <w:rsid w:val="002F25C3"/>
    <w:rsid w:val="002F3F36"/>
    <w:rsid w:val="002F4B1F"/>
    <w:rsid w:val="00300AE4"/>
    <w:rsid w:val="003014AC"/>
    <w:rsid w:val="00303AC7"/>
    <w:rsid w:val="00305D86"/>
    <w:rsid w:val="00306456"/>
    <w:rsid w:val="00310915"/>
    <w:rsid w:val="0031166B"/>
    <w:rsid w:val="00311DB4"/>
    <w:rsid w:val="0031315E"/>
    <w:rsid w:val="00313AAC"/>
    <w:rsid w:val="00317AE0"/>
    <w:rsid w:val="00321428"/>
    <w:rsid w:val="0032457F"/>
    <w:rsid w:val="00327B20"/>
    <w:rsid w:val="00330409"/>
    <w:rsid w:val="00331E71"/>
    <w:rsid w:val="003338D0"/>
    <w:rsid w:val="003362FE"/>
    <w:rsid w:val="003400FD"/>
    <w:rsid w:val="00342DCC"/>
    <w:rsid w:val="00343D6A"/>
    <w:rsid w:val="00346506"/>
    <w:rsid w:val="00346AE1"/>
    <w:rsid w:val="00347825"/>
    <w:rsid w:val="003478A9"/>
    <w:rsid w:val="00350B27"/>
    <w:rsid w:val="00354136"/>
    <w:rsid w:val="00355D7F"/>
    <w:rsid w:val="00362FF6"/>
    <w:rsid w:val="00366538"/>
    <w:rsid w:val="003673DB"/>
    <w:rsid w:val="003739BD"/>
    <w:rsid w:val="0037738E"/>
    <w:rsid w:val="003801B8"/>
    <w:rsid w:val="0038138A"/>
    <w:rsid w:val="0038192E"/>
    <w:rsid w:val="003852DA"/>
    <w:rsid w:val="00386275"/>
    <w:rsid w:val="003914F5"/>
    <w:rsid w:val="00392AF1"/>
    <w:rsid w:val="00397032"/>
    <w:rsid w:val="003A0359"/>
    <w:rsid w:val="003A3379"/>
    <w:rsid w:val="003A6B42"/>
    <w:rsid w:val="003B0469"/>
    <w:rsid w:val="003B1DBC"/>
    <w:rsid w:val="003B77B9"/>
    <w:rsid w:val="003C4B45"/>
    <w:rsid w:val="003C7BD4"/>
    <w:rsid w:val="003D01D5"/>
    <w:rsid w:val="003D2210"/>
    <w:rsid w:val="003D4C19"/>
    <w:rsid w:val="003D7543"/>
    <w:rsid w:val="003E2563"/>
    <w:rsid w:val="003E5A21"/>
    <w:rsid w:val="003E7A4E"/>
    <w:rsid w:val="003F106A"/>
    <w:rsid w:val="003F2FCD"/>
    <w:rsid w:val="003F35C1"/>
    <w:rsid w:val="003F3A34"/>
    <w:rsid w:val="003F7ED4"/>
    <w:rsid w:val="0040204C"/>
    <w:rsid w:val="004070DE"/>
    <w:rsid w:val="00412220"/>
    <w:rsid w:val="0042166E"/>
    <w:rsid w:val="00424D60"/>
    <w:rsid w:val="004258A1"/>
    <w:rsid w:val="00426D20"/>
    <w:rsid w:val="00426FA4"/>
    <w:rsid w:val="00430A12"/>
    <w:rsid w:val="00430AB9"/>
    <w:rsid w:val="0043271B"/>
    <w:rsid w:val="004332D9"/>
    <w:rsid w:val="00433FA3"/>
    <w:rsid w:val="00434ADB"/>
    <w:rsid w:val="00450B4B"/>
    <w:rsid w:val="0045315C"/>
    <w:rsid w:val="0045446E"/>
    <w:rsid w:val="004551F1"/>
    <w:rsid w:val="00462C4A"/>
    <w:rsid w:val="00463BA2"/>
    <w:rsid w:val="00464B74"/>
    <w:rsid w:val="0046505F"/>
    <w:rsid w:val="00465A2E"/>
    <w:rsid w:val="00466257"/>
    <w:rsid w:val="004747B7"/>
    <w:rsid w:val="00476E28"/>
    <w:rsid w:val="00481699"/>
    <w:rsid w:val="00485F27"/>
    <w:rsid w:val="00486CE9"/>
    <w:rsid w:val="00486E76"/>
    <w:rsid w:val="004904F2"/>
    <w:rsid w:val="0049275C"/>
    <w:rsid w:val="00492D9B"/>
    <w:rsid w:val="004949E4"/>
    <w:rsid w:val="00494C65"/>
    <w:rsid w:val="00496D3C"/>
    <w:rsid w:val="004975C5"/>
    <w:rsid w:val="004A4712"/>
    <w:rsid w:val="004A5A7A"/>
    <w:rsid w:val="004A768F"/>
    <w:rsid w:val="004A7AD0"/>
    <w:rsid w:val="004B12CB"/>
    <w:rsid w:val="004B2121"/>
    <w:rsid w:val="004B537A"/>
    <w:rsid w:val="004C0271"/>
    <w:rsid w:val="004C3372"/>
    <w:rsid w:val="004C431C"/>
    <w:rsid w:val="004C5813"/>
    <w:rsid w:val="004C6289"/>
    <w:rsid w:val="004C708B"/>
    <w:rsid w:val="004D040B"/>
    <w:rsid w:val="004D19E1"/>
    <w:rsid w:val="004D3427"/>
    <w:rsid w:val="004D35F2"/>
    <w:rsid w:val="004D5C91"/>
    <w:rsid w:val="004D7963"/>
    <w:rsid w:val="004E2838"/>
    <w:rsid w:val="004E3EB2"/>
    <w:rsid w:val="004E498F"/>
    <w:rsid w:val="004E4E86"/>
    <w:rsid w:val="004E5228"/>
    <w:rsid w:val="004E7B4E"/>
    <w:rsid w:val="004F684F"/>
    <w:rsid w:val="004F73F2"/>
    <w:rsid w:val="0050056C"/>
    <w:rsid w:val="00501455"/>
    <w:rsid w:val="00503594"/>
    <w:rsid w:val="0050415E"/>
    <w:rsid w:val="00504A97"/>
    <w:rsid w:val="00505115"/>
    <w:rsid w:val="00507880"/>
    <w:rsid w:val="00507BBD"/>
    <w:rsid w:val="00507D8B"/>
    <w:rsid w:val="00511CF9"/>
    <w:rsid w:val="00511E27"/>
    <w:rsid w:val="005124B0"/>
    <w:rsid w:val="00514B68"/>
    <w:rsid w:val="00514CCA"/>
    <w:rsid w:val="00516C78"/>
    <w:rsid w:val="00517FEC"/>
    <w:rsid w:val="00520743"/>
    <w:rsid w:val="00522825"/>
    <w:rsid w:val="00523245"/>
    <w:rsid w:val="005241CB"/>
    <w:rsid w:val="00531AC0"/>
    <w:rsid w:val="005325EC"/>
    <w:rsid w:val="00537327"/>
    <w:rsid w:val="005375B9"/>
    <w:rsid w:val="00540A99"/>
    <w:rsid w:val="00546B5C"/>
    <w:rsid w:val="00547541"/>
    <w:rsid w:val="00551403"/>
    <w:rsid w:val="0055156A"/>
    <w:rsid w:val="00552F17"/>
    <w:rsid w:val="00554231"/>
    <w:rsid w:val="00554462"/>
    <w:rsid w:val="00556DF7"/>
    <w:rsid w:val="00563E43"/>
    <w:rsid w:val="00564E0D"/>
    <w:rsid w:val="00565B3A"/>
    <w:rsid w:val="0056679F"/>
    <w:rsid w:val="00566ABA"/>
    <w:rsid w:val="00567685"/>
    <w:rsid w:val="00567B7C"/>
    <w:rsid w:val="00571CD6"/>
    <w:rsid w:val="005724C9"/>
    <w:rsid w:val="00573E7C"/>
    <w:rsid w:val="00574C5A"/>
    <w:rsid w:val="00576613"/>
    <w:rsid w:val="00576DBD"/>
    <w:rsid w:val="005806B7"/>
    <w:rsid w:val="0058108A"/>
    <w:rsid w:val="00581E5E"/>
    <w:rsid w:val="00585326"/>
    <w:rsid w:val="00585CAA"/>
    <w:rsid w:val="0058625A"/>
    <w:rsid w:val="00586FFE"/>
    <w:rsid w:val="005950CB"/>
    <w:rsid w:val="005950E0"/>
    <w:rsid w:val="005959E8"/>
    <w:rsid w:val="00595DF2"/>
    <w:rsid w:val="005974FB"/>
    <w:rsid w:val="00597F80"/>
    <w:rsid w:val="005A0655"/>
    <w:rsid w:val="005A1E79"/>
    <w:rsid w:val="005A4569"/>
    <w:rsid w:val="005A50B3"/>
    <w:rsid w:val="005B47AF"/>
    <w:rsid w:val="005B4878"/>
    <w:rsid w:val="005B60D3"/>
    <w:rsid w:val="005C059F"/>
    <w:rsid w:val="005C1D4B"/>
    <w:rsid w:val="005C554E"/>
    <w:rsid w:val="005C5EE7"/>
    <w:rsid w:val="005D2E83"/>
    <w:rsid w:val="005D3D72"/>
    <w:rsid w:val="005D562F"/>
    <w:rsid w:val="005D6A25"/>
    <w:rsid w:val="005D6C05"/>
    <w:rsid w:val="005D740C"/>
    <w:rsid w:val="005E1EDB"/>
    <w:rsid w:val="005E2BE8"/>
    <w:rsid w:val="005E6500"/>
    <w:rsid w:val="005E7835"/>
    <w:rsid w:val="005E7F2F"/>
    <w:rsid w:val="005F0793"/>
    <w:rsid w:val="005F092D"/>
    <w:rsid w:val="005F309E"/>
    <w:rsid w:val="005F3274"/>
    <w:rsid w:val="005F447A"/>
    <w:rsid w:val="005F5874"/>
    <w:rsid w:val="005F62C7"/>
    <w:rsid w:val="005F640B"/>
    <w:rsid w:val="005F68E9"/>
    <w:rsid w:val="005F7D4C"/>
    <w:rsid w:val="00600BAA"/>
    <w:rsid w:val="0060269E"/>
    <w:rsid w:val="00605C2E"/>
    <w:rsid w:val="00605E14"/>
    <w:rsid w:val="00606BE1"/>
    <w:rsid w:val="00612249"/>
    <w:rsid w:val="00615B28"/>
    <w:rsid w:val="0063114E"/>
    <w:rsid w:val="006313F4"/>
    <w:rsid w:val="00631E03"/>
    <w:rsid w:val="00634A0F"/>
    <w:rsid w:val="00634D61"/>
    <w:rsid w:val="00636AE3"/>
    <w:rsid w:val="00637B55"/>
    <w:rsid w:val="0064070E"/>
    <w:rsid w:val="00641F8F"/>
    <w:rsid w:val="00642A49"/>
    <w:rsid w:val="006468B1"/>
    <w:rsid w:val="00646E42"/>
    <w:rsid w:val="00647BBB"/>
    <w:rsid w:val="00651D31"/>
    <w:rsid w:val="00653998"/>
    <w:rsid w:val="006546CE"/>
    <w:rsid w:val="00654823"/>
    <w:rsid w:val="00654D89"/>
    <w:rsid w:val="006552FF"/>
    <w:rsid w:val="00664E65"/>
    <w:rsid w:val="0066508E"/>
    <w:rsid w:val="0066569F"/>
    <w:rsid w:val="00665FA5"/>
    <w:rsid w:val="006661C9"/>
    <w:rsid w:val="006665F5"/>
    <w:rsid w:val="00671583"/>
    <w:rsid w:val="00672C21"/>
    <w:rsid w:val="006755F3"/>
    <w:rsid w:val="006800E4"/>
    <w:rsid w:val="006807C2"/>
    <w:rsid w:val="00680E9F"/>
    <w:rsid w:val="00681BD4"/>
    <w:rsid w:val="006867A0"/>
    <w:rsid w:val="006918C1"/>
    <w:rsid w:val="0069260D"/>
    <w:rsid w:val="00693D00"/>
    <w:rsid w:val="00697EDF"/>
    <w:rsid w:val="006A1780"/>
    <w:rsid w:val="006A2A50"/>
    <w:rsid w:val="006A3534"/>
    <w:rsid w:val="006A3BB5"/>
    <w:rsid w:val="006A5A14"/>
    <w:rsid w:val="006C1372"/>
    <w:rsid w:val="006C2CE7"/>
    <w:rsid w:val="006C3980"/>
    <w:rsid w:val="006C51D1"/>
    <w:rsid w:val="006C550F"/>
    <w:rsid w:val="006C6151"/>
    <w:rsid w:val="006D0968"/>
    <w:rsid w:val="006D159C"/>
    <w:rsid w:val="006D1670"/>
    <w:rsid w:val="006D1959"/>
    <w:rsid w:val="006D3D50"/>
    <w:rsid w:val="006D7F9C"/>
    <w:rsid w:val="006E14E4"/>
    <w:rsid w:val="006E30A5"/>
    <w:rsid w:val="006E470D"/>
    <w:rsid w:val="006E5EF7"/>
    <w:rsid w:val="006E6EC7"/>
    <w:rsid w:val="006F1D7A"/>
    <w:rsid w:val="006F2126"/>
    <w:rsid w:val="006F4FB4"/>
    <w:rsid w:val="006F54BD"/>
    <w:rsid w:val="006F58BE"/>
    <w:rsid w:val="006F7170"/>
    <w:rsid w:val="00702142"/>
    <w:rsid w:val="0070424A"/>
    <w:rsid w:val="00704DAF"/>
    <w:rsid w:val="00705653"/>
    <w:rsid w:val="007061CE"/>
    <w:rsid w:val="00712E38"/>
    <w:rsid w:val="00714250"/>
    <w:rsid w:val="007153CD"/>
    <w:rsid w:val="00715649"/>
    <w:rsid w:val="00716084"/>
    <w:rsid w:val="00716E60"/>
    <w:rsid w:val="0072009B"/>
    <w:rsid w:val="007202ED"/>
    <w:rsid w:val="00720E25"/>
    <w:rsid w:val="00721B60"/>
    <w:rsid w:val="007233C9"/>
    <w:rsid w:val="00723485"/>
    <w:rsid w:val="0072374E"/>
    <w:rsid w:val="00723F96"/>
    <w:rsid w:val="00726143"/>
    <w:rsid w:val="00726743"/>
    <w:rsid w:val="007271C6"/>
    <w:rsid w:val="007273AA"/>
    <w:rsid w:val="007274B5"/>
    <w:rsid w:val="00727D15"/>
    <w:rsid w:val="007304E1"/>
    <w:rsid w:val="007366C0"/>
    <w:rsid w:val="00736CF2"/>
    <w:rsid w:val="00737E5F"/>
    <w:rsid w:val="007400E6"/>
    <w:rsid w:val="007430C9"/>
    <w:rsid w:val="00743CA3"/>
    <w:rsid w:val="00744E12"/>
    <w:rsid w:val="007452D1"/>
    <w:rsid w:val="00750DAC"/>
    <w:rsid w:val="00754170"/>
    <w:rsid w:val="00755BA3"/>
    <w:rsid w:val="007635D9"/>
    <w:rsid w:val="00766450"/>
    <w:rsid w:val="00766959"/>
    <w:rsid w:val="0077398F"/>
    <w:rsid w:val="00775432"/>
    <w:rsid w:val="0077639A"/>
    <w:rsid w:val="007764B2"/>
    <w:rsid w:val="00780618"/>
    <w:rsid w:val="007813D7"/>
    <w:rsid w:val="0078187E"/>
    <w:rsid w:val="00781CBB"/>
    <w:rsid w:val="00782449"/>
    <w:rsid w:val="00782FD2"/>
    <w:rsid w:val="00783E41"/>
    <w:rsid w:val="0078543A"/>
    <w:rsid w:val="00785A4B"/>
    <w:rsid w:val="00787396"/>
    <w:rsid w:val="00787527"/>
    <w:rsid w:val="00787F21"/>
    <w:rsid w:val="00792B4B"/>
    <w:rsid w:val="00793FB2"/>
    <w:rsid w:val="007949A5"/>
    <w:rsid w:val="0079720B"/>
    <w:rsid w:val="00797249"/>
    <w:rsid w:val="007A21BF"/>
    <w:rsid w:val="007A32C8"/>
    <w:rsid w:val="007A368E"/>
    <w:rsid w:val="007A4513"/>
    <w:rsid w:val="007A5990"/>
    <w:rsid w:val="007B0998"/>
    <w:rsid w:val="007B463F"/>
    <w:rsid w:val="007B4E59"/>
    <w:rsid w:val="007B5352"/>
    <w:rsid w:val="007B580E"/>
    <w:rsid w:val="007B5A58"/>
    <w:rsid w:val="007B60E1"/>
    <w:rsid w:val="007B7673"/>
    <w:rsid w:val="007C09AE"/>
    <w:rsid w:val="007C1315"/>
    <w:rsid w:val="007C2BA8"/>
    <w:rsid w:val="007C33B0"/>
    <w:rsid w:val="007C4721"/>
    <w:rsid w:val="007D0B48"/>
    <w:rsid w:val="007D0FCC"/>
    <w:rsid w:val="007D20C2"/>
    <w:rsid w:val="007D70EC"/>
    <w:rsid w:val="007E047A"/>
    <w:rsid w:val="007E464E"/>
    <w:rsid w:val="007E49E2"/>
    <w:rsid w:val="007E5768"/>
    <w:rsid w:val="007F01E9"/>
    <w:rsid w:val="007F0989"/>
    <w:rsid w:val="007F0DD9"/>
    <w:rsid w:val="007F145C"/>
    <w:rsid w:val="007F14EA"/>
    <w:rsid w:val="007F5D9C"/>
    <w:rsid w:val="007F6683"/>
    <w:rsid w:val="007F6784"/>
    <w:rsid w:val="0080115A"/>
    <w:rsid w:val="00802518"/>
    <w:rsid w:val="00802DF8"/>
    <w:rsid w:val="00811837"/>
    <w:rsid w:val="0081367D"/>
    <w:rsid w:val="00814DEB"/>
    <w:rsid w:val="00815F10"/>
    <w:rsid w:val="00821FB5"/>
    <w:rsid w:val="00823181"/>
    <w:rsid w:val="008242FC"/>
    <w:rsid w:val="00825B7E"/>
    <w:rsid w:val="00831834"/>
    <w:rsid w:val="008319C9"/>
    <w:rsid w:val="00831BD9"/>
    <w:rsid w:val="00834771"/>
    <w:rsid w:val="008352EB"/>
    <w:rsid w:val="00841B1E"/>
    <w:rsid w:val="0084325B"/>
    <w:rsid w:val="00844654"/>
    <w:rsid w:val="00846059"/>
    <w:rsid w:val="00846B89"/>
    <w:rsid w:val="00850FEE"/>
    <w:rsid w:val="0085116A"/>
    <w:rsid w:val="00851913"/>
    <w:rsid w:val="00853B35"/>
    <w:rsid w:val="008560DA"/>
    <w:rsid w:val="00856B20"/>
    <w:rsid w:val="00860073"/>
    <w:rsid w:val="008652B9"/>
    <w:rsid w:val="00871CD9"/>
    <w:rsid w:val="00872666"/>
    <w:rsid w:val="0087520A"/>
    <w:rsid w:val="00884073"/>
    <w:rsid w:val="00886853"/>
    <w:rsid w:val="00887068"/>
    <w:rsid w:val="00891602"/>
    <w:rsid w:val="008935B1"/>
    <w:rsid w:val="008A2150"/>
    <w:rsid w:val="008A3185"/>
    <w:rsid w:val="008A4315"/>
    <w:rsid w:val="008A46B8"/>
    <w:rsid w:val="008A7A01"/>
    <w:rsid w:val="008B038E"/>
    <w:rsid w:val="008B1CA7"/>
    <w:rsid w:val="008B4C3C"/>
    <w:rsid w:val="008B610F"/>
    <w:rsid w:val="008B6C80"/>
    <w:rsid w:val="008B70D8"/>
    <w:rsid w:val="008C0267"/>
    <w:rsid w:val="008C0DAF"/>
    <w:rsid w:val="008C119A"/>
    <w:rsid w:val="008C519C"/>
    <w:rsid w:val="008C59BB"/>
    <w:rsid w:val="008D0BA3"/>
    <w:rsid w:val="008D1037"/>
    <w:rsid w:val="008D329E"/>
    <w:rsid w:val="008D3B38"/>
    <w:rsid w:val="008D44DA"/>
    <w:rsid w:val="008E046A"/>
    <w:rsid w:val="008E3AC0"/>
    <w:rsid w:val="008E408C"/>
    <w:rsid w:val="008E4E1E"/>
    <w:rsid w:val="008F0253"/>
    <w:rsid w:val="008F2289"/>
    <w:rsid w:val="008F35BD"/>
    <w:rsid w:val="008F6517"/>
    <w:rsid w:val="008F70C4"/>
    <w:rsid w:val="00900159"/>
    <w:rsid w:val="0090045C"/>
    <w:rsid w:val="00903870"/>
    <w:rsid w:val="0090450A"/>
    <w:rsid w:val="00906FCE"/>
    <w:rsid w:val="00912A6A"/>
    <w:rsid w:val="009144E3"/>
    <w:rsid w:val="00914601"/>
    <w:rsid w:val="00915D11"/>
    <w:rsid w:val="00920BDF"/>
    <w:rsid w:val="00921E24"/>
    <w:rsid w:val="00921FFA"/>
    <w:rsid w:val="0092583B"/>
    <w:rsid w:val="00926DBA"/>
    <w:rsid w:val="00927F9D"/>
    <w:rsid w:val="009301FF"/>
    <w:rsid w:val="00930930"/>
    <w:rsid w:val="009311E9"/>
    <w:rsid w:val="009324B6"/>
    <w:rsid w:val="009417E7"/>
    <w:rsid w:val="0094184C"/>
    <w:rsid w:val="00941DE6"/>
    <w:rsid w:val="0094289F"/>
    <w:rsid w:val="0095193E"/>
    <w:rsid w:val="00951D8B"/>
    <w:rsid w:val="009554B0"/>
    <w:rsid w:val="009579D6"/>
    <w:rsid w:val="00957E20"/>
    <w:rsid w:val="009658B1"/>
    <w:rsid w:val="00965E6F"/>
    <w:rsid w:val="009739FB"/>
    <w:rsid w:val="00981C08"/>
    <w:rsid w:val="00982665"/>
    <w:rsid w:val="009836C8"/>
    <w:rsid w:val="00992651"/>
    <w:rsid w:val="0099451F"/>
    <w:rsid w:val="0099495F"/>
    <w:rsid w:val="00995A9D"/>
    <w:rsid w:val="00997358"/>
    <w:rsid w:val="009A0D17"/>
    <w:rsid w:val="009A66D6"/>
    <w:rsid w:val="009A7DB1"/>
    <w:rsid w:val="009B0249"/>
    <w:rsid w:val="009B09A0"/>
    <w:rsid w:val="009B285A"/>
    <w:rsid w:val="009B349B"/>
    <w:rsid w:val="009B3DA0"/>
    <w:rsid w:val="009B4FCE"/>
    <w:rsid w:val="009B6249"/>
    <w:rsid w:val="009C146E"/>
    <w:rsid w:val="009C210A"/>
    <w:rsid w:val="009C292E"/>
    <w:rsid w:val="009C3D5D"/>
    <w:rsid w:val="009C6A72"/>
    <w:rsid w:val="009D1AB3"/>
    <w:rsid w:val="009D38B1"/>
    <w:rsid w:val="009D5B98"/>
    <w:rsid w:val="009D5D8F"/>
    <w:rsid w:val="009D5FC8"/>
    <w:rsid w:val="009D603A"/>
    <w:rsid w:val="009D6733"/>
    <w:rsid w:val="009D724B"/>
    <w:rsid w:val="009E0580"/>
    <w:rsid w:val="009E0D91"/>
    <w:rsid w:val="009E1A7F"/>
    <w:rsid w:val="009E2DD3"/>
    <w:rsid w:val="009E2EE2"/>
    <w:rsid w:val="009E4D33"/>
    <w:rsid w:val="009E6158"/>
    <w:rsid w:val="009E7CD7"/>
    <w:rsid w:val="009F0ECA"/>
    <w:rsid w:val="009F1DDA"/>
    <w:rsid w:val="009F5B59"/>
    <w:rsid w:val="009F5DBE"/>
    <w:rsid w:val="00A01FB9"/>
    <w:rsid w:val="00A03681"/>
    <w:rsid w:val="00A10FA8"/>
    <w:rsid w:val="00A112B9"/>
    <w:rsid w:val="00A113ED"/>
    <w:rsid w:val="00A14111"/>
    <w:rsid w:val="00A14A60"/>
    <w:rsid w:val="00A1589B"/>
    <w:rsid w:val="00A204FC"/>
    <w:rsid w:val="00A24211"/>
    <w:rsid w:val="00A250D0"/>
    <w:rsid w:val="00A26946"/>
    <w:rsid w:val="00A27475"/>
    <w:rsid w:val="00A27E3A"/>
    <w:rsid w:val="00A305CB"/>
    <w:rsid w:val="00A315F7"/>
    <w:rsid w:val="00A31C72"/>
    <w:rsid w:val="00A31C92"/>
    <w:rsid w:val="00A33AB4"/>
    <w:rsid w:val="00A369E2"/>
    <w:rsid w:val="00A375F6"/>
    <w:rsid w:val="00A41B8D"/>
    <w:rsid w:val="00A47E29"/>
    <w:rsid w:val="00A50617"/>
    <w:rsid w:val="00A52B97"/>
    <w:rsid w:val="00A532EE"/>
    <w:rsid w:val="00A543C4"/>
    <w:rsid w:val="00A559DF"/>
    <w:rsid w:val="00A56330"/>
    <w:rsid w:val="00A6310E"/>
    <w:rsid w:val="00A63A4F"/>
    <w:rsid w:val="00A656F2"/>
    <w:rsid w:val="00A6603D"/>
    <w:rsid w:val="00A708DB"/>
    <w:rsid w:val="00A70F50"/>
    <w:rsid w:val="00A75056"/>
    <w:rsid w:val="00A75694"/>
    <w:rsid w:val="00A75809"/>
    <w:rsid w:val="00A77051"/>
    <w:rsid w:val="00A814B5"/>
    <w:rsid w:val="00A8377F"/>
    <w:rsid w:val="00A85A0E"/>
    <w:rsid w:val="00A8619B"/>
    <w:rsid w:val="00A86C8E"/>
    <w:rsid w:val="00A900C0"/>
    <w:rsid w:val="00A909B7"/>
    <w:rsid w:val="00A93C1A"/>
    <w:rsid w:val="00A93FF0"/>
    <w:rsid w:val="00A95E39"/>
    <w:rsid w:val="00AA04D2"/>
    <w:rsid w:val="00AA096C"/>
    <w:rsid w:val="00AA249F"/>
    <w:rsid w:val="00AA3991"/>
    <w:rsid w:val="00AB2A2A"/>
    <w:rsid w:val="00AB4264"/>
    <w:rsid w:val="00AB50E5"/>
    <w:rsid w:val="00AC2FEC"/>
    <w:rsid w:val="00AC32D8"/>
    <w:rsid w:val="00AC60EB"/>
    <w:rsid w:val="00AD0513"/>
    <w:rsid w:val="00AD300D"/>
    <w:rsid w:val="00AD3AAC"/>
    <w:rsid w:val="00AD5199"/>
    <w:rsid w:val="00AE05AF"/>
    <w:rsid w:val="00AE46B6"/>
    <w:rsid w:val="00AE6C74"/>
    <w:rsid w:val="00AF4196"/>
    <w:rsid w:val="00AF4FB9"/>
    <w:rsid w:val="00AF5044"/>
    <w:rsid w:val="00AF6D03"/>
    <w:rsid w:val="00B006B6"/>
    <w:rsid w:val="00B00808"/>
    <w:rsid w:val="00B01D56"/>
    <w:rsid w:val="00B03EEA"/>
    <w:rsid w:val="00B05BA3"/>
    <w:rsid w:val="00B075EA"/>
    <w:rsid w:val="00B10649"/>
    <w:rsid w:val="00B11B39"/>
    <w:rsid w:val="00B136A1"/>
    <w:rsid w:val="00B138F3"/>
    <w:rsid w:val="00B16F1C"/>
    <w:rsid w:val="00B17214"/>
    <w:rsid w:val="00B17C27"/>
    <w:rsid w:val="00B200AB"/>
    <w:rsid w:val="00B22150"/>
    <w:rsid w:val="00B22747"/>
    <w:rsid w:val="00B25F1F"/>
    <w:rsid w:val="00B26203"/>
    <w:rsid w:val="00B274EB"/>
    <w:rsid w:val="00B3502C"/>
    <w:rsid w:val="00B3599E"/>
    <w:rsid w:val="00B362E6"/>
    <w:rsid w:val="00B36D58"/>
    <w:rsid w:val="00B41575"/>
    <w:rsid w:val="00B42D40"/>
    <w:rsid w:val="00B43328"/>
    <w:rsid w:val="00B46FC9"/>
    <w:rsid w:val="00B50CB2"/>
    <w:rsid w:val="00B518C1"/>
    <w:rsid w:val="00B52142"/>
    <w:rsid w:val="00B52CD3"/>
    <w:rsid w:val="00B54C27"/>
    <w:rsid w:val="00B55B3D"/>
    <w:rsid w:val="00B56E38"/>
    <w:rsid w:val="00B57448"/>
    <w:rsid w:val="00B6086B"/>
    <w:rsid w:val="00B643DE"/>
    <w:rsid w:val="00B643F5"/>
    <w:rsid w:val="00B649B0"/>
    <w:rsid w:val="00B65F72"/>
    <w:rsid w:val="00B667E3"/>
    <w:rsid w:val="00B6718C"/>
    <w:rsid w:val="00B6737A"/>
    <w:rsid w:val="00B67AC7"/>
    <w:rsid w:val="00B720DF"/>
    <w:rsid w:val="00B72C0C"/>
    <w:rsid w:val="00B74148"/>
    <w:rsid w:val="00B80166"/>
    <w:rsid w:val="00B8240A"/>
    <w:rsid w:val="00B8317E"/>
    <w:rsid w:val="00B84442"/>
    <w:rsid w:val="00B861D0"/>
    <w:rsid w:val="00B90413"/>
    <w:rsid w:val="00B90D4F"/>
    <w:rsid w:val="00B91449"/>
    <w:rsid w:val="00B91BD2"/>
    <w:rsid w:val="00B94A27"/>
    <w:rsid w:val="00B94AF1"/>
    <w:rsid w:val="00B95508"/>
    <w:rsid w:val="00B96605"/>
    <w:rsid w:val="00BA03B8"/>
    <w:rsid w:val="00BA1A70"/>
    <w:rsid w:val="00BA1AE2"/>
    <w:rsid w:val="00BA355E"/>
    <w:rsid w:val="00BA41B3"/>
    <w:rsid w:val="00BA5979"/>
    <w:rsid w:val="00BA5FCA"/>
    <w:rsid w:val="00BA64F6"/>
    <w:rsid w:val="00BA737D"/>
    <w:rsid w:val="00BA7FF0"/>
    <w:rsid w:val="00BB00C1"/>
    <w:rsid w:val="00BB40C9"/>
    <w:rsid w:val="00BB5B76"/>
    <w:rsid w:val="00BB6386"/>
    <w:rsid w:val="00BB7A07"/>
    <w:rsid w:val="00BC2870"/>
    <w:rsid w:val="00BC5ECD"/>
    <w:rsid w:val="00BC6C9C"/>
    <w:rsid w:val="00BC7217"/>
    <w:rsid w:val="00BC7DF8"/>
    <w:rsid w:val="00BD293D"/>
    <w:rsid w:val="00BD3B1D"/>
    <w:rsid w:val="00BD4CD7"/>
    <w:rsid w:val="00BD5260"/>
    <w:rsid w:val="00BD5869"/>
    <w:rsid w:val="00BD78B0"/>
    <w:rsid w:val="00BD7AFE"/>
    <w:rsid w:val="00BD7B33"/>
    <w:rsid w:val="00BD7CB2"/>
    <w:rsid w:val="00BE5726"/>
    <w:rsid w:val="00BE5A86"/>
    <w:rsid w:val="00BE6263"/>
    <w:rsid w:val="00BE6A3D"/>
    <w:rsid w:val="00BF065E"/>
    <w:rsid w:val="00BF0F17"/>
    <w:rsid w:val="00BF2F28"/>
    <w:rsid w:val="00BF3513"/>
    <w:rsid w:val="00BF6266"/>
    <w:rsid w:val="00BF628D"/>
    <w:rsid w:val="00BF6643"/>
    <w:rsid w:val="00C00BD7"/>
    <w:rsid w:val="00C029C3"/>
    <w:rsid w:val="00C04111"/>
    <w:rsid w:val="00C0546C"/>
    <w:rsid w:val="00C07026"/>
    <w:rsid w:val="00C1604A"/>
    <w:rsid w:val="00C21011"/>
    <w:rsid w:val="00C25428"/>
    <w:rsid w:val="00C254D0"/>
    <w:rsid w:val="00C258A4"/>
    <w:rsid w:val="00C265A8"/>
    <w:rsid w:val="00C3221E"/>
    <w:rsid w:val="00C3232B"/>
    <w:rsid w:val="00C34E90"/>
    <w:rsid w:val="00C37D44"/>
    <w:rsid w:val="00C41000"/>
    <w:rsid w:val="00C520E7"/>
    <w:rsid w:val="00C5469F"/>
    <w:rsid w:val="00C554A2"/>
    <w:rsid w:val="00C56E68"/>
    <w:rsid w:val="00C60499"/>
    <w:rsid w:val="00C62D37"/>
    <w:rsid w:val="00C63425"/>
    <w:rsid w:val="00C63F51"/>
    <w:rsid w:val="00C644C9"/>
    <w:rsid w:val="00C70C55"/>
    <w:rsid w:val="00C7359B"/>
    <w:rsid w:val="00C73923"/>
    <w:rsid w:val="00C74785"/>
    <w:rsid w:val="00C763B5"/>
    <w:rsid w:val="00C77308"/>
    <w:rsid w:val="00C8094D"/>
    <w:rsid w:val="00C8292C"/>
    <w:rsid w:val="00C86CFF"/>
    <w:rsid w:val="00C90579"/>
    <w:rsid w:val="00C90BEE"/>
    <w:rsid w:val="00C95DF2"/>
    <w:rsid w:val="00CA2548"/>
    <w:rsid w:val="00CA3FE6"/>
    <w:rsid w:val="00CB1BDF"/>
    <w:rsid w:val="00CB37B4"/>
    <w:rsid w:val="00CB596A"/>
    <w:rsid w:val="00CB59A4"/>
    <w:rsid w:val="00CB5ABB"/>
    <w:rsid w:val="00CB5BC4"/>
    <w:rsid w:val="00CC0716"/>
    <w:rsid w:val="00CC1291"/>
    <w:rsid w:val="00CC3903"/>
    <w:rsid w:val="00CC3DF5"/>
    <w:rsid w:val="00CC5081"/>
    <w:rsid w:val="00CC76A7"/>
    <w:rsid w:val="00CD20A3"/>
    <w:rsid w:val="00CE0527"/>
    <w:rsid w:val="00CE1D75"/>
    <w:rsid w:val="00CE2B8E"/>
    <w:rsid w:val="00CE35B3"/>
    <w:rsid w:val="00CE4695"/>
    <w:rsid w:val="00CF0198"/>
    <w:rsid w:val="00CF0C8C"/>
    <w:rsid w:val="00CF1C2F"/>
    <w:rsid w:val="00CF576C"/>
    <w:rsid w:val="00D0263A"/>
    <w:rsid w:val="00D02712"/>
    <w:rsid w:val="00D036BD"/>
    <w:rsid w:val="00D03D09"/>
    <w:rsid w:val="00D0453D"/>
    <w:rsid w:val="00D04655"/>
    <w:rsid w:val="00D04BD0"/>
    <w:rsid w:val="00D05486"/>
    <w:rsid w:val="00D07128"/>
    <w:rsid w:val="00D101F2"/>
    <w:rsid w:val="00D122D5"/>
    <w:rsid w:val="00D1391A"/>
    <w:rsid w:val="00D152F5"/>
    <w:rsid w:val="00D159E7"/>
    <w:rsid w:val="00D15DEA"/>
    <w:rsid w:val="00D166B0"/>
    <w:rsid w:val="00D172D5"/>
    <w:rsid w:val="00D17546"/>
    <w:rsid w:val="00D209BA"/>
    <w:rsid w:val="00D23F06"/>
    <w:rsid w:val="00D24934"/>
    <w:rsid w:val="00D25AE2"/>
    <w:rsid w:val="00D25BD0"/>
    <w:rsid w:val="00D268B0"/>
    <w:rsid w:val="00D26FA1"/>
    <w:rsid w:val="00D27F68"/>
    <w:rsid w:val="00D30E70"/>
    <w:rsid w:val="00D32EBD"/>
    <w:rsid w:val="00D336DE"/>
    <w:rsid w:val="00D33CC0"/>
    <w:rsid w:val="00D36DE8"/>
    <w:rsid w:val="00D373C2"/>
    <w:rsid w:val="00D37742"/>
    <w:rsid w:val="00D432A1"/>
    <w:rsid w:val="00D44008"/>
    <w:rsid w:val="00D44670"/>
    <w:rsid w:val="00D47E54"/>
    <w:rsid w:val="00D500AC"/>
    <w:rsid w:val="00D50650"/>
    <w:rsid w:val="00D53C17"/>
    <w:rsid w:val="00D543E5"/>
    <w:rsid w:val="00D55027"/>
    <w:rsid w:val="00D5595B"/>
    <w:rsid w:val="00D60DE0"/>
    <w:rsid w:val="00D6106E"/>
    <w:rsid w:val="00D62527"/>
    <w:rsid w:val="00D62D82"/>
    <w:rsid w:val="00D646A7"/>
    <w:rsid w:val="00D671DF"/>
    <w:rsid w:val="00D67BFD"/>
    <w:rsid w:val="00D7085D"/>
    <w:rsid w:val="00D725A8"/>
    <w:rsid w:val="00D73766"/>
    <w:rsid w:val="00D74EF3"/>
    <w:rsid w:val="00D75E97"/>
    <w:rsid w:val="00D763A3"/>
    <w:rsid w:val="00D76D73"/>
    <w:rsid w:val="00D77C05"/>
    <w:rsid w:val="00D804BD"/>
    <w:rsid w:val="00D81F76"/>
    <w:rsid w:val="00D830BE"/>
    <w:rsid w:val="00D8323A"/>
    <w:rsid w:val="00D8338A"/>
    <w:rsid w:val="00D8352D"/>
    <w:rsid w:val="00D84B2B"/>
    <w:rsid w:val="00D87F5B"/>
    <w:rsid w:val="00D92D85"/>
    <w:rsid w:val="00D94353"/>
    <w:rsid w:val="00D97983"/>
    <w:rsid w:val="00D97E48"/>
    <w:rsid w:val="00DA036E"/>
    <w:rsid w:val="00DA3208"/>
    <w:rsid w:val="00DA6DC3"/>
    <w:rsid w:val="00DA70EC"/>
    <w:rsid w:val="00DA7B43"/>
    <w:rsid w:val="00DB2AD8"/>
    <w:rsid w:val="00DB4A42"/>
    <w:rsid w:val="00DB5891"/>
    <w:rsid w:val="00DB58D3"/>
    <w:rsid w:val="00DB639C"/>
    <w:rsid w:val="00DC0FEF"/>
    <w:rsid w:val="00DC5346"/>
    <w:rsid w:val="00DC67DD"/>
    <w:rsid w:val="00DD344E"/>
    <w:rsid w:val="00DD68B9"/>
    <w:rsid w:val="00DD7206"/>
    <w:rsid w:val="00DD7976"/>
    <w:rsid w:val="00DE09D3"/>
    <w:rsid w:val="00DE2327"/>
    <w:rsid w:val="00DE2C11"/>
    <w:rsid w:val="00DE48F0"/>
    <w:rsid w:val="00DE4EB4"/>
    <w:rsid w:val="00DE5FCB"/>
    <w:rsid w:val="00DE6C5A"/>
    <w:rsid w:val="00DF11C3"/>
    <w:rsid w:val="00DF6DC6"/>
    <w:rsid w:val="00DF729B"/>
    <w:rsid w:val="00E02348"/>
    <w:rsid w:val="00E02911"/>
    <w:rsid w:val="00E07998"/>
    <w:rsid w:val="00E07AF8"/>
    <w:rsid w:val="00E10337"/>
    <w:rsid w:val="00E13B53"/>
    <w:rsid w:val="00E14370"/>
    <w:rsid w:val="00E15B03"/>
    <w:rsid w:val="00E176FA"/>
    <w:rsid w:val="00E2082C"/>
    <w:rsid w:val="00E2542A"/>
    <w:rsid w:val="00E25BEA"/>
    <w:rsid w:val="00E2700B"/>
    <w:rsid w:val="00E306F3"/>
    <w:rsid w:val="00E3172D"/>
    <w:rsid w:val="00E31932"/>
    <w:rsid w:val="00E323F8"/>
    <w:rsid w:val="00E34CD0"/>
    <w:rsid w:val="00E42488"/>
    <w:rsid w:val="00E425B4"/>
    <w:rsid w:val="00E44CEA"/>
    <w:rsid w:val="00E45658"/>
    <w:rsid w:val="00E46131"/>
    <w:rsid w:val="00E46A3F"/>
    <w:rsid w:val="00E46C62"/>
    <w:rsid w:val="00E477D5"/>
    <w:rsid w:val="00E47B40"/>
    <w:rsid w:val="00E50A4E"/>
    <w:rsid w:val="00E51D4B"/>
    <w:rsid w:val="00E51D72"/>
    <w:rsid w:val="00E52E3F"/>
    <w:rsid w:val="00E53234"/>
    <w:rsid w:val="00E54763"/>
    <w:rsid w:val="00E55F70"/>
    <w:rsid w:val="00E57C04"/>
    <w:rsid w:val="00E60AD8"/>
    <w:rsid w:val="00E614B4"/>
    <w:rsid w:val="00E6177C"/>
    <w:rsid w:val="00E61853"/>
    <w:rsid w:val="00E62D13"/>
    <w:rsid w:val="00E642CB"/>
    <w:rsid w:val="00E644C7"/>
    <w:rsid w:val="00E6504F"/>
    <w:rsid w:val="00E66DFF"/>
    <w:rsid w:val="00E679BC"/>
    <w:rsid w:val="00E70D85"/>
    <w:rsid w:val="00E711B5"/>
    <w:rsid w:val="00E7320E"/>
    <w:rsid w:val="00E7435D"/>
    <w:rsid w:val="00E76106"/>
    <w:rsid w:val="00E802DD"/>
    <w:rsid w:val="00E80791"/>
    <w:rsid w:val="00E8250E"/>
    <w:rsid w:val="00E827D0"/>
    <w:rsid w:val="00E837FF"/>
    <w:rsid w:val="00E8640F"/>
    <w:rsid w:val="00E87885"/>
    <w:rsid w:val="00E90C57"/>
    <w:rsid w:val="00E94B50"/>
    <w:rsid w:val="00E95EA6"/>
    <w:rsid w:val="00E968C8"/>
    <w:rsid w:val="00EA0A3C"/>
    <w:rsid w:val="00EA0F27"/>
    <w:rsid w:val="00EA102E"/>
    <w:rsid w:val="00EA272D"/>
    <w:rsid w:val="00EA2C86"/>
    <w:rsid w:val="00EA44E8"/>
    <w:rsid w:val="00EA63F1"/>
    <w:rsid w:val="00EB04FB"/>
    <w:rsid w:val="00EB4B3A"/>
    <w:rsid w:val="00EB7DC3"/>
    <w:rsid w:val="00EC20B9"/>
    <w:rsid w:val="00EC234A"/>
    <w:rsid w:val="00EC29F8"/>
    <w:rsid w:val="00EC6C41"/>
    <w:rsid w:val="00ED046F"/>
    <w:rsid w:val="00ED0C36"/>
    <w:rsid w:val="00ED0E53"/>
    <w:rsid w:val="00ED2EB7"/>
    <w:rsid w:val="00ED38BB"/>
    <w:rsid w:val="00ED6E6C"/>
    <w:rsid w:val="00ED7282"/>
    <w:rsid w:val="00EE032D"/>
    <w:rsid w:val="00EE1C37"/>
    <w:rsid w:val="00EE244D"/>
    <w:rsid w:val="00EE3D74"/>
    <w:rsid w:val="00EE42BF"/>
    <w:rsid w:val="00EE553A"/>
    <w:rsid w:val="00EE631B"/>
    <w:rsid w:val="00EF0188"/>
    <w:rsid w:val="00EF062F"/>
    <w:rsid w:val="00EF1E34"/>
    <w:rsid w:val="00EF4E3A"/>
    <w:rsid w:val="00EF6F75"/>
    <w:rsid w:val="00EF7400"/>
    <w:rsid w:val="00F0050F"/>
    <w:rsid w:val="00F05D16"/>
    <w:rsid w:val="00F0719C"/>
    <w:rsid w:val="00F076FC"/>
    <w:rsid w:val="00F141BA"/>
    <w:rsid w:val="00F17527"/>
    <w:rsid w:val="00F23A4D"/>
    <w:rsid w:val="00F250A2"/>
    <w:rsid w:val="00F30856"/>
    <w:rsid w:val="00F30D07"/>
    <w:rsid w:val="00F31221"/>
    <w:rsid w:val="00F316CB"/>
    <w:rsid w:val="00F322A3"/>
    <w:rsid w:val="00F355BB"/>
    <w:rsid w:val="00F35A9F"/>
    <w:rsid w:val="00F407A7"/>
    <w:rsid w:val="00F414C0"/>
    <w:rsid w:val="00F41805"/>
    <w:rsid w:val="00F43209"/>
    <w:rsid w:val="00F43D16"/>
    <w:rsid w:val="00F45291"/>
    <w:rsid w:val="00F46039"/>
    <w:rsid w:val="00F475AB"/>
    <w:rsid w:val="00F505D4"/>
    <w:rsid w:val="00F50B47"/>
    <w:rsid w:val="00F5123C"/>
    <w:rsid w:val="00F54387"/>
    <w:rsid w:val="00F5546A"/>
    <w:rsid w:val="00F61331"/>
    <w:rsid w:val="00F61397"/>
    <w:rsid w:val="00F620CF"/>
    <w:rsid w:val="00F62F71"/>
    <w:rsid w:val="00F658BC"/>
    <w:rsid w:val="00F70CA4"/>
    <w:rsid w:val="00F7330F"/>
    <w:rsid w:val="00F76F96"/>
    <w:rsid w:val="00F77702"/>
    <w:rsid w:val="00F77B27"/>
    <w:rsid w:val="00F84301"/>
    <w:rsid w:val="00F85857"/>
    <w:rsid w:val="00F87C4C"/>
    <w:rsid w:val="00F87D59"/>
    <w:rsid w:val="00F944C5"/>
    <w:rsid w:val="00FA04A2"/>
    <w:rsid w:val="00FA36AE"/>
    <w:rsid w:val="00FA394C"/>
    <w:rsid w:val="00FA4B38"/>
    <w:rsid w:val="00FA5A03"/>
    <w:rsid w:val="00FA5A5F"/>
    <w:rsid w:val="00FA7177"/>
    <w:rsid w:val="00FA739B"/>
    <w:rsid w:val="00FB068F"/>
    <w:rsid w:val="00FB0851"/>
    <w:rsid w:val="00FB3817"/>
    <w:rsid w:val="00FB5935"/>
    <w:rsid w:val="00FB5CD8"/>
    <w:rsid w:val="00FB7A76"/>
    <w:rsid w:val="00FC73C6"/>
    <w:rsid w:val="00FD499D"/>
    <w:rsid w:val="00FD61BB"/>
    <w:rsid w:val="00FE0AF5"/>
    <w:rsid w:val="00FE6E23"/>
    <w:rsid w:val="00FF4682"/>
    <w:rsid w:val="00FF5864"/>
    <w:rsid w:val="011A3081"/>
    <w:rsid w:val="01445219"/>
    <w:rsid w:val="014D3BAA"/>
    <w:rsid w:val="018D3454"/>
    <w:rsid w:val="019959C2"/>
    <w:rsid w:val="01BA3B05"/>
    <w:rsid w:val="01CA78BB"/>
    <w:rsid w:val="01DF5DF4"/>
    <w:rsid w:val="02455FA1"/>
    <w:rsid w:val="024E4B4B"/>
    <w:rsid w:val="02626910"/>
    <w:rsid w:val="02AD2A23"/>
    <w:rsid w:val="02B96307"/>
    <w:rsid w:val="032105AF"/>
    <w:rsid w:val="03490A79"/>
    <w:rsid w:val="034F0B7A"/>
    <w:rsid w:val="03C026A0"/>
    <w:rsid w:val="03F55CA4"/>
    <w:rsid w:val="045D4DF7"/>
    <w:rsid w:val="0484040B"/>
    <w:rsid w:val="04C3001C"/>
    <w:rsid w:val="04CD7F1F"/>
    <w:rsid w:val="04D0585E"/>
    <w:rsid w:val="04DB5B34"/>
    <w:rsid w:val="0546586A"/>
    <w:rsid w:val="058E7CD4"/>
    <w:rsid w:val="05AF7823"/>
    <w:rsid w:val="05EC26B0"/>
    <w:rsid w:val="06013D6D"/>
    <w:rsid w:val="06131699"/>
    <w:rsid w:val="06507266"/>
    <w:rsid w:val="066B6FE6"/>
    <w:rsid w:val="06955EA7"/>
    <w:rsid w:val="06B0246B"/>
    <w:rsid w:val="06E40E7E"/>
    <w:rsid w:val="0756081C"/>
    <w:rsid w:val="078C338B"/>
    <w:rsid w:val="07AA5C08"/>
    <w:rsid w:val="07B80843"/>
    <w:rsid w:val="07B955D8"/>
    <w:rsid w:val="07C01C24"/>
    <w:rsid w:val="07FB532D"/>
    <w:rsid w:val="081D7F53"/>
    <w:rsid w:val="08367FF7"/>
    <w:rsid w:val="08413377"/>
    <w:rsid w:val="08703A48"/>
    <w:rsid w:val="08887C9C"/>
    <w:rsid w:val="08AF0B75"/>
    <w:rsid w:val="08C627F0"/>
    <w:rsid w:val="08E97758"/>
    <w:rsid w:val="090A20A4"/>
    <w:rsid w:val="093D059E"/>
    <w:rsid w:val="0965208B"/>
    <w:rsid w:val="09776999"/>
    <w:rsid w:val="099E1F14"/>
    <w:rsid w:val="09A80FE4"/>
    <w:rsid w:val="0A1E5D60"/>
    <w:rsid w:val="0A24457A"/>
    <w:rsid w:val="0A4B630F"/>
    <w:rsid w:val="0A977E58"/>
    <w:rsid w:val="0A9C00DE"/>
    <w:rsid w:val="0ADA18C7"/>
    <w:rsid w:val="0ADC4A0A"/>
    <w:rsid w:val="0AE80332"/>
    <w:rsid w:val="0B386664"/>
    <w:rsid w:val="0B4415AF"/>
    <w:rsid w:val="0B9747CC"/>
    <w:rsid w:val="0BA37CB5"/>
    <w:rsid w:val="0BA44556"/>
    <w:rsid w:val="0BBC2934"/>
    <w:rsid w:val="0BC91163"/>
    <w:rsid w:val="0BCC076D"/>
    <w:rsid w:val="0BE65DF4"/>
    <w:rsid w:val="0C5B2854"/>
    <w:rsid w:val="0C5B4063"/>
    <w:rsid w:val="0C7973C6"/>
    <w:rsid w:val="0C7B5FE8"/>
    <w:rsid w:val="0C9764BE"/>
    <w:rsid w:val="0CBB116C"/>
    <w:rsid w:val="0CE86424"/>
    <w:rsid w:val="0D30764E"/>
    <w:rsid w:val="0D3C3984"/>
    <w:rsid w:val="0D490CF4"/>
    <w:rsid w:val="0D541BB4"/>
    <w:rsid w:val="0D817290"/>
    <w:rsid w:val="0D96672B"/>
    <w:rsid w:val="0DB05B60"/>
    <w:rsid w:val="0E0C734D"/>
    <w:rsid w:val="0E1F4B47"/>
    <w:rsid w:val="0E475AEF"/>
    <w:rsid w:val="0E595912"/>
    <w:rsid w:val="0E5E6AD7"/>
    <w:rsid w:val="0E7673F3"/>
    <w:rsid w:val="0EC13251"/>
    <w:rsid w:val="0EE620D8"/>
    <w:rsid w:val="0EE90115"/>
    <w:rsid w:val="0F3448DB"/>
    <w:rsid w:val="0F3F3D97"/>
    <w:rsid w:val="0FB87049"/>
    <w:rsid w:val="0FB94F18"/>
    <w:rsid w:val="0FC47D0F"/>
    <w:rsid w:val="10826810"/>
    <w:rsid w:val="10A70A03"/>
    <w:rsid w:val="10C0439F"/>
    <w:rsid w:val="10C80BFF"/>
    <w:rsid w:val="10CD14F1"/>
    <w:rsid w:val="115641A5"/>
    <w:rsid w:val="116C712B"/>
    <w:rsid w:val="118B440B"/>
    <w:rsid w:val="11A108C2"/>
    <w:rsid w:val="11A45941"/>
    <w:rsid w:val="11F27335"/>
    <w:rsid w:val="11FB2EBB"/>
    <w:rsid w:val="12180114"/>
    <w:rsid w:val="12520216"/>
    <w:rsid w:val="127453EE"/>
    <w:rsid w:val="12D90460"/>
    <w:rsid w:val="132C0C81"/>
    <w:rsid w:val="13451652"/>
    <w:rsid w:val="13791216"/>
    <w:rsid w:val="138D4CE3"/>
    <w:rsid w:val="13982D2F"/>
    <w:rsid w:val="13B10B61"/>
    <w:rsid w:val="13C60336"/>
    <w:rsid w:val="13E143B5"/>
    <w:rsid w:val="13E50812"/>
    <w:rsid w:val="14130239"/>
    <w:rsid w:val="141A530F"/>
    <w:rsid w:val="14353885"/>
    <w:rsid w:val="143D2559"/>
    <w:rsid w:val="145C51BF"/>
    <w:rsid w:val="1466120D"/>
    <w:rsid w:val="147A357D"/>
    <w:rsid w:val="147B273E"/>
    <w:rsid w:val="147D69AA"/>
    <w:rsid w:val="14A97217"/>
    <w:rsid w:val="14CF5A97"/>
    <w:rsid w:val="14F11464"/>
    <w:rsid w:val="14F376A5"/>
    <w:rsid w:val="150822F7"/>
    <w:rsid w:val="150F100D"/>
    <w:rsid w:val="15384F61"/>
    <w:rsid w:val="1575233D"/>
    <w:rsid w:val="15B13EC5"/>
    <w:rsid w:val="15D43A61"/>
    <w:rsid w:val="15E04FC2"/>
    <w:rsid w:val="15E239E6"/>
    <w:rsid w:val="15E25FEA"/>
    <w:rsid w:val="16236F46"/>
    <w:rsid w:val="16610EEA"/>
    <w:rsid w:val="167F4D6F"/>
    <w:rsid w:val="16A144AE"/>
    <w:rsid w:val="16AA3782"/>
    <w:rsid w:val="16CB6F28"/>
    <w:rsid w:val="170013CA"/>
    <w:rsid w:val="172C5003"/>
    <w:rsid w:val="172D07F7"/>
    <w:rsid w:val="17645CB1"/>
    <w:rsid w:val="17C96D35"/>
    <w:rsid w:val="17ED3AE1"/>
    <w:rsid w:val="18643A69"/>
    <w:rsid w:val="186B6C78"/>
    <w:rsid w:val="18876269"/>
    <w:rsid w:val="18A37798"/>
    <w:rsid w:val="18B24BED"/>
    <w:rsid w:val="18D968AD"/>
    <w:rsid w:val="18E1010A"/>
    <w:rsid w:val="18E8543B"/>
    <w:rsid w:val="18EB2C9C"/>
    <w:rsid w:val="19015DC1"/>
    <w:rsid w:val="192B7279"/>
    <w:rsid w:val="197C356A"/>
    <w:rsid w:val="19841B6B"/>
    <w:rsid w:val="198F2D14"/>
    <w:rsid w:val="19A54169"/>
    <w:rsid w:val="19A953C8"/>
    <w:rsid w:val="19B33696"/>
    <w:rsid w:val="19B665B8"/>
    <w:rsid w:val="19E716B5"/>
    <w:rsid w:val="1A725A9A"/>
    <w:rsid w:val="1A857B90"/>
    <w:rsid w:val="1ABF3D05"/>
    <w:rsid w:val="1AC37B9A"/>
    <w:rsid w:val="1B573C61"/>
    <w:rsid w:val="1B6344E1"/>
    <w:rsid w:val="1B8E78BF"/>
    <w:rsid w:val="1C0B1C04"/>
    <w:rsid w:val="1C1D514E"/>
    <w:rsid w:val="1C2211DF"/>
    <w:rsid w:val="1C403F49"/>
    <w:rsid w:val="1C722BE3"/>
    <w:rsid w:val="1C874A89"/>
    <w:rsid w:val="1C9427F6"/>
    <w:rsid w:val="1CAD0994"/>
    <w:rsid w:val="1CC5204D"/>
    <w:rsid w:val="1CEB1A91"/>
    <w:rsid w:val="1CEE71D0"/>
    <w:rsid w:val="1D2F3382"/>
    <w:rsid w:val="1D917C0E"/>
    <w:rsid w:val="1DCE4A28"/>
    <w:rsid w:val="1E235123"/>
    <w:rsid w:val="1E3E054A"/>
    <w:rsid w:val="1E997443"/>
    <w:rsid w:val="1EEA5A27"/>
    <w:rsid w:val="1F257275"/>
    <w:rsid w:val="1F530599"/>
    <w:rsid w:val="1F6C03B8"/>
    <w:rsid w:val="1F9B6F21"/>
    <w:rsid w:val="1FBC5E96"/>
    <w:rsid w:val="200A566F"/>
    <w:rsid w:val="20221E87"/>
    <w:rsid w:val="205423A9"/>
    <w:rsid w:val="208517CF"/>
    <w:rsid w:val="20A225FE"/>
    <w:rsid w:val="20F1291F"/>
    <w:rsid w:val="2122071E"/>
    <w:rsid w:val="21286802"/>
    <w:rsid w:val="212B0546"/>
    <w:rsid w:val="2137688C"/>
    <w:rsid w:val="213F2E44"/>
    <w:rsid w:val="21762211"/>
    <w:rsid w:val="21AF00FD"/>
    <w:rsid w:val="21C1459A"/>
    <w:rsid w:val="21C26EDE"/>
    <w:rsid w:val="21CC170B"/>
    <w:rsid w:val="21DE0D50"/>
    <w:rsid w:val="21DE514B"/>
    <w:rsid w:val="21EF7B8F"/>
    <w:rsid w:val="22121299"/>
    <w:rsid w:val="223279FD"/>
    <w:rsid w:val="223C5ABC"/>
    <w:rsid w:val="223D5987"/>
    <w:rsid w:val="224B0307"/>
    <w:rsid w:val="226014E3"/>
    <w:rsid w:val="22AE7369"/>
    <w:rsid w:val="22BE1789"/>
    <w:rsid w:val="22C07A85"/>
    <w:rsid w:val="22CB73A7"/>
    <w:rsid w:val="22DB0EF6"/>
    <w:rsid w:val="22EC0C67"/>
    <w:rsid w:val="22FE28BB"/>
    <w:rsid w:val="231431F3"/>
    <w:rsid w:val="23207BC7"/>
    <w:rsid w:val="234E4319"/>
    <w:rsid w:val="23872750"/>
    <w:rsid w:val="238F647C"/>
    <w:rsid w:val="23921BFE"/>
    <w:rsid w:val="23F61DDA"/>
    <w:rsid w:val="24505744"/>
    <w:rsid w:val="246C282F"/>
    <w:rsid w:val="249F2978"/>
    <w:rsid w:val="24BA4916"/>
    <w:rsid w:val="24C02ECF"/>
    <w:rsid w:val="25142D0D"/>
    <w:rsid w:val="25317C88"/>
    <w:rsid w:val="25530C99"/>
    <w:rsid w:val="25631055"/>
    <w:rsid w:val="25907B05"/>
    <w:rsid w:val="25972125"/>
    <w:rsid w:val="25A73311"/>
    <w:rsid w:val="25EF6660"/>
    <w:rsid w:val="25FA56ED"/>
    <w:rsid w:val="260058E8"/>
    <w:rsid w:val="26505405"/>
    <w:rsid w:val="26764137"/>
    <w:rsid w:val="26C542ED"/>
    <w:rsid w:val="26DF3E73"/>
    <w:rsid w:val="26E110CA"/>
    <w:rsid w:val="26EB71C2"/>
    <w:rsid w:val="26F60151"/>
    <w:rsid w:val="26FA5690"/>
    <w:rsid w:val="270E38A9"/>
    <w:rsid w:val="272600A4"/>
    <w:rsid w:val="272A0E33"/>
    <w:rsid w:val="27591124"/>
    <w:rsid w:val="27CC19C4"/>
    <w:rsid w:val="284F5047"/>
    <w:rsid w:val="28621E5A"/>
    <w:rsid w:val="28796A32"/>
    <w:rsid w:val="287E4F92"/>
    <w:rsid w:val="288B380D"/>
    <w:rsid w:val="28B23557"/>
    <w:rsid w:val="28D5506F"/>
    <w:rsid w:val="28E1209A"/>
    <w:rsid w:val="294D7736"/>
    <w:rsid w:val="29A476BC"/>
    <w:rsid w:val="29B2410D"/>
    <w:rsid w:val="29B556A8"/>
    <w:rsid w:val="29E8364B"/>
    <w:rsid w:val="29F02D5D"/>
    <w:rsid w:val="2A1F5513"/>
    <w:rsid w:val="2A686A9D"/>
    <w:rsid w:val="2A6F54DA"/>
    <w:rsid w:val="2A8C781C"/>
    <w:rsid w:val="2AA10C4C"/>
    <w:rsid w:val="2B077A85"/>
    <w:rsid w:val="2B323CAF"/>
    <w:rsid w:val="2B435C4D"/>
    <w:rsid w:val="2BDD2B0E"/>
    <w:rsid w:val="2C536F83"/>
    <w:rsid w:val="2C9A338A"/>
    <w:rsid w:val="2C9A5850"/>
    <w:rsid w:val="2CA158A8"/>
    <w:rsid w:val="2D174711"/>
    <w:rsid w:val="2DD56488"/>
    <w:rsid w:val="2E176B21"/>
    <w:rsid w:val="2E5E499E"/>
    <w:rsid w:val="2E722425"/>
    <w:rsid w:val="2E8A228F"/>
    <w:rsid w:val="2E9F2226"/>
    <w:rsid w:val="2EA16E73"/>
    <w:rsid w:val="2EBA68C9"/>
    <w:rsid w:val="2EE3514B"/>
    <w:rsid w:val="2FA519A9"/>
    <w:rsid w:val="2FE332E5"/>
    <w:rsid w:val="2FEA46CA"/>
    <w:rsid w:val="30376546"/>
    <w:rsid w:val="30646374"/>
    <w:rsid w:val="30D00268"/>
    <w:rsid w:val="319461ED"/>
    <w:rsid w:val="319709CA"/>
    <w:rsid w:val="31DF5830"/>
    <w:rsid w:val="32504CA6"/>
    <w:rsid w:val="326C387A"/>
    <w:rsid w:val="32722B08"/>
    <w:rsid w:val="32763776"/>
    <w:rsid w:val="327F6190"/>
    <w:rsid w:val="32892CEC"/>
    <w:rsid w:val="329D0C85"/>
    <w:rsid w:val="32A11D75"/>
    <w:rsid w:val="32AE21B2"/>
    <w:rsid w:val="336D32B4"/>
    <w:rsid w:val="33C30645"/>
    <w:rsid w:val="33E54780"/>
    <w:rsid w:val="341D039C"/>
    <w:rsid w:val="34203345"/>
    <w:rsid w:val="344F6E9D"/>
    <w:rsid w:val="347854E0"/>
    <w:rsid w:val="34814BCE"/>
    <w:rsid w:val="34853084"/>
    <w:rsid w:val="34A34A02"/>
    <w:rsid w:val="34CD4990"/>
    <w:rsid w:val="34E036EC"/>
    <w:rsid w:val="34E114C4"/>
    <w:rsid w:val="34F311E1"/>
    <w:rsid w:val="35004D1D"/>
    <w:rsid w:val="35075BBF"/>
    <w:rsid w:val="350D0E3C"/>
    <w:rsid w:val="35275627"/>
    <w:rsid w:val="35924123"/>
    <w:rsid w:val="35B83CDF"/>
    <w:rsid w:val="35FA5471"/>
    <w:rsid w:val="360D5B6A"/>
    <w:rsid w:val="362964D1"/>
    <w:rsid w:val="36310758"/>
    <w:rsid w:val="363627F5"/>
    <w:rsid w:val="363B4432"/>
    <w:rsid w:val="364D493D"/>
    <w:rsid w:val="367751BF"/>
    <w:rsid w:val="36F36E9C"/>
    <w:rsid w:val="3717426B"/>
    <w:rsid w:val="37182A56"/>
    <w:rsid w:val="37920A5A"/>
    <w:rsid w:val="3792442C"/>
    <w:rsid w:val="37944D09"/>
    <w:rsid w:val="37A8011A"/>
    <w:rsid w:val="37AD3C74"/>
    <w:rsid w:val="37AD6D78"/>
    <w:rsid w:val="37C73352"/>
    <w:rsid w:val="37CF21C1"/>
    <w:rsid w:val="37D334C0"/>
    <w:rsid w:val="37D42E6B"/>
    <w:rsid w:val="37F13B89"/>
    <w:rsid w:val="38246CDA"/>
    <w:rsid w:val="38482EC7"/>
    <w:rsid w:val="385A2B16"/>
    <w:rsid w:val="38766AC4"/>
    <w:rsid w:val="388D426E"/>
    <w:rsid w:val="38C72536"/>
    <w:rsid w:val="38D94E35"/>
    <w:rsid w:val="399457B0"/>
    <w:rsid w:val="39A0045F"/>
    <w:rsid w:val="39C50180"/>
    <w:rsid w:val="39C764CE"/>
    <w:rsid w:val="39D50151"/>
    <w:rsid w:val="39D93A48"/>
    <w:rsid w:val="3A190C00"/>
    <w:rsid w:val="3A571343"/>
    <w:rsid w:val="3A6B7341"/>
    <w:rsid w:val="3A703D00"/>
    <w:rsid w:val="3A9345E1"/>
    <w:rsid w:val="3A9E12FC"/>
    <w:rsid w:val="3AD0533E"/>
    <w:rsid w:val="3AD3652E"/>
    <w:rsid w:val="3AFA432C"/>
    <w:rsid w:val="3B0B74F8"/>
    <w:rsid w:val="3B156772"/>
    <w:rsid w:val="3B445AA5"/>
    <w:rsid w:val="3B4E2EEA"/>
    <w:rsid w:val="3B547259"/>
    <w:rsid w:val="3B606A04"/>
    <w:rsid w:val="3B9556A8"/>
    <w:rsid w:val="3B9637B8"/>
    <w:rsid w:val="3BBD2544"/>
    <w:rsid w:val="3BFB431C"/>
    <w:rsid w:val="3C39733B"/>
    <w:rsid w:val="3C3C579B"/>
    <w:rsid w:val="3C771FCD"/>
    <w:rsid w:val="3C7A2B7A"/>
    <w:rsid w:val="3CB133AA"/>
    <w:rsid w:val="3CB37F6B"/>
    <w:rsid w:val="3CE9226D"/>
    <w:rsid w:val="3D016BDE"/>
    <w:rsid w:val="3D1B209A"/>
    <w:rsid w:val="3D5134CB"/>
    <w:rsid w:val="3D7A5AB6"/>
    <w:rsid w:val="3DBF00CF"/>
    <w:rsid w:val="3DD21DF8"/>
    <w:rsid w:val="3DE723F4"/>
    <w:rsid w:val="3E826AA7"/>
    <w:rsid w:val="3EAC30E2"/>
    <w:rsid w:val="3ECC0742"/>
    <w:rsid w:val="3ED6174D"/>
    <w:rsid w:val="3EE40C07"/>
    <w:rsid w:val="3EE8321C"/>
    <w:rsid w:val="3EEE1457"/>
    <w:rsid w:val="3F167B9C"/>
    <w:rsid w:val="3F1F07B8"/>
    <w:rsid w:val="3F370FAF"/>
    <w:rsid w:val="3F4929D1"/>
    <w:rsid w:val="3FA43784"/>
    <w:rsid w:val="3FC0065F"/>
    <w:rsid w:val="3FDF05B5"/>
    <w:rsid w:val="3FF37545"/>
    <w:rsid w:val="400C06A4"/>
    <w:rsid w:val="402A0133"/>
    <w:rsid w:val="402C7073"/>
    <w:rsid w:val="40303B42"/>
    <w:rsid w:val="403703F1"/>
    <w:rsid w:val="404301F9"/>
    <w:rsid w:val="40432D0E"/>
    <w:rsid w:val="408C085E"/>
    <w:rsid w:val="40CE53B6"/>
    <w:rsid w:val="40FC6E1B"/>
    <w:rsid w:val="412B646A"/>
    <w:rsid w:val="413E6BE5"/>
    <w:rsid w:val="414E1FB1"/>
    <w:rsid w:val="41990C37"/>
    <w:rsid w:val="41A548E4"/>
    <w:rsid w:val="41BB7DD9"/>
    <w:rsid w:val="41C021C7"/>
    <w:rsid w:val="424E6494"/>
    <w:rsid w:val="424F5ED1"/>
    <w:rsid w:val="426C1302"/>
    <w:rsid w:val="427375F1"/>
    <w:rsid w:val="42FA502B"/>
    <w:rsid w:val="4300438F"/>
    <w:rsid w:val="431B41AD"/>
    <w:rsid w:val="433F1E2F"/>
    <w:rsid w:val="435C1F1C"/>
    <w:rsid w:val="437674CE"/>
    <w:rsid w:val="43A57ABB"/>
    <w:rsid w:val="43F71BE2"/>
    <w:rsid w:val="441E7BA8"/>
    <w:rsid w:val="442916DB"/>
    <w:rsid w:val="44407CB4"/>
    <w:rsid w:val="444834F1"/>
    <w:rsid w:val="44651720"/>
    <w:rsid w:val="44702F00"/>
    <w:rsid w:val="447C7D9D"/>
    <w:rsid w:val="45313AE1"/>
    <w:rsid w:val="45585DCA"/>
    <w:rsid w:val="457E58E6"/>
    <w:rsid w:val="45896277"/>
    <w:rsid w:val="45896EC1"/>
    <w:rsid w:val="459E01AF"/>
    <w:rsid w:val="46181BCD"/>
    <w:rsid w:val="464C1B20"/>
    <w:rsid w:val="46807DCE"/>
    <w:rsid w:val="47404FC1"/>
    <w:rsid w:val="477A0BC3"/>
    <w:rsid w:val="479D4478"/>
    <w:rsid w:val="479F28A3"/>
    <w:rsid w:val="47BC3397"/>
    <w:rsid w:val="47C359C4"/>
    <w:rsid w:val="47D67673"/>
    <w:rsid w:val="482661E0"/>
    <w:rsid w:val="482B1A8B"/>
    <w:rsid w:val="485D1948"/>
    <w:rsid w:val="48691363"/>
    <w:rsid w:val="4873734F"/>
    <w:rsid w:val="489407E5"/>
    <w:rsid w:val="48986FC5"/>
    <w:rsid w:val="48D02B7B"/>
    <w:rsid w:val="48D45153"/>
    <w:rsid w:val="495871E5"/>
    <w:rsid w:val="4971280A"/>
    <w:rsid w:val="497310B8"/>
    <w:rsid w:val="4A01744E"/>
    <w:rsid w:val="4A185756"/>
    <w:rsid w:val="4A3A7FEA"/>
    <w:rsid w:val="4A8A235C"/>
    <w:rsid w:val="4AA032FE"/>
    <w:rsid w:val="4AD26BA2"/>
    <w:rsid w:val="4ADC3FDB"/>
    <w:rsid w:val="4B1F1AB1"/>
    <w:rsid w:val="4BAE4E91"/>
    <w:rsid w:val="4C022C36"/>
    <w:rsid w:val="4C225456"/>
    <w:rsid w:val="4C2A0E0A"/>
    <w:rsid w:val="4C41343B"/>
    <w:rsid w:val="4C814408"/>
    <w:rsid w:val="4C9C1067"/>
    <w:rsid w:val="4C9F0590"/>
    <w:rsid w:val="4CF976A7"/>
    <w:rsid w:val="4D500FBE"/>
    <w:rsid w:val="4D665C9B"/>
    <w:rsid w:val="4DD72891"/>
    <w:rsid w:val="4DD955AC"/>
    <w:rsid w:val="4E0C13C0"/>
    <w:rsid w:val="4E31085E"/>
    <w:rsid w:val="4F5A07CB"/>
    <w:rsid w:val="4FC713F8"/>
    <w:rsid w:val="4FD64C32"/>
    <w:rsid w:val="501E63FC"/>
    <w:rsid w:val="5096546B"/>
    <w:rsid w:val="50B07D3B"/>
    <w:rsid w:val="50B67E83"/>
    <w:rsid w:val="50C86712"/>
    <w:rsid w:val="50EF18A2"/>
    <w:rsid w:val="511928C2"/>
    <w:rsid w:val="513D4999"/>
    <w:rsid w:val="514D0DD3"/>
    <w:rsid w:val="51695060"/>
    <w:rsid w:val="517D2D18"/>
    <w:rsid w:val="51B86EB8"/>
    <w:rsid w:val="51C1454C"/>
    <w:rsid w:val="51D41818"/>
    <w:rsid w:val="51E25BCE"/>
    <w:rsid w:val="51E53B26"/>
    <w:rsid w:val="52163D64"/>
    <w:rsid w:val="5216413B"/>
    <w:rsid w:val="525B05A6"/>
    <w:rsid w:val="52694CE1"/>
    <w:rsid w:val="52937442"/>
    <w:rsid w:val="52B36592"/>
    <w:rsid w:val="52F5579A"/>
    <w:rsid w:val="537547B6"/>
    <w:rsid w:val="53874E40"/>
    <w:rsid w:val="53A90398"/>
    <w:rsid w:val="53AE3EFB"/>
    <w:rsid w:val="53BB3FBA"/>
    <w:rsid w:val="540B4981"/>
    <w:rsid w:val="545556E1"/>
    <w:rsid w:val="54555E76"/>
    <w:rsid w:val="5474356A"/>
    <w:rsid w:val="54881367"/>
    <w:rsid w:val="54AE33C2"/>
    <w:rsid w:val="54D9763E"/>
    <w:rsid w:val="54FB0871"/>
    <w:rsid w:val="55051573"/>
    <w:rsid w:val="550615BA"/>
    <w:rsid w:val="550D1B96"/>
    <w:rsid w:val="5521132B"/>
    <w:rsid w:val="5532007C"/>
    <w:rsid w:val="556D36A7"/>
    <w:rsid w:val="557C668C"/>
    <w:rsid w:val="557D4C2A"/>
    <w:rsid w:val="559E6CDF"/>
    <w:rsid w:val="55AF3687"/>
    <w:rsid w:val="55CE6209"/>
    <w:rsid w:val="562543F0"/>
    <w:rsid w:val="564F4A05"/>
    <w:rsid w:val="568616F1"/>
    <w:rsid w:val="56933DB7"/>
    <w:rsid w:val="56A04324"/>
    <w:rsid w:val="56B103C9"/>
    <w:rsid w:val="56BA0FDC"/>
    <w:rsid w:val="56FD70B1"/>
    <w:rsid w:val="57035BFA"/>
    <w:rsid w:val="573C5A71"/>
    <w:rsid w:val="57612F7B"/>
    <w:rsid w:val="57871924"/>
    <w:rsid w:val="57A66C73"/>
    <w:rsid w:val="57A93D4F"/>
    <w:rsid w:val="58060238"/>
    <w:rsid w:val="58177C0B"/>
    <w:rsid w:val="58200FDE"/>
    <w:rsid w:val="58626F3F"/>
    <w:rsid w:val="587D5FD2"/>
    <w:rsid w:val="58D145A8"/>
    <w:rsid w:val="58E5297E"/>
    <w:rsid w:val="591C159C"/>
    <w:rsid w:val="593C4EC4"/>
    <w:rsid w:val="595D4000"/>
    <w:rsid w:val="59A14D98"/>
    <w:rsid w:val="59CC3500"/>
    <w:rsid w:val="59DC032B"/>
    <w:rsid w:val="59E300BE"/>
    <w:rsid w:val="59E3338E"/>
    <w:rsid w:val="59E7658C"/>
    <w:rsid w:val="5A1B4B25"/>
    <w:rsid w:val="5A1D7A3E"/>
    <w:rsid w:val="5A906D8B"/>
    <w:rsid w:val="5AB26B9A"/>
    <w:rsid w:val="5B1433B1"/>
    <w:rsid w:val="5B453C88"/>
    <w:rsid w:val="5B556723"/>
    <w:rsid w:val="5B897511"/>
    <w:rsid w:val="5BB3081E"/>
    <w:rsid w:val="5BBC52F0"/>
    <w:rsid w:val="5BD66D7B"/>
    <w:rsid w:val="5BDB3251"/>
    <w:rsid w:val="5C5876EC"/>
    <w:rsid w:val="5C702F7D"/>
    <w:rsid w:val="5C853EB2"/>
    <w:rsid w:val="5C8A53FC"/>
    <w:rsid w:val="5CCE55B6"/>
    <w:rsid w:val="5D054C60"/>
    <w:rsid w:val="5D1640BF"/>
    <w:rsid w:val="5D53240E"/>
    <w:rsid w:val="5D6F0836"/>
    <w:rsid w:val="5D6F7A0F"/>
    <w:rsid w:val="5DA1380D"/>
    <w:rsid w:val="5DA46A84"/>
    <w:rsid w:val="5DC6021A"/>
    <w:rsid w:val="5DEB095A"/>
    <w:rsid w:val="5E233CE0"/>
    <w:rsid w:val="5E516DEC"/>
    <w:rsid w:val="5E56599D"/>
    <w:rsid w:val="5EB33A22"/>
    <w:rsid w:val="5ED25F03"/>
    <w:rsid w:val="5F580303"/>
    <w:rsid w:val="5F881A79"/>
    <w:rsid w:val="5F9748E2"/>
    <w:rsid w:val="5FA02242"/>
    <w:rsid w:val="5FB94527"/>
    <w:rsid w:val="60353EFA"/>
    <w:rsid w:val="604B0135"/>
    <w:rsid w:val="60545D2B"/>
    <w:rsid w:val="607C32BD"/>
    <w:rsid w:val="60894A16"/>
    <w:rsid w:val="608C5B8C"/>
    <w:rsid w:val="60C65BC2"/>
    <w:rsid w:val="6107662F"/>
    <w:rsid w:val="61120392"/>
    <w:rsid w:val="613320B7"/>
    <w:rsid w:val="6134470D"/>
    <w:rsid w:val="615E0D9A"/>
    <w:rsid w:val="61824379"/>
    <w:rsid w:val="61830ED7"/>
    <w:rsid w:val="619B7D6F"/>
    <w:rsid w:val="61A81695"/>
    <w:rsid w:val="6213674B"/>
    <w:rsid w:val="62222704"/>
    <w:rsid w:val="623E6C6D"/>
    <w:rsid w:val="626207B4"/>
    <w:rsid w:val="62736F7B"/>
    <w:rsid w:val="62CB0B44"/>
    <w:rsid w:val="63224191"/>
    <w:rsid w:val="633256FE"/>
    <w:rsid w:val="633D0FCB"/>
    <w:rsid w:val="634C6769"/>
    <w:rsid w:val="634E3B86"/>
    <w:rsid w:val="637075F2"/>
    <w:rsid w:val="637C55CD"/>
    <w:rsid w:val="63D41042"/>
    <w:rsid w:val="63E94B92"/>
    <w:rsid w:val="6445074D"/>
    <w:rsid w:val="64AF14A5"/>
    <w:rsid w:val="64E23E95"/>
    <w:rsid w:val="65374034"/>
    <w:rsid w:val="65404E3D"/>
    <w:rsid w:val="660E3AF5"/>
    <w:rsid w:val="665036EA"/>
    <w:rsid w:val="667B688E"/>
    <w:rsid w:val="6686712D"/>
    <w:rsid w:val="66992669"/>
    <w:rsid w:val="67382613"/>
    <w:rsid w:val="673B70C8"/>
    <w:rsid w:val="67671A0B"/>
    <w:rsid w:val="67CF7A43"/>
    <w:rsid w:val="68017CF4"/>
    <w:rsid w:val="681C22EE"/>
    <w:rsid w:val="684649D2"/>
    <w:rsid w:val="6877255B"/>
    <w:rsid w:val="689F461B"/>
    <w:rsid w:val="68A357AC"/>
    <w:rsid w:val="68AD7534"/>
    <w:rsid w:val="6917406C"/>
    <w:rsid w:val="692A358D"/>
    <w:rsid w:val="69654FE8"/>
    <w:rsid w:val="696E10D7"/>
    <w:rsid w:val="698133DB"/>
    <w:rsid w:val="69FE51C2"/>
    <w:rsid w:val="6A183195"/>
    <w:rsid w:val="6A227C3D"/>
    <w:rsid w:val="6A412CCA"/>
    <w:rsid w:val="6A7D4A3A"/>
    <w:rsid w:val="6A8C7EC5"/>
    <w:rsid w:val="6A8E65B0"/>
    <w:rsid w:val="6ADF3703"/>
    <w:rsid w:val="6AEC6191"/>
    <w:rsid w:val="6B0924B9"/>
    <w:rsid w:val="6B4E448C"/>
    <w:rsid w:val="6B623CC4"/>
    <w:rsid w:val="6B6A159A"/>
    <w:rsid w:val="6B707A89"/>
    <w:rsid w:val="6B7B2FD8"/>
    <w:rsid w:val="6B82581E"/>
    <w:rsid w:val="6B8A76A5"/>
    <w:rsid w:val="6B9C391C"/>
    <w:rsid w:val="6B9E086E"/>
    <w:rsid w:val="6BB131A8"/>
    <w:rsid w:val="6BDF23AB"/>
    <w:rsid w:val="6BE27D92"/>
    <w:rsid w:val="6BF62AD3"/>
    <w:rsid w:val="6C0E085A"/>
    <w:rsid w:val="6C1A53A3"/>
    <w:rsid w:val="6C485068"/>
    <w:rsid w:val="6C5573FE"/>
    <w:rsid w:val="6C7A2CB3"/>
    <w:rsid w:val="6C8F6881"/>
    <w:rsid w:val="6CCC1595"/>
    <w:rsid w:val="6CD47737"/>
    <w:rsid w:val="6CDA3495"/>
    <w:rsid w:val="6CFF5543"/>
    <w:rsid w:val="6D173C4B"/>
    <w:rsid w:val="6D1C2E9C"/>
    <w:rsid w:val="6D306F2F"/>
    <w:rsid w:val="6D34343E"/>
    <w:rsid w:val="6D6D4C33"/>
    <w:rsid w:val="6DA02635"/>
    <w:rsid w:val="6E022CE3"/>
    <w:rsid w:val="6E1A17E4"/>
    <w:rsid w:val="6E242641"/>
    <w:rsid w:val="6E4351B0"/>
    <w:rsid w:val="6E843337"/>
    <w:rsid w:val="6EEA3A77"/>
    <w:rsid w:val="6F827D68"/>
    <w:rsid w:val="6F8C0293"/>
    <w:rsid w:val="6F9612CC"/>
    <w:rsid w:val="6FDA3EE5"/>
    <w:rsid w:val="6FDB561C"/>
    <w:rsid w:val="6FEC3CCF"/>
    <w:rsid w:val="7012431D"/>
    <w:rsid w:val="703B46C7"/>
    <w:rsid w:val="704E0058"/>
    <w:rsid w:val="709360E4"/>
    <w:rsid w:val="709C68C5"/>
    <w:rsid w:val="70E47B1C"/>
    <w:rsid w:val="71222391"/>
    <w:rsid w:val="713A7923"/>
    <w:rsid w:val="714817C2"/>
    <w:rsid w:val="715E5BE0"/>
    <w:rsid w:val="716F20D0"/>
    <w:rsid w:val="717A163C"/>
    <w:rsid w:val="718B797D"/>
    <w:rsid w:val="718C728C"/>
    <w:rsid w:val="71D2146C"/>
    <w:rsid w:val="71DD0791"/>
    <w:rsid w:val="71F65166"/>
    <w:rsid w:val="71FA5EAC"/>
    <w:rsid w:val="720C79C7"/>
    <w:rsid w:val="72702E16"/>
    <w:rsid w:val="72884935"/>
    <w:rsid w:val="7293145D"/>
    <w:rsid w:val="72EC05A1"/>
    <w:rsid w:val="7309206B"/>
    <w:rsid w:val="731126A2"/>
    <w:rsid w:val="73163358"/>
    <w:rsid w:val="732C0EBE"/>
    <w:rsid w:val="732C6966"/>
    <w:rsid w:val="73335F46"/>
    <w:rsid w:val="7348691B"/>
    <w:rsid w:val="73623730"/>
    <w:rsid w:val="73F67E0F"/>
    <w:rsid w:val="740E05A5"/>
    <w:rsid w:val="74193A07"/>
    <w:rsid w:val="741D0F88"/>
    <w:rsid w:val="74404B6F"/>
    <w:rsid w:val="74624D35"/>
    <w:rsid w:val="747117E9"/>
    <w:rsid w:val="74B96778"/>
    <w:rsid w:val="74CC33D7"/>
    <w:rsid w:val="74D504A4"/>
    <w:rsid w:val="74DA47FD"/>
    <w:rsid w:val="75557769"/>
    <w:rsid w:val="75612179"/>
    <w:rsid w:val="75804A44"/>
    <w:rsid w:val="758E5771"/>
    <w:rsid w:val="76DF2E7C"/>
    <w:rsid w:val="76F34CE3"/>
    <w:rsid w:val="77367F53"/>
    <w:rsid w:val="773808EA"/>
    <w:rsid w:val="773D3FAD"/>
    <w:rsid w:val="776E1C43"/>
    <w:rsid w:val="778545DD"/>
    <w:rsid w:val="77CD07C5"/>
    <w:rsid w:val="77E553CA"/>
    <w:rsid w:val="77F7189A"/>
    <w:rsid w:val="782021EC"/>
    <w:rsid w:val="782161B3"/>
    <w:rsid w:val="783562BD"/>
    <w:rsid w:val="7899684C"/>
    <w:rsid w:val="78A35403"/>
    <w:rsid w:val="78A7633F"/>
    <w:rsid w:val="78BC2DD5"/>
    <w:rsid w:val="7914708C"/>
    <w:rsid w:val="795E502E"/>
    <w:rsid w:val="79700C54"/>
    <w:rsid w:val="79822149"/>
    <w:rsid w:val="79AB3F5A"/>
    <w:rsid w:val="79DB4D33"/>
    <w:rsid w:val="79E96650"/>
    <w:rsid w:val="7A1940E8"/>
    <w:rsid w:val="7A2D5FFF"/>
    <w:rsid w:val="7A4E6909"/>
    <w:rsid w:val="7A922A70"/>
    <w:rsid w:val="7AB43E11"/>
    <w:rsid w:val="7AE4629A"/>
    <w:rsid w:val="7AEC5A94"/>
    <w:rsid w:val="7AF33074"/>
    <w:rsid w:val="7B007F4F"/>
    <w:rsid w:val="7B177BF8"/>
    <w:rsid w:val="7B3B43E5"/>
    <w:rsid w:val="7B3F0CBD"/>
    <w:rsid w:val="7B5047B5"/>
    <w:rsid w:val="7B511020"/>
    <w:rsid w:val="7BA14A1B"/>
    <w:rsid w:val="7BB53C0C"/>
    <w:rsid w:val="7BC97448"/>
    <w:rsid w:val="7BDA1655"/>
    <w:rsid w:val="7BEE1D56"/>
    <w:rsid w:val="7C002880"/>
    <w:rsid w:val="7C51410D"/>
    <w:rsid w:val="7CA53A11"/>
    <w:rsid w:val="7CBD4083"/>
    <w:rsid w:val="7CCE037C"/>
    <w:rsid w:val="7D065495"/>
    <w:rsid w:val="7D4208C3"/>
    <w:rsid w:val="7D503D83"/>
    <w:rsid w:val="7D5D3429"/>
    <w:rsid w:val="7D7965B6"/>
    <w:rsid w:val="7D9E2198"/>
    <w:rsid w:val="7DCF3DEE"/>
    <w:rsid w:val="7E457399"/>
    <w:rsid w:val="7E651A7E"/>
    <w:rsid w:val="7EB443DF"/>
    <w:rsid w:val="7F4734A5"/>
    <w:rsid w:val="7F6300F6"/>
    <w:rsid w:val="7FA02C9E"/>
    <w:rsid w:val="7FCE60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0" w:semiHidden="0" w:name="table of authorities" w:locked="1"/>
    <w:lsdException w:uiPriority="99" w:name="macro" w:locked="1"/>
    <w:lsdException w:uiPriority="99" w:name="toa heading" w:locked="1"/>
    <w:lsdException w:qFormat="1" w:unhideWhenUsed="0" w:uiPriority="0" w:semiHidden="0" w:name="List" w:locked="1"/>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uiPriority="99" w:name="Document Map" w:locked="1"/>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textAlignment w:val="baseline"/>
    </w:pPr>
    <w:rPr>
      <w:rFonts w:ascii="宋体" w:hAnsi="Times New Roman" w:eastAsia="宋体" w:cs="Times New Roman"/>
      <w:sz w:val="34"/>
      <w:lang w:val="en-US" w:eastAsia="zh-CN" w:bidi="ar-SA"/>
    </w:rPr>
  </w:style>
  <w:style w:type="paragraph" w:styleId="2">
    <w:name w:val="heading 1"/>
    <w:basedOn w:val="1"/>
    <w:next w:val="1"/>
    <w:link w:val="65"/>
    <w:qFormat/>
    <w:uiPriority w:val="99"/>
    <w:pPr>
      <w:keepNext/>
      <w:outlineLvl w:val="0"/>
    </w:pPr>
    <w:rPr>
      <w:b/>
      <w:color w:val="000000"/>
      <w:sz w:val="24"/>
    </w:rPr>
  </w:style>
  <w:style w:type="paragraph" w:styleId="3">
    <w:name w:val="heading 2"/>
    <w:basedOn w:val="1"/>
    <w:next w:val="1"/>
    <w:link w:val="66"/>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7"/>
    <w:qFormat/>
    <w:uiPriority w:val="99"/>
    <w:pPr>
      <w:keepNext/>
      <w:keepLines/>
      <w:autoSpaceDE/>
      <w:autoSpaceDN/>
      <w:spacing w:before="260" w:after="260" w:line="416" w:lineRule="atLeast"/>
      <w:jc w:val="both"/>
      <w:outlineLvl w:val="2"/>
    </w:pPr>
    <w:rPr>
      <w:rFonts w:ascii="Times New Roman"/>
      <w:b/>
      <w:sz w:val="32"/>
    </w:rPr>
  </w:style>
  <w:style w:type="paragraph" w:styleId="5">
    <w:name w:val="heading 4"/>
    <w:basedOn w:val="1"/>
    <w:next w:val="6"/>
    <w:link w:val="68"/>
    <w:qFormat/>
    <w:uiPriority w:val="99"/>
    <w:pPr>
      <w:keepNext/>
      <w:keepLines/>
      <w:autoSpaceDE/>
      <w:autoSpaceDN/>
      <w:adjustRightInd/>
      <w:spacing w:before="280" w:after="290" w:line="376" w:lineRule="auto"/>
      <w:jc w:val="both"/>
      <w:textAlignment w:val="auto"/>
      <w:outlineLvl w:val="3"/>
    </w:pPr>
    <w:rPr>
      <w:rFonts w:ascii="Arial" w:hAnsi="Arial" w:eastAsia="黑体"/>
      <w:b/>
      <w:kern w:val="2"/>
      <w:sz w:val="28"/>
    </w:rPr>
  </w:style>
  <w:style w:type="paragraph" w:styleId="7">
    <w:name w:val="heading 5"/>
    <w:basedOn w:val="1"/>
    <w:next w:val="6"/>
    <w:link w:val="69"/>
    <w:qFormat/>
    <w:uiPriority w:val="99"/>
    <w:pPr>
      <w:keepNext/>
      <w:keepLines/>
      <w:autoSpaceDE/>
      <w:autoSpaceDN/>
      <w:adjustRightInd/>
      <w:spacing w:before="280" w:after="290" w:line="376" w:lineRule="auto"/>
      <w:jc w:val="both"/>
      <w:textAlignment w:val="auto"/>
      <w:outlineLvl w:val="4"/>
    </w:pPr>
    <w:rPr>
      <w:rFonts w:ascii="Times New Roman"/>
      <w:b/>
      <w:kern w:val="2"/>
      <w:sz w:val="28"/>
    </w:rPr>
  </w:style>
  <w:style w:type="paragraph" w:styleId="8">
    <w:name w:val="heading 6"/>
    <w:basedOn w:val="1"/>
    <w:next w:val="6"/>
    <w:link w:val="70"/>
    <w:qFormat/>
    <w:uiPriority w:val="99"/>
    <w:pPr>
      <w:keepNext/>
      <w:keepLines/>
      <w:autoSpaceDE/>
      <w:autoSpaceDN/>
      <w:adjustRightInd/>
      <w:spacing w:before="240" w:after="64" w:line="320" w:lineRule="auto"/>
      <w:jc w:val="both"/>
      <w:textAlignment w:val="auto"/>
      <w:outlineLvl w:val="5"/>
    </w:pPr>
    <w:rPr>
      <w:rFonts w:ascii="Arial" w:hAnsi="Arial" w:eastAsia="黑体"/>
      <w:b/>
      <w:kern w:val="2"/>
      <w:sz w:val="24"/>
    </w:rPr>
  </w:style>
  <w:style w:type="paragraph" w:styleId="9">
    <w:name w:val="heading 7"/>
    <w:basedOn w:val="1"/>
    <w:next w:val="6"/>
    <w:link w:val="71"/>
    <w:qFormat/>
    <w:uiPriority w:val="99"/>
    <w:pPr>
      <w:keepNext/>
      <w:keepLines/>
      <w:autoSpaceDE/>
      <w:autoSpaceDN/>
      <w:adjustRightInd/>
      <w:spacing w:before="240" w:after="64" w:line="320" w:lineRule="auto"/>
      <w:jc w:val="both"/>
      <w:textAlignment w:val="auto"/>
      <w:outlineLvl w:val="6"/>
    </w:pPr>
    <w:rPr>
      <w:rFonts w:ascii="Times New Roman"/>
      <w:b/>
      <w:kern w:val="2"/>
      <w:sz w:val="24"/>
    </w:rPr>
  </w:style>
  <w:style w:type="paragraph" w:styleId="10">
    <w:name w:val="heading 8"/>
    <w:basedOn w:val="1"/>
    <w:next w:val="6"/>
    <w:link w:val="72"/>
    <w:qFormat/>
    <w:uiPriority w:val="99"/>
    <w:pPr>
      <w:keepNext/>
      <w:keepLines/>
      <w:autoSpaceDE/>
      <w:autoSpaceDN/>
      <w:adjustRightInd/>
      <w:spacing w:before="240" w:after="64" w:line="320" w:lineRule="auto"/>
      <w:jc w:val="both"/>
      <w:textAlignment w:val="auto"/>
      <w:outlineLvl w:val="7"/>
    </w:pPr>
    <w:rPr>
      <w:rFonts w:ascii="Arial" w:hAnsi="Arial" w:eastAsia="黑体"/>
      <w:kern w:val="2"/>
      <w:sz w:val="24"/>
    </w:rPr>
  </w:style>
  <w:style w:type="paragraph" w:styleId="11">
    <w:name w:val="heading 9"/>
    <w:basedOn w:val="1"/>
    <w:next w:val="6"/>
    <w:link w:val="73"/>
    <w:qFormat/>
    <w:uiPriority w:val="99"/>
    <w:pPr>
      <w:keepNext/>
      <w:keepLines/>
      <w:autoSpaceDE/>
      <w:autoSpaceDN/>
      <w:adjustRightInd/>
      <w:spacing w:before="240" w:after="64" w:line="320" w:lineRule="auto"/>
      <w:jc w:val="both"/>
      <w:textAlignment w:val="auto"/>
      <w:outlineLvl w:val="8"/>
    </w:pPr>
    <w:rPr>
      <w:rFonts w:ascii="Arial" w:hAnsi="Arial" w:eastAsia="黑体"/>
      <w:kern w:val="2"/>
      <w:sz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95"/>
    <w:qFormat/>
    <w:uiPriority w:val="99"/>
    <w:pPr>
      <w:autoSpaceDE/>
      <w:autoSpaceDN/>
      <w:adjustRightInd/>
      <w:ind w:firstLine="420"/>
      <w:jc w:val="both"/>
      <w:textAlignment w:val="auto"/>
    </w:pPr>
    <w:rPr>
      <w:rFonts w:ascii="Times New Roman"/>
      <w:kern w:val="2"/>
      <w:sz w:val="21"/>
    </w:rPr>
  </w:style>
  <w:style w:type="paragraph" w:styleId="12">
    <w:name w:val="toc 7"/>
    <w:basedOn w:val="1"/>
    <w:next w:val="1"/>
    <w:semiHidden/>
    <w:qFormat/>
    <w:uiPriority w:val="99"/>
    <w:pPr>
      <w:ind w:left="2040"/>
    </w:pPr>
    <w:rPr>
      <w:rFonts w:ascii="Times New Roman"/>
      <w:sz w:val="18"/>
      <w:szCs w:val="18"/>
    </w:rPr>
  </w:style>
  <w:style w:type="paragraph" w:styleId="13">
    <w:name w:val="table of authorities"/>
    <w:basedOn w:val="1"/>
    <w:next w:val="1"/>
    <w:qFormat/>
    <w:locked/>
    <w:uiPriority w:val="0"/>
    <w:pPr>
      <w:ind w:left="420" w:leftChars="200"/>
    </w:pPr>
  </w:style>
  <w:style w:type="paragraph" w:styleId="14">
    <w:name w:val="caption"/>
    <w:basedOn w:val="1"/>
    <w:next w:val="1"/>
    <w:qFormat/>
    <w:uiPriority w:val="99"/>
    <w:pPr>
      <w:spacing w:before="152" w:after="160"/>
    </w:pPr>
    <w:rPr>
      <w:rFonts w:ascii="Arial" w:hAnsi="Arial" w:eastAsia="黑体"/>
    </w:rPr>
  </w:style>
  <w:style w:type="paragraph" w:styleId="15">
    <w:name w:val="annotation text"/>
    <w:basedOn w:val="1"/>
    <w:link w:val="76"/>
    <w:semiHidden/>
    <w:qFormat/>
    <w:uiPriority w:val="99"/>
  </w:style>
  <w:style w:type="paragraph" w:styleId="16">
    <w:name w:val="Body Text 3"/>
    <w:basedOn w:val="1"/>
    <w:link w:val="78"/>
    <w:qFormat/>
    <w:uiPriority w:val="99"/>
    <w:pPr>
      <w:spacing w:line="640" w:lineRule="exact"/>
    </w:pPr>
    <w:rPr>
      <w:color w:val="000000"/>
      <w:sz w:val="28"/>
    </w:rPr>
  </w:style>
  <w:style w:type="paragraph" w:styleId="17">
    <w:name w:val="Body Text"/>
    <w:basedOn w:val="1"/>
    <w:next w:val="18"/>
    <w:link w:val="79"/>
    <w:qFormat/>
    <w:uiPriority w:val="99"/>
    <w:rPr>
      <w:sz w:val="28"/>
    </w:rPr>
  </w:style>
  <w:style w:type="paragraph" w:styleId="18">
    <w:name w:val="Body Text First Indent"/>
    <w:basedOn w:val="17"/>
    <w:next w:val="19"/>
    <w:qFormat/>
    <w:locked/>
    <w:uiPriority w:val="0"/>
    <w:pPr>
      <w:ind w:firstLine="420" w:firstLineChars="100"/>
    </w:pPr>
  </w:style>
  <w:style w:type="paragraph" w:styleId="19">
    <w:name w:val="List"/>
    <w:basedOn w:val="1"/>
    <w:next w:val="1"/>
    <w:qFormat/>
    <w:locked/>
    <w:uiPriority w:val="0"/>
    <w:pPr>
      <w:numPr>
        <w:ilvl w:val="1"/>
        <w:numId w:val="1"/>
      </w:numPr>
    </w:pPr>
    <w:rPr>
      <w:rFonts w:ascii="微软雅黑" w:hAnsi="微软雅黑" w:cs="宋体"/>
      <w:sz w:val="21"/>
    </w:rPr>
  </w:style>
  <w:style w:type="paragraph" w:styleId="20">
    <w:name w:val="Body Text Indent"/>
    <w:basedOn w:val="1"/>
    <w:next w:val="1"/>
    <w:link w:val="74"/>
    <w:qFormat/>
    <w:uiPriority w:val="99"/>
    <w:pPr>
      <w:autoSpaceDE/>
      <w:autoSpaceDN/>
      <w:adjustRightInd/>
      <w:ind w:firstLine="900"/>
      <w:jc w:val="both"/>
      <w:textAlignment w:val="auto"/>
    </w:pPr>
    <w:rPr>
      <w:rFonts w:ascii="Times New Roman"/>
      <w:kern w:val="2"/>
      <w:sz w:val="28"/>
    </w:rPr>
  </w:style>
  <w:style w:type="paragraph" w:styleId="21">
    <w:name w:val="List 2"/>
    <w:basedOn w:val="1"/>
    <w:qFormat/>
    <w:uiPriority w:val="99"/>
    <w:pPr>
      <w:ind w:left="100" w:leftChars="200" w:hanging="200" w:hangingChars="200"/>
    </w:pPr>
  </w:style>
  <w:style w:type="paragraph" w:styleId="22">
    <w:name w:val="toc 5"/>
    <w:basedOn w:val="1"/>
    <w:next w:val="1"/>
    <w:semiHidden/>
    <w:qFormat/>
    <w:uiPriority w:val="99"/>
    <w:pPr>
      <w:ind w:left="1360"/>
    </w:pPr>
    <w:rPr>
      <w:rFonts w:ascii="Times New Roman"/>
      <w:sz w:val="18"/>
      <w:szCs w:val="18"/>
    </w:rPr>
  </w:style>
  <w:style w:type="paragraph" w:styleId="23">
    <w:name w:val="toc 3"/>
    <w:basedOn w:val="1"/>
    <w:next w:val="1"/>
    <w:semiHidden/>
    <w:qFormat/>
    <w:uiPriority w:val="99"/>
    <w:pPr>
      <w:ind w:left="680"/>
    </w:pPr>
    <w:rPr>
      <w:rFonts w:ascii="Times New Roman"/>
      <w:i/>
      <w:iCs/>
      <w:sz w:val="20"/>
    </w:rPr>
  </w:style>
  <w:style w:type="paragraph" w:styleId="24">
    <w:name w:val="Plain Text"/>
    <w:basedOn w:val="1"/>
    <w:next w:val="6"/>
    <w:link w:val="80"/>
    <w:qFormat/>
    <w:uiPriority w:val="0"/>
    <w:rPr>
      <w:rFonts w:hAnsi="Courier New" w:cs="Courier New"/>
      <w:szCs w:val="21"/>
    </w:rPr>
  </w:style>
  <w:style w:type="paragraph" w:styleId="25">
    <w:name w:val="toc 8"/>
    <w:basedOn w:val="1"/>
    <w:next w:val="1"/>
    <w:semiHidden/>
    <w:qFormat/>
    <w:uiPriority w:val="99"/>
    <w:pPr>
      <w:ind w:left="2380"/>
    </w:pPr>
    <w:rPr>
      <w:rFonts w:ascii="Times New Roman"/>
      <w:sz w:val="18"/>
      <w:szCs w:val="18"/>
    </w:rPr>
  </w:style>
  <w:style w:type="paragraph" w:styleId="26">
    <w:name w:val="Date"/>
    <w:basedOn w:val="1"/>
    <w:next w:val="1"/>
    <w:link w:val="81"/>
    <w:qFormat/>
    <w:uiPriority w:val="0"/>
    <w:pPr>
      <w:jc w:val="both"/>
    </w:pPr>
    <w:rPr>
      <w:sz w:val="28"/>
    </w:rPr>
  </w:style>
  <w:style w:type="paragraph" w:styleId="27">
    <w:name w:val="Body Text Indent 2"/>
    <w:basedOn w:val="1"/>
    <w:link w:val="82"/>
    <w:qFormat/>
    <w:uiPriority w:val="99"/>
    <w:pPr>
      <w:autoSpaceDE/>
      <w:autoSpaceDN/>
      <w:adjustRightInd/>
      <w:spacing w:line="360" w:lineRule="auto"/>
      <w:ind w:firstLine="720"/>
      <w:jc w:val="both"/>
      <w:textAlignment w:val="auto"/>
    </w:pPr>
    <w:rPr>
      <w:kern w:val="2"/>
      <w:sz w:val="28"/>
    </w:rPr>
  </w:style>
  <w:style w:type="paragraph" w:styleId="28">
    <w:name w:val="Balloon Text"/>
    <w:basedOn w:val="1"/>
    <w:link w:val="83"/>
    <w:semiHidden/>
    <w:qFormat/>
    <w:uiPriority w:val="99"/>
    <w:rPr>
      <w:sz w:val="18"/>
      <w:szCs w:val="18"/>
    </w:rPr>
  </w:style>
  <w:style w:type="paragraph" w:styleId="29">
    <w:name w:val="footer"/>
    <w:basedOn w:val="1"/>
    <w:link w:val="84"/>
    <w:qFormat/>
    <w:uiPriority w:val="99"/>
    <w:pPr>
      <w:tabs>
        <w:tab w:val="center" w:pos="4153"/>
        <w:tab w:val="right" w:pos="8306"/>
      </w:tabs>
      <w:snapToGrid w:val="0"/>
    </w:pPr>
    <w:rPr>
      <w:sz w:val="18"/>
    </w:rPr>
  </w:style>
  <w:style w:type="paragraph" w:styleId="30">
    <w:name w:val="envelope return"/>
    <w:basedOn w:val="1"/>
    <w:qFormat/>
    <w:locked/>
    <w:uiPriority w:val="0"/>
    <w:pPr>
      <w:snapToGrid w:val="0"/>
    </w:pPr>
    <w:rPr>
      <w:rFonts w:ascii="Arial" w:hAnsi="Arial"/>
    </w:rPr>
  </w:style>
  <w:style w:type="paragraph" w:styleId="31">
    <w:name w:val="header"/>
    <w:basedOn w:val="1"/>
    <w:link w:val="85"/>
    <w:qFormat/>
    <w:uiPriority w:val="99"/>
    <w:pPr>
      <w:pBdr>
        <w:bottom w:val="single" w:color="auto" w:sz="6" w:space="1"/>
      </w:pBdr>
      <w:tabs>
        <w:tab w:val="center" w:pos="4153"/>
        <w:tab w:val="right" w:pos="8306"/>
      </w:tabs>
      <w:snapToGrid w:val="0"/>
      <w:jc w:val="center"/>
    </w:pPr>
    <w:rPr>
      <w:sz w:val="18"/>
    </w:rPr>
  </w:style>
  <w:style w:type="paragraph" w:styleId="32">
    <w:name w:val="toc 1"/>
    <w:basedOn w:val="1"/>
    <w:next w:val="1"/>
    <w:qFormat/>
    <w:uiPriority w:val="99"/>
    <w:pPr>
      <w:spacing w:before="120" w:after="120"/>
    </w:pPr>
    <w:rPr>
      <w:rFonts w:ascii="Times New Roman"/>
      <w:b/>
      <w:bCs/>
      <w:caps/>
      <w:sz w:val="20"/>
    </w:rPr>
  </w:style>
  <w:style w:type="paragraph" w:styleId="33">
    <w:name w:val="toc 4"/>
    <w:basedOn w:val="1"/>
    <w:next w:val="1"/>
    <w:semiHidden/>
    <w:qFormat/>
    <w:uiPriority w:val="99"/>
    <w:pPr>
      <w:ind w:left="1020"/>
    </w:pPr>
    <w:rPr>
      <w:rFonts w:ascii="Times New Roman"/>
      <w:sz w:val="18"/>
      <w:szCs w:val="18"/>
    </w:rPr>
  </w:style>
  <w:style w:type="paragraph" w:styleId="34">
    <w:name w:val="footnote text"/>
    <w:basedOn w:val="1"/>
    <w:link w:val="86"/>
    <w:semiHidden/>
    <w:qFormat/>
    <w:uiPriority w:val="99"/>
    <w:pPr>
      <w:snapToGrid w:val="0"/>
    </w:pPr>
    <w:rPr>
      <w:sz w:val="18"/>
    </w:rPr>
  </w:style>
  <w:style w:type="paragraph" w:styleId="35">
    <w:name w:val="toc 6"/>
    <w:basedOn w:val="1"/>
    <w:next w:val="1"/>
    <w:semiHidden/>
    <w:qFormat/>
    <w:uiPriority w:val="99"/>
    <w:pPr>
      <w:ind w:left="1700"/>
    </w:pPr>
    <w:rPr>
      <w:rFonts w:ascii="Times New Roman"/>
      <w:sz w:val="18"/>
      <w:szCs w:val="18"/>
    </w:rPr>
  </w:style>
  <w:style w:type="paragraph" w:styleId="36">
    <w:name w:val="Body Text Indent 3"/>
    <w:basedOn w:val="1"/>
    <w:link w:val="87"/>
    <w:qFormat/>
    <w:uiPriority w:val="99"/>
    <w:pPr>
      <w:autoSpaceDE/>
      <w:autoSpaceDN/>
      <w:adjustRightInd/>
      <w:spacing w:line="360" w:lineRule="auto"/>
      <w:ind w:firstLine="540"/>
      <w:jc w:val="both"/>
      <w:textAlignment w:val="auto"/>
    </w:pPr>
    <w:rPr>
      <w:kern w:val="2"/>
      <w:sz w:val="28"/>
    </w:rPr>
  </w:style>
  <w:style w:type="paragraph" w:styleId="37">
    <w:name w:val="toc 2"/>
    <w:basedOn w:val="1"/>
    <w:next w:val="1"/>
    <w:qFormat/>
    <w:uiPriority w:val="99"/>
    <w:pPr>
      <w:ind w:left="105" w:leftChars="31" w:right="-133" w:rightChars="-39"/>
    </w:pPr>
    <w:rPr>
      <w:rFonts w:ascii="Times New Roman"/>
      <w:smallCaps/>
      <w:sz w:val="20"/>
    </w:rPr>
  </w:style>
  <w:style w:type="paragraph" w:styleId="38">
    <w:name w:val="toc 9"/>
    <w:basedOn w:val="1"/>
    <w:next w:val="1"/>
    <w:semiHidden/>
    <w:qFormat/>
    <w:uiPriority w:val="99"/>
    <w:pPr>
      <w:ind w:left="2720"/>
    </w:pPr>
    <w:rPr>
      <w:rFonts w:ascii="Times New Roman"/>
      <w:sz w:val="18"/>
      <w:szCs w:val="18"/>
    </w:rPr>
  </w:style>
  <w:style w:type="paragraph" w:styleId="39">
    <w:name w:val="Body Text 2"/>
    <w:basedOn w:val="1"/>
    <w:link w:val="88"/>
    <w:qFormat/>
    <w:uiPriority w:val="99"/>
    <w:pPr>
      <w:jc w:val="both"/>
    </w:pPr>
    <w:rPr>
      <w:sz w:val="28"/>
    </w:rPr>
  </w:style>
  <w:style w:type="paragraph" w:styleId="40">
    <w:name w:val="HTML Preformatted"/>
    <w:basedOn w:val="1"/>
    <w:link w:val="8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textAlignment w:val="auto"/>
    </w:pPr>
    <w:rPr>
      <w:rFonts w:ascii="Arial" w:hAnsi="Arial" w:cs="Arial"/>
      <w:sz w:val="21"/>
      <w:szCs w:val="21"/>
    </w:rPr>
  </w:style>
  <w:style w:type="paragraph" w:styleId="41">
    <w:name w:val="Normal (Web)"/>
    <w:basedOn w:val="1"/>
    <w:next w:val="1"/>
    <w:qFormat/>
    <w:uiPriority w:val="0"/>
    <w:pPr>
      <w:widowControl/>
      <w:autoSpaceDE/>
      <w:autoSpaceDN/>
      <w:adjustRightInd/>
      <w:spacing w:before="100" w:beforeAutospacing="1" w:after="100" w:afterAutospacing="1"/>
      <w:textAlignment w:val="auto"/>
    </w:pPr>
    <w:rPr>
      <w:rFonts w:hAnsi="宋体" w:cs="宋体"/>
      <w:sz w:val="24"/>
      <w:szCs w:val="24"/>
    </w:rPr>
  </w:style>
  <w:style w:type="paragraph" w:styleId="42">
    <w:name w:val="Title"/>
    <w:basedOn w:val="1"/>
    <w:next w:val="1"/>
    <w:qFormat/>
    <w:uiPriority w:val="0"/>
    <w:pPr>
      <w:spacing w:before="240" w:after="60"/>
      <w:jc w:val="center"/>
      <w:outlineLvl w:val="0"/>
    </w:pPr>
    <w:rPr>
      <w:rFonts w:ascii="Cambria" w:hAnsi="Cambria"/>
      <w:b/>
      <w:bCs/>
      <w:sz w:val="32"/>
      <w:szCs w:val="32"/>
    </w:rPr>
  </w:style>
  <w:style w:type="paragraph" w:styleId="43">
    <w:name w:val="annotation subject"/>
    <w:basedOn w:val="15"/>
    <w:next w:val="15"/>
    <w:link w:val="77"/>
    <w:semiHidden/>
    <w:qFormat/>
    <w:uiPriority w:val="99"/>
    <w:rPr>
      <w:b/>
      <w:bCs/>
    </w:rPr>
  </w:style>
  <w:style w:type="paragraph" w:styleId="44">
    <w:name w:val="Body Text First Indent 2"/>
    <w:basedOn w:val="20"/>
    <w:next w:val="45"/>
    <w:link w:val="75"/>
    <w:qFormat/>
    <w:uiPriority w:val="0"/>
    <w:pPr>
      <w:spacing w:after="120"/>
      <w:ind w:left="420" w:leftChars="200" w:firstLine="420"/>
    </w:pPr>
    <w:rPr>
      <w:rFonts w:cs="宋体"/>
      <w:sz w:val="21"/>
      <w:szCs w:val="21"/>
    </w:rPr>
  </w:style>
  <w:style w:type="paragraph" w:customStyle="1" w:styleId="45">
    <w:name w:val="xl53"/>
    <w:basedOn w:val="1"/>
    <w:next w:val="1"/>
    <w:qFormat/>
    <w:uiPriority w:val="0"/>
    <w:pPr>
      <w:spacing w:before="280" w:after="280" w:line="100" w:lineRule="exact"/>
      <w:jc w:val="center"/>
    </w:pPr>
    <w:rPr>
      <w:b/>
      <w:sz w:val="20"/>
    </w:rPr>
  </w:style>
  <w:style w:type="table" w:styleId="47">
    <w:name w:val="Table Grid"/>
    <w:basedOn w:val="4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qFormat/>
    <w:uiPriority w:val="99"/>
    <w:rPr>
      <w:rFonts w:cs="Times New Roman"/>
    </w:rPr>
  </w:style>
  <w:style w:type="character" w:styleId="51">
    <w:name w:val="FollowedHyperlink"/>
    <w:qFormat/>
    <w:uiPriority w:val="99"/>
    <w:rPr>
      <w:rFonts w:cs="Times New Roman"/>
      <w:color w:val="3F88BF"/>
      <w:u w:val="none"/>
    </w:rPr>
  </w:style>
  <w:style w:type="character" w:styleId="52">
    <w:name w:val="Emphasis"/>
    <w:qFormat/>
    <w:uiPriority w:val="99"/>
    <w:rPr>
      <w:rFonts w:cs="Times New Roman"/>
    </w:rPr>
  </w:style>
  <w:style w:type="character" w:styleId="53">
    <w:name w:val="HTML Definition"/>
    <w:qFormat/>
    <w:uiPriority w:val="99"/>
    <w:rPr>
      <w:rFonts w:cs="Times New Roman"/>
    </w:rPr>
  </w:style>
  <w:style w:type="character" w:styleId="54">
    <w:name w:val="HTML Variable"/>
    <w:qFormat/>
    <w:uiPriority w:val="99"/>
    <w:rPr>
      <w:rFonts w:cs="Times New Roman"/>
    </w:rPr>
  </w:style>
  <w:style w:type="character" w:styleId="55">
    <w:name w:val="Hyperlink"/>
    <w:basedOn w:val="48"/>
    <w:qFormat/>
    <w:uiPriority w:val="99"/>
    <w:rPr>
      <w:rFonts w:cs="Times New Roman"/>
      <w:color w:val="3F88BF"/>
      <w:u w:val="none"/>
    </w:rPr>
  </w:style>
  <w:style w:type="character" w:styleId="56">
    <w:name w:val="HTML Code"/>
    <w:qFormat/>
    <w:uiPriority w:val="99"/>
    <w:rPr>
      <w:rFonts w:ascii="PingFang SC" w:hAnsi="PingFang SC" w:cs="PingFang SC"/>
      <w:sz w:val="20"/>
    </w:rPr>
  </w:style>
  <w:style w:type="character" w:styleId="57">
    <w:name w:val="annotation reference"/>
    <w:semiHidden/>
    <w:qFormat/>
    <w:uiPriority w:val="99"/>
    <w:rPr>
      <w:rFonts w:cs="Times New Roman"/>
      <w:sz w:val="21"/>
    </w:rPr>
  </w:style>
  <w:style w:type="character" w:styleId="58">
    <w:name w:val="HTML Cite"/>
    <w:qFormat/>
    <w:uiPriority w:val="99"/>
    <w:rPr>
      <w:rFonts w:cs="Times New Roman"/>
    </w:rPr>
  </w:style>
  <w:style w:type="character" w:styleId="59">
    <w:name w:val="footnote reference"/>
    <w:semiHidden/>
    <w:qFormat/>
    <w:uiPriority w:val="99"/>
    <w:rPr>
      <w:rFonts w:cs="Times New Roman"/>
      <w:vertAlign w:val="superscript"/>
    </w:rPr>
  </w:style>
  <w:style w:type="character" w:styleId="60">
    <w:name w:val="HTML Keyboard"/>
    <w:qFormat/>
    <w:uiPriority w:val="99"/>
    <w:rPr>
      <w:rFonts w:ascii="PingFang SC" w:hAnsi="PingFang SC" w:cs="PingFang SC"/>
      <w:sz w:val="20"/>
    </w:rPr>
  </w:style>
  <w:style w:type="character" w:styleId="61">
    <w:name w:val="HTML Sample"/>
    <w:qFormat/>
    <w:uiPriority w:val="99"/>
    <w:rPr>
      <w:rFonts w:ascii="PingFang SC" w:hAnsi="PingFang SC" w:cs="PingFang SC"/>
    </w:rPr>
  </w:style>
  <w:style w:type="paragraph" w:customStyle="1" w:styleId="62">
    <w:name w:val="Default"/>
    <w:qFormat/>
    <w:uiPriority w:val="0"/>
    <w:pPr>
      <w:widowControl w:val="0"/>
      <w:autoSpaceDE w:val="0"/>
      <w:autoSpaceDN w:val="0"/>
      <w:adjustRightInd w:val="0"/>
    </w:pPr>
    <w:rPr>
      <w:rFonts w:ascii="楷体" w:hAnsi="Calibri" w:eastAsia="楷体" w:cs="Times New Roman"/>
      <w:color w:val="000000"/>
      <w:sz w:val="24"/>
      <w:szCs w:val="24"/>
      <w:lang w:val="en-US" w:eastAsia="zh-CN" w:bidi="ar-SA"/>
    </w:rPr>
  </w:style>
  <w:style w:type="paragraph" w:customStyle="1" w:styleId="63">
    <w:name w:val="正文2"/>
    <w:basedOn w:val="1"/>
    <w:link w:val="123"/>
    <w:qFormat/>
    <w:uiPriority w:val="99"/>
    <w:pPr>
      <w:autoSpaceDE/>
      <w:autoSpaceDN/>
      <w:adjustRightInd/>
      <w:spacing w:before="156" w:line="360" w:lineRule="auto"/>
      <w:ind w:firstLine="200" w:firstLineChars="200"/>
      <w:jc w:val="both"/>
      <w:textAlignment w:val="auto"/>
    </w:pPr>
    <w:rPr>
      <w:rFonts w:ascii="Times New Roman"/>
      <w:kern w:val="2"/>
      <w:sz w:val="28"/>
    </w:rPr>
  </w:style>
  <w:style w:type="paragraph" w:customStyle="1" w:styleId="64">
    <w:name w:val="段"/>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65">
    <w:name w:val="标题 1 Char"/>
    <w:basedOn w:val="48"/>
    <w:link w:val="2"/>
    <w:qFormat/>
    <w:locked/>
    <w:uiPriority w:val="99"/>
    <w:rPr>
      <w:rFonts w:ascii="宋体" w:cs="Times New Roman"/>
      <w:b/>
      <w:bCs/>
      <w:kern w:val="44"/>
      <w:sz w:val="44"/>
      <w:szCs w:val="44"/>
    </w:rPr>
  </w:style>
  <w:style w:type="character" w:customStyle="1" w:styleId="66">
    <w:name w:val="标题 2 Char"/>
    <w:link w:val="3"/>
    <w:semiHidden/>
    <w:qFormat/>
    <w:locked/>
    <w:uiPriority w:val="99"/>
    <w:rPr>
      <w:rFonts w:ascii="Cambria" w:hAnsi="Cambria" w:eastAsia="宋体" w:cs="Times New Roman"/>
      <w:b/>
      <w:bCs/>
      <w:kern w:val="0"/>
      <w:sz w:val="32"/>
      <w:szCs w:val="32"/>
    </w:rPr>
  </w:style>
  <w:style w:type="character" w:customStyle="1" w:styleId="67">
    <w:name w:val="标题 3 Char"/>
    <w:link w:val="4"/>
    <w:semiHidden/>
    <w:qFormat/>
    <w:locked/>
    <w:uiPriority w:val="99"/>
    <w:rPr>
      <w:rFonts w:ascii="宋体" w:cs="Times New Roman"/>
      <w:b/>
      <w:bCs/>
      <w:kern w:val="0"/>
      <w:sz w:val="32"/>
      <w:szCs w:val="32"/>
    </w:rPr>
  </w:style>
  <w:style w:type="character" w:customStyle="1" w:styleId="68">
    <w:name w:val="标题 4 Char"/>
    <w:link w:val="5"/>
    <w:semiHidden/>
    <w:qFormat/>
    <w:locked/>
    <w:uiPriority w:val="99"/>
    <w:rPr>
      <w:rFonts w:ascii="Cambria" w:hAnsi="Cambria" w:eastAsia="宋体" w:cs="Times New Roman"/>
      <w:b/>
      <w:bCs/>
      <w:kern w:val="0"/>
      <w:sz w:val="28"/>
      <w:szCs w:val="28"/>
    </w:rPr>
  </w:style>
  <w:style w:type="character" w:customStyle="1" w:styleId="69">
    <w:name w:val="标题 5 Char"/>
    <w:link w:val="7"/>
    <w:semiHidden/>
    <w:qFormat/>
    <w:locked/>
    <w:uiPriority w:val="99"/>
    <w:rPr>
      <w:rFonts w:ascii="宋体" w:cs="Times New Roman"/>
      <w:b/>
      <w:bCs/>
      <w:kern w:val="0"/>
      <w:sz w:val="28"/>
      <w:szCs w:val="28"/>
    </w:rPr>
  </w:style>
  <w:style w:type="character" w:customStyle="1" w:styleId="70">
    <w:name w:val="标题 6 Char"/>
    <w:link w:val="8"/>
    <w:semiHidden/>
    <w:qFormat/>
    <w:locked/>
    <w:uiPriority w:val="99"/>
    <w:rPr>
      <w:rFonts w:ascii="Cambria" w:hAnsi="Cambria" w:eastAsia="宋体" w:cs="Times New Roman"/>
      <w:b/>
      <w:bCs/>
      <w:kern w:val="0"/>
      <w:sz w:val="24"/>
      <w:szCs w:val="24"/>
    </w:rPr>
  </w:style>
  <w:style w:type="character" w:customStyle="1" w:styleId="71">
    <w:name w:val="标题 7 Char"/>
    <w:link w:val="9"/>
    <w:semiHidden/>
    <w:qFormat/>
    <w:locked/>
    <w:uiPriority w:val="99"/>
    <w:rPr>
      <w:rFonts w:ascii="宋体" w:cs="Times New Roman"/>
      <w:b/>
      <w:bCs/>
      <w:kern w:val="0"/>
      <w:sz w:val="24"/>
      <w:szCs w:val="24"/>
    </w:rPr>
  </w:style>
  <w:style w:type="character" w:customStyle="1" w:styleId="72">
    <w:name w:val="标题 8 Char"/>
    <w:link w:val="10"/>
    <w:semiHidden/>
    <w:qFormat/>
    <w:locked/>
    <w:uiPriority w:val="99"/>
    <w:rPr>
      <w:rFonts w:ascii="Cambria" w:hAnsi="Cambria" w:eastAsia="宋体" w:cs="Times New Roman"/>
      <w:kern w:val="0"/>
      <w:sz w:val="24"/>
      <w:szCs w:val="24"/>
    </w:rPr>
  </w:style>
  <w:style w:type="character" w:customStyle="1" w:styleId="73">
    <w:name w:val="标题 9 Char"/>
    <w:link w:val="11"/>
    <w:semiHidden/>
    <w:qFormat/>
    <w:locked/>
    <w:uiPriority w:val="99"/>
    <w:rPr>
      <w:rFonts w:ascii="Cambria" w:hAnsi="Cambria" w:eastAsia="宋体" w:cs="Times New Roman"/>
      <w:kern w:val="0"/>
      <w:sz w:val="21"/>
      <w:szCs w:val="21"/>
    </w:rPr>
  </w:style>
  <w:style w:type="character" w:customStyle="1" w:styleId="74">
    <w:name w:val="正文文本缩进 Char"/>
    <w:link w:val="20"/>
    <w:semiHidden/>
    <w:qFormat/>
    <w:locked/>
    <w:uiPriority w:val="99"/>
    <w:rPr>
      <w:rFonts w:ascii="宋体" w:cs="Times New Roman"/>
      <w:kern w:val="0"/>
      <w:sz w:val="20"/>
      <w:szCs w:val="20"/>
    </w:rPr>
  </w:style>
  <w:style w:type="character" w:customStyle="1" w:styleId="75">
    <w:name w:val="正文首行缩进 2 Char"/>
    <w:link w:val="44"/>
    <w:semiHidden/>
    <w:qFormat/>
    <w:locked/>
    <w:uiPriority w:val="99"/>
    <w:rPr>
      <w:rFonts w:ascii="宋体" w:cs="Times New Roman"/>
      <w:kern w:val="0"/>
      <w:sz w:val="20"/>
      <w:szCs w:val="20"/>
    </w:rPr>
  </w:style>
  <w:style w:type="character" w:customStyle="1" w:styleId="76">
    <w:name w:val="批注文字 Char"/>
    <w:link w:val="15"/>
    <w:semiHidden/>
    <w:qFormat/>
    <w:locked/>
    <w:uiPriority w:val="99"/>
    <w:rPr>
      <w:rFonts w:ascii="宋体" w:cs="Times New Roman"/>
      <w:kern w:val="0"/>
      <w:sz w:val="20"/>
      <w:szCs w:val="20"/>
    </w:rPr>
  </w:style>
  <w:style w:type="character" w:customStyle="1" w:styleId="77">
    <w:name w:val="批注主题 Char"/>
    <w:link w:val="43"/>
    <w:semiHidden/>
    <w:qFormat/>
    <w:locked/>
    <w:uiPriority w:val="99"/>
    <w:rPr>
      <w:rFonts w:ascii="宋体" w:cs="Times New Roman"/>
      <w:b/>
      <w:bCs/>
      <w:kern w:val="0"/>
      <w:sz w:val="20"/>
      <w:szCs w:val="20"/>
    </w:rPr>
  </w:style>
  <w:style w:type="character" w:customStyle="1" w:styleId="78">
    <w:name w:val="正文文本 3 Char"/>
    <w:link w:val="16"/>
    <w:qFormat/>
    <w:locked/>
    <w:uiPriority w:val="99"/>
    <w:rPr>
      <w:rFonts w:ascii="宋体" w:cs="Times New Roman"/>
      <w:color w:val="000000"/>
      <w:sz w:val="28"/>
    </w:rPr>
  </w:style>
  <w:style w:type="character" w:customStyle="1" w:styleId="79">
    <w:name w:val="正文文本 Char"/>
    <w:link w:val="17"/>
    <w:semiHidden/>
    <w:qFormat/>
    <w:locked/>
    <w:uiPriority w:val="99"/>
    <w:rPr>
      <w:rFonts w:ascii="宋体" w:cs="Times New Roman"/>
      <w:kern w:val="0"/>
      <w:sz w:val="20"/>
      <w:szCs w:val="20"/>
    </w:rPr>
  </w:style>
  <w:style w:type="character" w:customStyle="1" w:styleId="80">
    <w:name w:val="纯文本 Char"/>
    <w:link w:val="24"/>
    <w:qFormat/>
    <w:locked/>
    <w:uiPriority w:val="0"/>
    <w:rPr>
      <w:rFonts w:ascii="宋体" w:hAnsi="Courier New" w:eastAsia="宋体" w:cs="Times New Roman"/>
      <w:sz w:val="21"/>
      <w:lang w:val="en-US" w:eastAsia="zh-CN"/>
    </w:rPr>
  </w:style>
  <w:style w:type="character" w:customStyle="1" w:styleId="81">
    <w:name w:val="日期 Char"/>
    <w:link w:val="26"/>
    <w:semiHidden/>
    <w:qFormat/>
    <w:locked/>
    <w:uiPriority w:val="99"/>
    <w:rPr>
      <w:rFonts w:ascii="宋体" w:cs="Times New Roman"/>
      <w:kern w:val="0"/>
      <w:sz w:val="20"/>
      <w:szCs w:val="20"/>
    </w:rPr>
  </w:style>
  <w:style w:type="character" w:customStyle="1" w:styleId="82">
    <w:name w:val="正文文本缩进 2 Char"/>
    <w:link w:val="27"/>
    <w:semiHidden/>
    <w:qFormat/>
    <w:locked/>
    <w:uiPriority w:val="99"/>
    <w:rPr>
      <w:rFonts w:ascii="宋体" w:cs="Times New Roman"/>
      <w:kern w:val="0"/>
      <w:sz w:val="20"/>
      <w:szCs w:val="20"/>
    </w:rPr>
  </w:style>
  <w:style w:type="character" w:customStyle="1" w:styleId="83">
    <w:name w:val="批注框文本 Char"/>
    <w:link w:val="28"/>
    <w:semiHidden/>
    <w:qFormat/>
    <w:locked/>
    <w:uiPriority w:val="99"/>
    <w:rPr>
      <w:rFonts w:ascii="宋体" w:cs="Times New Roman"/>
      <w:kern w:val="0"/>
      <w:sz w:val="2"/>
    </w:rPr>
  </w:style>
  <w:style w:type="character" w:customStyle="1" w:styleId="84">
    <w:name w:val="页脚 Char"/>
    <w:link w:val="29"/>
    <w:semiHidden/>
    <w:qFormat/>
    <w:locked/>
    <w:uiPriority w:val="99"/>
    <w:rPr>
      <w:rFonts w:ascii="宋体" w:cs="Times New Roman"/>
      <w:kern w:val="0"/>
      <w:sz w:val="18"/>
      <w:szCs w:val="18"/>
    </w:rPr>
  </w:style>
  <w:style w:type="character" w:customStyle="1" w:styleId="85">
    <w:name w:val="页眉 Char"/>
    <w:link w:val="31"/>
    <w:semiHidden/>
    <w:qFormat/>
    <w:locked/>
    <w:uiPriority w:val="99"/>
    <w:rPr>
      <w:rFonts w:ascii="宋体" w:cs="Times New Roman"/>
      <w:kern w:val="0"/>
      <w:sz w:val="18"/>
      <w:szCs w:val="18"/>
    </w:rPr>
  </w:style>
  <w:style w:type="character" w:customStyle="1" w:styleId="86">
    <w:name w:val="脚注文本 Char"/>
    <w:link w:val="34"/>
    <w:semiHidden/>
    <w:qFormat/>
    <w:locked/>
    <w:uiPriority w:val="99"/>
    <w:rPr>
      <w:rFonts w:ascii="宋体" w:cs="Times New Roman"/>
      <w:kern w:val="0"/>
      <w:sz w:val="18"/>
      <w:szCs w:val="18"/>
    </w:rPr>
  </w:style>
  <w:style w:type="character" w:customStyle="1" w:styleId="87">
    <w:name w:val="正文文本缩进 3 Char"/>
    <w:link w:val="36"/>
    <w:qFormat/>
    <w:locked/>
    <w:uiPriority w:val="99"/>
    <w:rPr>
      <w:rFonts w:ascii="宋体" w:cs="Times New Roman"/>
      <w:kern w:val="0"/>
      <w:sz w:val="16"/>
      <w:szCs w:val="16"/>
    </w:rPr>
  </w:style>
  <w:style w:type="character" w:customStyle="1" w:styleId="88">
    <w:name w:val="正文文本 2 Char"/>
    <w:link w:val="39"/>
    <w:semiHidden/>
    <w:qFormat/>
    <w:locked/>
    <w:uiPriority w:val="99"/>
    <w:rPr>
      <w:rFonts w:ascii="宋体" w:cs="Times New Roman"/>
      <w:kern w:val="0"/>
      <w:sz w:val="20"/>
      <w:szCs w:val="20"/>
    </w:rPr>
  </w:style>
  <w:style w:type="character" w:customStyle="1" w:styleId="89">
    <w:name w:val="HTML 预设格式 Char"/>
    <w:link w:val="40"/>
    <w:semiHidden/>
    <w:qFormat/>
    <w:locked/>
    <w:uiPriority w:val="99"/>
    <w:rPr>
      <w:rFonts w:ascii="Courier New" w:hAnsi="Courier New" w:cs="Courier New"/>
      <w:kern w:val="0"/>
      <w:sz w:val="20"/>
      <w:szCs w:val="20"/>
    </w:rPr>
  </w:style>
  <w:style w:type="character" w:customStyle="1" w:styleId="90">
    <w:name w:val="num4"/>
    <w:qFormat/>
    <w:uiPriority w:val="99"/>
    <w:rPr>
      <w:rFonts w:cs="Times New Roman"/>
      <w:b/>
      <w:color w:val="FF7800"/>
    </w:rPr>
  </w:style>
  <w:style w:type="character" w:customStyle="1" w:styleId="91">
    <w:name w:val="answer-title12"/>
    <w:qFormat/>
    <w:uiPriority w:val="99"/>
    <w:rPr>
      <w:rFonts w:cs="Times New Roman"/>
    </w:rPr>
  </w:style>
  <w:style w:type="character" w:customStyle="1" w:styleId="92">
    <w:name w:val="legend"/>
    <w:qFormat/>
    <w:uiPriority w:val="99"/>
    <w:rPr>
      <w:rFonts w:ascii="Arial" w:hAnsi="Arial" w:cs="Arial"/>
      <w:b/>
      <w:color w:val="73B304"/>
      <w:sz w:val="21"/>
      <w:szCs w:val="21"/>
      <w:shd w:val="clear" w:color="auto" w:fill="FFFFFF"/>
    </w:rPr>
  </w:style>
  <w:style w:type="character" w:customStyle="1" w:styleId="93">
    <w:name w:val="Char Char"/>
    <w:qFormat/>
    <w:uiPriority w:val="99"/>
    <w:rPr>
      <w:rFonts w:eastAsia="宋体"/>
      <w:kern w:val="2"/>
      <w:sz w:val="21"/>
      <w:lang w:val="en-US" w:eastAsia="zh-CN"/>
    </w:rPr>
  </w:style>
  <w:style w:type="character" w:customStyle="1" w:styleId="94">
    <w:name w:val="release-day"/>
    <w:qFormat/>
    <w:uiPriority w:val="99"/>
    <w:rPr>
      <w:rFonts w:cs="Times New Roman"/>
      <w:bdr w:val="single" w:color="BDEBB0" w:sz="6" w:space="0"/>
      <w:shd w:val="clear" w:color="auto" w:fill="F5FFF1"/>
    </w:rPr>
  </w:style>
  <w:style w:type="character" w:customStyle="1" w:styleId="95">
    <w:name w:val="正文缩进 Char"/>
    <w:link w:val="6"/>
    <w:qFormat/>
    <w:locked/>
    <w:uiPriority w:val="99"/>
    <w:rPr>
      <w:rFonts w:eastAsia="宋体"/>
      <w:kern w:val="2"/>
      <w:sz w:val="21"/>
      <w:lang w:val="en-US" w:eastAsia="zh-CN"/>
    </w:rPr>
  </w:style>
  <w:style w:type="character" w:customStyle="1" w:styleId="96">
    <w:name w:val="列出段落 Char"/>
    <w:link w:val="97"/>
    <w:qFormat/>
    <w:locked/>
    <w:uiPriority w:val="99"/>
    <w:rPr>
      <w:rFonts w:ascii="Calibri" w:hAnsi="Calibri"/>
      <w:kern w:val="2"/>
      <w:sz w:val="22"/>
    </w:rPr>
  </w:style>
  <w:style w:type="paragraph" w:styleId="97">
    <w:name w:val="List Paragraph"/>
    <w:basedOn w:val="1"/>
    <w:link w:val="96"/>
    <w:qFormat/>
    <w:uiPriority w:val="99"/>
    <w:pPr>
      <w:autoSpaceDE/>
      <w:autoSpaceDN/>
      <w:adjustRightInd/>
      <w:ind w:firstLine="420" w:firstLineChars="200"/>
      <w:jc w:val="both"/>
      <w:textAlignment w:val="auto"/>
    </w:pPr>
    <w:rPr>
      <w:rFonts w:ascii="Calibri" w:hAnsi="Calibri"/>
      <w:kern w:val="2"/>
      <w:sz w:val="22"/>
    </w:rPr>
  </w:style>
  <w:style w:type="character" w:customStyle="1" w:styleId="98">
    <w:name w:val="表正文 Char"/>
    <w:qFormat/>
    <w:uiPriority w:val="99"/>
    <w:rPr>
      <w:rFonts w:eastAsia="宋体"/>
      <w:kern w:val="2"/>
      <w:sz w:val="21"/>
      <w:lang w:val="en-US" w:eastAsia="zh-CN"/>
    </w:rPr>
  </w:style>
  <w:style w:type="character" w:customStyle="1" w:styleId="99">
    <w:name w:val="普通文字 Char Char1"/>
    <w:qFormat/>
    <w:uiPriority w:val="99"/>
    <w:rPr>
      <w:rFonts w:ascii="宋体" w:hAnsi="Courier New" w:eastAsia="宋体"/>
      <w:sz w:val="21"/>
      <w:lang w:val="en-US" w:eastAsia="zh-CN"/>
    </w:rPr>
  </w:style>
  <w:style w:type="character" w:customStyle="1" w:styleId="100">
    <w:name w:val="hits"/>
    <w:qFormat/>
    <w:uiPriority w:val="99"/>
    <w:rPr>
      <w:rFonts w:cs="Times New Roman"/>
    </w:rPr>
  </w:style>
  <w:style w:type="character" w:customStyle="1" w:styleId="101">
    <w:name w:val="fabu"/>
    <w:qFormat/>
    <w:uiPriority w:val="99"/>
    <w:rPr>
      <w:rFonts w:cs="Times New Roman"/>
    </w:rPr>
  </w:style>
  <w:style w:type="character" w:customStyle="1" w:styleId="102">
    <w:name w:val="kshs"/>
    <w:qFormat/>
    <w:uiPriority w:val="99"/>
    <w:rPr>
      <w:rFonts w:cs="Times New Roman"/>
    </w:rPr>
  </w:style>
  <w:style w:type="character" w:customStyle="1" w:styleId="103">
    <w:name w:val="on"/>
    <w:qFormat/>
    <w:uiPriority w:val="99"/>
    <w:rPr>
      <w:rFonts w:cs="Times New Roman"/>
      <w:color w:val="FFFFFF"/>
      <w:bdr w:val="single" w:color="D51D13" w:sz="4" w:space="0"/>
      <w:shd w:val="clear" w:color="auto" w:fill="D51D13"/>
    </w:rPr>
  </w:style>
  <w:style w:type="character" w:customStyle="1" w:styleId="104">
    <w:name w:val="on1"/>
    <w:qFormat/>
    <w:uiPriority w:val="99"/>
    <w:rPr>
      <w:rFonts w:cs="Times New Roman"/>
      <w:color w:val="FFFFFF"/>
      <w:bdr w:val="single" w:color="D51D13" w:sz="4" w:space="0"/>
      <w:shd w:val="clear" w:color="auto" w:fill="D51D13"/>
    </w:rPr>
  </w:style>
  <w:style w:type="paragraph" w:customStyle="1" w:styleId="105">
    <w:name w:val="Char Char2 Char"/>
    <w:basedOn w:val="1"/>
    <w:qFormat/>
    <w:uiPriority w:val="99"/>
    <w:pPr>
      <w:autoSpaceDE/>
      <w:autoSpaceDN/>
      <w:adjustRightInd/>
      <w:jc w:val="both"/>
      <w:textAlignment w:val="auto"/>
    </w:pPr>
    <w:rPr>
      <w:rFonts w:hAnsi="宋体"/>
      <w:b/>
      <w:kern w:val="2"/>
      <w:sz w:val="28"/>
      <w:szCs w:val="28"/>
    </w:rPr>
  </w:style>
  <w:style w:type="paragraph" w:customStyle="1" w:styleId="106">
    <w:name w:val="纯文本1"/>
    <w:basedOn w:val="63"/>
    <w:qFormat/>
    <w:uiPriority w:val="99"/>
    <w:rPr>
      <w:rFonts w:hAnsi="Courier New" w:eastAsia="Times New Roman"/>
      <w:sz w:val="26"/>
    </w:rPr>
  </w:style>
  <w:style w:type="paragraph" w:customStyle="1" w:styleId="107">
    <w:name w:val="默认段落字体 Para Char Char Char Char Char Char Char Char Char1 Char Char Char Char"/>
    <w:basedOn w:val="1"/>
    <w:qFormat/>
    <w:uiPriority w:val="99"/>
    <w:pPr>
      <w:autoSpaceDE/>
      <w:autoSpaceDN/>
      <w:adjustRightInd/>
      <w:jc w:val="both"/>
      <w:textAlignment w:val="auto"/>
    </w:pPr>
    <w:rPr>
      <w:rFonts w:ascii="Tahoma" w:hAnsi="Tahoma"/>
      <w:kern w:val="2"/>
      <w:sz w:val="24"/>
    </w:rPr>
  </w:style>
  <w:style w:type="paragraph" w:customStyle="1" w:styleId="108">
    <w:name w:val="样式K"/>
    <w:basedOn w:val="17"/>
    <w:qFormat/>
    <w:uiPriority w:val="99"/>
    <w:pPr>
      <w:autoSpaceDE/>
      <w:autoSpaceDN/>
      <w:adjustRightInd/>
      <w:textAlignment w:val="auto"/>
    </w:pPr>
    <w:rPr>
      <w:rFonts w:ascii="仿宋_GB2312" w:hAnsi="Book Antiqua" w:eastAsia="仿宋_GB2312"/>
      <w:kern w:val="2"/>
      <w:sz w:val="24"/>
      <w:szCs w:val="24"/>
    </w:rPr>
  </w:style>
  <w:style w:type="paragraph" w:customStyle="1" w:styleId="109">
    <w:name w:val="正文－恩普"/>
    <w:basedOn w:val="6"/>
    <w:qFormat/>
    <w:uiPriority w:val="99"/>
    <w:pPr>
      <w:widowControl/>
      <w:spacing w:line="360" w:lineRule="auto"/>
      <w:ind w:firstLine="480" w:firstLineChars="200"/>
      <w:jc w:val="left"/>
    </w:pPr>
    <w:rPr>
      <w:kern w:val="0"/>
      <w:sz w:val="24"/>
    </w:rPr>
  </w:style>
  <w:style w:type="paragraph" w:customStyle="1" w:styleId="110">
    <w:name w:val="2"/>
    <w:basedOn w:val="1"/>
    <w:next w:val="17"/>
    <w:qFormat/>
    <w:uiPriority w:val="99"/>
    <w:rPr>
      <w:sz w:val="28"/>
    </w:rPr>
  </w:style>
  <w:style w:type="paragraph" w:customStyle="1" w:styleId="111">
    <w:name w:val="Char Char Char Char Char Char Char Char Char"/>
    <w:basedOn w:val="1"/>
    <w:qFormat/>
    <w:uiPriority w:val="99"/>
    <w:pPr>
      <w:autoSpaceDE/>
      <w:autoSpaceDN/>
      <w:adjustRightInd/>
      <w:jc w:val="both"/>
      <w:textAlignment w:val="auto"/>
    </w:pPr>
    <w:rPr>
      <w:rFonts w:ascii="Calibri" w:hAnsi="Calibri"/>
      <w:kern w:val="2"/>
      <w:sz w:val="21"/>
      <w:szCs w:val="22"/>
    </w:rPr>
  </w:style>
  <w:style w:type="paragraph" w:customStyle="1" w:styleId="112">
    <w:name w:val="Char Char Char Char Char Char Char Char Char Char"/>
    <w:basedOn w:val="1"/>
    <w:qFormat/>
    <w:uiPriority w:val="99"/>
    <w:pPr>
      <w:autoSpaceDE/>
      <w:autoSpaceDN/>
      <w:adjustRightInd/>
      <w:jc w:val="both"/>
      <w:textAlignment w:val="auto"/>
    </w:pPr>
    <w:rPr>
      <w:rFonts w:ascii="Tahoma" w:hAnsi="Tahoma"/>
      <w:kern w:val="2"/>
      <w:sz w:val="24"/>
    </w:rPr>
  </w:style>
  <w:style w:type="paragraph" w:customStyle="1" w:styleId="113">
    <w:name w:val="Char"/>
    <w:basedOn w:val="1"/>
    <w:qFormat/>
    <w:uiPriority w:val="99"/>
    <w:pPr>
      <w:autoSpaceDE/>
      <w:autoSpaceDN/>
      <w:adjustRightInd/>
      <w:jc w:val="both"/>
      <w:textAlignment w:val="auto"/>
    </w:pPr>
    <w:rPr>
      <w:rFonts w:ascii="Tahoma" w:hAnsi="Tahoma"/>
      <w:kern w:val="2"/>
      <w:sz w:val="24"/>
    </w:rPr>
  </w:style>
  <w:style w:type="paragraph" w:customStyle="1" w:styleId="114">
    <w:name w:val="Char Char Char Char Char Char Char"/>
    <w:basedOn w:val="1"/>
    <w:qFormat/>
    <w:uiPriority w:val="99"/>
    <w:pPr>
      <w:tabs>
        <w:tab w:val="left" w:pos="432"/>
      </w:tabs>
      <w:autoSpaceDE/>
      <w:autoSpaceDN/>
      <w:adjustRightInd/>
      <w:ind w:left="432" w:hanging="432"/>
      <w:jc w:val="both"/>
      <w:textAlignment w:val="auto"/>
    </w:pPr>
    <w:rPr>
      <w:rFonts w:ascii="Times New Roman"/>
      <w:kern w:val="2"/>
      <w:sz w:val="21"/>
    </w:rPr>
  </w:style>
  <w:style w:type="paragraph" w:customStyle="1" w:styleId="115">
    <w:name w:val="Char Char Char Char"/>
    <w:basedOn w:val="1"/>
    <w:qFormat/>
    <w:uiPriority w:val="99"/>
    <w:pPr>
      <w:autoSpaceDE/>
      <w:autoSpaceDN/>
      <w:adjustRightInd/>
      <w:jc w:val="both"/>
      <w:textAlignment w:val="auto"/>
    </w:pPr>
  </w:style>
  <w:style w:type="paragraph" w:customStyle="1" w:styleId="116">
    <w:name w:val="0-正文"/>
    <w:basedOn w:val="1"/>
    <w:link w:val="117"/>
    <w:qFormat/>
    <w:uiPriority w:val="99"/>
    <w:pPr>
      <w:autoSpaceDE/>
      <w:autoSpaceDN/>
      <w:adjustRightInd/>
      <w:spacing w:line="360" w:lineRule="auto"/>
      <w:ind w:firstLine="420" w:firstLineChars="200"/>
      <w:jc w:val="both"/>
      <w:textAlignment w:val="auto"/>
    </w:pPr>
    <w:rPr>
      <w:rFonts w:ascii="汉仪仿宋简" w:hAnsi="仿宋"/>
      <w:sz w:val="28"/>
    </w:rPr>
  </w:style>
  <w:style w:type="character" w:customStyle="1" w:styleId="117">
    <w:name w:val="0-正文 Char"/>
    <w:link w:val="116"/>
    <w:qFormat/>
    <w:locked/>
    <w:uiPriority w:val="99"/>
    <w:rPr>
      <w:rFonts w:ascii="汉仪仿宋简" w:hAnsi="仿宋"/>
      <w:sz w:val="28"/>
    </w:rPr>
  </w:style>
  <w:style w:type="paragraph" w:customStyle="1" w:styleId="118">
    <w:name w:val="样式 标题 3节内1级标记Heading 3 - oldh3H3level_3PIM 3Level 3 Head...1"/>
    <w:basedOn w:val="4"/>
    <w:link w:val="119"/>
    <w:qFormat/>
    <w:uiPriority w:val="99"/>
    <w:pPr>
      <w:widowControl/>
      <w:adjustRightInd/>
      <w:spacing w:before="120" w:after="120" w:line="360" w:lineRule="auto"/>
      <w:ind w:left="1806"/>
      <w:jc w:val="left"/>
      <w:textAlignment w:val="auto"/>
    </w:pPr>
    <w:rPr>
      <w:rFonts w:ascii="Arial" w:hAnsi="Arial" w:eastAsia="黑体"/>
      <w:kern w:val="2"/>
      <w:sz w:val="30"/>
    </w:rPr>
  </w:style>
  <w:style w:type="character" w:customStyle="1" w:styleId="119">
    <w:name w:val="样式 标题 3节内1级标记Heading 3 - oldh3H3level_3PIM 3Level 3 Head...1 Char"/>
    <w:link w:val="118"/>
    <w:qFormat/>
    <w:locked/>
    <w:uiPriority w:val="99"/>
    <w:rPr>
      <w:rFonts w:ascii="Arial" w:hAnsi="Arial" w:eastAsia="黑体"/>
      <w:b/>
      <w:kern w:val="2"/>
      <w:sz w:val="30"/>
    </w:rPr>
  </w:style>
  <w:style w:type="paragraph" w:customStyle="1" w:styleId="120">
    <w:name w:val="样式10"/>
    <w:basedOn w:val="1"/>
    <w:qFormat/>
    <w:uiPriority w:val="99"/>
    <w:pPr>
      <w:keepNext/>
      <w:keepLines/>
      <w:widowControl/>
      <w:autoSpaceDE/>
      <w:autoSpaceDN/>
      <w:adjustRightInd/>
      <w:spacing w:before="200" w:line="360" w:lineRule="auto"/>
      <w:ind w:left="1806" w:hanging="200" w:hangingChars="200"/>
      <w:textAlignment w:val="auto"/>
      <w:outlineLvl w:val="4"/>
    </w:pPr>
    <w:rPr>
      <w:rFonts w:ascii="Times New Roman" w:eastAsia="黑体"/>
      <w:b/>
      <w:bCs/>
      <w:kern w:val="2"/>
      <w:sz w:val="24"/>
      <w:szCs w:val="28"/>
    </w:rPr>
  </w:style>
  <w:style w:type="paragraph" w:customStyle="1" w:styleId="121">
    <w:name w:val="p0"/>
    <w:basedOn w:val="1"/>
    <w:qFormat/>
    <w:uiPriority w:val="0"/>
    <w:pPr>
      <w:widowControl/>
      <w:autoSpaceDE/>
      <w:autoSpaceDN/>
      <w:adjustRightInd/>
      <w:jc w:val="both"/>
      <w:textAlignment w:val="auto"/>
    </w:pPr>
    <w:rPr>
      <w:rFonts w:ascii="Courier" w:hAnsi="Courier" w:eastAsia="MingLiUfalt"/>
      <w:sz w:val="21"/>
      <w:lang w:eastAsia="zh-TW"/>
    </w:rPr>
  </w:style>
  <w:style w:type="character" w:customStyle="1" w:styleId="122">
    <w:name w:val="纯文本 Char2"/>
    <w:qFormat/>
    <w:uiPriority w:val="99"/>
    <w:rPr>
      <w:rFonts w:ascii="??" w:hAnsi="??"/>
      <w:kern w:val="2"/>
      <w:sz w:val="21"/>
      <w:lang w:val="en-US" w:eastAsia="zh-CN"/>
    </w:rPr>
  </w:style>
  <w:style w:type="character" w:customStyle="1" w:styleId="123">
    <w:name w:val="正文2 Char Char"/>
    <w:link w:val="63"/>
    <w:qFormat/>
    <w:locked/>
    <w:uiPriority w:val="99"/>
    <w:rPr>
      <w:rFonts w:eastAsia="Times New Roman"/>
      <w:kern w:val="2"/>
      <w:sz w:val="28"/>
    </w:rPr>
  </w:style>
  <w:style w:type="paragraph" w:customStyle="1" w:styleId="124">
    <w:name w:val="列出段落1"/>
    <w:basedOn w:val="1"/>
    <w:qFormat/>
    <w:uiPriority w:val="34"/>
    <w:pPr>
      <w:ind w:firstLine="420" w:firstLineChars="200"/>
    </w:pPr>
    <w:rPr>
      <w:rFonts w:ascii="Calibri" w:hAnsi="Calibri"/>
      <w:szCs w:val="22"/>
    </w:rPr>
  </w:style>
  <w:style w:type="paragraph" w:customStyle="1" w:styleId="125">
    <w:name w:val="xl35"/>
    <w:basedOn w:val="1"/>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both"/>
      <w:textAlignment w:val="center"/>
    </w:pPr>
    <w:rPr>
      <w:rFonts w:ascii="Arial Unicode MS" w:hAnsi="Arial Unicode MS" w:eastAsia="Arial Unicode MS"/>
      <w:sz w:val="24"/>
      <w:szCs w:val="24"/>
    </w:rPr>
  </w:style>
  <w:style w:type="character" w:customStyle="1" w:styleId="126">
    <w:name w:val="font11"/>
    <w:basedOn w:val="48"/>
    <w:qFormat/>
    <w:uiPriority w:val="0"/>
    <w:rPr>
      <w:rFonts w:hint="default" w:ascii="Times New Roman" w:hAnsi="Times New Roman" w:eastAsia="宋体" w:cs="Times New Roman"/>
      <w:bCs/>
      <w:color w:val="000000"/>
      <w:kern w:val="2"/>
      <w:sz w:val="20"/>
      <w:szCs w:val="20"/>
      <w:u w:val="none"/>
    </w:rPr>
  </w:style>
  <w:style w:type="character" w:customStyle="1" w:styleId="127">
    <w:name w:val="font31"/>
    <w:basedOn w:val="48"/>
    <w:qFormat/>
    <w:uiPriority w:val="0"/>
    <w:rPr>
      <w:rFonts w:hint="eastAsia" w:ascii="宋体" w:hAnsi="宋体" w:eastAsia="宋体" w:cs="宋体"/>
      <w:color w:val="000000"/>
      <w:sz w:val="24"/>
      <w:szCs w:val="24"/>
      <w:u w:val="none"/>
    </w:rPr>
  </w:style>
  <w:style w:type="character" w:customStyle="1" w:styleId="128">
    <w:name w:val="font01"/>
    <w:basedOn w:val="48"/>
    <w:qFormat/>
    <w:uiPriority w:val="0"/>
    <w:rPr>
      <w:rFonts w:hint="eastAsia" w:ascii="宋体" w:hAnsi="宋体" w:eastAsia="宋体" w:cs="宋体"/>
      <w:b/>
      <w:color w:val="000000"/>
      <w:sz w:val="20"/>
      <w:szCs w:val="20"/>
      <w:u w:val="none"/>
    </w:rPr>
  </w:style>
  <w:style w:type="character" w:customStyle="1" w:styleId="129">
    <w:name w:val="font21"/>
    <w:basedOn w:val="48"/>
    <w:qFormat/>
    <w:uiPriority w:val="0"/>
    <w:rPr>
      <w:rFonts w:hint="eastAsia" w:ascii="宋体" w:hAnsi="宋体" w:eastAsia="宋体" w:cs="宋体"/>
      <w:b/>
      <w:color w:val="000000"/>
      <w:sz w:val="18"/>
      <w:szCs w:val="18"/>
      <w:u w:val="none"/>
    </w:rPr>
  </w:style>
  <w:style w:type="character" w:customStyle="1" w:styleId="130">
    <w:name w:val="font51"/>
    <w:basedOn w:val="48"/>
    <w:qFormat/>
    <w:uiPriority w:val="0"/>
    <w:rPr>
      <w:rFonts w:ascii="微软雅黑" w:hAnsi="微软雅黑" w:eastAsia="微软雅黑" w:cs="微软雅黑"/>
      <w:b/>
      <w:color w:val="000000"/>
      <w:sz w:val="18"/>
      <w:szCs w:val="18"/>
      <w:u w:val="none"/>
    </w:rPr>
  </w:style>
  <w:style w:type="character" w:customStyle="1" w:styleId="131">
    <w:name w:val="font91"/>
    <w:basedOn w:val="48"/>
    <w:qFormat/>
    <w:uiPriority w:val="0"/>
    <w:rPr>
      <w:rFonts w:hint="eastAsia" w:ascii="宋体" w:hAnsi="宋体" w:eastAsia="宋体" w:cs="宋体"/>
      <w:b/>
      <w:color w:val="000000"/>
      <w:sz w:val="24"/>
      <w:szCs w:val="24"/>
      <w:u w:val="none"/>
    </w:rPr>
  </w:style>
  <w:style w:type="character" w:customStyle="1" w:styleId="132">
    <w:name w:val="font81"/>
    <w:basedOn w:val="48"/>
    <w:qFormat/>
    <w:uiPriority w:val="0"/>
    <w:rPr>
      <w:rFonts w:hint="eastAsia" w:ascii="微软雅黑" w:hAnsi="微软雅黑" w:eastAsia="微软雅黑" w:cs="微软雅黑"/>
      <w:b/>
      <w:color w:val="000000"/>
      <w:sz w:val="24"/>
      <w:szCs w:val="24"/>
      <w:u w:val="none"/>
    </w:rPr>
  </w:style>
  <w:style w:type="character" w:customStyle="1" w:styleId="133">
    <w:name w:val="font121"/>
    <w:basedOn w:val="48"/>
    <w:qFormat/>
    <w:uiPriority w:val="0"/>
    <w:rPr>
      <w:rFonts w:hint="default" w:ascii="Arial" w:hAnsi="Arial" w:cs="Arial"/>
      <w:b/>
      <w:color w:val="000000"/>
      <w:sz w:val="20"/>
      <w:szCs w:val="20"/>
      <w:u w:val="none"/>
    </w:rPr>
  </w:style>
  <w:style w:type="character" w:customStyle="1" w:styleId="134">
    <w:name w:val="font71"/>
    <w:basedOn w:val="48"/>
    <w:qFormat/>
    <w:uiPriority w:val="0"/>
    <w:rPr>
      <w:rFonts w:hint="eastAsia" w:ascii="宋体" w:hAnsi="宋体" w:eastAsia="宋体" w:cs="宋体"/>
      <w:color w:val="000000"/>
      <w:sz w:val="20"/>
      <w:szCs w:val="20"/>
      <w:u w:val="none"/>
    </w:rPr>
  </w:style>
  <w:style w:type="character" w:customStyle="1" w:styleId="135">
    <w:name w:val="font61"/>
    <w:basedOn w:val="48"/>
    <w:qFormat/>
    <w:uiPriority w:val="0"/>
    <w:rPr>
      <w:rFonts w:hint="eastAsia" w:ascii="宋体" w:hAnsi="宋体" w:eastAsia="宋体" w:cs="宋体"/>
      <w:b/>
      <w:color w:val="000000"/>
      <w:sz w:val="20"/>
      <w:szCs w:val="20"/>
      <w:u w:val="none"/>
    </w:rPr>
  </w:style>
  <w:style w:type="character" w:customStyle="1" w:styleId="136">
    <w:name w:val="font41"/>
    <w:basedOn w:val="48"/>
    <w:qFormat/>
    <w:uiPriority w:val="0"/>
    <w:rPr>
      <w:rFonts w:hint="eastAsia" w:ascii="宋体" w:hAnsi="宋体" w:eastAsia="宋体" w:cs="宋体"/>
      <w:color w:val="000000"/>
      <w:sz w:val="20"/>
      <w:szCs w:val="20"/>
      <w:u w:val="none"/>
    </w:rPr>
  </w:style>
  <w:style w:type="character" w:customStyle="1" w:styleId="137">
    <w:name w:val="bookmark-item"/>
    <w:basedOn w:val="48"/>
    <w:qFormat/>
    <w:uiPriority w:val="0"/>
  </w:style>
  <w:style w:type="character" w:customStyle="1" w:styleId="138">
    <w:name w:val="sub"/>
    <w:basedOn w:val="48"/>
    <w:qFormat/>
    <w:uiPriority w:val="0"/>
  </w:style>
  <w:style w:type="paragraph" w:customStyle="1" w:styleId="139">
    <w:name w:val="_Style 1"/>
    <w:basedOn w:val="1"/>
    <w:next w:val="41"/>
    <w:qFormat/>
    <w:uiPriority w:val="0"/>
    <w:pPr>
      <w:autoSpaceDE/>
      <w:autoSpaceDN/>
      <w:adjustRightInd/>
      <w:jc w:val="both"/>
      <w:textAlignment w:val="auto"/>
    </w:pPr>
    <w:rPr>
      <w:rFonts w:ascii="Times New Roman"/>
      <w:kern w:val="2"/>
      <w:sz w:val="24"/>
    </w:rPr>
  </w:style>
  <w:style w:type="character" w:customStyle="1" w:styleId="140">
    <w:name w:val="apple-converted-space"/>
    <w:basedOn w:val="48"/>
    <w:qFormat/>
    <w:uiPriority w:val="0"/>
  </w:style>
  <w:style w:type="character" w:customStyle="1" w:styleId="141">
    <w:name w:val="Char Char1"/>
    <w:qFormat/>
    <w:uiPriority w:val="0"/>
    <w:rPr>
      <w:rFonts w:ascii="宋体" w:hAnsi="宋体" w:eastAsia="宋体"/>
      <w:sz w:val="24"/>
      <w:szCs w:val="24"/>
      <w:lang w:val="en-US" w:eastAsia="zh-CN" w:bidi="ar-SA"/>
    </w:rPr>
  </w:style>
  <w:style w:type="paragraph" w:customStyle="1" w:styleId="142">
    <w:name w:val="样式1"/>
    <w:basedOn w:val="32"/>
    <w:qFormat/>
    <w:uiPriority w:val="0"/>
    <w:pPr>
      <w:tabs>
        <w:tab w:val="right" w:leader="dot" w:pos="8642"/>
      </w:tabs>
      <w:spacing w:before="240" w:line="360" w:lineRule="auto"/>
    </w:pPr>
    <w:rPr>
      <w:rFonts w:hAnsi="宋体"/>
      <w:sz w:val="28"/>
      <w:szCs w:val="21"/>
    </w:rPr>
  </w:style>
  <w:style w:type="character" w:customStyle="1" w:styleId="143">
    <w:name w:val="NormalCharacter"/>
    <w:semiHidden/>
    <w:qFormat/>
    <w:uiPriority w:val="0"/>
  </w:style>
  <w:style w:type="paragraph" w:customStyle="1" w:styleId="144">
    <w:name w:val="列出段落11"/>
    <w:basedOn w:val="1"/>
    <w:qFormat/>
    <w:uiPriority w:val="0"/>
    <w:pPr>
      <w:spacing w:line="500" w:lineRule="exact"/>
      <w:ind w:left="1182" w:hanging="525" w:firstLineChars="200"/>
    </w:pPr>
    <w:rPr>
      <w:rFonts w:hAnsi="宋体" w:cs="宋体"/>
      <w:sz w:val="22"/>
      <w:lang w:val="zh-CN" w:bidi="zh-CN"/>
    </w:rPr>
  </w:style>
  <w:style w:type="paragraph" w:customStyle="1" w:styleId="145">
    <w:name w:val="正文 A"/>
    <w:qFormat/>
    <w:uiPriority w:val="0"/>
    <w:pPr>
      <w:widowControl w:val="0"/>
      <w:pBdr>
        <w:top w:val="none" w:color="FFFFFF" w:sz="0" w:space="31"/>
        <w:left w:val="none" w:color="FFFFFF" w:sz="0" w:space="31"/>
        <w:bottom w:val="none" w:color="FFFFFF" w:sz="0" w:space="31"/>
        <w:right w:val="none" w:color="FFFFFF" w:sz="0" w:space="31"/>
      </w:pBdr>
    </w:pPr>
    <w:rPr>
      <w:rFonts w:ascii="??" w:hAnsi="??" w:eastAsia="Times New Roman" w:cs="??"/>
      <w:color w:val="000000"/>
      <w:sz w:val="34"/>
      <w:szCs w:val="34"/>
      <w:u w:color="000000"/>
      <w:lang w:val="en-US" w:eastAsia="zh-CN" w:bidi="ar-SA"/>
    </w:rPr>
  </w:style>
  <w:style w:type="character" w:customStyle="1" w:styleId="146">
    <w:name w:val="无"/>
    <w:qFormat/>
    <w:uiPriority w:val="0"/>
  </w:style>
  <w:style w:type="paragraph" w:customStyle="1" w:styleId="147">
    <w:name w:val="Char Char Char Char Char Char"/>
    <w:basedOn w:val="1"/>
    <w:qFormat/>
    <w:uiPriority w:val="0"/>
    <w:pPr>
      <w:widowControl/>
      <w:spacing w:beforeLines="50" w:afterLines="50" w:line="240" w:lineRule="exact"/>
    </w:pPr>
    <w:rPr>
      <w:rFonts w:ascii="Verdana" w:hAnsi="Verdana"/>
      <w:sz w:val="20"/>
      <w:lang w:eastAsia="en-US"/>
    </w:rPr>
  </w:style>
  <w:style w:type="paragraph" w:customStyle="1" w:styleId="148">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9">
    <w:name w:val="Normal_5ef73c29-ef0f-45e2-b75a-099b58907413"/>
    <w:qFormat/>
    <w:uiPriority w:val="0"/>
    <w:pPr>
      <w:jc w:val="both"/>
    </w:pPr>
    <w:rPr>
      <w:rFonts w:ascii="Calibri" w:hAnsi="Calibri" w:eastAsia="宋体" w:cs="Calibri"/>
      <w:kern w:val="2"/>
      <w:sz w:val="21"/>
      <w:szCs w:val="21"/>
      <w:lang w:val="en-US" w:eastAsia="zh-CN" w:bidi="ar-SA"/>
    </w:rPr>
  </w:style>
  <w:style w:type="paragraph" w:customStyle="1" w:styleId="150">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151">
    <w:name w:val="_Style 2"/>
    <w:qFormat/>
    <w:uiPriority w:val="0"/>
    <w:pPr>
      <w:adjustRightInd w:val="0"/>
      <w:snapToGrid w:val="0"/>
    </w:pPr>
    <w:rPr>
      <w:rFonts w:ascii="Tahoma" w:hAnsi="Tahoma" w:eastAsia="微软雅黑" w:cs="Tahoma"/>
      <w:sz w:val="22"/>
      <w:szCs w:val="22"/>
      <w:lang w:val="en-US" w:eastAsia="zh-CN" w:bidi="ar-SA"/>
    </w:rPr>
  </w:style>
  <w:style w:type="paragraph" w:customStyle="1" w:styleId="152">
    <w:name w:val="BodyText1I2"/>
    <w:basedOn w:val="153"/>
    <w:next w:val="1"/>
    <w:qFormat/>
    <w:uiPriority w:val="0"/>
    <w:pPr>
      <w:spacing w:after="120"/>
      <w:ind w:left="420" w:leftChars="200" w:firstLine="420"/>
    </w:pPr>
    <w:rPr>
      <w:sz w:val="21"/>
      <w:szCs w:val="21"/>
    </w:rPr>
  </w:style>
  <w:style w:type="paragraph" w:customStyle="1" w:styleId="153">
    <w:name w:val="BodyTextIndent"/>
    <w:basedOn w:val="1"/>
    <w:next w:val="1"/>
    <w:qFormat/>
    <w:uiPriority w:val="0"/>
    <w:pPr>
      <w:ind w:firstLine="900"/>
      <w:jc w:val="both"/>
      <w:textAlignment w:val="auto"/>
    </w:pPr>
    <w:rPr>
      <w:rFonts w:ascii="Times New Roman"/>
      <w:kern w:val="2"/>
      <w:sz w:val="28"/>
    </w:rPr>
  </w:style>
  <w:style w:type="paragraph" w:customStyle="1" w:styleId="154">
    <w:name w:val="表格填充"/>
    <w:basedOn w:val="1"/>
    <w:qFormat/>
    <w:uiPriority w:val="0"/>
    <w:pPr>
      <w:autoSpaceDE/>
      <w:autoSpaceDN/>
      <w:snapToGrid w:val="0"/>
      <w:jc w:val="both"/>
      <w:textAlignment w:val="auto"/>
    </w:pPr>
    <w:rPr>
      <w:rFonts w:eastAsia="仿宋" w:asciiTheme="minorHAnsi" w:hAnsiTheme="minorHAnsi" w:cstheme="minorBidi"/>
      <w:kern w:val="2"/>
      <w:sz w:val="21"/>
      <w:szCs w:val="21"/>
    </w:rPr>
  </w:style>
  <w:style w:type="paragraph" w:customStyle="1" w:styleId="155">
    <w:name w:val="B表格正文"/>
    <w:next w:val="1"/>
    <w:qFormat/>
    <w:uiPriority w:val="0"/>
    <w:rPr>
      <w:rFonts w:ascii="Calibri" w:hAnsi="Calibri" w:eastAsia="黑体" w:cs="Times New Roman"/>
      <w:kern w:val="2"/>
      <w:sz w:val="21"/>
      <w:szCs w:val="21"/>
      <w:lang w:val="en-US" w:eastAsia="zh-CN" w:bidi="ar-SA"/>
    </w:rPr>
  </w:style>
  <w:style w:type="paragraph" w:customStyle="1" w:styleId="156">
    <w:name w:val="缺省文本"/>
    <w:basedOn w:val="1"/>
    <w:qFormat/>
    <w:uiPriority w:val="0"/>
    <w:rPr>
      <w:sz w:val="24"/>
      <w:szCs w:val="24"/>
    </w:rPr>
  </w:style>
  <w:style w:type="paragraph" w:customStyle="1" w:styleId="157">
    <w:name w:val="修订1"/>
    <w:hidden/>
    <w:semiHidden/>
    <w:qFormat/>
    <w:uiPriority w:val="99"/>
    <w:rPr>
      <w:rFonts w:ascii="宋体" w:hAnsi="Times New Roman" w:eastAsia="宋体" w:cs="Times New Roman"/>
      <w:sz w:val="34"/>
      <w:lang w:val="en-US" w:eastAsia="zh-CN" w:bidi="ar-SA"/>
    </w:rPr>
  </w:style>
  <w:style w:type="paragraph" w:customStyle="1" w:styleId="158">
    <w:name w:val="图表标题"/>
    <w:basedOn w:val="159"/>
    <w:qFormat/>
    <w:uiPriority w:val="0"/>
    <w:pPr>
      <w:jc w:val="center"/>
    </w:pPr>
    <w:rPr>
      <w:rFonts w:ascii="Calibri" w:hAnsi="Calibri"/>
      <w:b/>
      <w:sz w:val="24"/>
      <w:szCs w:val="21"/>
    </w:rPr>
  </w:style>
  <w:style w:type="paragraph" w:styleId="159">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8"/>
    <customShpInfo spid="_x0000_s3076"/>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84</Pages>
  <Words>48243</Words>
  <Characters>50856</Characters>
  <Lines>389</Lines>
  <Paragraphs>109</Paragraphs>
  <TotalTime>10</TotalTime>
  <ScaleCrop>false</ScaleCrop>
  <LinksUpToDate>false</LinksUpToDate>
  <CharactersWithSpaces>52245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2024-05-19T07:39:00Z</dcterms:created>
  <dc:creator>方琦</dc:creator>
  <cp:lastModifiedBy>Lee</cp:lastModifiedBy>
  <cp:lastPrinted>2024-05-21T04:43:22Z</cp:lastPrinted>
  <dcterms:modified xsi:type="dcterms:W3CDTF">2024-05-21T04:46:06Z</dcterms:modified>
  <dc: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F44A71345DD543B885A6D875709A151D_13</vt:lpwstr>
  </property>
</Properties>
</file>