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宋体" w:hAnsi="宋体" w:eastAsia="宋体" w:cs="宋体"/>
          <w:color w:val="auto"/>
          <w:highlight w:val="none"/>
        </w:rPr>
      </w:pPr>
      <w:r>
        <w:rPr>
          <w:rFonts w:hint="eastAsia" w:ascii="宋体" w:hAnsi="宋体" w:eastAsia="宋体" w:cs="宋体"/>
          <w:b/>
          <w:color w:val="auto"/>
          <w:sz w:val="52"/>
          <w:szCs w:val="52"/>
          <w:highlight w:val="none"/>
        </w:rPr>
        <w:tab/>
      </w:r>
      <w:r>
        <w:rPr>
          <w:rFonts w:hint="eastAsia" w:ascii="宋体" w:hAnsi="宋体" w:eastAsia="宋体" w:cs="宋体"/>
          <w:b/>
          <w:color w:val="auto"/>
          <w:sz w:val="52"/>
          <w:szCs w:val="52"/>
          <w:highlight w:val="none"/>
        </w:rPr>
        <w:tab/>
      </w:r>
      <w:r>
        <w:rPr>
          <w:rFonts w:hint="eastAsia" w:ascii="宋体" w:hAnsi="宋体" w:eastAsia="宋体" w:cs="宋体"/>
          <w:b/>
          <w:color w:val="auto"/>
          <w:sz w:val="52"/>
          <w:szCs w:val="52"/>
          <w:highlight w:val="none"/>
        </w:rPr>
        <w:tab/>
      </w:r>
    </w:p>
    <w:p>
      <w:pPr>
        <w:pStyle w:val="10"/>
        <w:snapToGrid w:val="0"/>
        <w:spacing w:line="360" w:lineRule="auto"/>
        <w:ind w:firstLine="0" w:firstLineChars="0"/>
        <w:jc w:val="center"/>
        <w:rPr>
          <w:rFonts w:hint="eastAsia" w:ascii="宋体" w:hAnsi="宋体" w:cs="宋体"/>
          <w:b/>
          <w:color w:val="auto"/>
          <w:sz w:val="48"/>
          <w:szCs w:val="48"/>
          <w:highlight w:val="none"/>
          <w:lang w:eastAsia="zh-CN"/>
        </w:rPr>
      </w:pPr>
      <w:r>
        <w:rPr>
          <w:rFonts w:hint="eastAsia" w:ascii="宋体" w:hAnsi="宋体" w:cs="宋体"/>
          <w:b/>
          <w:color w:val="auto"/>
          <w:sz w:val="48"/>
          <w:szCs w:val="48"/>
          <w:highlight w:val="none"/>
          <w:lang w:eastAsia="zh-CN"/>
        </w:rPr>
        <w:t>金华市婺城区住房和城乡建设局关于污水</w:t>
      </w:r>
    </w:p>
    <w:p>
      <w:pPr>
        <w:pStyle w:val="10"/>
        <w:snapToGrid w:val="0"/>
        <w:spacing w:line="360" w:lineRule="auto"/>
        <w:ind w:firstLine="0" w:firstLineChars="0"/>
        <w:jc w:val="center"/>
        <w:rPr>
          <w:rFonts w:hint="eastAsia" w:ascii="宋体" w:hAnsi="宋体" w:eastAsia="宋体" w:cs="宋体"/>
          <w:color w:val="auto"/>
          <w:highlight w:val="none"/>
          <w:lang w:eastAsia="zh-CN"/>
        </w:rPr>
      </w:pPr>
      <w:r>
        <w:rPr>
          <w:rFonts w:hint="eastAsia" w:ascii="宋体" w:hAnsi="宋体" w:cs="宋体"/>
          <w:b/>
          <w:color w:val="auto"/>
          <w:sz w:val="48"/>
          <w:szCs w:val="48"/>
          <w:highlight w:val="none"/>
          <w:lang w:eastAsia="zh-CN"/>
        </w:rPr>
        <w:t>处理厂污泥处置服务项目</w:t>
      </w:r>
    </w:p>
    <w:p>
      <w:pPr>
        <w:rPr>
          <w:rFonts w:hint="eastAsia" w:ascii="宋体" w:hAnsi="宋体" w:eastAsia="宋体" w:cs="宋体"/>
          <w:color w:val="auto"/>
          <w:highlight w:val="none"/>
        </w:rPr>
      </w:pPr>
    </w:p>
    <w:p>
      <w:pPr>
        <w:pStyle w:val="12"/>
        <w:ind w:left="0" w:right="-408"/>
        <w:rPr>
          <w:rFonts w:hint="eastAsia" w:ascii="宋体" w:hAnsi="宋体" w:eastAsia="宋体" w:cs="宋体"/>
          <w:color w:val="auto"/>
          <w:highlight w:val="none"/>
        </w:rPr>
      </w:pPr>
    </w:p>
    <w:p>
      <w:pPr>
        <w:pStyle w:val="12"/>
        <w:ind w:left="0" w:right="-408"/>
        <w:rPr>
          <w:rFonts w:hint="eastAsia" w:ascii="宋体" w:hAnsi="宋体" w:eastAsia="宋体" w:cs="宋体"/>
          <w:color w:val="auto"/>
          <w:highlight w:val="none"/>
        </w:rPr>
      </w:pPr>
    </w:p>
    <w:p>
      <w:pPr>
        <w:pStyle w:val="12"/>
        <w:ind w:left="0" w:right="-408"/>
        <w:rPr>
          <w:rFonts w:hint="eastAsia" w:ascii="宋体" w:hAnsi="宋体" w:eastAsia="宋体" w:cs="宋体"/>
          <w:color w:val="auto"/>
          <w:highlight w:val="none"/>
        </w:rPr>
      </w:pPr>
    </w:p>
    <w:p>
      <w:pPr>
        <w:spacing w:before="317" w:beforeLines="50"/>
        <w:jc w:val="center"/>
        <w:rPr>
          <w:rFonts w:hint="eastAsia" w:ascii="宋体" w:hAnsi="宋体" w:eastAsia="宋体" w:cs="宋体"/>
          <w:b/>
          <w:color w:val="auto"/>
          <w:sz w:val="52"/>
          <w:szCs w:val="52"/>
          <w:highlight w:val="none"/>
        </w:rPr>
      </w:pPr>
      <w:r>
        <w:rPr>
          <w:rFonts w:hint="eastAsia" w:ascii="宋体" w:hAnsi="宋体" w:eastAsia="宋体" w:cs="宋体"/>
          <w:b/>
          <w:color w:val="auto"/>
          <w:sz w:val="52"/>
          <w:szCs w:val="52"/>
          <w:highlight w:val="none"/>
        </w:rPr>
        <w:t>公开招标采购文件</w:t>
      </w:r>
    </w:p>
    <w:p>
      <w:pPr>
        <w:pStyle w:val="19"/>
        <w:ind w:left="680"/>
        <w:rPr>
          <w:rFonts w:hint="eastAsia" w:ascii="宋体" w:hAnsi="宋体" w:eastAsia="宋体" w:cs="宋体"/>
          <w:color w:val="auto"/>
          <w:sz w:val="30"/>
          <w:szCs w:val="72"/>
          <w:highlight w:val="none"/>
        </w:rPr>
      </w:pPr>
    </w:p>
    <w:p>
      <w:pPr>
        <w:pStyle w:val="12"/>
        <w:rPr>
          <w:rFonts w:hint="eastAsia"/>
          <w:color w:val="auto"/>
          <w:highlight w:val="none"/>
        </w:rPr>
      </w:pPr>
    </w:p>
    <w:p>
      <w:pPr>
        <w:pStyle w:val="12"/>
        <w:rPr>
          <w:rFonts w:hint="eastAsia"/>
          <w:color w:val="auto"/>
          <w:highlight w:val="none"/>
        </w:rPr>
      </w:pPr>
    </w:p>
    <w:p>
      <w:pPr>
        <w:snapToGrid w:val="0"/>
        <w:spacing w:line="480" w:lineRule="auto"/>
        <w:rPr>
          <w:rFonts w:hint="eastAsia" w:ascii="宋体" w:hAnsi="宋体" w:eastAsia="宋体" w:cs="宋体"/>
          <w:b/>
          <w:bCs/>
          <w:color w:val="auto"/>
          <w:w w:val="95"/>
          <w:sz w:val="30"/>
          <w:szCs w:val="30"/>
          <w:highlight w:val="none"/>
        </w:rPr>
      </w:pPr>
    </w:p>
    <w:p>
      <w:pPr>
        <w:snapToGrid w:val="0"/>
        <w:spacing w:line="480" w:lineRule="auto"/>
        <w:ind w:firstLine="572" w:firstLineChars="200"/>
        <w:rPr>
          <w:rFonts w:hint="eastAsia" w:ascii="宋体" w:hAnsi="宋体" w:eastAsia="宋体" w:cs="宋体"/>
          <w:b/>
          <w:bCs/>
          <w:color w:val="auto"/>
          <w:w w:val="95"/>
          <w:sz w:val="30"/>
          <w:szCs w:val="30"/>
          <w:highlight w:val="none"/>
          <w:lang w:eastAsia="zh-CN"/>
        </w:rPr>
      </w:pPr>
      <w:r>
        <w:rPr>
          <w:rFonts w:hint="eastAsia" w:ascii="宋体" w:hAnsi="宋体" w:eastAsia="宋体" w:cs="宋体"/>
          <w:b/>
          <w:bCs/>
          <w:color w:val="auto"/>
          <w:w w:val="95"/>
          <w:sz w:val="30"/>
          <w:szCs w:val="30"/>
          <w:highlight w:val="none"/>
        </w:rPr>
        <w:t>项目编号：</w:t>
      </w:r>
      <w:r>
        <w:rPr>
          <w:rFonts w:hint="eastAsia" w:hAnsi="宋体" w:cs="宋体"/>
          <w:b/>
          <w:bCs/>
          <w:color w:val="auto"/>
          <w:w w:val="95"/>
          <w:sz w:val="30"/>
          <w:szCs w:val="30"/>
          <w:highlight w:val="none"/>
          <w:lang w:eastAsia="zh-CN"/>
        </w:rPr>
        <w:t>TY2023-FW365-ZFCG365-1</w:t>
      </w:r>
    </w:p>
    <w:p>
      <w:pPr>
        <w:snapToGrid w:val="0"/>
        <w:spacing w:line="480" w:lineRule="auto"/>
        <w:ind w:firstLine="572" w:firstLineChars="200"/>
        <w:rPr>
          <w:rFonts w:hint="eastAsia" w:ascii="宋体" w:hAnsi="宋体" w:eastAsia="宋体" w:cs="宋体"/>
          <w:b/>
          <w:bCs/>
          <w:color w:val="auto"/>
          <w:w w:val="95"/>
          <w:sz w:val="30"/>
          <w:szCs w:val="30"/>
          <w:highlight w:val="none"/>
          <w:lang w:eastAsia="zh-CN"/>
        </w:rPr>
      </w:pPr>
      <w:r>
        <w:rPr>
          <w:rFonts w:hint="eastAsia" w:ascii="宋体" w:hAnsi="宋体" w:eastAsia="宋体" w:cs="宋体"/>
          <w:b/>
          <w:bCs/>
          <w:color w:val="auto"/>
          <w:w w:val="95"/>
          <w:sz w:val="30"/>
          <w:szCs w:val="30"/>
          <w:highlight w:val="none"/>
        </w:rPr>
        <w:t>采购单位：</w:t>
      </w:r>
      <w:r>
        <w:rPr>
          <w:rFonts w:hint="eastAsia" w:hAnsi="宋体" w:cs="宋体"/>
          <w:b/>
          <w:bCs/>
          <w:color w:val="auto"/>
          <w:w w:val="95"/>
          <w:sz w:val="30"/>
          <w:szCs w:val="30"/>
          <w:highlight w:val="none"/>
          <w:lang w:eastAsia="zh-CN"/>
        </w:rPr>
        <w:t>金华市婺城区住房和城乡建设局</w:t>
      </w:r>
    </w:p>
    <w:p>
      <w:pPr>
        <w:snapToGrid w:val="0"/>
        <w:spacing w:line="480" w:lineRule="auto"/>
        <w:ind w:firstLine="572" w:firstLineChars="200"/>
        <w:rPr>
          <w:rFonts w:hint="eastAsia" w:ascii="宋体" w:hAnsi="宋体" w:eastAsia="宋体" w:cs="宋体"/>
          <w:b/>
          <w:bCs/>
          <w:color w:val="auto"/>
          <w:w w:val="95"/>
          <w:sz w:val="30"/>
          <w:szCs w:val="30"/>
          <w:highlight w:val="none"/>
        </w:rPr>
      </w:pPr>
      <w:r>
        <w:rPr>
          <w:rFonts w:hint="eastAsia" w:ascii="宋体" w:hAnsi="宋体" w:eastAsia="宋体" w:cs="宋体"/>
          <w:b/>
          <w:bCs/>
          <w:color w:val="auto"/>
          <w:w w:val="95"/>
          <w:sz w:val="30"/>
          <w:szCs w:val="30"/>
          <w:highlight w:val="none"/>
        </w:rPr>
        <w:t>代理机构：金华市天盈招标代理有限公司</w:t>
      </w:r>
    </w:p>
    <w:p>
      <w:pPr>
        <w:snapToGrid w:val="0"/>
        <w:spacing w:line="480" w:lineRule="auto"/>
        <w:ind w:firstLine="572" w:firstLineChars="200"/>
        <w:rPr>
          <w:rFonts w:hint="eastAsia" w:ascii="宋体" w:hAnsi="宋体" w:eastAsia="宋体" w:cs="宋体"/>
          <w:b/>
          <w:bCs/>
          <w:color w:val="auto"/>
          <w:w w:val="95"/>
          <w:sz w:val="30"/>
          <w:szCs w:val="30"/>
          <w:highlight w:val="none"/>
          <w:lang w:eastAsia="zh-CN"/>
        </w:rPr>
      </w:pPr>
      <w:r>
        <w:rPr>
          <w:rFonts w:hint="eastAsia" w:ascii="宋体" w:hAnsi="宋体" w:eastAsia="宋体" w:cs="宋体"/>
          <w:b/>
          <w:bCs/>
          <w:color w:val="auto"/>
          <w:w w:val="95"/>
          <w:sz w:val="30"/>
          <w:szCs w:val="30"/>
          <w:highlight w:val="none"/>
        </w:rPr>
        <w:t>监管单位：</w:t>
      </w:r>
      <w:r>
        <w:rPr>
          <w:rFonts w:hint="eastAsia" w:hAnsi="宋体" w:cs="宋体"/>
          <w:b/>
          <w:bCs/>
          <w:color w:val="auto"/>
          <w:w w:val="95"/>
          <w:sz w:val="30"/>
          <w:szCs w:val="30"/>
          <w:highlight w:val="none"/>
          <w:lang w:eastAsia="zh-CN"/>
        </w:rPr>
        <w:t>金华市婺城区财政局政府采购监督管理办公室</w:t>
      </w:r>
    </w:p>
    <w:p>
      <w:pPr>
        <w:snapToGrid w:val="0"/>
        <w:spacing w:line="480" w:lineRule="auto"/>
        <w:jc w:val="center"/>
        <w:rPr>
          <w:rFonts w:hint="eastAsia" w:ascii="宋体" w:hAnsi="宋体" w:eastAsia="宋体" w:cs="宋体"/>
          <w:color w:val="auto"/>
          <w:highlight w:val="none"/>
        </w:rPr>
      </w:pPr>
      <w:r>
        <w:rPr>
          <w:rFonts w:hint="eastAsia" w:ascii="宋体" w:hAnsi="宋体" w:eastAsia="宋体" w:cs="宋体"/>
          <w:b/>
          <w:bCs/>
          <w:color w:val="auto"/>
          <w:w w:val="95"/>
          <w:sz w:val="30"/>
          <w:szCs w:val="30"/>
          <w:highlight w:val="none"/>
        </w:rPr>
        <w:t xml:space="preserve">2 0 2 </w:t>
      </w:r>
      <w:r>
        <w:rPr>
          <w:rFonts w:hint="eastAsia" w:hAnsi="宋体" w:cs="宋体"/>
          <w:b/>
          <w:bCs/>
          <w:color w:val="auto"/>
          <w:w w:val="95"/>
          <w:sz w:val="30"/>
          <w:szCs w:val="30"/>
          <w:highlight w:val="none"/>
          <w:lang w:val="en-US" w:eastAsia="zh-CN"/>
        </w:rPr>
        <w:t>4</w:t>
      </w:r>
      <w:r>
        <w:rPr>
          <w:rFonts w:hint="eastAsia" w:ascii="宋体" w:hAnsi="宋体" w:eastAsia="宋体" w:cs="宋体"/>
          <w:b/>
          <w:bCs/>
          <w:color w:val="auto"/>
          <w:w w:val="95"/>
          <w:sz w:val="30"/>
          <w:szCs w:val="30"/>
          <w:highlight w:val="none"/>
        </w:rPr>
        <w:t xml:space="preserve"> 年 </w:t>
      </w:r>
      <w:r>
        <w:rPr>
          <w:rFonts w:hint="eastAsia" w:hAnsi="宋体" w:cs="宋体"/>
          <w:b/>
          <w:bCs/>
          <w:color w:val="auto"/>
          <w:w w:val="95"/>
          <w:sz w:val="30"/>
          <w:szCs w:val="30"/>
          <w:highlight w:val="none"/>
          <w:lang w:val="en-US" w:eastAsia="zh-CN"/>
        </w:rPr>
        <w:t>01</w:t>
      </w:r>
      <w:r>
        <w:rPr>
          <w:rFonts w:hint="eastAsia" w:ascii="宋体" w:hAnsi="宋体" w:eastAsia="宋体" w:cs="宋体"/>
          <w:b/>
          <w:bCs/>
          <w:color w:val="auto"/>
          <w:w w:val="95"/>
          <w:sz w:val="30"/>
          <w:szCs w:val="30"/>
          <w:highlight w:val="none"/>
        </w:rPr>
        <w:t xml:space="preserve"> 月  </w:t>
      </w:r>
    </w:p>
    <w:p>
      <w:pPr>
        <w:pStyle w:val="9"/>
        <w:rPr>
          <w:rFonts w:hint="eastAsia" w:ascii="宋体" w:hAnsi="宋体" w:eastAsia="宋体" w:cs="宋体"/>
          <w:color w:val="auto"/>
          <w:highlight w:val="none"/>
        </w:rPr>
        <w:sectPr>
          <w:headerReference r:id="rId5" w:type="first"/>
          <w:headerReference r:id="rId3" w:type="default"/>
          <w:footerReference r:id="rId6" w:type="default"/>
          <w:headerReference r:id="rId4" w:type="even"/>
          <w:footerReference r:id="rId7" w:type="even"/>
          <w:pgSz w:w="11906" w:h="16838"/>
          <w:pgMar w:top="1440" w:right="1304" w:bottom="1440" w:left="1304" w:header="567" w:footer="567" w:gutter="0"/>
          <w:pgNumType w:start="0"/>
          <w:cols w:space="720" w:num="1"/>
          <w:titlePg/>
          <w:docGrid w:type="lines" w:linePitch="634" w:charSpace="0"/>
        </w:sectPr>
      </w:pPr>
    </w:p>
    <w:p>
      <w:pPr>
        <w:jc w:val="center"/>
        <w:rPr>
          <w:rFonts w:hint="eastAsia" w:ascii="宋体" w:hAnsi="宋体" w:eastAsia="宋体" w:cs="宋体"/>
          <w:b/>
          <w:bCs/>
          <w:color w:val="auto"/>
          <w:sz w:val="36"/>
          <w:szCs w:val="36"/>
          <w:highlight w:val="none"/>
        </w:rPr>
      </w:pPr>
      <w:r>
        <w:rPr>
          <w:rFonts w:hint="eastAsia" w:ascii="宋体" w:hAnsi="宋体" w:eastAsia="宋体" w:cs="宋体"/>
          <w:b/>
          <w:bCs/>
          <w:color w:val="auto"/>
          <w:highlight w:val="none"/>
        </w:rPr>
        <w:t>目        录</w:t>
      </w:r>
      <w:bookmarkStart w:id="0" w:name="_Toc237182500"/>
    </w:p>
    <w:p>
      <w:pPr>
        <w:pStyle w:val="16"/>
        <w:tabs>
          <w:tab w:val="right" w:leader="dot" w:pos="9298"/>
        </w:tabs>
        <w:snapToGrid w:val="0"/>
        <w:spacing w:before="0" w:after="0" w:line="480" w:lineRule="auto"/>
        <w:rPr>
          <w:rFonts w:hint="eastAsia" w:ascii="宋体" w:hAnsi="宋体" w:eastAsia="宋体" w:cs="宋体"/>
          <w:color w:val="auto"/>
          <w:sz w:val="24"/>
          <w:szCs w:val="24"/>
          <w:highlight w:val="none"/>
        </w:rPr>
      </w:pPr>
      <w:r>
        <w:rPr>
          <w:rFonts w:hint="eastAsia" w:ascii="宋体" w:hAnsi="宋体" w:eastAsia="宋体" w:cs="宋体"/>
          <w:b w:val="0"/>
          <w:bCs w:val="0"/>
          <w:color w:val="auto"/>
          <w:sz w:val="24"/>
          <w:szCs w:val="24"/>
          <w:highlight w:val="none"/>
        </w:rPr>
        <w:fldChar w:fldCharType="begin"/>
      </w:r>
      <w:r>
        <w:rPr>
          <w:rFonts w:hint="eastAsia" w:ascii="宋体" w:hAnsi="宋体" w:eastAsia="宋体" w:cs="宋体"/>
          <w:b w:val="0"/>
          <w:bCs w:val="0"/>
          <w:color w:val="auto"/>
          <w:sz w:val="24"/>
          <w:szCs w:val="24"/>
          <w:highlight w:val="none"/>
        </w:rPr>
        <w:instrText xml:space="preserve"> TOC \o "1-3" \h \z \u </w:instrText>
      </w:r>
      <w:r>
        <w:rPr>
          <w:rFonts w:hint="eastAsia" w:ascii="宋体" w:hAnsi="宋体" w:eastAsia="宋体" w:cs="宋体"/>
          <w:b w:val="0"/>
          <w:bCs w:val="0"/>
          <w:color w:val="auto"/>
          <w:sz w:val="24"/>
          <w:szCs w:val="24"/>
          <w:highlight w:val="none"/>
        </w:rPr>
        <w:fldChar w:fldCharType="separate"/>
      </w:r>
      <w:r>
        <w:rPr>
          <w:rFonts w:hint="eastAsia" w:ascii="宋体" w:hAnsi="宋体" w:eastAsia="宋体" w:cs="宋体"/>
          <w:bCs w:val="0"/>
          <w:color w:val="auto"/>
          <w:sz w:val="24"/>
          <w:szCs w:val="24"/>
          <w:highlight w:val="none"/>
        </w:rPr>
        <w:fldChar w:fldCharType="begin"/>
      </w:r>
      <w:r>
        <w:rPr>
          <w:rFonts w:hint="eastAsia" w:ascii="宋体" w:hAnsi="宋体" w:eastAsia="宋体" w:cs="宋体"/>
          <w:bCs w:val="0"/>
          <w:color w:val="auto"/>
          <w:sz w:val="24"/>
          <w:szCs w:val="24"/>
          <w:highlight w:val="none"/>
        </w:rPr>
        <w:instrText xml:space="preserve"> HYPERLINK \l _Toc29494 </w:instrText>
      </w:r>
      <w:r>
        <w:rPr>
          <w:rFonts w:hint="eastAsia" w:ascii="宋体" w:hAnsi="宋体" w:eastAsia="宋体" w:cs="宋体"/>
          <w:bCs w:val="0"/>
          <w:color w:val="auto"/>
          <w:sz w:val="24"/>
          <w:szCs w:val="24"/>
          <w:highlight w:val="none"/>
        </w:rPr>
        <w:fldChar w:fldCharType="separate"/>
      </w:r>
      <w:r>
        <w:rPr>
          <w:rFonts w:hint="eastAsia" w:ascii="宋体" w:hAnsi="宋体" w:eastAsia="宋体" w:cs="宋体"/>
          <w:color w:val="auto"/>
          <w:sz w:val="24"/>
          <w:szCs w:val="24"/>
          <w:highlight w:val="none"/>
        </w:rPr>
        <w:t>第一章  公开招标采购公告</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_Toc29494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rPr>
        <w:fldChar w:fldCharType="end"/>
      </w:r>
      <w:r>
        <w:rPr>
          <w:rFonts w:hint="eastAsia" w:ascii="宋体" w:hAnsi="宋体" w:eastAsia="宋体" w:cs="宋体"/>
          <w:bCs w:val="0"/>
          <w:color w:val="auto"/>
          <w:sz w:val="24"/>
          <w:szCs w:val="24"/>
          <w:highlight w:val="none"/>
        </w:rPr>
        <w:fldChar w:fldCharType="end"/>
      </w:r>
    </w:p>
    <w:p>
      <w:pPr>
        <w:pStyle w:val="16"/>
        <w:tabs>
          <w:tab w:val="right" w:leader="dot" w:pos="9298"/>
        </w:tabs>
        <w:snapToGrid w:val="0"/>
        <w:spacing w:before="0" w:after="0" w:line="480" w:lineRule="auto"/>
        <w:rPr>
          <w:rFonts w:hint="eastAsia" w:ascii="宋体" w:hAnsi="宋体" w:eastAsia="宋体" w:cs="宋体"/>
          <w:color w:val="auto"/>
          <w:sz w:val="24"/>
          <w:szCs w:val="24"/>
          <w:highlight w:val="none"/>
        </w:rPr>
      </w:pPr>
      <w:r>
        <w:rPr>
          <w:rFonts w:hint="eastAsia" w:ascii="宋体" w:hAnsi="宋体" w:eastAsia="宋体" w:cs="宋体"/>
          <w:bCs w:val="0"/>
          <w:color w:val="auto"/>
          <w:sz w:val="24"/>
          <w:szCs w:val="24"/>
          <w:highlight w:val="none"/>
        </w:rPr>
        <w:fldChar w:fldCharType="begin"/>
      </w:r>
      <w:r>
        <w:rPr>
          <w:rFonts w:hint="eastAsia" w:ascii="宋体" w:hAnsi="宋体" w:eastAsia="宋体" w:cs="宋体"/>
          <w:bCs w:val="0"/>
          <w:color w:val="auto"/>
          <w:sz w:val="24"/>
          <w:szCs w:val="24"/>
          <w:highlight w:val="none"/>
        </w:rPr>
        <w:instrText xml:space="preserve"> HYPERLINK \l _Toc29315 </w:instrText>
      </w:r>
      <w:r>
        <w:rPr>
          <w:rFonts w:hint="eastAsia" w:ascii="宋体" w:hAnsi="宋体" w:eastAsia="宋体" w:cs="宋体"/>
          <w:bCs w:val="0"/>
          <w:color w:val="auto"/>
          <w:sz w:val="24"/>
          <w:szCs w:val="24"/>
          <w:highlight w:val="none"/>
        </w:rPr>
        <w:fldChar w:fldCharType="separate"/>
      </w:r>
      <w:r>
        <w:rPr>
          <w:rFonts w:hint="eastAsia" w:ascii="宋体" w:hAnsi="宋体" w:eastAsia="宋体" w:cs="宋体"/>
          <w:color w:val="auto"/>
          <w:sz w:val="24"/>
          <w:szCs w:val="24"/>
          <w:highlight w:val="none"/>
        </w:rPr>
        <w:t>第二章  招标需求</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_Toc29315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7</w:t>
      </w:r>
      <w:r>
        <w:rPr>
          <w:rFonts w:hint="eastAsia" w:ascii="宋体" w:hAnsi="宋体" w:eastAsia="宋体" w:cs="宋体"/>
          <w:color w:val="auto"/>
          <w:sz w:val="24"/>
          <w:szCs w:val="24"/>
          <w:highlight w:val="none"/>
        </w:rPr>
        <w:fldChar w:fldCharType="end"/>
      </w:r>
      <w:r>
        <w:rPr>
          <w:rFonts w:hint="eastAsia" w:ascii="宋体" w:hAnsi="宋体" w:eastAsia="宋体" w:cs="宋体"/>
          <w:bCs w:val="0"/>
          <w:color w:val="auto"/>
          <w:sz w:val="24"/>
          <w:szCs w:val="24"/>
          <w:highlight w:val="none"/>
        </w:rPr>
        <w:fldChar w:fldCharType="end"/>
      </w:r>
    </w:p>
    <w:p>
      <w:pPr>
        <w:pStyle w:val="16"/>
        <w:tabs>
          <w:tab w:val="right" w:leader="dot" w:pos="9298"/>
        </w:tabs>
        <w:snapToGrid w:val="0"/>
        <w:spacing w:before="0" w:after="0" w:line="480" w:lineRule="auto"/>
        <w:rPr>
          <w:rFonts w:hint="eastAsia" w:ascii="宋体" w:hAnsi="宋体" w:eastAsia="宋体" w:cs="宋体"/>
          <w:color w:val="auto"/>
          <w:sz w:val="24"/>
          <w:szCs w:val="24"/>
          <w:highlight w:val="none"/>
        </w:rPr>
      </w:pPr>
      <w:r>
        <w:rPr>
          <w:rFonts w:hint="eastAsia" w:ascii="宋体" w:hAnsi="宋体" w:eastAsia="宋体" w:cs="宋体"/>
          <w:bCs w:val="0"/>
          <w:color w:val="auto"/>
          <w:sz w:val="24"/>
          <w:szCs w:val="24"/>
          <w:highlight w:val="none"/>
        </w:rPr>
        <w:fldChar w:fldCharType="begin"/>
      </w:r>
      <w:r>
        <w:rPr>
          <w:rFonts w:hint="eastAsia" w:ascii="宋体" w:hAnsi="宋体" w:eastAsia="宋体" w:cs="宋体"/>
          <w:bCs w:val="0"/>
          <w:color w:val="auto"/>
          <w:sz w:val="24"/>
          <w:szCs w:val="24"/>
          <w:highlight w:val="none"/>
        </w:rPr>
        <w:instrText xml:space="preserve"> HYPERLINK \l _Toc1310 </w:instrText>
      </w:r>
      <w:r>
        <w:rPr>
          <w:rFonts w:hint="eastAsia" w:ascii="宋体" w:hAnsi="宋体" w:eastAsia="宋体" w:cs="宋体"/>
          <w:bCs w:val="0"/>
          <w:color w:val="auto"/>
          <w:sz w:val="24"/>
          <w:szCs w:val="24"/>
          <w:highlight w:val="none"/>
        </w:rPr>
        <w:fldChar w:fldCharType="separate"/>
      </w:r>
      <w:r>
        <w:rPr>
          <w:rFonts w:hint="eastAsia" w:ascii="宋体" w:hAnsi="宋体" w:eastAsia="宋体" w:cs="宋体"/>
          <w:color w:val="auto"/>
          <w:sz w:val="24"/>
          <w:szCs w:val="24"/>
          <w:highlight w:val="none"/>
        </w:rPr>
        <w:t>第三章  投标人须知</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_Toc1310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11</w:t>
      </w:r>
      <w:r>
        <w:rPr>
          <w:rFonts w:hint="eastAsia" w:ascii="宋体" w:hAnsi="宋体" w:eastAsia="宋体" w:cs="宋体"/>
          <w:color w:val="auto"/>
          <w:sz w:val="24"/>
          <w:szCs w:val="24"/>
          <w:highlight w:val="none"/>
        </w:rPr>
        <w:fldChar w:fldCharType="end"/>
      </w:r>
      <w:r>
        <w:rPr>
          <w:rFonts w:hint="eastAsia" w:ascii="宋体" w:hAnsi="宋体" w:eastAsia="宋体" w:cs="宋体"/>
          <w:bCs w:val="0"/>
          <w:color w:val="auto"/>
          <w:sz w:val="24"/>
          <w:szCs w:val="24"/>
          <w:highlight w:val="none"/>
        </w:rPr>
        <w:fldChar w:fldCharType="end"/>
      </w:r>
    </w:p>
    <w:p>
      <w:pPr>
        <w:pStyle w:val="16"/>
        <w:tabs>
          <w:tab w:val="right" w:leader="dot" w:pos="9298"/>
        </w:tabs>
        <w:snapToGrid w:val="0"/>
        <w:spacing w:before="0" w:after="0" w:line="480" w:lineRule="auto"/>
        <w:rPr>
          <w:rFonts w:hint="eastAsia" w:ascii="宋体" w:hAnsi="宋体" w:eastAsia="宋体" w:cs="宋体"/>
          <w:color w:val="auto"/>
          <w:sz w:val="24"/>
          <w:szCs w:val="24"/>
          <w:highlight w:val="none"/>
        </w:rPr>
      </w:pPr>
      <w:r>
        <w:rPr>
          <w:rFonts w:hint="eastAsia" w:ascii="宋体" w:hAnsi="宋体" w:eastAsia="宋体" w:cs="宋体"/>
          <w:bCs w:val="0"/>
          <w:color w:val="auto"/>
          <w:sz w:val="24"/>
          <w:szCs w:val="24"/>
          <w:highlight w:val="none"/>
        </w:rPr>
        <w:fldChar w:fldCharType="begin"/>
      </w:r>
      <w:r>
        <w:rPr>
          <w:rFonts w:hint="eastAsia" w:ascii="宋体" w:hAnsi="宋体" w:eastAsia="宋体" w:cs="宋体"/>
          <w:bCs w:val="0"/>
          <w:color w:val="auto"/>
          <w:sz w:val="24"/>
          <w:szCs w:val="24"/>
          <w:highlight w:val="none"/>
        </w:rPr>
        <w:instrText xml:space="preserve"> HYPERLINK \l _Toc15806 </w:instrText>
      </w:r>
      <w:r>
        <w:rPr>
          <w:rFonts w:hint="eastAsia" w:ascii="宋体" w:hAnsi="宋体" w:eastAsia="宋体" w:cs="宋体"/>
          <w:bCs w:val="0"/>
          <w:color w:val="auto"/>
          <w:sz w:val="24"/>
          <w:szCs w:val="24"/>
          <w:highlight w:val="none"/>
        </w:rPr>
        <w:fldChar w:fldCharType="separate"/>
      </w:r>
      <w:r>
        <w:rPr>
          <w:rFonts w:hint="eastAsia" w:ascii="宋体" w:hAnsi="宋体" w:eastAsia="宋体" w:cs="宋体"/>
          <w:color w:val="auto"/>
          <w:sz w:val="24"/>
          <w:szCs w:val="24"/>
          <w:highlight w:val="none"/>
        </w:rPr>
        <w:t>前附表</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_Toc15806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11</w:t>
      </w:r>
      <w:r>
        <w:rPr>
          <w:rFonts w:hint="eastAsia" w:ascii="宋体" w:hAnsi="宋体" w:eastAsia="宋体" w:cs="宋体"/>
          <w:color w:val="auto"/>
          <w:sz w:val="24"/>
          <w:szCs w:val="24"/>
          <w:highlight w:val="none"/>
        </w:rPr>
        <w:fldChar w:fldCharType="end"/>
      </w:r>
      <w:r>
        <w:rPr>
          <w:rFonts w:hint="eastAsia" w:ascii="宋体" w:hAnsi="宋体" w:eastAsia="宋体" w:cs="宋体"/>
          <w:bCs w:val="0"/>
          <w:color w:val="auto"/>
          <w:sz w:val="24"/>
          <w:szCs w:val="24"/>
          <w:highlight w:val="none"/>
        </w:rPr>
        <w:fldChar w:fldCharType="end"/>
      </w:r>
    </w:p>
    <w:p>
      <w:pPr>
        <w:pStyle w:val="16"/>
        <w:tabs>
          <w:tab w:val="right" w:leader="dot" w:pos="9298"/>
        </w:tabs>
        <w:snapToGrid w:val="0"/>
        <w:spacing w:before="0" w:after="0" w:line="480" w:lineRule="auto"/>
        <w:rPr>
          <w:rFonts w:hint="eastAsia" w:ascii="宋体" w:hAnsi="宋体" w:eastAsia="宋体" w:cs="宋体"/>
          <w:color w:val="auto"/>
          <w:sz w:val="24"/>
          <w:szCs w:val="24"/>
          <w:highlight w:val="none"/>
        </w:rPr>
      </w:pPr>
      <w:r>
        <w:rPr>
          <w:rFonts w:hint="eastAsia" w:ascii="宋体" w:hAnsi="宋体" w:eastAsia="宋体" w:cs="宋体"/>
          <w:bCs w:val="0"/>
          <w:color w:val="auto"/>
          <w:sz w:val="24"/>
          <w:szCs w:val="24"/>
          <w:highlight w:val="none"/>
        </w:rPr>
        <w:fldChar w:fldCharType="begin"/>
      </w:r>
      <w:r>
        <w:rPr>
          <w:rFonts w:hint="eastAsia" w:ascii="宋体" w:hAnsi="宋体" w:eastAsia="宋体" w:cs="宋体"/>
          <w:bCs w:val="0"/>
          <w:color w:val="auto"/>
          <w:sz w:val="24"/>
          <w:szCs w:val="24"/>
          <w:highlight w:val="none"/>
        </w:rPr>
        <w:instrText xml:space="preserve"> HYPERLINK \l _Toc29832 </w:instrText>
      </w:r>
      <w:r>
        <w:rPr>
          <w:rFonts w:hint="eastAsia" w:ascii="宋体" w:hAnsi="宋体" w:eastAsia="宋体" w:cs="宋体"/>
          <w:bCs w:val="0"/>
          <w:color w:val="auto"/>
          <w:sz w:val="24"/>
          <w:szCs w:val="24"/>
          <w:highlight w:val="none"/>
        </w:rPr>
        <w:fldChar w:fldCharType="separate"/>
      </w:r>
      <w:r>
        <w:rPr>
          <w:rFonts w:hint="eastAsia" w:ascii="宋体" w:hAnsi="宋体" w:eastAsia="宋体" w:cs="宋体"/>
          <w:color w:val="auto"/>
          <w:sz w:val="24"/>
          <w:szCs w:val="24"/>
          <w:highlight w:val="none"/>
        </w:rPr>
        <w:t>第四章 评标办法及评分标准</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_Toc29832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29</w:t>
      </w:r>
      <w:r>
        <w:rPr>
          <w:rFonts w:hint="eastAsia" w:ascii="宋体" w:hAnsi="宋体" w:eastAsia="宋体" w:cs="宋体"/>
          <w:color w:val="auto"/>
          <w:sz w:val="24"/>
          <w:szCs w:val="24"/>
          <w:highlight w:val="none"/>
        </w:rPr>
        <w:fldChar w:fldCharType="end"/>
      </w:r>
      <w:r>
        <w:rPr>
          <w:rFonts w:hint="eastAsia" w:ascii="宋体" w:hAnsi="宋体" w:eastAsia="宋体" w:cs="宋体"/>
          <w:bCs w:val="0"/>
          <w:color w:val="auto"/>
          <w:sz w:val="24"/>
          <w:szCs w:val="24"/>
          <w:highlight w:val="none"/>
        </w:rPr>
        <w:fldChar w:fldCharType="end"/>
      </w:r>
    </w:p>
    <w:p>
      <w:pPr>
        <w:pStyle w:val="16"/>
        <w:tabs>
          <w:tab w:val="right" w:leader="dot" w:pos="9298"/>
        </w:tabs>
        <w:snapToGrid w:val="0"/>
        <w:spacing w:before="0" w:after="0" w:line="480" w:lineRule="auto"/>
        <w:rPr>
          <w:rFonts w:hint="eastAsia" w:ascii="宋体" w:hAnsi="宋体" w:eastAsia="宋体" w:cs="宋体"/>
          <w:color w:val="auto"/>
          <w:sz w:val="24"/>
          <w:szCs w:val="24"/>
          <w:highlight w:val="none"/>
        </w:rPr>
      </w:pPr>
      <w:r>
        <w:rPr>
          <w:rFonts w:hint="eastAsia" w:ascii="宋体" w:hAnsi="宋体" w:eastAsia="宋体" w:cs="宋体"/>
          <w:bCs w:val="0"/>
          <w:color w:val="auto"/>
          <w:sz w:val="24"/>
          <w:szCs w:val="24"/>
          <w:highlight w:val="none"/>
        </w:rPr>
        <w:fldChar w:fldCharType="begin"/>
      </w:r>
      <w:r>
        <w:rPr>
          <w:rFonts w:hint="eastAsia" w:ascii="宋体" w:hAnsi="宋体" w:eastAsia="宋体" w:cs="宋体"/>
          <w:bCs w:val="0"/>
          <w:color w:val="auto"/>
          <w:sz w:val="24"/>
          <w:szCs w:val="24"/>
          <w:highlight w:val="none"/>
        </w:rPr>
        <w:instrText xml:space="preserve"> HYPERLINK \l _Toc9744 </w:instrText>
      </w:r>
      <w:r>
        <w:rPr>
          <w:rFonts w:hint="eastAsia" w:ascii="宋体" w:hAnsi="宋体" w:eastAsia="宋体" w:cs="宋体"/>
          <w:bCs w:val="0"/>
          <w:color w:val="auto"/>
          <w:sz w:val="24"/>
          <w:szCs w:val="24"/>
          <w:highlight w:val="none"/>
        </w:rPr>
        <w:fldChar w:fldCharType="separate"/>
      </w:r>
      <w:r>
        <w:rPr>
          <w:rFonts w:hint="eastAsia" w:ascii="宋体" w:hAnsi="宋体" w:eastAsia="宋体" w:cs="宋体"/>
          <w:color w:val="auto"/>
          <w:sz w:val="24"/>
          <w:szCs w:val="24"/>
          <w:highlight w:val="none"/>
        </w:rPr>
        <w:t>第五章  合同文本</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_Toc9744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37</w:t>
      </w:r>
      <w:r>
        <w:rPr>
          <w:rFonts w:hint="eastAsia" w:ascii="宋体" w:hAnsi="宋体" w:eastAsia="宋体" w:cs="宋体"/>
          <w:color w:val="auto"/>
          <w:sz w:val="24"/>
          <w:szCs w:val="24"/>
          <w:highlight w:val="none"/>
        </w:rPr>
        <w:fldChar w:fldCharType="end"/>
      </w:r>
      <w:r>
        <w:rPr>
          <w:rFonts w:hint="eastAsia" w:ascii="宋体" w:hAnsi="宋体" w:eastAsia="宋体" w:cs="宋体"/>
          <w:bCs w:val="0"/>
          <w:color w:val="auto"/>
          <w:sz w:val="24"/>
          <w:szCs w:val="24"/>
          <w:highlight w:val="none"/>
        </w:rPr>
        <w:fldChar w:fldCharType="end"/>
      </w:r>
    </w:p>
    <w:p>
      <w:pPr>
        <w:pStyle w:val="16"/>
        <w:tabs>
          <w:tab w:val="right" w:leader="dot" w:pos="9298"/>
        </w:tabs>
        <w:snapToGrid w:val="0"/>
        <w:spacing w:before="0" w:after="0" w:line="480" w:lineRule="auto"/>
        <w:rPr>
          <w:rFonts w:hint="eastAsia" w:ascii="宋体" w:hAnsi="宋体" w:eastAsia="宋体" w:cs="宋体"/>
          <w:color w:val="auto"/>
          <w:sz w:val="24"/>
          <w:szCs w:val="24"/>
          <w:highlight w:val="none"/>
        </w:rPr>
      </w:pPr>
      <w:r>
        <w:rPr>
          <w:rFonts w:hint="eastAsia" w:ascii="宋体" w:hAnsi="宋体" w:eastAsia="宋体" w:cs="宋体"/>
          <w:bCs w:val="0"/>
          <w:color w:val="auto"/>
          <w:sz w:val="24"/>
          <w:szCs w:val="24"/>
          <w:highlight w:val="none"/>
        </w:rPr>
        <w:fldChar w:fldCharType="begin"/>
      </w:r>
      <w:r>
        <w:rPr>
          <w:rFonts w:hint="eastAsia" w:ascii="宋体" w:hAnsi="宋体" w:eastAsia="宋体" w:cs="宋体"/>
          <w:bCs w:val="0"/>
          <w:color w:val="auto"/>
          <w:sz w:val="24"/>
          <w:szCs w:val="24"/>
          <w:highlight w:val="none"/>
        </w:rPr>
        <w:instrText xml:space="preserve"> HYPERLINK \l _Toc2707 </w:instrText>
      </w:r>
      <w:r>
        <w:rPr>
          <w:rFonts w:hint="eastAsia" w:ascii="宋体" w:hAnsi="宋体" w:eastAsia="宋体" w:cs="宋体"/>
          <w:bCs w:val="0"/>
          <w:color w:val="auto"/>
          <w:sz w:val="24"/>
          <w:szCs w:val="24"/>
          <w:highlight w:val="none"/>
        </w:rPr>
        <w:fldChar w:fldCharType="separate"/>
      </w:r>
      <w:r>
        <w:rPr>
          <w:rFonts w:hint="eastAsia" w:ascii="宋体" w:hAnsi="宋体" w:eastAsia="宋体" w:cs="宋体"/>
          <w:color w:val="auto"/>
          <w:sz w:val="24"/>
          <w:szCs w:val="24"/>
          <w:highlight w:val="none"/>
        </w:rPr>
        <w:t>第六章　投标文件格式</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_Toc2707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42</w:t>
      </w:r>
      <w:r>
        <w:rPr>
          <w:rFonts w:hint="eastAsia" w:ascii="宋体" w:hAnsi="宋体" w:eastAsia="宋体" w:cs="宋体"/>
          <w:color w:val="auto"/>
          <w:sz w:val="24"/>
          <w:szCs w:val="24"/>
          <w:highlight w:val="none"/>
        </w:rPr>
        <w:fldChar w:fldCharType="end"/>
      </w:r>
      <w:r>
        <w:rPr>
          <w:rFonts w:hint="eastAsia" w:ascii="宋体" w:hAnsi="宋体" w:eastAsia="宋体" w:cs="宋体"/>
          <w:bCs w:val="0"/>
          <w:color w:val="auto"/>
          <w:sz w:val="24"/>
          <w:szCs w:val="24"/>
          <w:highlight w:val="none"/>
        </w:rPr>
        <w:fldChar w:fldCharType="end"/>
      </w:r>
    </w:p>
    <w:p>
      <w:pPr>
        <w:snapToGrid w:val="0"/>
        <w:spacing w:line="480" w:lineRule="auto"/>
        <w:ind w:firstLine="240" w:firstLineChars="100"/>
        <w:jc w:val="both"/>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fldChar w:fldCharType="end"/>
      </w:r>
    </w:p>
    <w:p>
      <w:pPr>
        <w:pStyle w:val="2"/>
        <w:rPr>
          <w:rFonts w:hint="eastAsia"/>
          <w:color w:val="auto"/>
          <w:highlight w:val="none"/>
        </w:rPr>
      </w:pPr>
    </w:p>
    <w:p>
      <w:pPr>
        <w:pStyle w:val="13"/>
        <w:pBdr>
          <w:top w:val="single" w:color="auto" w:sz="4" w:space="1"/>
          <w:left w:val="single" w:color="auto" w:sz="4" w:space="4"/>
          <w:bottom w:val="single" w:color="auto" w:sz="4" w:space="1"/>
          <w:right w:val="single" w:color="auto" w:sz="4" w:space="4"/>
        </w:pBdr>
        <w:snapToGrid w:val="0"/>
        <w:spacing w:line="460" w:lineRule="exact"/>
        <w:ind w:firstLine="422" w:firstLineChars="200"/>
        <w:outlineLvl w:val="9"/>
        <w:rPr>
          <w:rFonts w:hint="eastAsia" w:ascii="宋体" w:hAnsi="宋体" w:eastAsia="宋体" w:cs="宋体"/>
          <w:b/>
          <w:color w:val="auto"/>
          <w:sz w:val="21"/>
          <w:highlight w:val="none"/>
        </w:rPr>
      </w:pPr>
      <w:bookmarkStart w:id="1" w:name="_Toc24810"/>
      <w:r>
        <w:rPr>
          <w:rFonts w:hint="eastAsia" w:ascii="宋体" w:hAnsi="宋体" w:eastAsia="宋体" w:cs="宋体"/>
          <w:b/>
          <w:color w:val="auto"/>
          <w:sz w:val="21"/>
          <w:highlight w:val="none"/>
        </w:rPr>
        <w:t>为确保招投标活动的公开、公平、公正，切实维护各方合法权益，凡在招标投标、开标评标过程中，受到敲诈、勒索或发现围标串标、虚假投标、恶意竞标等涉黑涉恶线索者，请及时保留相关证据并向有关部门举报！</w:t>
      </w:r>
      <w:bookmarkEnd w:id="1"/>
    </w:p>
    <w:p>
      <w:pPr>
        <w:pStyle w:val="13"/>
        <w:pBdr>
          <w:top w:val="single" w:color="auto" w:sz="4" w:space="1"/>
          <w:left w:val="single" w:color="auto" w:sz="4" w:space="4"/>
          <w:bottom w:val="single" w:color="auto" w:sz="4" w:space="1"/>
          <w:right w:val="single" w:color="auto" w:sz="4" w:space="4"/>
        </w:pBdr>
        <w:snapToGrid w:val="0"/>
        <w:spacing w:line="460" w:lineRule="exact"/>
        <w:ind w:firstLine="422" w:firstLineChars="200"/>
        <w:outlineLvl w:val="9"/>
        <w:rPr>
          <w:rFonts w:hint="eastAsia" w:ascii="宋体" w:hAnsi="宋体" w:eastAsia="宋体" w:cs="宋体"/>
          <w:b/>
          <w:color w:val="auto"/>
          <w:sz w:val="21"/>
          <w:highlight w:val="none"/>
        </w:rPr>
      </w:pPr>
      <w:bookmarkStart w:id="2" w:name="_Toc8154"/>
      <w:r>
        <w:rPr>
          <w:rFonts w:hint="eastAsia" w:ascii="宋体" w:hAnsi="宋体" w:eastAsia="宋体" w:cs="宋体"/>
          <w:b/>
          <w:color w:val="auto"/>
          <w:sz w:val="21"/>
          <w:highlight w:val="none"/>
        </w:rPr>
        <w:t>举报电话：</w:t>
      </w:r>
      <w:bookmarkEnd w:id="2"/>
    </w:p>
    <w:p>
      <w:pPr>
        <w:pStyle w:val="13"/>
        <w:pBdr>
          <w:top w:val="single" w:color="auto" w:sz="4" w:space="1"/>
          <w:left w:val="single" w:color="auto" w:sz="4" w:space="4"/>
          <w:bottom w:val="single" w:color="auto" w:sz="4" w:space="1"/>
          <w:right w:val="single" w:color="auto" w:sz="4" w:space="4"/>
        </w:pBdr>
        <w:snapToGrid w:val="0"/>
        <w:spacing w:line="460" w:lineRule="exact"/>
        <w:ind w:firstLine="422" w:firstLineChars="200"/>
        <w:outlineLvl w:val="9"/>
        <w:rPr>
          <w:rFonts w:hint="eastAsia" w:ascii="宋体" w:hAnsi="宋体" w:eastAsia="宋体" w:cs="宋体"/>
          <w:b/>
          <w:color w:val="auto"/>
          <w:sz w:val="21"/>
          <w:highlight w:val="none"/>
        </w:rPr>
      </w:pPr>
      <w:bookmarkStart w:id="3" w:name="_Toc4935"/>
      <w:r>
        <w:rPr>
          <w:rFonts w:hint="eastAsia" w:ascii="宋体" w:hAnsi="宋体" w:eastAsia="宋体" w:cs="宋体"/>
          <w:b/>
          <w:color w:val="auto"/>
          <w:sz w:val="21"/>
          <w:highlight w:val="none"/>
        </w:rPr>
        <w:t>市扫黑办  0579-82495227</w:t>
      </w:r>
      <w:bookmarkEnd w:id="3"/>
    </w:p>
    <w:p>
      <w:pPr>
        <w:pStyle w:val="13"/>
        <w:pBdr>
          <w:top w:val="single" w:color="auto" w:sz="4" w:space="1"/>
          <w:left w:val="single" w:color="auto" w:sz="4" w:space="4"/>
          <w:bottom w:val="single" w:color="auto" w:sz="4" w:space="1"/>
          <w:right w:val="single" w:color="auto" w:sz="4" w:space="4"/>
        </w:pBdr>
        <w:snapToGrid w:val="0"/>
        <w:spacing w:line="460" w:lineRule="exact"/>
        <w:ind w:firstLine="422" w:firstLineChars="200"/>
        <w:outlineLvl w:val="9"/>
        <w:rPr>
          <w:rFonts w:hint="eastAsia" w:ascii="宋体" w:hAnsi="宋体" w:eastAsia="宋体" w:cs="宋体"/>
          <w:b/>
          <w:color w:val="auto"/>
          <w:sz w:val="21"/>
          <w:highlight w:val="none"/>
        </w:rPr>
      </w:pPr>
      <w:bookmarkStart w:id="4" w:name="_Toc25651"/>
      <w:r>
        <w:rPr>
          <w:rFonts w:hint="eastAsia" w:ascii="宋体" w:hAnsi="宋体" w:eastAsia="宋体" w:cs="宋体"/>
          <w:b/>
          <w:color w:val="auto"/>
          <w:sz w:val="21"/>
          <w:highlight w:val="none"/>
        </w:rPr>
        <w:t>市公安局  110、0579-82512110</w:t>
      </w:r>
      <w:bookmarkEnd w:id="4"/>
    </w:p>
    <w:p>
      <w:pPr>
        <w:pStyle w:val="13"/>
        <w:pBdr>
          <w:top w:val="single" w:color="auto" w:sz="4" w:space="1"/>
          <w:left w:val="single" w:color="auto" w:sz="4" w:space="4"/>
          <w:bottom w:val="single" w:color="auto" w:sz="4" w:space="1"/>
          <w:right w:val="single" w:color="auto" w:sz="4" w:space="4"/>
        </w:pBdr>
        <w:snapToGrid w:val="0"/>
        <w:spacing w:line="460" w:lineRule="exact"/>
        <w:ind w:firstLine="422" w:firstLineChars="200"/>
        <w:outlineLvl w:val="9"/>
        <w:rPr>
          <w:rFonts w:hint="eastAsia" w:ascii="宋体" w:hAnsi="宋体" w:eastAsia="宋体" w:cs="宋体"/>
          <w:b/>
          <w:color w:val="auto"/>
          <w:sz w:val="21"/>
          <w:highlight w:val="none"/>
        </w:rPr>
      </w:pPr>
      <w:bookmarkStart w:id="5" w:name="_Toc31744"/>
      <w:r>
        <w:rPr>
          <w:rFonts w:hint="eastAsia" w:ascii="宋体" w:hAnsi="宋体" w:eastAsia="宋体" w:cs="宋体"/>
          <w:b/>
          <w:color w:val="auto"/>
          <w:sz w:val="21"/>
          <w:highlight w:val="none"/>
        </w:rPr>
        <w:t>市检察院  0579-82537082</w:t>
      </w:r>
      <w:bookmarkEnd w:id="5"/>
    </w:p>
    <w:p>
      <w:pPr>
        <w:pStyle w:val="13"/>
        <w:pBdr>
          <w:top w:val="single" w:color="auto" w:sz="4" w:space="1"/>
          <w:left w:val="single" w:color="auto" w:sz="4" w:space="4"/>
          <w:bottom w:val="single" w:color="auto" w:sz="4" w:space="1"/>
          <w:right w:val="single" w:color="auto" w:sz="4" w:space="4"/>
        </w:pBdr>
        <w:snapToGrid w:val="0"/>
        <w:spacing w:line="460" w:lineRule="exact"/>
        <w:ind w:firstLine="422" w:firstLineChars="200"/>
        <w:outlineLvl w:val="9"/>
        <w:rPr>
          <w:rFonts w:hint="eastAsia" w:ascii="宋体" w:hAnsi="宋体" w:eastAsia="宋体" w:cs="宋体"/>
          <w:b/>
          <w:color w:val="auto"/>
          <w:sz w:val="21"/>
          <w:highlight w:val="none"/>
        </w:rPr>
      </w:pPr>
      <w:bookmarkStart w:id="6" w:name="_Toc12378"/>
      <w:r>
        <w:rPr>
          <w:rFonts w:hint="eastAsia" w:ascii="宋体" w:hAnsi="宋体" w:eastAsia="宋体" w:cs="宋体"/>
          <w:b/>
          <w:color w:val="auto"/>
          <w:sz w:val="21"/>
          <w:highlight w:val="none"/>
        </w:rPr>
        <w:t>市 法 院  0579-82688725</w:t>
      </w:r>
      <w:bookmarkEnd w:id="6"/>
    </w:p>
    <w:p>
      <w:pPr>
        <w:pStyle w:val="13"/>
        <w:pBdr>
          <w:top w:val="single" w:color="auto" w:sz="4" w:space="1"/>
          <w:left w:val="single" w:color="auto" w:sz="4" w:space="4"/>
          <w:bottom w:val="single" w:color="auto" w:sz="4" w:space="1"/>
          <w:right w:val="single" w:color="auto" w:sz="4" w:space="4"/>
        </w:pBdr>
        <w:snapToGrid w:val="0"/>
        <w:spacing w:line="460" w:lineRule="exact"/>
        <w:ind w:firstLine="422" w:firstLineChars="200"/>
        <w:outlineLvl w:val="9"/>
        <w:rPr>
          <w:rFonts w:hint="eastAsia" w:ascii="宋体" w:hAnsi="宋体" w:eastAsia="宋体" w:cs="宋体"/>
          <w:b/>
          <w:color w:val="auto"/>
          <w:sz w:val="21"/>
          <w:highlight w:val="none"/>
        </w:rPr>
      </w:pPr>
      <w:bookmarkStart w:id="7" w:name="_Toc3518"/>
      <w:r>
        <w:rPr>
          <w:rFonts w:hint="eastAsia" w:ascii="宋体" w:hAnsi="宋体" w:eastAsia="宋体" w:cs="宋体"/>
          <w:b/>
          <w:color w:val="auto"/>
          <w:sz w:val="21"/>
          <w:highlight w:val="none"/>
        </w:rPr>
        <w:t>市公共资源交易管理办公室  0579-82469285</w:t>
      </w:r>
      <w:bookmarkEnd w:id="7"/>
    </w:p>
    <w:p>
      <w:pPr>
        <w:pStyle w:val="13"/>
        <w:pBdr>
          <w:top w:val="single" w:color="auto" w:sz="4" w:space="1"/>
          <w:left w:val="single" w:color="auto" w:sz="4" w:space="4"/>
          <w:bottom w:val="single" w:color="auto" w:sz="4" w:space="1"/>
          <w:right w:val="single" w:color="auto" w:sz="4" w:space="4"/>
        </w:pBdr>
        <w:snapToGrid w:val="0"/>
        <w:spacing w:line="460" w:lineRule="exact"/>
        <w:ind w:firstLine="422" w:firstLineChars="200"/>
        <w:outlineLvl w:val="9"/>
        <w:rPr>
          <w:rFonts w:hint="eastAsia" w:ascii="宋体" w:hAnsi="宋体" w:eastAsia="宋体" w:cs="宋体"/>
          <w:b/>
          <w:bCs/>
          <w:color w:val="auto"/>
          <w:sz w:val="21"/>
          <w:highlight w:val="none"/>
        </w:rPr>
      </w:pPr>
      <w:bookmarkStart w:id="8" w:name="_Toc32046"/>
      <w:r>
        <w:rPr>
          <w:rFonts w:hint="eastAsia" w:ascii="宋体" w:hAnsi="宋体" w:eastAsia="宋体" w:cs="宋体"/>
          <w:b/>
          <w:color w:val="auto"/>
          <w:sz w:val="21"/>
          <w:highlight w:val="none"/>
        </w:rPr>
        <w:t>市公共资源交易中心  0579-83187211</w:t>
      </w:r>
      <w:bookmarkEnd w:id="8"/>
    </w:p>
    <w:p>
      <w:pPr>
        <w:spacing w:line="380" w:lineRule="exact"/>
        <w:ind w:firstLine="422" w:firstLineChars="200"/>
        <w:jc w:val="both"/>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lang w:bidi="ar"/>
        </w:rPr>
        <w:t>投标供应商不得向招标人、政府采购工作人员、评标专家行贿，违者一经查实，将列入政府采购黑名单！</w:t>
      </w:r>
    </w:p>
    <w:p>
      <w:pPr>
        <w:spacing w:line="380" w:lineRule="exact"/>
        <w:ind w:firstLine="422" w:firstLineChars="200"/>
        <w:jc w:val="both"/>
        <w:textAlignment w:val="baseline"/>
        <w:rPr>
          <w:rFonts w:hint="eastAsia" w:ascii="宋体" w:hAnsi="宋体" w:eastAsia="宋体" w:cs="宋体"/>
          <w:b/>
          <w:color w:val="auto"/>
          <w:sz w:val="21"/>
          <w:szCs w:val="21"/>
          <w:highlight w:val="none"/>
          <w:lang w:bidi="ar"/>
        </w:rPr>
      </w:pPr>
      <w:r>
        <w:rPr>
          <w:rFonts w:hint="eastAsia" w:ascii="宋体" w:hAnsi="宋体" w:eastAsia="宋体" w:cs="宋体"/>
          <w:b/>
          <w:color w:val="auto"/>
          <w:sz w:val="21"/>
          <w:szCs w:val="21"/>
          <w:highlight w:val="none"/>
          <w:lang w:bidi="ar"/>
        </w:rPr>
        <w:t>1.投标供应商须在政采云平台（http://zfcg.czt.zj.gov.cn/）进行免费注册，具体详见网站投标人注册要求，否则将可能无法上传投标文件。</w:t>
      </w:r>
    </w:p>
    <w:p>
      <w:pPr>
        <w:spacing w:line="380" w:lineRule="exact"/>
        <w:ind w:firstLine="422" w:firstLineChars="200"/>
        <w:jc w:val="both"/>
        <w:rPr>
          <w:rFonts w:hint="eastAsia" w:ascii="宋体" w:hAnsi="宋体" w:eastAsia="宋体" w:cs="宋体"/>
          <w:b/>
          <w:bCs/>
          <w:color w:val="auto"/>
          <w:sz w:val="18"/>
          <w:szCs w:val="18"/>
          <w:highlight w:val="none"/>
        </w:rPr>
      </w:pPr>
      <w:r>
        <w:rPr>
          <w:rFonts w:hint="eastAsia" w:ascii="宋体" w:hAnsi="宋体" w:eastAsia="宋体" w:cs="宋体"/>
          <w:b/>
          <w:color w:val="auto"/>
          <w:sz w:val="21"/>
          <w:szCs w:val="21"/>
          <w:highlight w:val="none"/>
          <w:lang w:bidi="ar"/>
        </w:rPr>
        <w:t>（注：请认真阅读此招标文件，并按规定制作投标文件。）</w:t>
      </w:r>
      <w:bookmarkEnd w:id="0"/>
    </w:p>
    <w:p>
      <w:pPr>
        <w:pStyle w:val="4"/>
        <w:keepNext w:val="0"/>
        <w:spacing w:line="360" w:lineRule="auto"/>
        <w:jc w:val="center"/>
        <w:rPr>
          <w:rFonts w:hint="eastAsia" w:ascii="宋体" w:hAnsi="宋体" w:eastAsia="宋体" w:cs="宋体"/>
          <w:color w:val="auto"/>
          <w:sz w:val="30"/>
          <w:szCs w:val="30"/>
          <w:highlight w:val="none"/>
        </w:rPr>
        <w:sectPr>
          <w:footerReference r:id="rId9" w:type="first"/>
          <w:footerReference r:id="rId8" w:type="default"/>
          <w:pgSz w:w="11906" w:h="16838"/>
          <w:pgMar w:top="1440" w:right="1304" w:bottom="1440" w:left="1304" w:header="567" w:footer="567" w:gutter="0"/>
          <w:pgNumType w:start="0"/>
          <w:cols w:space="720" w:num="1"/>
          <w:titlePg/>
          <w:docGrid w:type="lines" w:linePitch="634" w:charSpace="0"/>
        </w:sectPr>
      </w:pPr>
      <w:bookmarkStart w:id="9" w:name="_Toc217289129"/>
      <w:bookmarkStart w:id="10" w:name="_Toc205638623"/>
      <w:bookmarkStart w:id="11" w:name="_Toc237176505"/>
      <w:bookmarkStart w:id="12" w:name="_Toc184785918"/>
    </w:p>
    <w:p>
      <w:pPr>
        <w:pStyle w:val="4"/>
        <w:keepNext w:val="0"/>
        <w:spacing w:line="360" w:lineRule="auto"/>
        <w:jc w:val="both"/>
        <w:rPr>
          <w:rFonts w:hint="eastAsia" w:ascii="宋体" w:hAnsi="宋体" w:eastAsia="宋体" w:cs="宋体"/>
          <w:color w:val="auto"/>
          <w:sz w:val="30"/>
          <w:szCs w:val="30"/>
          <w:highlight w:val="none"/>
        </w:rPr>
      </w:pPr>
      <w:bookmarkStart w:id="13" w:name="_Toc29494"/>
    </w:p>
    <w:p>
      <w:pPr>
        <w:pStyle w:val="4"/>
        <w:keepNext w:val="0"/>
        <w:spacing w:line="360" w:lineRule="auto"/>
        <w:jc w:val="center"/>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第一章  公开招标采购公告</w:t>
      </w:r>
      <w:bookmarkEnd w:id="13"/>
    </w:p>
    <w:p>
      <w:pPr>
        <w:pBdr>
          <w:top w:val="single" w:color="auto" w:sz="4" w:space="1"/>
          <w:left w:val="single" w:color="auto" w:sz="4" w:space="4"/>
          <w:bottom w:val="single" w:color="auto" w:sz="4" w:space="1"/>
          <w:right w:val="single" w:color="auto" w:sz="4" w:space="4"/>
        </w:pBdr>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项目概况</w:t>
      </w:r>
    </w:p>
    <w:p>
      <w:pPr>
        <w:pBdr>
          <w:top w:val="single" w:color="auto" w:sz="4" w:space="1"/>
          <w:left w:val="single" w:color="auto" w:sz="4" w:space="4"/>
          <w:bottom w:val="single" w:color="auto" w:sz="4" w:space="1"/>
          <w:right w:val="single" w:color="auto" w:sz="4" w:space="4"/>
        </w:pBdr>
        <w:snapToGrid w:val="0"/>
        <w:spacing w:line="500" w:lineRule="exact"/>
        <w:ind w:firstLine="420" w:firstLineChars="200"/>
        <w:rPr>
          <w:rFonts w:hint="eastAsia" w:ascii="宋体" w:hAnsi="宋体" w:eastAsia="宋体" w:cs="宋体"/>
          <w:color w:val="auto"/>
          <w:sz w:val="21"/>
          <w:szCs w:val="21"/>
          <w:highlight w:val="none"/>
        </w:rPr>
      </w:pPr>
      <w:r>
        <w:rPr>
          <w:rFonts w:hint="eastAsia" w:hAnsi="宋体" w:cs="宋体"/>
          <w:color w:val="auto"/>
          <w:sz w:val="21"/>
          <w:szCs w:val="21"/>
          <w:highlight w:val="none"/>
          <w:lang w:eastAsia="zh-CN"/>
        </w:rPr>
        <w:t>金华市婺城区住房和城乡建设局关于污水处理厂污泥处置服务项目</w:t>
      </w:r>
      <w:r>
        <w:rPr>
          <w:rFonts w:hint="eastAsia" w:ascii="宋体" w:hAnsi="宋体" w:eastAsia="宋体" w:cs="宋体"/>
          <w:color w:val="auto"/>
          <w:sz w:val="21"/>
          <w:szCs w:val="21"/>
          <w:highlight w:val="none"/>
        </w:rPr>
        <w:t>的潜在投标人应在浙江省“政采云”平台</w:t>
      </w:r>
      <w:r>
        <w:rPr>
          <w:rFonts w:hint="eastAsia" w:ascii="宋体" w:hAnsi="宋体" w:eastAsia="宋体" w:cs="宋体"/>
          <w:b/>
          <w:bCs/>
          <w:color w:val="auto"/>
          <w:sz w:val="21"/>
          <w:szCs w:val="21"/>
          <w:highlight w:val="none"/>
        </w:rPr>
        <w:t>获取招标文件</w:t>
      </w:r>
      <w:r>
        <w:rPr>
          <w:rFonts w:hint="eastAsia" w:ascii="宋体" w:hAnsi="宋体" w:eastAsia="宋体" w:cs="宋体"/>
          <w:color w:val="auto"/>
          <w:sz w:val="21"/>
          <w:szCs w:val="21"/>
          <w:highlight w:val="none"/>
        </w:rPr>
        <w:t>，并于</w:t>
      </w:r>
      <w:r>
        <w:rPr>
          <w:rFonts w:hint="eastAsia" w:hAnsi="宋体" w:cs="宋体"/>
          <w:color w:val="auto"/>
          <w:sz w:val="21"/>
          <w:szCs w:val="21"/>
          <w:highlight w:val="none"/>
          <w:lang w:eastAsia="zh-CN"/>
        </w:rPr>
        <w:t xml:space="preserve"> 202</w:t>
      </w:r>
      <w:r>
        <w:rPr>
          <w:rFonts w:hint="eastAsia" w:hAnsi="宋体" w:cs="宋体"/>
          <w:color w:val="auto"/>
          <w:sz w:val="21"/>
          <w:szCs w:val="21"/>
          <w:highlight w:val="none"/>
          <w:lang w:val="en-US" w:eastAsia="zh-CN"/>
        </w:rPr>
        <w:t>4</w:t>
      </w:r>
      <w:r>
        <w:rPr>
          <w:rFonts w:hint="eastAsia" w:hAnsi="宋体" w:cs="宋体"/>
          <w:color w:val="auto"/>
          <w:sz w:val="21"/>
          <w:szCs w:val="21"/>
          <w:highlight w:val="none"/>
          <w:lang w:eastAsia="zh-CN"/>
        </w:rPr>
        <w:t xml:space="preserve">年 </w:t>
      </w:r>
      <w:r>
        <w:rPr>
          <w:rFonts w:hint="eastAsia" w:hAnsi="宋体" w:cs="宋体"/>
          <w:color w:val="auto"/>
          <w:sz w:val="21"/>
          <w:szCs w:val="21"/>
          <w:highlight w:val="none"/>
          <w:lang w:val="en-US" w:eastAsia="zh-CN"/>
        </w:rPr>
        <w:t xml:space="preserve">02 </w:t>
      </w:r>
      <w:r>
        <w:rPr>
          <w:rFonts w:hint="eastAsia" w:hAnsi="宋体" w:cs="宋体"/>
          <w:color w:val="auto"/>
          <w:sz w:val="21"/>
          <w:szCs w:val="21"/>
          <w:highlight w:val="none"/>
          <w:lang w:eastAsia="zh-CN"/>
        </w:rPr>
        <w:t>月</w:t>
      </w:r>
      <w:r>
        <w:rPr>
          <w:rFonts w:hint="eastAsia" w:hAnsi="宋体" w:cs="宋体"/>
          <w:color w:val="auto"/>
          <w:sz w:val="21"/>
          <w:szCs w:val="21"/>
          <w:highlight w:val="none"/>
          <w:lang w:val="en-US" w:eastAsia="zh-CN"/>
        </w:rPr>
        <w:t xml:space="preserve"> 23</w:t>
      </w:r>
      <w:r>
        <w:rPr>
          <w:rFonts w:hint="eastAsia" w:hAnsi="宋体" w:cs="宋体"/>
          <w:color w:val="auto"/>
          <w:sz w:val="21"/>
          <w:szCs w:val="21"/>
          <w:highlight w:val="none"/>
          <w:lang w:eastAsia="zh-CN"/>
        </w:rPr>
        <w:t xml:space="preserve"> 日</w:t>
      </w:r>
      <w:r>
        <w:rPr>
          <w:rFonts w:hint="eastAsia" w:hAnsi="宋体" w:cs="宋体"/>
          <w:bCs/>
          <w:color w:val="auto"/>
          <w:sz w:val="21"/>
          <w:szCs w:val="21"/>
          <w:highlight w:val="none"/>
          <w:lang w:val="en-US" w:eastAsia="zh-CN"/>
        </w:rPr>
        <w:t>09点30分</w:t>
      </w:r>
      <w:r>
        <w:rPr>
          <w:rFonts w:hint="eastAsia" w:ascii="宋体" w:hAnsi="宋体" w:eastAsia="宋体" w:cs="宋体"/>
          <w:bCs/>
          <w:color w:val="auto"/>
          <w:sz w:val="21"/>
          <w:szCs w:val="21"/>
          <w:highlight w:val="none"/>
        </w:rPr>
        <w:t>（北京时间）前上传投标文件</w:t>
      </w:r>
      <w:r>
        <w:rPr>
          <w:rFonts w:hint="eastAsia" w:ascii="宋体" w:hAnsi="宋体" w:eastAsia="宋体" w:cs="宋体"/>
          <w:color w:val="auto"/>
          <w:sz w:val="21"/>
          <w:szCs w:val="21"/>
          <w:highlight w:val="none"/>
        </w:rPr>
        <w:t>。</w:t>
      </w:r>
    </w:p>
    <w:p>
      <w:pPr>
        <w:tabs>
          <w:tab w:val="left" w:pos="1260"/>
        </w:tabs>
        <w:autoSpaceDE/>
        <w:autoSpaceDN/>
        <w:snapToGrid w:val="0"/>
        <w:spacing w:line="460" w:lineRule="exact"/>
        <w:ind w:firstLine="422" w:firstLineChars="200"/>
        <w:jc w:val="both"/>
        <w:rPr>
          <w:rFonts w:hint="eastAsia" w:ascii="宋体" w:hAnsi="宋体" w:eastAsia="宋体" w:cs="宋体"/>
          <w:b/>
          <w:color w:val="auto"/>
          <w:sz w:val="21"/>
          <w:szCs w:val="21"/>
          <w:highlight w:val="none"/>
        </w:rPr>
      </w:pPr>
      <w:bookmarkStart w:id="14" w:name="_Toc28359002"/>
      <w:bookmarkStart w:id="15" w:name="_Toc35393790"/>
      <w:bookmarkStart w:id="16" w:name="_Toc28359079"/>
      <w:bookmarkStart w:id="17" w:name="_Toc35393621"/>
      <w:bookmarkStart w:id="18" w:name="_Hlk24379207"/>
      <w:r>
        <w:rPr>
          <w:rFonts w:hint="eastAsia" w:ascii="宋体" w:hAnsi="宋体" w:eastAsia="宋体" w:cs="宋体"/>
          <w:b/>
          <w:color w:val="auto"/>
          <w:sz w:val="21"/>
          <w:szCs w:val="21"/>
          <w:highlight w:val="none"/>
        </w:rPr>
        <w:t>一、项目基本情况</w:t>
      </w:r>
      <w:bookmarkEnd w:id="14"/>
      <w:bookmarkEnd w:id="15"/>
      <w:bookmarkEnd w:id="16"/>
      <w:bookmarkEnd w:id="17"/>
    </w:p>
    <w:p>
      <w:pPr>
        <w:tabs>
          <w:tab w:val="left" w:pos="1260"/>
        </w:tabs>
        <w:autoSpaceDE/>
        <w:autoSpaceDN/>
        <w:snapToGrid w:val="0"/>
        <w:spacing w:line="460" w:lineRule="exact"/>
        <w:ind w:firstLine="422" w:firstLineChars="200"/>
        <w:jc w:val="both"/>
        <w:rPr>
          <w:rFonts w:hint="eastAsia" w:ascii="宋体" w:hAnsi="宋体" w:eastAsia="宋体" w:cs="宋体"/>
          <w:b/>
          <w:color w:val="auto"/>
          <w:sz w:val="21"/>
          <w:szCs w:val="21"/>
          <w:highlight w:val="none"/>
          <w:lang w:eastAsia="zh-CN"/>
        </w:rPr>
      </w:pPr>
      <w:r>
        <w:rPr>
          <w:rFonts w:hint="eastAsia" w:ascii="宋体" w:hAnsi="宋体" w:eastAsia="宋体" w:cs="宋体"/>
          <w:b/>
          <w:color w:val="auto"/>
          <w:sz w:val="21"/>
          <w:szCs w:val="21"/>
          <w:highlight w:val="none"/>
        </w:rPr>
        <w:t>项目编号：</w:t>
      </w:r>
      <w:r>
        <w:rPr>
          <w:rFonts w:hint="eastAsia" w:hAnsi="宋体" w:cs="宋体"/>
          <w:bCs/>
          <w:color w:val="auto"/>
          <w:sz w:val="21"/>
          <w:szCs w:val="21"/>
          <w:highlight w:val="none"/>
          <w:lang w:eastAsia="zh-CN"/>
        </w:rPr>
        <w:t>TY2023-FW365-ZFCG365-1</w:t>
      </w:r>
    </w:p>
    <w:p>
      <w:pPr>
        <w:tabs>
          <w:tab w:val="left" w:pos="1260"/>
        </w:tabs>
        <w:autoSpaceDE/>
        <w:autoSpaceDN/>
        <w:snapToGrid w:val="0"/>
        <w:spacing w:line="460" w:lineRule="exact"/>
        <w:ind w:firstLine="422" w:firstLineChars="200"/>
        <w:jc w:val="both"/>
        <w:rPr>
          <w:rFonts w:hint="eastAsia" w:ascii="宋体" w:hAnsi="宋体" w:eastAsia="宋体" w:cs="宋体"/>
          <w:bCs/>
          <w:color w:val="auto"/>
          <w:sz w:val="21"/>
          <w:szCs w:val="21"/>
          <w:highlight w:val="none"/>
          <w:lang w:val="en-US" w:eastAsia="zh-CN"/>
        </w:rPr>
      </w:pPr>
      <w:r>
        <w:rPr>
          <w:rFonts w:hint="eastAsia" w:ascii="宋体" w:hAnsi="宋体" w:eastAsia="宋体" w:cs="宋体"/>
          <w:b/>
          <w:color w:val="auto"/>
          <w:sz w:val="21"/>
          <w:szCs w:val="21"/>
          <w:highlight w:val="none"/>
        </w:rPr>
        <w:t>政府采购计划文号</w:t>
      </w:r>
      <w:r>
        <w:rPr>
          <w:rFonts w:hint="eastAsia" w:ascii="宋体" w:hAnsi="宋体" w:eastAsia="宋体" w:cs="宋体"/>
          <w:bCs/>
          <w:color w:val="auto"/>
          <w:sz w:val="21"/>
          <w:szCs w:val="21"/>
          <w:highlight w:val="none"/>
        </w:rPr>
        <w:t>：</w:t>
      </w:r>
      <w:r>
        <w:rPr>
          <w:rFonts w:hint="eastAsia" w:hAnsi="宋体" w:cs="宋体"/>
          <w:bCs/>
          <w:color w:val="auto"/>
          <w:sz w:val="21"/>
          <w:szCs w:val="21"/>
          <w:highlight w:val="none"/>
          <w:lang w:eastAsia="zh-CN"/>
        </w:rPr>
        <w:fldChar w:fldCharType="begin"/>
      </w:r>
      <w:r>
        <w:rPr>
          <w:rFonts w:hint="eastAsia" w:hAnsi="宋体" w:cs="宋体"/>
          <w:bCs/>
          <w:color w:val="auto"/>
          <w:sz w:val="21"/>
          <w:szCs w:val="21"/>
          <w:highlight w:val="none"/>
          <w:lang w:eastAsia="zh-CN"/>
        </w:rPr>
        <w:instrText xml:space="preserve"> HYPERLINK "https://pay.zcygov.cn/purchaseplan_front/" \l "/plan/list/view?id=1000000000013113214&amp;_app_=zcy.procurement" \t "https://www.zcygov.cn/delegation-order/_procurement_/order/_blank" </w:instrText>
      </w:r>
      <w:r>
        <w:rPr>
          <w:rFonts w:hint="eastAsia" w:hAnsi="宋体" w:cs="宋体"/>
          <w:bCs/>
          <w:color w:val="auto"/>
          <w:sz w:val="21"/>
          <w:szCs w:val="21"/>
          <w:highlight w:val="none"/>
          <w:lang w:eastAsia="zh-CN"/>
        </w:rPr>
        <w:fldChar w:fldCharType="separate"/>
      </w:r>
      <w:r>
        <w:rPr>
          <w:rFonts w:hint="eastAsia" w:hAnsi="宋体" w:cs="宋体"/>
          <w:bCs/>
          <w:color w:val="auto"/>
          <w:sz w:val="21"/>
          <w:szCs w:val="21"/>
          <w:highlight w:val="none"/>
          <w:lang w:eastAsia="zh-CN"/>
        </w:rPr>
        <w:t>临[2023]1588号</w:t>
      </w:r>
      <w:r>
        <w:rPr>
          <w:rFonts w:hint="eastAsia" w:hAnsi="宋体" w:cs="宋体"/>
          <w:bCs/>
          <w:color w:val="auto"/>
          <w:sz w:val="21"/>
          <w:szCs w:val="21"/>
          <w:highlight w:val="none"/>
          <w:lang w:eastAsia="zh-CN"/>
        </w:rPr>
        <w:fldChar w:fldCharType="end"/>
      </w:r>
    </w:p>
    <w:p>
      <w:pPr>
        <w:tabs>
          <w:tab w:val="left" w:pos="1260"/>
        </w:tabs>
        <w:autoSpaceDE/>
        <w:autoSpaceDN/>
        <w:snapToGrid w:val="0"/>
        <w:spacing w:line="460" w:lineRule="exact"/>
        <w:ind w:firstLine="422" w:firstLineChars="200"/>
        <w:jc w:val="both"/>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采购组织类型：</w:t>
      </w:r>
      <w:r>
        <w:rPr>
          <w:rFonts w:hint="eastAsia" w:ascii="宋体" w:hAnsi="宋体" w:eastAsia="宋体" w:cs="宋体"/>
          <w:bCs/>
          <w:color w:val="auto"/>
          <w:sz w:val="21"/>
          <w:szCs w:val="21"/>
          <w:highlight w:val="none"/>
        </w:rPr>
        <w:t>分散采购委托代理</w:t>
      </w:r>
      <w:r>
        <w:rPr>
          <w:rFonts w:hint="eastAsia" w:ascii="宋体" w:hAnsi="宋体" w:eastAsia="宋体" w:cs="宋体"/>
          <w:bCs/>
          <w:color w:val="auto"/>
          <w:sz w:val="21"/>
          <w:szCs w:val="21"/>
          <w:highlight w:val="none"/>
        </w:rPr>
        <w:tab/>
      </w:r>
    </w:p>
    <w:p>
      <w:pPr>
        <w:tabs>
          <w:tab w:val="left" w:pos="1260"/>
        </w:tabs>
        <w:autoSpaceDE/>
        <w:autoSpaceDN/>
        <w:snapToGrid w:val="0"/>
        <w:spacing w:line="460" w:lineRule="exact"/>
        <w:ind w:firstLine="422" w:firstLineChars="200"/>
        <w:jc w:val="both"/>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招标方式：</w:t>
      </w:r>
      <w:r>
        <w:rPr>
          <w:rFonts w:hint="eastAsia" w:ascii="宋体" w:hAnsi="宋体" w:eastAsia="宋体" w:cs="宋体"/>
          <w:bCs/>
          <w:color w:val="auto"/>
          <w:sz w:val="21"/>
          <w:szCs w:val="21"/>
          <w:highlight w:val="none"/>
        </w:rPr>
        <w:t>公开招标</w:t>
      </w:r>
    </w:p>
    <w:p>
      <w:pPr>
        <w:tabs>
          <w:tab w:val="left" w:pos="1260"/>
        </w:tabs>
        <w:autoSpaceDE/>
        <w:autoSpaceDN/>
        <w:snapToGrid w:val="0"/>
        <w:spacing w:line="460" w:lineRule="exact"/>
        <w:ind w:firstLine="422" w:firstLineChars="200"/>
        <w:jc w:val="both"/>
        <w:rPr>
          <w:rFonts w:hint="eastAsia" w:ascii="宋体" w:hAnsi="宋体" w:eastAsia="宋体" w:cs="宋体"/>
          <w:color w:val="auto"/>
          <w:sz w:val="21"/>
          <w:szCs w:val="21"/>
          <w:highlight w:val="none"/>
          <w:lang w:eastAsia="zh-CN"/>
        </w:rPr>
      </w:pPr>
      <w:r>
        <w:rPr>
          <w:rFonts w:hint="eastAsia" w:ascii="宋体" w:hAnsi="宋体" w:eastAsia="宋体" w:cs="宋体"/>
          <w:b/>
          <w:color w:val="auto"/>
          <w:sz w:val="21"/>
          <w:szCs w:val="21"/>
          <w:highlight w:val="none"/>
        </w:rPr>
        <w:t>项目名称：</w:t>
      </w:r>
      <w:bookmarkEnd w:id="18"/>
      <w:r>
        <w:rPr>
          <w:rFonts w:hint="eastAsia" w:hAnsi="宋体" w:cs="宋体"/>
          <w:color w:val="auto"/>
          <w:sz w:val="21"/>
          <w:szCs w:val="21"/>
          <w:highlight w:val="none"/>
          <w:lang w:eastAsia="zh-CN"/>
        </w:rPr>
        <w:t>金华市婺城区住房和城乡建设局关于污水处理厂污泥处置服务项目</w:t>
      </w:r>
    </w:p>
    <w:p>
      <w:pPr>
        <w:tabs>
          <w:tab w:val="left" w:pos="1260"/>
        </w:tabs>
        <w:autoSpaceDE/>
        <w:autoSpaceDN/>
        <w:snapToGrid w:val="0"/>
        <w:spacing w:line="460" w:lineRule="exact"/>
        <w:ind w:firstLine="422" w:firstLineChars="200"/>
        <w:jc w:val="both"/>
        <w:rPr>
          <w:rFonts w:hint="eastAsia" w:ascii="宋体" w:hAnsi="宋体" w:eastAsia="宋体" w:cs="宋体"/>
          <w:b/>
          <w:color w:val="auto"/>
          <w:sz w:val="21"/>
          <w:szCs w:val="21"/>
          <w:highlight w:val="none"/>
          <w:lang w:eastAsia="zh-CN"/>
        </w:rPr>
      </w:pPr>
      <w:r>
        <w:rPr>
          <w:rFonts w:hint="eastAsia" w:ascii="宋体" w:hAnsi="宋体" w:eastAsia="宋体" w:cs="宋体"/>
          <w:b/>
          <w:color w:val="auto"/>
          <w:sz w:val="21"/>
          <w:szCs w:val="21"/>
          <w:highlight w:val="none"/>
        </w:rPr>
        <w:t>预算金额（人民币）：</w:t>
      </w:r>
      <w:r>
        <w:rPr>
          <w:rFonts w:hint="eastAsia" w:hAnsi="宋体" w:cs="宋体"/>
          <w:bCs/>
          <w:color w:val="auto"/>
          <w:sz w:val="21"/>
          <w:szCs w:val="21"/>
          <w:highlight w:val="none"/>
          <w:lang w:val="en-US" w:eastAsia="zh-CN"/>
        </w:rPr>
        <w:t>500万元</w:t>
      </w:r>
    </w:p>
    <w:p>
      <w:pPr>
        <w:tabs>
          <w:tab w:val="left" w:pos="1260"/>
        </w:tabs>
        <w:autoSpaceDE/>
        <w:autoSpaceDN/>
        <w:snapToGrid w:val="0"/>
        <w:spacing w:line="460" w:lineRule="exact"/>
        <w:ind w:firstLine="422" w:firstLineChars="200"/>
        <w:jc w:val="both"/>
        <w:rPr>
          <w:rFonts w:hint="default" w:ascii="宋体" w:hAnsi="宋体" w:eastAsia="宋体" w:cs="宋体"/>
          <w:bCs/>
          <w:color w:val="auto"/>
          <w:sz w:val="21"/>
          <w:szCs w:val="21"/>
          <w:highlight w:val="none"/>
          <w:lang w:val="en-US" w:eastAsia="zh-CN"/>
        </w:rPr>
      </w:pPr>
      <w:r>
        <w:rPr>
          <w:rFonts w:hint="eastAsia" w:ascii="宋体" w:hAnsi="宋体" w:eastAsia="宋体" w:cs="宋体"/>
          <w:b/>
          <w:color w:val="auto"/>
          <w:sz w:val="21"/>
          <w:szCs w:val="21"/>
          <w:highlight w:val="none"/>
        </w:rPr>
        <w:t>最高</w:t>
      </w:r>
      <w:r>
        <w:rPr>
          <w:rFonts w:hint="eastAsia" w:hAnsi="宋体" w:cs="宋体"/>
          <w:b/>
          <w:color w:val="auto"/>
          <w:sz w:val="21"/>
          <w:szCs w:val="21"/>
          <w:highlight w:val="none"/>
          <w:lang w:val="en-US" w:eastAsia="zh-CN"/>
        </w:rPr>
        <w:t>单价</w:t>
      </w:r>
      <w:r>
        <w:rPr>
          <w:rFonts w:hint="eastAsia" w:ascii="宋体" w:hAnsi="宋体" w:eastAsia="宋体" w:cs="宋体"/>
          <w:b/>
          <w:color w:val="auto"/>
          <w:sz w:val="21"/>
          <w:szCs w:val="21"/>
          <w:highlight w:val="none"/>
        </w:rPr>
        <w:t>限价（人民币）：</w:t>
      </w:r>
      <w:r>
        <w:rPr>
          <w:rFonts w:hint="eastAsia" w:hAnsi="宋体" w:cs="宋体"/>
          <w:bCs/>
          <w:color w:val="auto"/>
          <w:sz w:val="21"/>
          <w:szCs w:val="21"/>
          <w:highlight w:val="none"/>
          <w:lang w:val="en-US" w:eastAsia="zh-CN"/>
        </w:rPr>
        <w:t>340元/吨</w:t>
      </w:r>
    </w:p>
    <w:p>
      <w:pPr>
        <w:tabs>
          <w:tab w:val="left" w:pos="1260"/>
        </w:tabs>
        <w:autoSpaceDE/>
        <w:autoSpaceDN/>
        <w:snapToGrid w:val="0"/>
        <w:spacing w:line="460" w:lineRule="exact"/>
        <w:ind w:firstLine="422" w:firstLineChars="200"/>
        <w:jc w:val="both"/>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采购需求</w:t>
      </w:r>
      <w:r>
        <w:rPr>
          <w:rFonts w:hint="eastAsia" w:ascii="宋体" w:hAnsi="宋体" w:eastAsia="宋体" w:cs="宋体"/>
          <w:color w:val="auto"/>
          <w:sz w:val="21"/>
          <w:szCs w:val="21"/>
          <w:highlight w:val="none"/>
        </w:rPr>
        <w:t xml:space="preserve">： </w:t>
      </w:r>
    </w:p>
    <w:tbl>
      <w:tblPr>
        <w:tblStyle w:val="20"/>
        <w:tblW w:w="499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5"/>
        <w:gridCol w:w="2319"/>
        <w:gridCol w:w="3400"/>
        <w:gridCol w:w="834"/>
        <w:gridCol w:w="1127"/>
        <w:gridCol w:w="1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329" w:type="pct"/>
            <w:noWrap w:val="0"/>
            <w:vAlign w:val="center"/>
          </w:tcPr>
          <w:p>
            <w:pPr>
              <w:tabs>
                <w:tab w:val="left" w:pos="1260"/>
              </w:tabs>
              <w:autoSpaceDE/>
              <w:autoSpaceDN/>
              <w:adjustRightInd/>
              <w:spacing w:line="5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序号</w:t>
            </w:r>
          </w:p>
        </w:tc>
        <w:tc>
          <w:tcPr>
            <w:tcW w:w="1220" w:type="pct"/>
            <w:noWrap w:val="0"/>
            <w:vAlign w:val="center"/>
          </w:tcPr>
          <w:p>
            <w:pPr>
              <w:tabs>
                <w:tab w:val="left" w:pos="1260"/>
              </w:tabs>
              <w:autoSpaceDE/>
              <w:autoSpaceDN/>
              <w:adjustRightInd/>
              <w:spacing w:line="5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采购内容</w:t>
            </w:r>
          </w:p>
        </w:tc>
        <w:tc>
          <w:tcPr>
            <w:tcW w:w="1789" w:type="pct"/>
            <w:noWrap w:val="0"/>
            <w:vAlign w:val="center"/>
          </w:tcPr>
          <w:p>
            <w:pPr>
              <w:tabs>
                <w:tab w:val="left" w:pos="1260"/>
              </w:tabs>
              <w:autoSpaceDE/>
              <w:autoSpaceDN/>
              <w:adjustRightInd/>
              <w:spacing w:line="5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服务要求</w:t>
            </w:r>
          </w:p>
        </w:tc>
        <w:tc>
          <w:tcPr>
            <w:tcW w:w="439" w:type="pct"/>
            <w:noWrap w:val="0"/>
            <w:vAlign w:val="center"/>
          </w:tcPr>
          <w:p>
            <w:pPr>
              <w:tabs>
                <w:tab w:val="left" w:pos="1260"/>
              </w:tabs>
              <w:autoSpaceDE/>
              <w:autoSpaceDN/>
              <w:adjustRightInd/>
              <w:spacing w:line="50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服务期限</w:t>
            </w:r>
          </w:p>
        </w:tc>
        <w:tc>
          <w:tcPr>
            <w:tcW w:w="593" w:type="pct"/>
            <w:noWrap w:val="0"/>
            <w:vAlign w:val="center"/>
          </w:tcPr>
          <w:p>
            <w:pPr>
              <w:tabs>
                <w:tab w:val="left" w:pos="1260"/>
              </w:tabs>
              <w:autoSpaceDE/>
              <w:autoSpaceDN/>
              <w:adjustRightInd/>
              <w:spacing w:line="50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数量</w:t>
            </w:r>
          </w:p>
        </w:tc>
        <w:tc>
          <w:tcPr>
            <w:tcW w:w="628" w:type="pct"/>
            <w:noWrap w:val="0"/>
            <w:vAlign w:val="center"/>
          </w:tcPr>
          <w:p>
            <w:pPr>
              <w:tabs>
                <w:tab w:val="left" w:pos="1260"/>
              </w:tabs>
              <w:autoSpaceDE/>
              <w:autoSpaceDN/>
              <w:adjustRightInd/>
              <w:spacing w:line="50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单价限价</w:t>
            </w:r>
          </w:p>
          <w:p>
            <w:pPr>
              <w:tabs>
                <w:tab w:val="left" w:pos="1260"/>
              </w:tabs>
              <w:autoSpaceDE/>
              <w:autoSpaceDN/>
              <w:adjustRightInd/>
              <w:spacing w:line="50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0" w:hRule="atLeast"/>
        </w:trPr>
        <w:tc>
          <w:tcPr>
            <w:tcW w:w="329" w:type="pct"/>
            <w:noWrap w:val="0"/>
            <w:vAlign w:val="center"/>
          </w:tcPr>
          <w:p>
            <w:pPr>
              <w:tabs>
                <w:tab w:val="left" w:pos="1260"/>
              </w:tabs>
              <w:autoSpaceDE/>
              <w:autoSpaceDN/>
              <w:adjustRightInd/>
              <w:spacing w:line="5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220" w:type="pct"/>
            <w:noWrap w:val="0"/>
            <w:vAlign w:val="center"/>
          </w:tcPr>
          <w:p>
            <w:pPr>
              <w:tabs>
                <w:tab w:val="left" w:pos="1260"/>
              </w:tabs>
              <w:autoSpaceDE/>
              <w:autoSpaceDN/>
              <w:adjustRightInd/>
              <w:spacing w:line="500" w:lineRule="exact"/>
              <w:jc w:val="center"/>
              <w:rPr>
                <w:rFonts w:hint="eastAsia" w:ascii="宋体" w:hAnsi="宋体" w:eastAsia="宋体" w:cs="宋体"/>
                <w:color w:val="auto"/>
                <w:sz w:val="21"/>
                <w:szCs w:val="21"/>
                <w:highlight w:val="none"/>
                <w:lang w:eastAsia="zh-CN"/>
              </w:rPr>
            </w:pPr>
            <w:r>
              <w:rPr>
                <w:rFonts w:hint="eastAsia" w:hAnsi="宋体" w:cs="宋体"/>
                <w:color w:val="auto"/>
                <w:sz w:val="21"/>
                <w:szCs w:val="21"/>
                <w:highlight w:val="none"/>
                <w:lang w:eastAsia="zh-CN"/>
              </w:rPr>
              <w:t>金华市婺城区住房和城乡建设局关于污水处理厂污泥处置服务项目</w:t>
            </w:r>
          </w:p>
        </w:tc>
        <w:tc>
          <w:tcPr>
            <w:tcW w:w="1789" w:type="pct"/>
            <w:noWrap w:val="0"/>
            <w:vAlign w:val="center"/>
          </w:tcPr>
          <w:p>
            <w:pPr>
              <w:tabs>
                <w:tab w:val="left" w:pos="1260"/>
              </w:tabs>
              <w:autoSpaceDE/>
              <w:autoSpaceDN/>
              <w:adjustRightInd/>
              <w:spacing w:line="50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主要包括对污水处理厂生产处理工艺中所产生的污泥进行处置。具体内容详见</w:t>
            </w:r>
            <w:r>
              <w:rPr>
                <w:rFonts w:hint="eastAsia" w:hAnsi="宋体" w:cs="宋体"/>
                <w:color w:val="auto"/>
                <w:sz w:val="21"/>
                <w:szCs w:val="21"/>
                <w:highlight w:val="none"/>
                <w:lang w:eastAsia="zh-CN"/>
              </w:rPr>
              <w:t>“</w:t>
            </w:r>
            <w:r>
              <w:rPr>
                <w:rFonts w:hint="eastAsia" w:ascii="宋体" w:hAnsi="宋体" w:eastAsia="宋体" w:cs="宋体"/>
                <w:color w:val="auto"/>
                <w:sz w:val="21"/>
                <w:szCs w:val="21"/>
                <w:highlight w:val="none"/>
              </w:rPr>
              <w:t>第二章 招标需求</w:t>
            </w:r>
            <w:r>
              <w:rPr>
                <w:rFonts w:hint="eastAsia" w:hAnsi="宋体" w:cs="宋体"/>
                <w:color w:val="auto"/>
                <w:sz w:val="21"/>
                <w:szCs w:val="21"/>
                <w:highlight w:val="none"/>
                <w:lang w:eastAsia="zh-CN"/>
              </w:rPr>
              <w:t>”</w:t>
            </w:r>
            <w:r>
              <w:rPr>
                <w:rFonts w:hint="eastAsia" w:ascii="宋体" w:hAnsi="宋体" w:eastAsia="宋体" w:cs="宋体"/>
                <w:color w:val="auto"/>
                <w:sz w:val="21"/>
                <w:szCs w:val="21"/>
                <w:highlight w:val="none"/>
              </w:rPr>
              <w:t>。</w:t>
            </w:r>
          </w:p>
        </w:tc>
        <w:tc>
          <w:tcPr>
            <w:tcW w:w="439" w:type="pct"/>
            <w:noWrap w:val="0"/>
            <w:vAlign w:val="center"/>
          </w:tcPr>
          <w:p>
            <w:pPr>
              <w:tabs>
                <w:tab w:val="left" w:pos="1260"/>
              </w:tabs>
              <w:autoSpaceDE/>
              <w:autoSpaceDN/>
              <w:adjustRightInd/>
              <w:spacing w:line="50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1年</w:t>
            </w:r>
          </w:p>
        </w:tc>
        <w:tc>
          <w:tcPr>
            <w:tcW w:w="593" w:type="pct"/>
            <w:noWrap w:val="0"/>
            <w:vAlign w:val="center"/>
          </w:tcPr>
          <w:p>
            <w:pPr>
              <w:tabs>
                <w:tab w:val="left" w:pos="1260"/>
              </w:tabs>
              <w:autoSpaceDE/>
              <w:autoSpaceDN/>
              <w:adjustRightInd/>
              <w:spacing w:line="500" w:lineRule="exact"/>
              <w:jc w:val="center"/>
              <w:textAlignment w:val="auto"/>
              <w:rPr>
                <w:rFonts w:hint="eastAsia" w:hAnsi="宋体" w:cs="宋体"/>
                <w:bCs/>
                <w:color w:val="auto"/>
                <w:sz w:val="21"/>
                <w:szCs w:val="21"/>
                <w:highlight w:val="none"/>
                <w:lang w:val="en-US" w:eastAsia="zh-CN"/>
              </w:rPr>
            </w:pPr>
            <w:r>
              <w:rPr>
                <w:rFonts w:hint="eastAsia" w:ascii="宋体" w:hAnsi="宋体" w:eastAsia="宋体" w:cs="宋体"/>
                <w:color w:val="auto"/>
                <w:sz w:val="21"/>
                <w:szCs w:val="21"/>
                <w:highlight w:val="none"/>
              </w:rPr>
              <w:t>约</w:t>
            </w:r>
            <w:r>
              <w:rPr>
                <w:rFonts w:hint="eastAsia" w:hAnsi="宋体" w:cs="宋体"/>
                <w:color w:val="auto"/>
                <w:sz w:val="21"/>
                <w:szCs w:val="21"/>
                <w:highlight w:val="none"/>
                <w:lang w:eastAsia="zh-CN"/>
              </w:rPr>
              <w:t>15000</w:t>
            </w:r>
            <w:r>
              <w:rPr>
                <w:rFonts w:hint="eastAsia" w:ascii="宋体" w:hAnsi="宋体" w:eastAsia="宋体" w:cs="宋体"/>
                <w:color w:val="auto"/>
                <w:sz w:val="21"/>
                <w:szCs w:val="21"/>
                <w:highlight w:val="none"/>
              </w:rPr>
              <w:t>吨</w:t>
            </w:r>
          </w:p>
        </w:tc>
        <w:tc>
          <w:tcPr>
            <w:tcW w:w="628" w:type="pct"/>
            <w:noWrap w:val="0"/>
            <w:vAlign w:val="center"/>
          </w:tcPr>
          <w:p>
            <w:pPr>
              <w:tabs>
                <w:tab w:val="left" w:pos="1260"/>
              </w:tabs>
              <w:autoSpaceDE/>
              <w:autoSpaceDN/>
              <w:adjustRightInd/>
              <w:spacing w:line="500" w:lineRule="exact"/>
              <w:jc w:val="center"/>
              <w:textAlignment w:val="auto"/>
              <w:rPr>
                <w:rFonts w:hint="eastAsia" w:hAnsi="宋体" w:cs="宋体"/>
                <w:bCs/>
                <w:color w:val="auto"/>
                <w:sz w:val="21"/>
                <w:szCs w:val="21"/>
                <w:highlight w:val="none"/>
                <w:lang w:val="en-US" w:eastAsia="zh-CN"/>
              </w:rPr>
            </w:pPr>
            <w:r>
              <w:rPr>
                <w:rFonts w:hint="eastAsia" w:hAnsi="宋体" w:cs="宋体"/>
                <w:color w:val="auto"/>
                <w:sz w:val="21"/>
                <w:szCs w:val="21"/>
                <w:highlight w:val="none"/>
                <w:lang w:val="en-US" w:eastAsia="zh-CN"/>
              </w:rPr>
              <w:t>340元/吨（不含运输费）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3" w:hRule="atLeast"/>
        </w:trPr>
        <w:tc>
          <w:tcPr>
            <w:tcW w:w="5000" w:type="pct"/>
            <w:gridSpan w:val="6"/>
            <w:noWrap w:val="0"/>
            <w:vAlign w:val="center"/>
          </w:tcPr>
          <w:p>
            <w:pPr>
              <w:autoSpaceDE/>
              <w:adjustRightInd/>
              <w:snapToGrid w:val="0"/>
              <w:spacing w:line="460" w:lineRule="exact"/>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备注：上述数量为预估的污泥处置量，具体以实际发生数量为准，投标人在投标报价时须考虑并包含因数量变化引起的风险和责任等相关费用</w:t>
            </w:r>
            <w:r>
              <w:rPr>
                <w:rFonts w:hint="eastAsia" w:ascii="宋体" w:hAnsi="宋体" w:eastAsia="宋体" w:cs="宋体"/>
                <w:color w:val="auto"/>
                <w:sz w:val="21"/>
                <w:szCs w:val="21"/>
                <w:highlight w:val="none"/>
                <w:lang w:val="en-US" w:eastAsia="zh-CN"/>
              </w:rPr>
              <w:t>(不含运输费)</w:t>
            </w:r>
            <w:r>
              <w:rPr>
                <w:rFonts w:hint="eastAsia" w:ascii="宋体" w:hAnsi="宋体" w:eastAsia="宋体" w:cs="宋体"/>
                <w:color w:val="auto"/>
                <w:sz w:val="21"/>
                <w:szCs w:val="21"/>
                <w:highlight w:val="none"/>
              </w:rPr>
              <w:t>。</w:t>
            </w:r>
          </w:p>
          <w:p>
            <w:pPr>
              <w:tabs>
                <w:tab w:val="left" w:pos="1260"/>
              </w:tabs>
              <w:autoSpaceDE/>
              <w:autoSpaceDN/>
              <w:adjustRightInd/>
              <w:spacing w:line="500" w:lineRule="exact"/>
              <w:jc w:val="left"/>
              <w:textAlignment w:val="auto"/>
              <w:rPr>
                <w:rFonts w:hint="eastAsia" w:ascii="宋体" w:hAnsi="宋体" w:eastAsia="宋体" w:cs="宋体"/>
                <w:color w:val="auto"/>
                <w:sz w:val="21"/>
                <w:szCs w:val="21"/>
                <w:highlight w:val="none"/>
                <w:lang w:val="en-US" w:eastAsia="zh-CN"/>
              </w:rPr>
            </w:pPr>
            <w:r>
              <w:rPr>
                <w:rFonts w:hint="eastAsia" w:hAnsi="宋体" w:cs="宋体"/>
                <w:bCs/>
                <w:color w:val="auto"/>
                <w:sz w:val="21"/>
                <w:szCs w:val="21"/>
                <w:highlight w:val="none"/>
                <w:lang w:val="en-US" w:eastAsia="zh-CN"/>
              </w:rPr>
              <w:t>服务期限：</w:t>
            </w:r>
            <w:r>
              <w:rPr>
                <w:rFonts w:hint="eastAsia" w:ascii="宋体" w:hAnsi="宋体" w:eastAsia="宋体" w:cs="宋体"/>
                <w:bCs/>
                <w:color w:val="auto"/>
                <w:sz w:val="21"/>
                <w:szCs w:val="21"/>
                <w:highlight w:val="none"/>
              </w:rPr>
              <w:t>自合同签订之日起一年。合同的服务期满后，经</w:t>
            </w:r>
            <w:r>
              <w:rPr>
                <w:rFonts w:hint="eastAsia" w:ascii="宋体" w:hAnsi="宋体" w:eastAsia="宋体" w:cs="宋体"/>
                <w:bCs/>
                <w:color w:val="auto"/>
                <w:sz w:val="21"/>
                <w:szCs w:val="21"/>
                <w:highlight w:val="none"/>
                <w:lang w:val="en-US" w:eastAsia="zh-CN"/>
              </w:rPr>
              <w:t>采购方</w:t>
            </w:r>
            <w:r>
              <w:rPr>
                <w:rFonts w:hint="eastAsia" w:hAnsi="宋体" w:eastAsia="宋体" w:cs="宋体"/>
                <w:bCs/>
                <w:color w:val="auto"/>
                <w:sz w:val="21"/>
                <w:szCs w:val="21"/>
                <w:highlight w:val="none"/>
                <w:lang w:val="en-US" w:eastAsia="zh-CN"/>
              </w:rPr>
              <w:t>同意后</w:t>
            </w:r>
            <w:r>
              <w:rPr>
                <w:rFonts w:hint="eastAsia" w:ascii="宋体" w:hAnsi="宋体" w:eastAsia="宋体" w:cs="宋体"/>
                <w:bCs/>
                <w:color w:val="auto"/>
                <w:sz w:val="21"/>
                <w:szCs w:val="21"/>
                <w:highlight w:val="none"/>
              </w:rPr>
              <w:t>，双方可协议续签合同（</w:t>
            </w:r>
            <w:r>
              <w:rPr>
                <w:rFonts w:hint="eastAsia" w:ascii="宋体" w:hAnsi="宋体" w:eastAsia="宋体" w:cs="宋体"/>
                <w:bCs/>
                <w:color w:val="auto"/>
                <w:sz w:val="21"/>
                <w:szCs w:val="21"/>
                <w:highlight w:val="none"/>
                <w:lang w:val="en-US" w:eastAsia="zh-CN"/>
              </w:rPr>
              <w:t>采购方</w:t>
            </w:r>
            <w:r>
              <w:rPr>
                <w:rFonts w:hint="eastAsia" w:ascii="宋体" w:hAnsi="宋体" w:eastAsia="宋体" w:cs="宋体"/>
                <w:bCs/>
                <w:color w:val="auto"/>
                <w:sz w:val="21"/>
                <w:szCs w:val="21"/>
                <w:highlight w:val="none"/>
              </w:rPr>
              <w:t>也有权重新组织采购），</w:t>
            </w:r>
            <w:r>
              <w:rPr>
                <w:rFonts w:hint="eastAsia" w:ascii="宋体" w:hAnsi="宋体" w:eastAsia="宋体" w:cs="宋体"/>
                <w:bCs/>
                <w:color w:val="auto"/>
                <w:sz w:val="21"/>
                <w:szCs w:val="21"/>
                <w:highlight w:val="none"/>
                <w:lang w:val="en-US" w:eastAsia="zh-CN"/>
              </w:rPr>
              <w:t>可</w:t>
            </w:r>
            <w:r>
              <w:rPr>
                <w:rFonts w:hint="eastAsia" w:ascii="宋体" w:hAnsi="宋体" w:eastAsia="宋体" w:cs="宋体"/>
                <w:bCs/>
                <w:color w:val="auto"/>
                <w:sz w:val="21"/>
                <w:szCs w:val="21"/>
                <w:highlight w:val="none"/>
              </w:rPr>
              <w:t>续签</w:t>
            </w:r>
            <w:r>
              <w:rPr>
                <w:rFonts w:hint="eastAsia" w:ascii="宋体" w:hAnsi="宋体" w:eastAsia="宋体" w:cs="宋体"/>
                <w:bCs/>
                <w:color w:val="auto"/>
                <w:sz w:val="21"/>
                <w:szCs w:val="21"/>
                <w:highlight w:val="none"/>
                <w:lang w:val="en-US" w:eastAsia="zh-CN"/>
              </w:rPr>
              <w:t>一</w:t>
            </w:r>
            <w:r>
              <w:rPr>
                <w:rFonts w:hint="eastAsia" w:ascii="宋体" w:hAnsi="宋体" w:eastAsia="宋体" w:cs="宋体"/>
                <w:bCs/>
                <w:color w:val="auto"/>
                <w:sz w:val="21"/>
                <w:szCs w:val="21"/>
                <w:highlight w:val="none"/>
              </w:rPr>
              <w:t>年。</w:t>
            </w:r>
          </w:p>
        </w:tc>
      </w:tr>
    </w:tbl>
    <w:p>
      <w:pPr>
        <w:keepNext w:val="0"/>
        <w:keepLines w:val="0"/>
        <w:pageBreakBefore w:val="0"/>
        <w:widowControl w:val="0"/>
        <w:tabs>
          <w:tab w:val="left" w:pos="1260"/>
        </w:tabs>
        <w:kinsoku/>
        <w:wordWrap/>
        <w:overflowPunct/>
        <w:topLinePunct w:val="0"/>
        <w:autoSpaceDE/>
        <w:autoSpaceDN/>
        <w:bidi w:val="0"/>
        <w:adjustRightInd w:val="0"/>
        <w:snapToGrid w:val="0"/>
        <w:spacing w:line="500" w:lineRule="exact"/>
        <w:ind w:firstLine="422" w:firstLineChars="200"/>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本项目接受联合体投标。</w:t>
      </w:r>
    </w:p>
    <w:p>
      <w:pPr>
        <w:keepNext w:val="0"/>
        <w:keepLines w:val="0"/>
        <w:pageBreakBefore w:val="0"/>
        <w:widowControl w:val="0"/>
        <w:tabs>
          <w:tab w:val="left" w:pos="1260"/>
        </w:tabs>
        <w:kinsoku/>
        <w:wordWrap/>
        <w:overflowPunct/>
        <w:topLinePunct w:val="0"/>
        <w:autoSpaceDE/>
        <w:autoSpaceDN/>
        <w:bidi w:val="0"/>
        <w:snapToGrid w:val="0"/>
        <w:spacing w:line="500" w:lineRule="exact"/>
        <w:ind w:firstLine="422" w:firstLineChars="200"/>
        <w:textAlignment w:val="auto"/>
        <w:rPr>
          <w:rFonts w:hint="eastAsia" w:ascii="宋体" w:hAnsi="宋体" w:eastAsia="宋体" w:cs="宋体"/>
          <w:b/>
          <w:color w:val="auto"/>
          <w:sz w:val="21"/>
          <w:szCs w:val="21"/>
          <w:highlight w:val="none"/>
        </w:rPr>
      </w:pPr>
      <w:bookmarkStart w:id="19" w:name="_Toc28359080"/>
      <w:bookmarkStart w:id="20" w:name="_Toc28359003"/>
      <w:bookmarkStart w:id="21" w:name="_Toc35393622"/>
      <w:bookmarkStart w:id="22" w:name="_Toc35393791"/>
      <w:r>
        <w:rPr>
          <w:rFonts w:hint="eastAsia" w:ascii="宋体" w:hAnsi="宋体" w:eastAsia="宋体" w:cs="宋体"/>
          <w:b/>
          <w:color w:val="auto"/>
          <w:sz w:val="21"/>
          <w:szCs w:val="21"/>
          <w:highlight w:val="none"/>
        </w:rPr>
        <w:t>二、申请人的资格要求</w:t>
      </w:r>
      <w:bookmarkEnd w:id="19"/>
      <w:bookmarkEnd w:id="20"/>
      <w:bookmarkEnd w:id="21"/>
      <w:bookmarkEnd w:id="22"/>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20" w:firstLineChars="200"/>
        <w:textAlignment w:val="auto"/>
        <w:rPr>
          <w:rFonts w:hint="eastAsia" w:ascii="宋体" w:hAnsi="宋体" w:eastAsia="宋体" w:cs="宋体"/>
          <w:color w:val="auto"/>
          <w:sz w:val="21"/>
          <w:szCs w:val="21"/>
          <w:highlight w:val="none"/>
          <w:shd w:val="clear" w:color="auto" w:fill="FFFFFF"/>
        </w:rPr>
      </w:pPr>
      <w:bookmarkStart w:id="23" w:name="_Toc28359004"/>
      <w:bookmarkStart w:id="24" w:name="_Toc28359081"/>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shd w:val="clear" w:color="auto" w:fill="FFFFFF"/>
        </w:rPr>
        <w:t>符合《中华人民共和国政府采购法》第二十二条供应商应当具备的条件，且未被“信用中国”（www.creditchina.gov.cn）、中国政府采购网（www.ccgp.gov.cn）列入失信被执行人、重大税收违法案件当事人名单、政府采购严重违法失信行为记录名单；</w:t>
      </w:r>
      <w:r>
        <w:rPr>
          <w:rFonts w:hint="eastAsia" w:hAnsi="宋体" w:cs="宋体"/>
          <w:color w:val="auto"/>
          <w:sz w:val="21"/>
          <w:szCs w:val="21"/>
          <w:highlight w:val="none"/>
          <w:shd w:val="clear" w:color="auto" w:fill="FFFFFF"/>
          <w:lang w:eastAsia="zh-CN"/>
        </w:rPr>
        <w:t>（</w:t>
      </w:r>
      <w:r>
        <w:rPr>
          <w:rFonts w:hint="eastAsia" w:ascii="宋体" w:hAnsi="宋体" w:eastAsia="宋体" w:cs="宋体"/>
          <w:color w:val="auto"/>
          <w:sz w:val="21"/>
          <w:szCs w:val="21"/>
          <w:highlight w:val="none"/>
          <w:shd w:val="clear" w:color="auto" w:fill="FFFFFF"/>
        </w:rPr>
        <w:t>两个以上的自然人、法人或者其他组织组成一个联合体，以一个投标人的身份共同参加政府采购活动的，将对所有联合体成员进行信用记录查询，联合体成员存在不良信用记录的，视同联合体存在不良信用记录。）</w:t>
      </w:r>
    </w:p>
    <w:p>
      <w:pPr>
        <w:keepNext w:val="0"/>
        <w:keepLines w:val="0"/>
        <w:pageBreakBefore w:val="0"/>
        <w:widowControl w:val="0"/>
        <w:tabs>
          <w:tab w:val="left" w:pos="1260"/>
        </w:tabs>
        <w:kinsoku/>
        <w:wordWrap/>
        <w:overflowPunct/>
        <w:topLinePunct w:val="0"/>
        <w:autoSpaceDE/>
        <w:autoSpaceDN/>
        <w:bidi w:val="0"/>
        <w:snapToGrid w:val="0"/>
        <w:spacing w:line="500" w:lineRule="exact"/>
        <w:ind w:firstLine="420" w:firstLineChars="20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2.落实政策</w:t>
      </w:r>
    </w:p>
    <w:p>
      <w:pPr>
        <w:keepNext w:val="0"/>
        <w:keepLines w:val="0"/>
        <w:pageBreakBefore w:val="0"/>
        <w:widowControl w:val="0"/>
        <w:kinsoku/>
        <w:wordWrap/>
        <w:overflowPunct/>
        <w:topLinePunct w:val="0"/>
        <w:bidi w:val="0"/>
        <w:snapToGrid w:val="0"/>
        <w:spacing w:line="50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（1）落实政府采购政策需满足的资格要求：</w:t>
      </w:r>
    </w:p>
    <w:p>
      <w:pPr>
        <w:keepNext w:val="0"/>
        <w:keepLines w:val="0"/>
        <w:pageBreakBefore w:val="0"/>
        <w:widowControl w:val="0"/>
        <w:kinsoku/>
        <w:wordWrap/>
        <w:overflowPunct/>
        <w:topLinePunct w:val="0"/>
        <w:bidi w:val="0"/>
        <w:snapToGrid w:val="0"/>
        <w:spacing w:line="500" w:lineRule="exact"/>
        <w:ind w:firstLine="48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1"/>
          <w:szCs w:val="21"/>
          <w:highlight w:val="none"/>
        </w:rPr>
        <w:t>无；</w:t>
      </w:r>
    </w:p>
    <w:p>
      <w:pPr>
        <w:snapToGrid w:val="0"/>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sym w:font="Wingdings" w:char="F0FE"/>
      </w:r>
      <w:r>
        <w:rPr>
          <w:rFonts w:hint="eastAsia" w:ascii="宋体" w:hAnsi="宋体" w:eastAsia="宋体" w:cs="宋体"/>
          <w:color w:val="auto"/>
          <w:sz w:val="21"/>
          <w:szCs w:val="21"/>
          <w:highlight w:val="none"/>
        </w:rPr>
        <w:t>专门面向中小企业：</w:t>
      </w:r>
    </w:p>
    <w:p>
      <w:pPr>
        <w:snapToGrid w:val="0"/>
        <w:spacing w:line="500" w:lineRule="exact"/>
        <w:ind w:firstLine="420" w:firstLineChars="20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sym w:font="Wingdings" w:char="00A8"/>
      </w:r>
      <w:r>
        <w:rPr>
          <w:rFonts w:hint="eastAsia" w:ascii="宋体" w:hAnsi="宋体" w:eastAsia="宋体" w:cs="宋体"/>
          <w:color w:val="auto"/>
          <w:sz w:val="21"/>
          <w:szCs w:val="21"/>
          <w:highlight w:val="none"/>
        </w:rPr>
        <w:t>货物全部由符合政策要求的中小企业制造，提供中小企业声明函；</w:t>
      </w:r>
    </w:p>
    <w:p>
      <w:pPr>
        <w:snapToGrid w:val="0"/>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☐货物全部由符合政策要求的小微企业制造，提供中小企业声明函；</w:t>
      </w:r>
    </w:p>
    <w:p>
      <w:pPr>
        <w:snapToGrid w:val="0"/>
        <w:spacing w:line="500" w:lineRule="exact"/>
        <w:ind w:firstLine="420" w:firstLineChars="20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sym w:font="Wingdings" w:char="00A8"/>
      </w:r>
      <w:r>
        <w:rPr>
          <w:rFonts w:hint="eastAsia" w:ascii="宋体" w:hAnsi="宋体" w:eastAsia="宋体" w:cs="宋体"/>
          <w:color w:val="auto"/>
          <w:sz w:val="21"/>
          <w:szCs w:val="21"/>
          <w:highlight w:val="none"/>
        </w:rPr>
        <w:t>工程全部由符合政策要求的中小企业承接，提供中小企业声明函；</w:t>
      </w:r>
    </w:p>
    <w:p>
      <w:pPr>
        <w:snapToGrid w:val="0"/>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☐工程全部由符合政策要求的小微企业承接，提供中小企业声明函；</w:t>
      </w:r>
    </w:p>
    <w:p>
      <w:pPr>
        <w:snapToGrid w:val="0"/>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sym w:font="Wingdings" w:char="00FE"/>
      </w:r>
      <w:r>
        <w:rPr>
          <w:rFonts w:hint="eastAsia" w:ascii="宋体" w:hAnsi="宋体" w:eastAsia="宋体" w:cs="宋体"/>
          <w:color w:val="auto"/>
          <w:sz w:val="21"/>
          <w:szCs w:val="21"/>
          <w:highlight w:val="none"/>
        </w:rPr>
        <w:t>服务全部由符合政策要求的中小企业承接，提供中小企业声明函；</w:t>
      </w:r>
    </w:p>
    <w:p>
      <w:pPr>
        <w:snapToGrid w:val="0"/>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☐服务全部由符合政策要求的小微企业承接，提供中小企业声明函；</w:t>
      </w:r>
    </w:p>
    <w:p>
      <w:pPr>
        <w:pStyle w:val="18"/>
        <w:adjustRightInd w:val="0"/>
        <w:snapToGrid w:val="0"/>
        <w:spacing w:before="0" w:beforeAutospacing="0" w:after="0" w:afterAutospacing="0" w:line="500" w:lineRule="exact"/>
        <w:ind w:firstLine="420" w:firstLineChars="200"/>
        <w:rPr>
          <w:rStyle w:val="22"/>
          <w:rFonts w:hint="eastAsia"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lang w:bidi="ar"/>
        </w:rPr>
        <w:t>（2）采购项目需要落实的政府采购政策：执行节约能源、保护环境相关的节能产品政府强制采购和优先采购政策，执行环境标志产品政府优先采购政策；执行扶持不发达地区和少数民族地区、促进中小企业发展、支持监狱企业发展、促进残疾人就业、支持中小企业信用融资等政府采购政策。 </w:t>
      </w:r>
    </w:p>
    <w:p>
      <w:pPr>
        <w:snapToGrid w:val="0"/>
        <w:spacing w:line="500" w:lineRule="exact"/>
        <w:ind w:firstLine="420" w:firstLineChars="200"/>
        <w:rPr>
          <w:rFonts w:hint="eastAsia" w:hAnsi="宋体" w:cs="宋体"/>
          <w:color w:val="auto"/>
          <w:sz w:val="21"/>
          <w:szCs w:val="21"/>
          <w:highlight w:val="none"/>
          <w:shd w:val="clear" w:color="auto" w:fill="FFFFFF"/>
          <w:lang w:val="en-US" w:eastAsia="zh-CN"/>
        </w:rPr>
      </w:pPr>
      <w:r>
        <w:rPr>
          <w:rFonts w:hint="eastAsia" w:ascii="宋体" w:hAnsi="宋体" w:eastAsia="宋体" w:cs="宋体"/>
          <w:color w:val="auto"/>
          <w:sz w:val="21"/>
          <w:szCs w:val="21"/>
          <w:highlight w:val="none"/>
        </w:rPr>
        <w:t>3.本项目的特定资</w:t>
      </w:r>
      <w:r>
        <w:rPr>
          <w:rFonts w:hint="eastAsia" w:ascii="宋体" w:hAnsi="宋体" w:eastAsia="宋体" w:cs="宋体"/>
          <w:color w:val="auto"/>
          <w:sz w:val="21"/>
          <w:szCs w:val="21"/>
          <w:highlight w:val="none"/>
          <w:lang w:val="en-US" w:eastAsia="zh-CN" w:bidi="ar"/>
        </w:rPr>
        <w:t>格要求：</w:t>
      </w:r>
      <w:bookmarkEnd w:id="23"/>
      <w:bookmarkEnd w:id="24"/>
      <w:bookmarkStart w:id="25" w:name="_Toc28359008"/>
      <w:bookmarkStart w:id="26" w:name="_Toc35393796"/>
      <w:bookmarkStart w:id="27" w:name="_Toc28359085"/>
      <w:bookmarkStart w:id="28" w:name="_Toc35393627"/>
      <w:r>
        <w:rPr>
          <w:rFonts w:hint="eastAsia" w:hAnsi="宋体" w:cs="宋体"/>
          <w:color w:val="auto"/>
          <w:sz w:val="21"/>
          <w:szCs w:val="21"/>
          <w:highlight w:val="none"/>
          <w:shd w:val="clear" w:color="auto" w:fill="FFFFFF"/>
          <w:lang w:val="en-US" w:eastAsia="zh-CN"/>
        </w:rPr>
        <w:t>投标人污泥处置须符合《金华市清废行动实施方案》（金政办发[2019]17号）中“危险废物不出市、固体废物不出县”的原则，要求投标人污泥处置地点必须位于金华大市范围内；</w:t>
      </w:r>
    </w:p>
    <w:p>
      <w:pPr>
        <w:tabs>
          <w:tab w:val="left" w:pos="1260"/>
        </w:tabs>
        <w:autoSpaceDE/>
        <w:autoSpaceDN/>
        <w:snapToGrid w:val="0"/>
        <w:spacing w:line="500" w:lineRule="exact"/>
        <w:ind w:firstLine="420" w:firstLineChars="200"/>
        <w:rPr>
          <w:rFonts w:hint="eastAsia" w:ascii="宋体" w:hAnsi="宋体" w:eastAsia="宋体" w:cs="宋体"/>
          <w:color w:val="auto"/>
          <w:sz w:val="21"/>
          <w:szCs w:val="21"/>
          <w:highlight w:val="none"/>
          <w:lang w:val="en-US" w:eastAsia="zh-CN" w:bidi="ar"/>
        </w:rPr>
      </w:pPr>
      <w:r>
        <w:rPr>
          <w:rFonts w:hint="eastAsia" w:ascii="宋体" w:hAnsi="宋体" w:eastAsia="宋体" w:cs="宋体"/>
          <w:color w:val="auto"/>
          <w:sz w:val="21"/>
          <w:szCs w:val="21"/>
          <w:highlight w:val="none"/>
          <w:lang w:val="en-US" w:eastAsia="zh-CN" w:bidi="ar"/>
        </w:rPr>
        <w:t>4.公益一类事业单位不属于政府购买服务的承接主体，不得参与承接政府购买服务。</w:t>
      </w:r>
    </w:p>
    <w:p>
      <w:pPr>
        <w:autoSpaceDE/>
        <w:autoSpaceDN/>
        <w:adjustRightInd w:val="0"/>
        <w:snapToGrid w:val="0"/>
        <w:spacing w:line="500" w:lineRule="exact"/>
        <w:ind w:firstLine="420" w:firstLineChars="200"/>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5.联合体投标或分包的资格要求：本项目专门面向中小企业采购，允许中型企业与小微企业组成联合体、小微企业与小微企业组成联合体参与投标，也允许中型企业向小微企业、小微企业向小微企业合理分包。组成联合体或者接受分包合同的中小微企业均应</w:t>
      </w:r>
      <w:r>
        <w:rPr>
          <w:rFonts w:hint="eastAsia" w:hAnsi="宋体" w:cs="宋体"/>
          <w:color w:val="auto"/>
          <w:sz w:val="21"/>
          <w:szCs w:val="21"/>
          <w:highlight w:val="none"/>
          <w:lang w:val="en-US" w:eastAsia="zh-CN"/>
        </w:rPr>
        <w:t>符合本项目的特定资格要求，且</w:t>
      </w:r>
      <w:r>
        <w:rPr>
          <w:rFonts w:hint="eastAsia" w:ascii="宋体" w:hAnsi="宋体" w:eastAsia="宋体" w:cs="宋体"/>
          <w:color w:val="auto"/>
          <w:sz w:val="21"/>
          <w:szCs w:val="21"/>
          <w:highlight w:val="none"/>
        </w:rPr>
        <w:t>不属于大企业的分支机构，不存在控股股东为大企业的情形，也不存在与大企业的负责人为同一人的情形。（联合体投标或分包时适用）</w:t>
      </w:r>
    </w:p>
    <w:p>
      <w:pPr>
        <w:autoSpaceDE/>
        <w:autoSpaceDN/>
        <w:adjustRightInd w:val="0"/>
        <w:snapToGrid w:val="0"/>
        <w:spacing w:line="500" w:lineRule="exact"/>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三、获取招标文件</w:t>
      </w:r>
    </w:p>
    <w:p>
      <w:pPr>
        <w:tabs>
          <w:tab w:val="left" w:pos="1260"/>
        </w:tabs>
        <w:snapToGrid w:val="0"/>
        <w:spacing w:line="500" w:lineRule="exact"/>
        <w:ind w:firstLine="420" w:firstLineChars="200"/>
        <w:jc w:val="both"/>
        <w:rPr>
          <w:rFonts w:hint="eastAsia" w:ascii="宋体" w:hAnsi="宋体" w:eastAsia="宋体" w:cs="宋体"/>
          <w:color w:val="auto"/>
          <w:sz w:val="21"/>
          <w:szCs w:val="21"/>
          <w:highlight w:val="none"/>
        </w:rPr>
      </w:pPr>
      <w:bookmarkStart w:id="29" w:name="_Toc35393625"/>
      <w:bookmarkStart w:id="30" w:name="_Toc35393794"/>
      <w:bookmarkStart w:id="31" w:name="_Toc28359084"/>
      <w:bookmarkStart w:id="32" w:name="_Toc28359007"/>
      <w:r>
        <w:rPr>
          <w:rFonts w:hint="eastAsia" w:ascii="宋体" w:hAnsi="宋体" w:eastAsia="宋体" w:cs="宋体"/>
          <w:color w:val="auto"/>
          <w:sz w:val="21"/>
          <w:szCs w:val="21"/>
          <w:highlight w:val="none"/>
          <w:shd w:val="clear" w:color="auto" w:fill="FFFFFF"/>
        </w:rPr>
        <w:t>1. 时间：</w:t>
      </w:r>
      <w:r>
        <w:rPr>
          <w:rFonts w:hint="eastAsia" w:ascii="宋体" w:hAnsi="宋体" w:eastAsia="宋体" w:cs="宋体"/>
          <w:color w:val="auto"/>
          <w:sz w:val="21"/>
          <w:szCs w:val="21"/>
          <w:highlight w:val="none"/>
        </w:rPr>
        <w:t>本项目公告发布之日</w:t>
      </w:r>
      <w:r>
        <w:rPr>
          <w:rFonts w:hint="eastAsia" w:ascii="宋体" w:hAnsi="宋体" w:eastAsia="宋体" w:cs="宋体"/>
          <w:color w:val="auto"/>
          <w:sz w:val="21"/>
          <w:szCs w:val="21"/>
          <w:highlight w:val="none"/>
          <w:shd w:val="clear" w:color="auto" w:fill="FFFFFF"/>
        </w:rPr>
        <w:t>至</w:t>
      </w:r>
      <w:r>
        <w:rPr>
          <w:rFonts w:hint="eastAsia" w:hAnsi="宋体" w:cs="宋体"/>
          <w:color w:val="auto"/>
          <w:sz w:val="21"/>
          <w:szCs w:val="21"/>
          <w:highlight w:val="none"/>
          <w:lang w:eastAsia="zh-CN"/>
        </w:rPr>
        <w:t>202</w:t>
      </w:r>
      <w:r>
        <w:rPr>
          <w:rFonts w:hint="eastAsia" w:hAnsi="宋体" w:cs="宋体"/>
          <w:color w:val="auto"/>
          <w:sz w:val="21"/>
          <w:szCs w:val="21"/>
          <w:highlight w:val="none"/>
          <w:lang w:val="en-US" w:eastAsia="zh-CN"/>
        </w:rPr>
        <w:t>4</w:t>
      </w:r>
      <w:r>
        <w:rPr>
          <w:rFonts w:hint="eastAsia" w:hAnsi="宋体" w:cs="宋体"/>
          <w:color w:val="auto"/>
          <w:sz w:val="21"/>
          <w:szCs w:val="21"/>
          <w:highlight w:val="none"/>
          <w:lang w:eastAsia="zh-CN"/>
        </w:rPr>
        <w:t>年</w:t>
      </w:r>
      <w:r>
        <w:rPr>
          <w:rFonts w:hint="eastAsia" w:hAnsi="宋体" w:cs="宋体"/>
          <w:color w:val="auto"/>
          <w:sz w:val="21"/>
          <w:szCs w:val="21"/>
          <w:highlight w:val="none"/>
          <w:lang w:val="en-US" w:eastAsia="zh-CN"/>
        </w:rPr>
        <w:t xml:space="preserve"> 02 </w:t>
      </w:r>
      <w:r>
        <w:rPr>
          <w:rFonts w:hint="eastAsia" w:hAnsi="宋体" w:cs="宋体"/>
          <w:color w:val="auto"/>
          <w:sz w:val="21"/>
          <w:szCs w:val="21"/>
          <w:highlight w:val="none"/>
          <w:lang w:eastAsia="zh-CN"/>
        </w:rPr>
        <w:t>月</w:t>
      </w:r>
      <w:r>
        <w:rPr>
          <w:rFonts w:hint="eastAsia" w:hAnsi="宋体" w:cs="宋体"/>
          <w:color w:val="auto"/>
          <w:sz w:val="21"/>
          <w:szCs w:val="21"/>
          <w:highlight w:val="none"/>
          <w:lang w:val="en-US" w:eastAsia="zh-CN"/>
        </w:rPr>
        <w:t xml:space="preserve"> 23 </w:t>
      </w:r>
      <w:r>
        <w:rPr>
          <w:rFonts w:hint="eastAsia" w:hAnsi="宋体" w:cs="宋体"/>
          <w:color w:val="auto"/>
          <w:sz w:val="21"/>
          <w:szCs w:val="21"/>
          <w:highlight w:val="none"/>
          <w:lang w:eastAsia="zh-CN"/>
        </w:rPr>
        <w:t>日</w:t>
      </w:r>
      <w:r>
        <w:rPr>
          <w:rFonts w:hint="eastAsia" w:ascii="宋体" w:hAnsi="宋体" w:eastAsia="宋体" w:cs="宋体"/>
          <w:color w:val="auto"/>
          <w:sz w:val="21"/>
          <w:szCs w:val="21"/>
          <w:highlight w:val="none"/>
          <w:shd w:val="clear" w:color="auto" w:fill="FFFFFF"/>
        </w:rPr>
        <w:t>（北京时间）</w:t>
      </w:r>
    </w:p>
    <w:p>
      <w:pPr>
        <w:pStyle w:val="18"/>
        <w:widowControl w:val="0"/>
        <w:adjustRightInd w:val="0"/>
        <w:snapToGrid w:val="0"/>
        <w:spacing w:before="0" w:beforeAutospacing="0" w:after="0" w:afterAutospacing="0" w:line="500" w:lineRule="exact"/>
        <w:ind w:firstLine="420" w:firstLineChars="200"/>
        <w:rPr>
          <w:rFonts w:hint="eastAsia"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shd w:val="clear" w:color="auto" w:fill="FFFFFF"/>
        </w:rPr>
        <w:t>2. 招标文件获取地址（网址）：登录浙江省“政采云”平台（网址https://www.zcygov.cn）</w:t>
      </w:r>
      <w:r>
        <w:rPr>
          <w:rFonts w:hint="eastAsia" w:ascii="宋体" w:cs="宋体"/>
          <w:color w:val="auto"/>
          <w:sz w:val="21"/>
          <w:szCs w:val="21"/>
          <w:highlight w:val="none"/>
          <w:shd w:val="clear" w:color="auto" w:fill="FFFFFF"/>
          <w:lang w:eastAsia="zh-CN"/>
        </w:rPr>
        <w:t>－</w:t>
      </w:r>
      <w:r>
        <w:rPr>
          <w:rFonts w:hint="eastAsia" w:ascii="宋体" w:hAnsi="宋体" w:eastAsia="宋体" w:cs="宋体"/>
          <w:color w:val="auto"/>
          <w:sz w:val="21"/>
          <w:szCs w:val="21"/>
          <w:highlight w:val="none"/>
          <w:shd w:val="clear" w:color="auto" w:fill="FFFFFF"/>
        </w:rPr>
        <w:t>－后台项目采购板块点击申请获取采购文件。</w:t>
      </w:r>
    </w:p>
    <w:p>
      <w:pPr>
        <w:tabs>
          <w:tab w:val="left" w:pos="1260"/>
        </w:tabs>
        <w:autoSpaceDE/>
        <w:autoSpaceDN/>
        <w:snapToGrid w:val="0"/>
        <w:spacing w:line="500" w:lineRule="exact"/>
        <w:ind w:firstLine="420" w:firstLineChars="200"/>
        <w:jc w:val="both"/>
        <w:rPr>
          <w:rFonts w:hint="eastAsia"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shd w:val="clear" w:color="auto" w:fill="FFFFFF"/>
        </w:rPr>
        <w:t>3.获取采购文件方式</w:t>
      </w:r>
    </w:p>
    <w:p>
      <w:pPr>
        <w:tabs>
          <w:tab w:val="left" w:pos="1260"/>
        </w:tabs>
        <w:autoSpaceDE/>
        <w:autoSpaceDN/>
        <w:snapToGrid w:val="0"/>
        <w:spacing w:line="500" w:lineRule="exact"/>
        <w:ind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shd w:val="clear" w:color="auto" w:fill="FFFFFF"/>
        </w:rPr>
        <w:t>供应商自行登录浙江省“政采云”平台（网址https://www.zcygov.cn）获取采购文件（供应商线上获取采购文件的流程：供应商登录浙江省“政采云”平台并进入【项目采购】应用模块，点击左侧菜单的【获取采购文件】，点击对应项目的【申请获取采购文件】按钮，填写获取采购文件申请信息后，点右下角【确定】按钮提交）。</w:t>
      </w:r>
    </w:p>
    <w:p>
      <w:pPr>
        <w:pStyle w:val="18"/>
        <w:adjustRightInd w:val="0"/>
        <w:snapToGrid w:val="0"/>
        <w:spacing w:before="0" w:beforeAutospacing="0" w:after="0" w:afterAutospacing="0" w:line="500" w:lineRule="exact"/>
        <w:ind w:firstLine="420" w:firstLineChars="200"/>
        <w:rPr>
          <w:rFonts w:hint="eastAsia"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shd w:val="clear" w:color="auto" w:fill="FFFFFF"/>
        </w:rPr>
        <w:t>4.售价（元）：零元。</w:t>
      </w:r>
    </w:p>
    <w:p>
      <w:pPr>
        <w:tabs>
          <w:tab w:val="left" w:pos="1260"/>
        </w:tabs>
        <w:autoSpaceDE/>
        <w:autoSpaceDN/>
        <w:snapToGrid w:val="0"/>
        <w:spacing w:line="500" w:lineRule="exact"/>
        <w:ind w:firstLine="422" w:firstLineChars="200"/>
        <w:jc w:val="both"/>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注：</w:t>
      </w:r>
    </w:p>
    <w:p>
      <w:pPr>
        <w:tabs>
          <w:tab w:val="left" w:pos="1260"/>
        </w:tabs>
        <w:autoSpaceDE/>
        <w:autoSpaceDN/>
        <w:snapToGrid w:val="0"/>
        <w:spacing w:line="500" w:lineRule="exact"/>
        <w:ind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Style w:val="22"/>
          <w:rFonts w:hint="eastAsia" w:ascii="宋体" w:hAnsi="宋体" w:eastAsia="宋体" w:cs="宋体"/>
          <w:color w:val="auto"/>
          <w:sz w:val="21"/>
          <w:szCs w:val="21"/>
          <w:highlight w:val="none"/>
        </w:rPr>
        <w:t>浙江政府采购网上随公告发布的采购文件仅供阅览。</w:t>
      </w:r>
      <w:r>
        <w:rPr>
          <w:rFonts w:hint="eastAsia" w:ascii="宋体" w:hAnsi="宋体" w:eastAsia="宋体" w:cs="宋体"/>
          <w:color w:val="auto"/>
          <w:sz w:val="21"/>
          <w:szCs w:val="21"/>
          <w:highlight w:val="none"/>
        </w:rPr>
        <w:t>投标人应按上述方式报名获取采购文件；未按上述方式报名获取采购文件的，不得对采购文件提起质疑投诉且采购代理机构有权拒绝其投标。同时，请投标人在参加投标前随时关注项目可能的更正公告情况。</w:t>
      </w:r>
    </w:p>
    <w:p>
      <w:pPr>
        <w:tabs>
          <w:tab w:val="left" w:pos="1260"/>
        </w:tabs>
        <w:autoSpaceDE/>
        <w:autoSpaceDN/>
        <w:snapToGrid w:val="0"/>
        <w:spacing w:line="500" w:lineRule="exact"/>
        <w:ind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（2）采购代理机构将拒绝接受未按上述方式报名获取采购文件的投标人的投标文件。</w:t>
      </w:r>
    </w:p>
    <w:p>
      <w:pPr>
        <w:tabs>
          <w:tab w:val="left" w:pos="1260"/>
        </w:tabs>
        <w:autoSpaceDE/>
        <w:autoSpaceDN/>
        <w:adjustRightInd w:val="0"/>
        <w:snapToGrid w:val="0"/>
        <w:spacing w:line="500" w:lineRule="exact"/>
        <w:ind w:firstLine="422" w:firstLineChars="200"/>
        <w:jc w:val="both"/>
        <w:rPr>
          <w:rFonts w:hint="eastAsia" w:ascii="宋体" w:hAnsi="宋体" w:eastAsia="宋体" w:cs="宋体"/>
          <w:b/>
          <w:color w:val="auto"/>
          <w:sz w:val="21"/>
          <w:szCs w:val="21"/>
          <w:highlight w:val="none"/>
        </w:rPr>
      </w:pPr>
      <w:bookmarkStart w:id="33" w:name="_Toc28359005"/>
      <w:bookmarkStart w:id="34" w:name="_Toc28359082"/>
      <w:bookmarkStart w:id="35" w:name="_Toc35393624"/>
      <w:bookmarkStart w:id="36" w:name="_Toc35393793"/>
      <w:r>
        <w:rPr>
          <w:rFonts w:hint="eastAsia" w:ascii="宋体" w:hAnsi="宋体" w:eastAsia="宋体" w:cs="宋体"/>
          <w:b/>
          <w:color w:val="auto"/>
          <w:sz w:val="21"/>
          <w:szCs w:val="21"/>
          <w:highlight w:val="none"/>
        </w:rPr>
        <w:t>四、提交投标文件</w:t>
      </w:r>
      <w:bookmarkEnd w:id="33"/>
      <w:bookmarkEnd w:id="34"/>
      <w:r>
        <w:rPr>
          <w:rFonts w:hint="eastAsia" w:ascii="宋体" w:hAnsi="宋体" w:eastAsia="宋体" w:cs="宋体"/>
          <w:b/>
          <w:color w:val="auto"/>
          <w:sz w:val="21"/>
          <w:szCs w:val="21"/>
          <w:highlight w:val="none"/>
        </w:rPr>
        <w:t>截止时间、开标时间和地点</w:t>
      </w:r>
      <w:bookmarkEnd w:id="35"/>
      <w:bookmarkEnd w:id="36"/>
    </w:p>
    <w:p>
      <w:pPr>
        <w:tabs>
          <w:tab w:val="left" w:pos="1260"/>
        </w:tabs>
        <w:autoSpaceDE/>
        <w:autoSpaceDN/>
        <w:adjustRightInd w:val="0"/>
        <w:snapToGrid w:val="0"/>
        <w:spacing w:line="500" w:lineRule="exact"/>
        <w:ind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提交投标文件截止时间：</w:t>
      </w:r>
      <w:r>
        <w:rPr>
          <w:rFonts w:hint="eastAsia" w:hAnsi="宋体" w:cs="宋体"/>
          <w:color w:val="auto"/>
          <w:sz w:val="21"/>
          <w:szCs w:val="21"/>
          <w:highlight w:val="none"/>
          <w:lang w:eastAsia="zh-CN"/>
        </w:rPr>
        <w:t>202</w:t>
      </w:r>
      <w:r>
        <w:rPr>
          <w:rFonts w:hint="eastAsia" w:hAnsi="宋体" w:cs="宋体"/>
          <w:color w:val="auto"/>
          <w:sz w:val="21"/>
          <w:szCs w:val="21"/>
          <w:highlight w:val="none"/>
          <w:lang w:val="en-US" w:eastAsia="zh-CN"/>
        </w:rPr>
        <w:t>4</w:t>
      </w:r>
      <w:r>
        <w:rPr>
          <w:rFonts w:hint="eastAsia" w:hAnsi="宋体" w:cs="宋体"/>
          <w:color w:val="auto"/>
          <w:sz w:val="21"/>
          <w:szCs w:val="21"/>
          <w:highlight w:val="none"/>
          <w:lang w:eastAsia="zh-CN"/>
        </w:rPr>
        <w:t xml:space="preserve">年 </w:t>
      </w:r>
      <w:r>
        <w:rPr>
          <w:rFonts w:hint="eastAsia" w:hAnsi="宋体" w:cs="宋体"/>
          <w:color w:val="auto"/>
          <w:sz w:val="21"/>
          <w:szCs w:val="21"/>
          <w:highlight w:val="none"/>
          <w:lang w:val="en-US" w:eastAsia="zh-CN"/>
        </w:rPr>
        <w:t xml:space="preserve">02 </w:t>
      </w:r>
      <w:r>
        <w:rPr>
          <w:rFonts w:hint="eastAsia" w:hAnsi="宋体" w:cs="宋体"/>
          <w:color w:val="auto"/>
          <w:sz w:val="21"/>
          <w:szCs w:val="21"/>
          <w:highlight w:val="none"/>
          <w:lang w:eastAsia="zh-CN"/>
        </w:rPr>
        <w:t>月</w:t>
      </w:r>
      <w:r>
        <w:rPr>
          <w:rFonts w:hint="eastAsia" w:hAnsi="宋体" w:cs="宋体"/>
          <w:color w:val="auto"/>
          <w:sz w:val="21"/>
          <w:szCs w:val="21"/>
          <w:highlight w:val="none"/>
          <w:lang w:val="en-US" w:eastAsia="zh-CN"/>
        </w:rPr>
        <w:t>23</w:t>
      </w:r>
      <w:r>
        <w:rPr>
          <w:rFonts w:hint="eastAsia" w:hAnsi="宋体" w:cs="宋体"/>
          <w:color w:val="auto"/>
          <w:sz w:val="21"/>
          <w:szCs w:val="21"/>
          <w:highlight w:val="none"/>
          <w:lang w:eastAsia="zh-CN"/>
        </w:rPr>
        <w:t>日</w:t>
      </w:r>
      <w:r>
        <w:rPr>
          <w:rFonts w:hint="eastAsia" w:hAnsi="宋体" w:cs="宋体"/>
          <w:color w:val="auto"/>
          <w:sz w:val="21"/>
          <w:szCs w:val="21"/>
          <w:highlight w:val="none"/>
          <w:lang w:val="en-US" w:eastAsia="zh-CN"/>
        </w:rPr>
        <w:t>09点30分</w:t>
      </w:r>
      <w:r>
        <w:rPr>
          <w:rFonts w:hint="eastAsia" w:ascii="宋体" w:hAnsi="宋体" w:eastAsia="宋体" w:cs="宋体"/>
          <w:color w:val="auto"/>
          <w:sz w:val="21"/>
          <w:szCs w:val="21"/>
          <w:highlight w:val="none"/>
        </w:rPr>
        <w:t xml:space="preserve"> （北京时间）</w:t>
      </w:r>
    </w:p>
    <w:p>
      <w:pPr>
        <w:tabs>
          <w:tab w:val="left" w:pos="1260"/>
        </w:tabs>
        <w:autoSpaceDE/>
        <w:autoSpaceDN/>
        <w:adjustRightInd w:val="0"/>
        <w:snapToGrid w:val="0"/>
        <w:spacing w:line="500" w:lineRule="exact"/>
        <w:ind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投标地点（网址）：</w:t>
      </w:r>
      <w:r>
        <w:rPr>
          <w:rFonts w:hint="eastAsia" w:ascii="宋体" w:hAnsi="宋体" w:eastAsia="宋体" w:cs="宋体"/>
          <w:color w:val="auto"/>
          <w:sz w:val="21"/>
          <w:szCs w:val="21"/>
          <w:highlight w:val="none"/>
          <w:u w:val="single"/>
          <w:shd w:val="clear" w:color="auto" w:fill="FFFFFF"/>
        </w:rPr>
        <w:t>通过浙江政府采购网政府采购云平台实行在线投标响应。</w:t>
      </w:r>
    </w:p>
    <w:p>
      <w:pPr>
        <w:tabs>
          <w:tab w:val="left" w:pos="1260"/>
        </w:tabs>
        <w:autoSpaceDE/>
        <w:autoSpaceDN/>
        <w:adjustRightInd w:val="0"/>
        <w:snapToGrid w:val="0"/>
        <w:spacing w:line="500" w:lineRule="exact"/>
        <w:ind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开标时间：</w:t>
      </w:r>
      <w:r>
        <w:rPr>
          <w:rFonts w:hint="eastAsia" w:hAnsi="宋体" w:cs="宋体"/>
          <w:color w:val="auto"/>
          <w:sz w:val="21"/>
          <w:szCs w:val="21"/>
          <w:highlight w:val="none"/>
          <w:lang w:eastAsia="zh-CN"/>
        </w:rPr>
        <w:t>202</w:t>
      </w:r>
      <w:r>
        <w:rPr>
          <w:rFonts w:hint="eastAsia" w:hAnsi="宋体" w:cs="宋体"/>
          <w:color w:val="auto"/>
          <w:sz w:val="21"/>
          <w:szCs w:val="21"/>
          <w:highlight w:val="none"/>
          <w:lang w:val="en-US" w:eastAsia="zh-CN"/>
        </w:rPr>
        <w:t>4</w:t>
      </w:r>
      <w:r>
        <w:rPr>
          <w:rFonts w:hint="eastAsia" w:hAnsi="宋体" w:cs="宋体"/>
          <w:color w:val="auto"/>
          <w:sz w:val="21"/>
          <w:szCs w:val="21"/>
          <w:highlight w:val="none"/>
          <w:lang w:eastAsia="zh-CN"/>
        </w:rPr>
        <w:t xml:space="preserve">年 </w:t>
      </w:r>
      <w:r>
        <w:rPr>
          <w:rFonts w:hint="eastAsia" w:hAnsi="宋体" w:cs="宋体"/>
          <w:color w:val="auto"/>
          <w:sz w:val="21"/>
          <w:szCs w:val="21"/>
          <w:highlight w:val="none"/>
          <w:lang w:val="en-US" w:eastAsia="zh-CN"/>
        </w:rPr>
        <w:t xml:space="preserve">02 </w:t>
      </w:r>
      <w:r>
        <w:rPr>
          <w:rFonts w:hint="eastAsia" w:hAnsi="宋体" w:cs="宋体"/>
          <w:color w:val="auto"/>
          <w:sz w:val="21"/>
          <w:szCs w:val="21"/>
          <w:highlight w:val="none"/>
          <w:lang w:eastAsia="zh-CN"/>
        </w:rPr>
        <w:t>月</w:t>
      </w:r>
      <w:r>
        <w:rPr>
          <w:rFonts w:hint="eastAsia" w:hAnsi="宋体" w:cs="宋体"/>
          <w:color w:val="auto"/>
          <w:sz w:val="21"/>
          <w:szCs w:val="21"/>
          <w:highlight w:val="none"/>
          <w:lang w:val="en-US" w:eastAsia="zh-CN"/>
        </w:rPr>
        <w:t>23</w:t>
      </w:r>
      <w:r>
        <w:rPr>
          <w:rFonts w:hint="eastAsia" w:hAnsi="宋体" w:cs="宋体"/>
          <w:color w:val="auto"/>
          <w:sz w:val="21"/>
          <w:szCs w:val="21"/>
          <w:highlight w:val="none"/>
          <w:lang w:eastAsia="zh-CN"/>
        </w:rPr>
        <w:t xml:space="preserve"> 日</w:t>
      </w:r>
      <w:r>
        <w:rPr>
          <w:rFonts w:hint="eastAsia" w:hAnsi="宋体" w:cs="宋体"/>
          <w:color w:val="auto"/>
          <w:sz w:val="21"/>
          <w:szCs w:val="21"/>
          <w:highlight w:val="none"/>
          <w:lang w:val="en-US" w:eastAsia="zh-CN"/>
        </w:rPr>
        <w:t>09点30分</w:t>
      </w:r>
      <w:r>
        <w:rPr>
          <w:rFonts w:hint="eastAsia" w:ascii="宋体" w:hAnsi="宋体" w:eastAsia="宋体" w:cs="宋体"/>
          <w:color w:val="auto"/>
          <w:sz w:val="21"/>
          <w:szCs w:val="21"/>
          <w:highlight w:val="none"/>
        </w:rPr>
        <w:t xml:space="preserve"> （北京时间） </w:t>
      </w:r>
    </w:p>
    <w:p>
      <w:pPr>
        <w:tabs>
          <w:tab w:val="left" w:pos="1260"/>
        </w:tabs>
        <w:autoSpaceDE/>
        <w:autoSpaceDN/>
        <w:adjustRightInd w:val="0"/>
        <w:snapToGrid w:val="0"/>
        <w:spacing w:line="500" w:lineRule="exact"/>
        <w:ind w:firstLine="420" w:firstLineChars="200"/>
        <w:jc w:val="both"/>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开标地点（网址）：</w:t>
      </w:r>
      <w:r>
        <w:rPr>
          <w:rFonts w:hint="eastAsia" w:ascii="宋体" w:hAnsi="宋体" w:eastAsia="宋体" w:cs="宋体"/>
          <w:color w:val="auto"/>
          <w:sz w:val="21"/>
          <w:szCs w:val="21"/>
          <w:highlight w:val="none"/>
          <w:u w:val="single"/>
        </w:rPr>
        <w:t>金华市双龙南街858号金华财富大厦（金华市行政服务中心新办事大厅4楼</w:t>
      </w:r>
      <w:r>
        <w:rPr>
          <w:rFonts w:hint="eastAsia" w:hAnsi="宋体" w:cs="宋体"/>
          <w:color w:val="auto"/>
          <w:sz w:val="21"/>
          <w:szCs w:val="21"/>
          <w:highlight w:val="none"/>
          <w:u w:val="single"/>
          <w:lang w:val="en-US" w:eastAsia="zh-CN"/>
        </w:rPr>
        <w:t>开标1室</w:t>
      </w:r>
      <w:r>
        <w:rPr>
          <w:rFonts w:hint="eastAsia" w:ascii="宋体" w:hAnsi="宋体" w:eastAsia="宋体" w:cs="宋体"/>
          <w:color w:val="auto"/>
          <w:sz w:val="21"/>
          <w:szCs w:val="21"/>
          <w:highlight w:val="none"/>
          <w:u w:val="single"/>
        </w:rPr>
        <w:t>）</w:t>
      </w:r>
      <w:r>
        <w:rPr>
          <w:rFonts w:hint="eastAsia" w:ascii="宋体" w:hAnsi="宋体" w:eastAsia="宋体" w:cs="宋体"/>
          <w:color w:val="auto"/>
          <w:sz w:val="21"/>
          <w:szCs w:val="21"/>
          <w:highlight w:val="none"/>
          <w:u w:val="single"/>
          <w:shd w:val="clear" w:color="auto" w:fill="FFFFFF"/>
        </w:rPr>
        <w:t xml:space="preserve"> 通过浙江政府采购网政府采</w:t>
      </w:r>
      <w:r>
        <w:rPr>
          <w:rFonts w:hint="eastAsia" w:ascii="宋体" w:hAnsi="宋体" w:eastAsia="宋体" w:cs="宋体"/>
          <w:color w:val="auto"/>
          <w:sz w:val="21"/>
          <w:szCs w:val="21"/>
          <w:highlight w:val="none"/>
          <w:u w:val="single"/>
        </w:rPr>
        <w:t>购云平台在线开标，</w:t>
      </w:r>
      <w:r>
        <w:rPr>
          <w:rStyle w:val="22"/>
          <w:rFonts w:hint="eastAsia" w:ascii="宋体" w:hAnsi="宋体" w:eastAsia="宋体" w:cs="宋体"/>
          <w:b w:val="0"/>
          <w:color w:val="auto"/>
          <w:sz w:val="21"/>
          <w:szCs w:val="21"/>
          <w:highlight w:val="none"/>
          <w:u w:val="single"/>
        </w:rPr>
        <w:t>投标供应</w:t>
      </w:r>
      <w:r>
        <w:rPr>
          <w:rFonts w:hint="eastAsia" w:ascii="宋体" w:hAnsi="宋体" w:eastAsia="宋体" w:cs="宋体"/>
          <w:color w:val="auto"/>
          <w:sz w:val="21"/>
          <w:szCs w:val="21"/>
          <w:highlight w:val="none"/>
          <w:u w:val="single"/>
        </w:rPr>
        <w:t>商无须前往投标现场，但须准时在线参加，直至评审结束。开标截止时间后30分钟以内供应商登录“政采云”平台，用“项目采购－开标评标”功能进行解密投标文件。</w:t>
      </w:r>
      <w:r>
        <w:rPr>
          <w:rFonts w:hint="eastAsia" w:hAnsi="宋体" w:cs="宋体"/>
          <w:color w:val="auto"/>
          <w:sz w:val="21"/>
          <w:szCs w:val="21"/>
          <w:highlight w:val="none"/>
          <w:u w:val="single"/>
        </w:rPr>
        <w:t>若供应商在规定时间内投标文件无法解密或解密失败(含未提交)，则投标无效。</w:t>
      </w:r>
    </w:p>
    <w:p>
      <w:pPr>
        <w:tabs>
          <w:tab w:val="left" w:pos="1260"/>
        </w:tabs>
        <w:autoSpaceDE/>
        <w:autoSpaceDN/>
        <w:adjustRightInd w:val="0"/>
        <w:snapToGrid w:val="0"/>
        <w:spacing w:line="500" w:lineRule="exact"/>
        <w:ind w:firstLine="422" w:firstLineChars="200"/>
        <w:jc w:val="both"/>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五、公告期限</w:t>
      </w:r>
    </w:p>
    <w:p>
      <w:pPr>
        <w:tabs>
          <w:tab w:val="left" w:pos="1260"/>
        </w:tabs>
        <w:autoSpaceDE/>
        <w:autoSpaceDN/>
        <w:adjustRightInd w:val="0"/>
        <w:snapToGrid w:val="0"/>
        <w:spacing w:line="500" w:lineRule="exact"/>
        <w:ind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自本公告发布之日起5个工作日。</w:t>
      </w:r>
    </w:p>
    <w:p>
      <w:pPr>
        <w:tabs>
          <w:tab w:val="left" w:pos="1260"/>
        </w:tabs>
        <w:autoSpaceDE/>
        <w:autoSpaceDN/>
        <w:adjustRightInd w:val="0"/>
        <w:snapToGrid w:val="0"/>
        <w:spacing w:line="500" w:lineRule="exact"/>
        <w:ind w:firstLine="422" w:firstLineChars="200"/>
        <w:jc w:val="both"/>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六、公告地址：</w:t>
      </w:r>
      <w:r>
        <w:rPr>
          <w:rFonts w:hint="eastAsia" w:ascii="宋体" w:hAnsi="宋体" w:eastAsia="宋体" w:cs="宋体"/>
          <w:color w:val="auto"/>
          <w:sz w:val="21"/>
          <w:szCs w:val="21"/>
          <w:highlight w:val="none"/>
        </w:rPr>
        <w:t>浙江政府采购网（</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"http://zfcg.czt.zj.gov.cn/" </w:instrText>
      </w:r>
      <w:r>
        <w:rPr>
          <w:rFonts w:hint="eastAsia" w:ascii="宋体" w:hAnsi="宋体" w:eastAsia="宋体" w:cs="宋体"/>
          <w:color w:val="auto"/>
          <w:highlight w:val="none"/>
        </w:rPr>
        <w:fldChar w:fldCharType="separate"/>
      </w:r>
      <w:r>
        <w:rPr>
          <w:rFonts w:hint="eastAsia" w:ascii="宋体" w:hAnsi="宋体" w:eastAsia="宋体" w:cs="宋体"/>
          <w:color w:val="auto"/>
          <w:sz w:val="21"/>
          <w:szCs w:val="21"/>
          <w:highlight w:val="none"/>
        </w:rPr>
        <w:t>http://zfcg.czt.zj.gov.cn/</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t>)</w:t>
      </w:r>
    </w:p>
    <w:p>
      <w:pPr>
        <w:tabs>
          <w:tab w:val="left" w:pos="1260"/>
        </w:tabs>
        <w:autoSpaceDE/>
        <w:autoSpaceDN/>
        <w:adjustRightInd w:val="0"/>
        <w:snapToGrid w:val="0"/>
        <w:spacing w:line="460" w:lineRule="exact"/>
        <w:ind w:firstLine="422" w:firstLineChars="200"/>
        <w:jc w:val="both"/>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七、其他补充事宜</w:t>
      </w:r>
    </w:p>
    <w:p>
      <w:pPr>
        <w:tabs>
          <w:tab w:val="left" w:pos="1260"/>
        </w:tabs>
        <w:autoSpaceDE/>
        <w:autoSpaceDN/>
        <w:adjustRightInd w:val="0"/>
        <w:snapToGrid w:val="0"/>
        <w:spacing w:line="460" w:lineRule="exact"/>
        <w:ind w:firstLine="420" w:firstLineChars="200"/>
        <w:jc w:val="both"/>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 助力扎实稳住经济的通知》（浙财采监〔2022〕8号）已分别于2022年1月29日、2022年2月1日和2022年7月1日开始实施，此前有关规定与上述文件内容不一致的，按上述文件要求执行。</w:t>
      </w:r>
    </w:p>
    <w:p>
      <w:pPr>
        <w:tabs>
          <w:tab w:val="left" w:pos="1260"/>
        </w:tabs>
        <w:autoSpaceDE/>
        <w:autoSpaceDN/>
        <w:adjustRightInd w:val="0"/>
        <w:snapToGrid w:val="0"/>
        <w:spacing w:line="460" w:lineRule="exact"/>
        <w:ind w:firstLine="420" w:firstLineChars="200"/>
        <w:jc w:val="both"/>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tabs>
          <w:tab w:val="left" w:pos="1260"/>
        </w:tabs>
        <w:autoSpaceDE/>
        <w:autoSpaceDN/>
        <w:adjustRightInd w:val="0"/>
        <w:snapToGrid w:val="0"/>
        <w:spacing w:line="460" w:lineRule="exact"/>
        <w:ind w:firstLine="420" w:firstLineChars="200"/>
        <w:jc w:val="both"/>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供应商认为采购文件使自己的权益受到损害的，可以自获取采购文件之日或者采购文件公告期限届满之日（公告期限届满后获取采购文件的，以公告期限届满之日为准）起7个工作日内，对采购文件需求的以书面形式向招标人提出质疑，对其他内容的以书面形式向招标人和采购代理机构提出质疑。质疑供应商对招标人、采购代理机构的答复不满意或者招标人、采购代理机构未在规定的时间内作出答复的，可以在答复期满后十五个工作日内向同级政府采购监督管理部门投诉。质疑函范本、投诉书范本请到浙江政府采购网下载专区下载。供应商应在法定质疑期内一次性提出针对同一采购程序环节的质疑。</w:t>
      </w:r>
    </w:p>
    <w:p>
      <w:pPr>
        <w:tabs>
          <w:tab w:val="left" w:pos="1260"/>
        </w:tabs>
        <w:autoSpaceDE/>
        <w:autoSpaceDN/>
        <w:adjustRightInd w:val="0"/>
        <w:snapToGrid w:val="0"/>
        <w:spacing w:line="460" w:lineRule="exact"/>
        <w:ind w:firstLine="420" w:firstLineChars="200"/>
        <w:jc w:val="both"/>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4.其他事项：见招标文件。 </w:t>
      </w:r>
    </w:p>
    <w:p>
      <w:pPr>
        <w:tabs>
          <w:tab w:val="left" w:pos="1260"/>
        </w:tabs>
        <w:wordWrap w:val="0"/>
        <w:autoSpaceDE/>
        <w:autoSpaceDN/>
        <w:adjustRightInd w:val="0"/>
        <w:snapToGrid w:val="0"/>
        <w:spacing w:line="460" w:lineRule="exact"/>
        <w:ind w:firstLine="420" w:firstLineChars="200"/>
        <w:jc w:val="both"/>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5.企业信用融资： 省财政厅、浙江银监局、省金融办制定了《浙江省政府采购支持中小企业信用融资试点办法》浙财采监[2012]13号），所称的政府采购信用融资，是指银行业金融机构（以下简称银行）以政府采购诚信考核和信用审查为基础，凭借政府采购合同，按优于一般中小企业的贷款利率直接向申请贷款的投标人发放贷款的一种融资方式。投标人可登录浙江政府采购（https://zfcg.czt.zj.gov.cn/）的中小企业信用融资栏目了解相关信息。供应商可以通过浙江政府采购网（https://zfcg.czt.zj.gov.cn/）首页的“政采云金融服务”模块进入申请，还可以通过政府采购云平台（https://www.zcygov.cn/）首页的“金融服务”模块进入申请。</w:t>
      </w:r>
    </w:p>
    <w:p>
      <w:pPr>
        <w:tabs>
          <w:tab w:val="left" w:pos="1260"/>
        </w:tabs>
        <w:autoSpaceDE/>
        <w:autoSpaceDN/>
        <w:adjustRightInd w:val="0"/>
        <w:snapToGrid w:val="0"/>
        <w:spacing w:line="460" w:lineRule="exact"/>
        <w:ind w:firstLine="420" w:firstLineChars="200"/>
        <w:jc w:val="both"/>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6.根据《浙江省财政厅关于进一步加大政府采购支持中小企业力度 助力扎实稳住经济的通知》（浙财采监〔2022〕8号）简化对政府采购供应商资格条件的形式审查，供应商书面承诺符合参与政府采购活动资格条件的，不需要再提供财务状况报告、依法缴纳税收和社会保障资金记录、无重大违法记录等证明材料。</w:t>
      </w:r>
    </w:p>
    <w:p>
      <w:pPr>
        <w:tabs>
          <w:tab w:val="left" w:pos="1260"/>
        </w:tabs>
        <w:autoSpaceDE/>
        <w:autoSpaceDN/>
        <w:adjustRightInd w:val="0"/>
        <w:snapToGrid w:val="0"/>
        <w:spacing w:line="460" w:lineRule="exact"/>
        <w:ind w:firstLine="420" w:firstLineChars="200"/>
        <w:jc w:val="both"/>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政府采购金融服务提示：</w:t>
      </w:r>
    </w:p>
    <w:p>
      <w:pPr>
        <w:tabs>
          <w:tab w:val="left" w:pos="1260"/>
        </w:tabs>
        <w:autoSpaceDE/>
        <w:autoSpaceDN/>
        <w:adjustRightInd w:val="0"/>
        <w:snapToGrid w:val="0"/>
        <w:spacing w:line="460" w:lineRule="exact"/>
        <w:ind w:firstLine="420" w:firstLineChars="200"/>
        <w:jc w:val="both"/>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为扩大政府采购金融服务面，除政采云网上金融服务合作银行外，金华市范围增加线下合作银行两家，具体信息如下：</w:t>
      </w:r>
    </w:p>
    <w:p>
      <w:pPr>
        <w:pStyle w:val="18"/>
        <w:adjustRightInd w:val="0"/>
        <w:snapToGrid w:val="0"/>
        <w:spacing w:before="0" w:beforeAutospacing="0" w:after="0" w:afterAutospacing="0" w:line="540" w:lineRule="exact"/>
        <w:ind w:left="0"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金华银行文创支行 联系人： 姜峰 </w:t>
      </w:r>
      <w:r>
        <w:rPr>
          <w:rFonts w:hint="eastAsia" w:ascii="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 xml:space="preserve">联系电话：13905792828 </w:t>
      </w:r>
      <w:r>
        <w:rPr>
          <w:rFonts w:hint="eastAsia" w:ascii="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0579-82479020</w:t>
      </w:r>
    </w:p>
    <w:p>
      <w:pPr>
        <w:tabs>
          <w:tab w:val="left" w:pos="1260"/>
        </w:tabs>
        <w:autoSpaceDE/>
        <w:autoSpaceDN/>
        <w:adjustRightInd w:val="0"/>
        <w:snapToGrid w:val="0"/>
        <w:spacing w:line="460" w:lineRule="exact"/>
        <w:ind w:firstLine="420" w:firstLineChars="200"/>
        <w:jc w:val="both"/>
        <w:rPr>
          <w:rStyle w:val="22"/>
          <w:rFonts w:hint="eastAsia" w:ascii="宋体" w:hAnsi="宋体" w:eastAsia="宋体" w:cs="宋体"/>
          <w:color w:val="auto"/>
          <w:sz w:val="21"/>
          <w:szCs w:val="21"/>
          <w:highlight w:val="none"/>
          <w:shd w:val="clear" w:color="auto" w:fill="FFFFFF"/>
        </w:rPr>
      </w:pPr>
      <w:r>
        <w:rPr>
          <w:rFonts w:hint="eastAsia" w:ascii="宋体" w:hAnsi="宋体" w:eastAsia="宋体" w:cs="宋体"/>
          <w:bCs/>
          <w:color w:val="auto"/>
          <w:sz w:val="21"/>
          <w:szCs w:val="21"/>
          <w:highlight w:val="none"/>
        </w:rPr>
        <w:t>浙商银行金华分行   联系人： 朱晨祥  联系电话： 15857978811  0579-82999581</w:t>
      </w:r>
    </w:p>
    <w:p>
      <w:pPr>
        <w:pStyle w:val="18"/>
        <w:adjustRightInd w:val="0"/>
        <w:snapToGrid w:val="0"/>
        <w:spacing w:before="0" w:beforeAutospacing="0" w:after="0" w:afterAutospacing="0" w:line="460" w:lineRule="exact"/>
        <w:ind w:firstLine="422" w:firstLineChars="200"/>
        <w:rPr>
          <w:rFonts w:hint="eastAsia" w:ascii="宋体" w:hAnsi="宋体" w:eastAsia="宋体" w:cs="宋体"/>
          <w:color w:val="auto"/>
          <w:sz w:val="21"/>
          <w:szCs w:val="21"/>
          <w:highlight w:val="none"/>
        </w:rPr>
      </w:pPr>
      <w:r>
        <w:rPr>
          <w:rStyle w:val="22"/>
          <w:rFonts w:hint="eastAsia" w:ascii="宋体" w:hAnsi="宋体" w:eastAsia="宋体" w:cs="宋体"/>
          <w:color w:val="auto"/>
          <w:sz w:val="21"/>
          <w:szCs w:val="21"/>
          <w:highlight w:val="none"/>
          <w:shd w:val="clear" w:color="auto" w:fill="FFFFFF"/>
        </w:rPr>
        <w:t>八、电子投标事项特别说明</w:t>
      </w:r>
    </w:p>
    <w:p>
      <w:pPr>
        <w:pStyle w:val="18"/>
        <w:widowControl w:val="0"/>
        <w:adjustRightInd w:val="0"/>
        <w:snapToGrid w:val="0"/>
        <w:spacing w:before="0" w:beforeAutospacing="0" w:after="0" w:afterAutospacing="0" w:line="500" w:lineRule="exact"/>
        <w:ind w:firstLine="420" w:firstLineChars="200"/>
        <w:rPr>
          <w:rFonts w:hint="eastAsia"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shd w:val="clear" w:color="auto" w:fill="FFFFFF"/>
        </w:rPr>
        <w:t>1.本项目实行电子投标，投标供应商应按照本项目采购文件和政采云平台的要求编制、加密并递交响应文件。供应商在使用系统进行投标的过程中遇到涉及平台使用的任何问题，可致电政采云平台技术支持热线咨询，联系方式：95763。</w:t>
      </w:r>
    </w:p>
    <w:p>
      <w:pPr>
        <w:pStyle w:val="18"/>
        <w:widowControl w:val="0"/>
        <w:wordWrap w:val="0"/>
        <w:adjustRightInd w:val="0"/>
        <w:snapToGrid w:val="0"/>
        <w:spacing w:before="0" w:beforeAutospacing="0" w:after="0" w:afterAutospacing="0" w:line="500" w:lineRule="exact"/>
        <w:ind w:firstLine="420" w:firstLineChars="200"/>
        <w:rPr>
          <w:rFonts w:hint="eastAsia"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rPr>
        <w:t>2.标前准备（CA驱动办理）：</w:t>
      </w:r>
      <w:r>
        <w:rPr>
          <w:rFonts w:hint="eastAsia" w:ascii="宋体" w:hAnsi="宋体" w:eastAsia="宋体" w:cs="宋体"/>
          <w:bCs/>
          <w:color w:val="auto"/>
          <w:sz w:val="21"/>
          <w:szCs w:val="21"/>
          <w:highlight w:val="none"/>
        </w:rPr>
        <w:t>投标人应在开标前完成CA数字证书办理。完成CA数字证书办理预计一周左右，建议各投标人抓紧时间办理。因未注册入库、未办理CA数字证书等原因造成无法投标或投标失败等后果由投标人自行承担。</w:t>
      </w:r>
    </w:p>
    <w:p>
      <w:pPr>
        <w:pStyle w:val="18"/>
        <w:widowControl w:val="0"/>
        <w:wordWrap w:val="0"/>
        <w:adjustRightInd w:val="0"/>
        <w:snapToGrid w:val="0"/>
        <w:spacing w:before="0" w:beforeAutospacing="0" w:after="0" w:afterAutospacing="0" w:line="500" w:lineRule="exact"/>
        <w:ind w:firstLine="420" w:firstLineChars="200"/>
        <w:rPr>
          <w:rFonts w:hint="eastAsia"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shd w:val="clear" w:color="auto" w:fill="FFFFFF"/>
        </w:rPr>
        <w:t>3.投标人通过政采云平台“电子交易客户端”制作响应文件，电子投标工具请供应商自行前往浙江省政府采购网下载并安装。</w:t>
      </w:r>
    </w:p>
    <w:p>
      <w:pPr>
        <w:pStyle w:val="18"/>
        <w:widowControl w:val="0"/>
        <w:adjustRightInd w:val="0"/>
        <w:snapToGrid w:val="0"/>
        <w:spacing w:before="0" w:beforeAutospacing="0" w:after="0" w:afterAutospacing="0" w:line="500" w:lineRule="exact"/>
        <w:ind w:firstLine="420" w:firstLineChars="200"/>
        <w:rPr>
          <w:rFonts w:hint="eastAsia"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shd w:val="clear" w:color="auto" w:fill="FFFFFF"/>
        </w:rPr>
        <w:t>4.投标人将加密的电子版响应文件于投标截止时间前上传到政采云系统中。</w:t>
      </w:r>
    </w:p>
    <w:p>
      <w:pPr>
        <w:pStyle w:val="18"/>
        <w:widowControl w:val="0"/>
        <w:adjustRightInd w:val="0"/>
        <w:snapToGrid w:val="0"/>
        <w:spacing w:before="0" w:beforeAutospacing="0" w:after="0" w:afterAutospacing="0" w:line="500" w:lineRule="exact"/>
        <w:ind w:firstLine="420" w:firstLineChars="200"/>
        <w:rPr>
          <w:rFonts w:hint="eastAsia"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shd w:val="clear" w:color="auto" w:fill="FFFFFF"/>
        </w:rPr>
        <w:t>5.具体的响应文件加密上传等操作详见政采云平台操作指南（https://edu.zcygov.cn/luban/e-biding?utm=a0004.2ef5001f.0001.0109.da8b35e0da8611e98d8937b7ef8a3544）。</w:t>
      </w:r>
    </w:p>
    <w:p>
      <w:pPr>
        <w:pStyle w:val="18"/>
        <w:widowControl w:val="0"/>
        <w:adjustRightInd w:val="0"/>
        <w:snapToGrid w:val="0"/>
        <w:spacing w:before="0" w:beforeAutospacing="0" w:after="0" w:afterAutospacing="0" w:line="500" w:lineRule="exact"/>
        <w:ind w:firstLine="420" w:firstLineChars="200"/>
        <w:rPr>
          <w:rFonts w:hint="eastAsia"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shd w:val="clear" w:color="auto" w:fill="FFFFFF"/>
        </w:rPr>
        <w:t>注：建议使用谷歌浏览器，使用其他浏览器可能发生无法解密等未知情况。</w:t>
      </w:r>
    </w:p>
    <w:p>
      <w:pPr>
        <w:pStyle w:val="18"/>
        <w:widowControl w:val="0"/>
        <w:adjustRightInd w:val="0"/>
        <w:snapToGrid w:val="0"/>
        <w:spacing w:before="0" w:beforeAutospacing="0" w:after="0" w:afterAutospacing="0"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shd w:val="clear" w:color="auto" w:fill="FFFFFF"/>
        </w:rPr>
        <w:t>6.投标人应当在投标截止时间前完成电子响应文件的传输递交，并可以补充、修改或者撤回电子响应文件。补充或者修改电子响应文件的，应当先行撤回原文件，补充、修改后重新传输递交。投标截止时间前未完成传输的，视为撤回响应文件。投标、响应截止时间后送达的投标、响应文件，将被政采云平台拒收。</w:t>
      </w:r>
      <w:bookmarkEnd w:id="29"/>
      <w:bookmarkEnd w:id="30"/>
      <w:bookmarkEnd w:id="31"/>
      <w:bookmarkEnd w:id="32"/>
    </w:p>
    <w:p>
      <w:pPr>
        <w:tabs>
          <w:tab w:val="left" w:pos="1260"/>
        </w:tabs>
        <w:autoSpaceDE/>
        <w:autoSpaceDN/>
        <w:adjustRightInd w:val="0"/>
        <w:snapToGrid w:val="0"/>
        <w:spacing w:line="500" w:lineRule="exact"/>
        <w:ind w:firstLine="422" w:firstLineChars="200"/>
        <w:jc w:val="both"/>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九、对本次招标提出询问，请按以下方式联系</w:t>
      </w:r>
      <w:bookmarkEnd w:id="25"/>
      <w:bookmarkEnd w:id="26"/>
      <w:bookmarkEnd w:id="27"/>
      <w:bookmarkEnd w:id="28"/>
    </w:p>
    <w:p>
      <w:pPr>
        <w:tabs>
          <w:tab w:val="left" w:pos="1260"/>
        </w:tabs>
        <w:autoSpaceDE/>
        <w:autoSpaceDN/>
        <w:adjustRightInd w:val="0"/>
        <w:snapToGrid w:val="0"/>
        <w:spacing w:line="500" w:lineRule="exact"/>
        <w:ind w:firstLine="422" w:firstLineChars="200"/>
        <w:jc w:val="both"/>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1.采购单位信息</w:t>
      </w:r>
    </w:p>
    <w:p>
      <w:pPr>
        <w:tabs>
          <w:tab w:val="left" w:pos="1260"/>
        </w:tabs>
        <w:autoSpaceDE/>
        <w:autoSpaceDN/>
        <w:adjustRightInd w:val="0"/>
        <w:snapToGrid w:val="0"/>
        <w:spacing w:line="500" w:lineRule="exact"/>
        <w:ind w:firstLine="420" w:firstLineChars="200"/>
        <w:jc w:val="both"/>
        <w:rPr>
          <w:rFonts w:hint="eastAsia" w:hAnsi="宋体" w:eastAsia="宋体" w:cs="宋体"/>
          <w:color w:val="auto"/>
          <w:sz w:val="21"/>
          <w:szCs w:val="21"/>
          <w:highlight w:val="none"/>
        </w:rPr>
      </w:pPr>
      <w:r>
        <w:rPr>
          <w:rFonts w:hint="eastAsia" w:hAnsi="宋体" w:eastAsia="宋体" w:cs="宋体"/>
          <w:color w:val="auto"/>
          <w:sz w:val="21"/>
          <w:szCs w:val="21"/>
          <w:highlight w:val="none"/>
        </w:rPr>
        <w:t>名 称：金华市婺城区住房和城乡建设局</w:t>
      </w:r>
    </w:p>
    <w:p>
      <w:pPr>
        <w:tabs>
          <w:tab w:val="left" w:pos="1260"/>
        </w:tabs>
        <w:autoSpaceDE/>
        <w:autoSpaceDN/>
        <w:adjustRightInd w:val="0"/>
        <w:snapToGrid w:val="0"/>
        <w:spacing w:line="500" w:lineRule="exact"/>
        <w:ind w:firstLine="420" w:firstLineChars="200"/>
        <w:jc w:val="both"/>
        <w:rPr>
          <w:rFonts w:hint="eastAsia" w:hAnsi="宋体" w:eastAsia="宋体" w:cs="宋体"/>
          <w:color w:val="auto"/>
          <w:sz w:val="21"/>
          <w:szCs w:val="21"/>
          <w:highlight w:val="none"/>
        </w:rPr>
      </w:pPr>
      <w:r>
        <w:rPr>
          <w:rFonts w:hint="eastAsia" w:hAnsi="宋体" w:eastAsia="宋体" w:cs="宋体"/>
          <w:color w:val="auto"/>
          <w:sz w:val="21"/>
          <w:szCs w:val="21"/>
          <w:highlight w:val="none"/>
        </w:rPr>
        <w:t xml:space="preserve">地址：金华市宾虹西路2666号 </w:t>
      </w:r>
    </w:p>
    <w:p>
      <w:pPr>
        <w:tabs>
          <w:tab w:val="left" w:pos="1260"/>
        </w:tabs>
        <w:autoSpaceDE/>
        <w:autoSpaceDN/>
        <w:adjustRightInd w:val="0"/>
        <w:snapToGrid w:val="0"/>
        <w:spacing w:line="500" w:lineRule="exact"/>
        <w:ind w:firstLine="420" w:firstLineChars="200"/>
        <w:jc w:val="both"/>
        <w:rPr>
          <w:rFonts w:hint="default" w:hAnsi="宋体" w:eastAsia="宋体" w:cs="宋体"/>
          <w:color w:val="auto"/>
          <w:sz w:val="21"/>
          <w:szCs w:val="21"/>
          <w:highlight w:val="none"/>
          <w:lang w:val="en-US" w:eastAsia="zh-CN"/>
        </w:rPr>
      </w:pPr>
      <w:r>
        <w:rPr>
          <w:rFonts w:hint="eastAsia" w:hAnsi="宋体" w:eastAsia="宋体" w:cs="宋体"/>
          <w:color w:val="auto"/>
          <w:sz w:val="21"/>
          <w:szCs w:val="21"/>
          <w:highlight w:val="none"/>
        </w:rPr>
        <w:t>项目联系人（询问）：</w:t>
      </w:r>
      <w:r>
        <w:rPr>
          <w:rFonts w:hint="eastAsia" w:hAnsi="宋体" w:cs="宋体"/>
          <w:color w:val="auto"/>
          <w:sz w:val="21"/>
          <w:szCs w:val="21"/>
          <w:highlight w:val="none"/>
          <w:lang w:val="en-US" w:eastAsia="zh-CN"/>
        </w:rPr>
        <w:t>赖先生</w:t>
      </w:r>
    </w:p>
    <w:p>
      <w:pPr>
        <w:tabs>
          <w:tab w:val="left" w:pos="1260"/>
        </w:tabs>
        <w:autoSpaceDE/>
        <w:autoSpaceDN/>
        <w:adjustRightInd w:val="0"/>
        <w:snapToGrid w:val="0"/>
        <w:spacing w:line="500" w:lineRule="exact"/>
        <w:ind w:firstLine="420" w:firstLineChars="200"/>
        <w:jc w:val="both"/>
        <w:rPr>
          <w:rFonts w:hint="eastAsia" w:hAnsi="宋体" w:eastAsia="宋体" w:cs="宋体"/>
          <w:color w:val="auto"/>
          <w:sz w:val="21"/>
          <w:szCs w:val="21"/>
          <w:highlight w:val="none"/>
        </w:rPr>
      </w:pPr>
      <w:r>
        <w:rPr>
          <w:rFonts w:hint="eastAsia" w:hAnsi="宋体" w:eastAsia="宋体" w:cs="宋体"/>
          <w:color w:val="auto"/>
          <w:sz w:val="21"/>
          <w:szCs w:val="21"/>
          <w:highlight w:val="none"/>
        </w:rPr>
        <w:t>项目联系方式（询问）：0579-82225008</w:t>
      </w:r>
    </w:p>
    <w:p>
      <w:pPr>
        <w:tabs>
          <w:tab w:val="left" w:pos="1260"/>
        </w:tabs>
        <w:autoSpaceDE/>
        <w:autoSpaceDN/>
        <w:adjustRightInd w:val="0"/>
        <w:snapToGrid w:val="0"/>
        <w:spacing w:line="500" w:lineRule="exact"/>
        <w:ind w:firstLine="420" w:firstLineChars="200"/>
        <w:jc w:val="both"/>
        <w:rPr>
          <w:rFonts w:hint="default" w:hAnsi="宋体" w:eastAsia="宋体" w:cs="宋体"/>
          <w:color w:val="auto"/>
          <w:sz w:val="21"/>
          <w:szCs w:val="21"/>
          <w:highlight w:val="none"/>
          <w:lang w:val="en-US" w:eastAsia="zh-CN"/>
        </w:rPr>
      </w:pPr>
      <w:r>
        <w:rPr>
          <w:rFonts w:hint="eastAsia" w:hAnsi="宋体" w:eastAsia="宋体" w:cs="宋体"/>
          <w:color w:val="auto"/>
          <w:sz w:val="21"/>
          <w:szCs w:val="21"/>
          <w:highlight w:val="none"/>
        </w:rPr>
        <w:t xml:space="preserve">质疑联系人（询问）： </w:t>
      </w:r>
      <w:r>
        <w:rPr>
          <w:rFonts w:hint="eastAsia" w:hAnsi="宋体" w:cs="宋体"/>
          <w:color w:val="auto"/>
          <w:sz w:val="21"/>
          <w:szCs w:val="21"/>
          <w:highlight w:val="none"/>
          <w:lang w:val="en-US" w:eastAsia="zh-CN"/>
        </w:rPr>
        <w:t>喻先生</w:t>
      </w:r>
    </w:p>
    <w:p>
      <w:pPr>
        <w:tabs>
          <w:tab w:val="left" w:pos="1260"/>
        </w:tabs>
        <w:autoSpaceDE/>
        <w:autoSpaceDN/>
        <w:adjustRightInd w:val="0"/>
        <w:snapToGrid w:val="0"/>
        <w:spacing w:line="500" w:lineRule="exact"/>
        <w:ind w:firstLine="420" w:firstLineChars="200"/>
        <w:jc w:val="both"/>
        <w:rPr>
          <w:rFonts w:hint="eastAsia" w:hAnsi="宋体" w:eastAsia="宋体" w:cs="宋体"/>
          <w:b/>
          <w:color w:val="auto"/>
          <w:sz w:val="21"/>
          <w:szCs w:val="21"/>
          <w:highlight w:val="none"/>
        </w:rPr>
      </w:pPr>
      <w:r>
        <w:rPr>
          <w:rFonts w:hint="eastAsia" w:hAnsi="宋体" w:eastAsia="宋体" w:cs="宋体"/>
          <w:color w:val="auto"/>
          <w:sz w:val="21"/>
          <w:szCs w:val="21"/>
          <w:highlight w:val="none"/>
        </w:rPr>
        <w:t>质疑联系方式（询问）：0579-82225008</w:t>
      </w:r>
    </w:p>
    <w:p>
      <w:pPr>
        <w:tabs>
          <w:tab w:val="left" w:pos="1260"/>
        </w:tabs>
        <w:autoSpaceDE/>
        <w:autoSpaceDN/>
        <w:adjustRightInd w:val="0"/>
        <w:snapToGrid w:val="0"/>
        <w:spacing w:line="500" w:lineRule="exact"/>
        <w:ind w:firstLine="422" w:firstLineChars="200"/>
        <w:jc w:val="both"/>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2.采购代理机构信息</w:t>
      </w:r>
    </w:p>
    <w:p>
      <w:pPr>
        <w:pStyle w:val="18"/>
        <w:adjustRightInd w:val="0"/>
        <w:snapToGrid w:val="0"/>
        <w:spacing w:before="0" w:beforeAutospacing="0" w:after="0" w:afterAutospacing="0" w:line="500" w:lineRule="exact"/>
        <w:ind w:firstLine="420" w:firstLineChars="200"/>
        <w:rPr>
          <w:rFonts w:hint="eastAsia"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shd w:val="clear" w:color="auto" w:fill="FFFFFF"/>
        </w:rPr>
        <w:t>名称：金华市天盈招标代理有限公司</w:t>
      </w:r>
    </w:p>
    <w:p>
      <w:pPr>
        <w:pStyle w:val="18"/>
        <w:adjustRightInd w:val="0"/>
        <w:snapToGrid w:val="0"/>
        <w:spacing w:before="0" w:beforeAutospacing="0" w:after="0" w:afterAutospacing="0" w:line="500" w:lineRule="exact"/>
        <w:ind w:firstLine="420" w:firstLineChars="200"/>
        <w:rPr>
          <w:rFonts w:hint="eastAsia"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shd w:val="clear" w:color="auto" w:fill="FFFFFF"/>
        </w:rPr>
        <w:t>地址：金华市创新街18号南楼四楼，农科教大楼西侧</w:t>
      </w:r>
    </w:p>
    <w:p>
      <w:pPr>
        <w:pStyle w:val="18"/>
        <w:adjustRightInd w:val="0"/>
        <w:snapToGrid w:val="0"/>
        <w:spacing w:before="0" w:beforeAutospacing="0" w:after="0" w:afterAutospacing="0" w:line="500" w:lineRule="exact"/>
        <w:ind w:firstLine="420" w:firstLineChars="200"/>
        <w:rPr>
          <w:rFonts w:hint="eastAsia"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shd w:val="clear" w:color="auto" w:fill="FFFFFF"/>
        </w:rPr>
        <w:t>项目联系人（询问）：卢丽云</w:t>
      </w:r>
    </w:p>
    <w:p>
      <w:pPr>
        <w:pStyle w:val="18"/>
        <w:adjustRightInd w:val="0"/>
        <w:snapToGrid w:val="0"/>
        <w:spacing w:before="0" w:beforeAutospacing="0" w:after="0" w:afterAutospacing="0" w:line="500" w:lineRule="exact"/>
        <w:ind w:firstLine="420" w:firstLineChars="200"/>
        <w:rPr>
          <w:rFonts w:hint="default" w:ascii="宋体" w:hAnsi="宋体" w:eastAsia="宋体" w:cs="宋体"/>
          <w:color w:val="auto"/>
          <w:sz w:val="21"/>
          <w:szCs w:val="21"/>
          <w:highlight w:val="none"/>
          <w:shd w:val="clear" w:color="auto" w:fill="FFFFFF"/>
          <w:lang w:val="en-US" w:eastAsia="zh-CN"/>
        </w:rPr>
      </w:pPr>
      <w:r>
        <w:rPr>
          <w:rFonts w:hint="eastAsia" w:ascii="宋体" w:hAnsi="宋体" w:eastAsia="宋体" w:cs="宋体"/>
          <w:color w:val="auto"/>
          <w:sz w:val="21"/>
          <w:szCs w:val="21"/>
          <w:highlight w:val="none"/>
          <w:shd w:val="clear" w:color="auto" w:fill="FFFFFF"/>
        </w:rPr>
        <w:t>项目联系方式（询问）：0579-</w:t>
      </w:r>
      <w:r>
        <w:rPr>
          <w:rFonts w:hint="eastAsia" w:ascii="宋体" w:cs="宋体"/>
          <w:color w:val="auto"/>
          <w:sz w:val="21"/>
          <w:szCs w:val="21"/>
          <w:highlight w:val="none"/>
          <w:shd w:val="clear" w:color="auto" w:fill="FFFFFF"/>
          <w:lang w:val="en-US" w:eastAsia="zh-CN"/>
        </w:rPr>
        <w:t>81338925、82162067</w:t>
      </w:r>
    </w:p>
    <w:p>
      <w:pPr>
        <w:pStyle w:val="18"/>
        <w:adjustRightInd w:val="0"/>
        <w:snapToGrid w:val="0"/>
        <w:spacing w:before="0" w:beforeAutospacing="0" w:after="0" w:afterAutospacing="0" w:line="500" w:lineRule="exact"/>
        <w:ind w:firstLine="420" w:firstLineChars="200"/>
        <w:rPr>
          <w:rFonts w:hint="eastAsia"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shd w:val="clear" w:color="auto" w:fill="FFFFFF"/>
        </w:rPr>
        <w:t>质疑联系人（询问）：夏翰宇</w:t>
      </w:r>
    </w:p>
    <w:p>
      <w:pPr>
        <w:pStyle w:val="18"/>
        <w:adjustRightInd w:val="0"/>
        <w:snapToGrid w:val="0"/>
        <w:spacing w:before="0" w:beforeAutospacing="0" w:after="0" w:afterAutospacing="0" w:line="500" w:lineRule="exact"/>
        <w:ind w:firstLine="420" w:firstLineChars="200"/>
        <w:rPr>
          <w:rFonts w:hint="eastAsia"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shd w:val="clear" w:color="auto" w:fill="FFFFFF"/>
        </w:rPr>
        <w:t>质疑联系方式（询问）：0579-82474058 </w:t>
      </w:r>
    </w:p>
    <w:p>
      <w:pPr>
        <w:tabs>
          <w:tab w:val="left" w:pos="1260"/>
        </w:tabs>
        <w:autoSpaceDE/>
        <w:autoSpaceDN/>
        <w:adjustRightInd w:val="0"/>
        <w:snapToGrid w:val="0"/>
        <w:spacing w:line="500" w:lineRule="exact"/>
        <w:ind w:firstLine="422" w:firstLineChars="200"/>
        <w:jc w:val="both"/>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3.同级政府采购监督管理部门</w:t>
      </w:r>
    </w:p>
    <w:p>
      <w:pPr>
        <w:pStyle w:val="18"/>
        <w:widowControl w:val="0"/>
        <w:adjustRightInd w:val="0"/>
        <w:snapToGrid w:val="0"/>
        <w:spacing w:before="0" w:beforeAutospacing="0" w:after="0" w:afterAutospacing="0" w:line="500" w:lineRule="exact"/>
        <w:ind w:firstLine="420" w:firstLineChars="200"/>
        <w:rPr>
          <w:rFonts w:hint="eastAsia"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shd w:val="clear" w:color="auto" w:fill="FFFFFF"/>
        </w:rPr>
        <w:t>名称：金华市婺城区财政局政府采购监督管理办公室</w:t>
      </w:r>
    </w:p>
    <w:p>
      <w:pPr>
        <w:pStyle w:val="18"/>
        <w:widowControl w:val="0"/>
        <w:adjustRightInd w:val="0"/>
        <w:snapToGrid w:val="0"/>
        <w:spacing w:before="0" w:beforeAutospacing="0" w:after="0" w:afterAutospacing="0" w:line="500" w:lineRule="exact"/>
        <w:ind w:firstLine="420" w:firstLineChars="200"/>
        <w:rPr>
          <w:rFonts w:hint="eastAsia"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shd w:val="clear" w:color="auto" w:fill="FFFFFF"/>
        </w:rPr>
        <w:t>地址：金华市宾虹西路2666号 </w:t>
      </w:r>
    </w:p>
    <w:p>
      <w:pPr>
        <w:pStyle w:val="18"/>
        <w:widowControl w:val="0"/>
        <w:adjustRightInd w:val="0"/>
        <w:snapToGrid w:val="0"/>
        <w:spacing w:before="0" w:beforeAutospacing="0" w:after="0" w:afterAutospacing="0" w:line="500" w:lineRule="exact"/>
        <w:ind w:firstLine="420" w:firstLineChars="200"/>
        <w:rPr>
          <w:rFonts w:hint="eastAsia"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shd w:val="clear" w:color="auto" w:fill="FFFFFF"/>
        </w:rPr>
        <w:t>联系人 ：</w:t>
      </w:r>
      <w:r>
        <w:rPr>
          <w:rFonts w:hint="eastAsia" w:ascii="宋体" w:cs="宋体"/>
          <w:color w:val="auto"/>
          <w:sz w:val="21"/>
          <w:szCs w:val="21"/>
          <w:highlight w:val="none"/>
          <w:shd w:val="clear" w:color="auto" w:fill="FFFFFF"/>
          <w:lang w:val="en-US" w:eastAsia="zh-CN"/>
        </w:rPr>
        <w:t>李老师</w:t>
      </w:r>
    </w:p>
    <w:p>
      <w:pPr>
        <w:pStyle w:val="18"/>
        <w:adjustRightInd w:val="0"/>
        <w:snapToGrid w:val="0"/>
        <w:spacing w:before="0" w:beforeAutospacing="0" w:after="0" w:afterAutospacing="0" w:line="500" w:lineRule="exact"/>
        <w:ind w:firstLine="420" w:firstLineChars="200"/>
        <w:rPr>
          <w:rFonts w:hint="eastAsia"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shd w:val="clear" w:color="auto" w:fill="FFFFFF"/>
        </w:rPr>
        <w:t>监督投诉电话：0579-82487292</w:t>
      </w:r>
    </w:p>
    <w:bookmarkEnd w:id="9"/>
    <w:bookmarkEnd w:id="10"/>
    <w:bookmarkEnd w:id="11"/>
    <w:bookmarkEnd w:id="12"/>
    <w:p>
      <w:pPr>
        <w:pStyle w:val="4"/>
        <w:keepNext w:val="0"/>
        <w:snapToGrid w:val="0"/>
        <w:spacing w:line="500" w:lineRule="exact"/>
        <w:jc w:val="center"/>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br w:type="page"/>
      </w:r>
      <w:bookmarkStart w:id="37" w:name="_Toc29315"/>
      <w:r>
        <w:rPr>
          <w:rFonts w:hint="eastAsia" w:ascii="宋体" w:hAnsi="宋体" w:eastAsia="宋体" w:cs="宋体"/>
          <w:color w:val="auto"/>
          <w:sz w:val="30"/>
          <w:szCs w:val="30"/>
          <w:highlight w:val="none"/>
        </w:rPr>
        <w:t>第二章  招标需求</w:t>
      </w:r>
      <w:bookmarkEnd w:id="37"/>
    </w:p>
    <w:p>
      <w:pPr>
        <w:spacing w:line="500" w:lineRule="exact"/>
        <w:ind w:firstLine="422" w:firstLineChars="200"/>
        <w:rPr>
          <w:rFonts w:hint="eastAsia" w:ascii="宋体" w:hAnsi="宋体" w:eastAsia="宋体" w:cs="宋体"/>
          <w:b/>
          <w:color w:val="auto"/>
          <w:sz w:val="21"/>
          <w:szCs w:val="21"/>
          <w:highlight w:val="none"/>
        </w:rPr>
      </w:pPr>
      <w:bookmarkStart w:id="38" w:name="_Toc25588"/>
      <w:r>
        <w:rPr>
          <w:rFonts w:hint="eastAsia" w:ascii="宋体" w:hAnsi="宋体" w:eastAsia="宋体" w:cs="宋体"/>
          <w:b/>
          <w:color w:val="auto"/>
          <w:sz w:val="21"/>
          <w:szCs w:val="21"/>
          <w:highlight w:val="none"/>
        </w:rPr>
        <w:t>一、项目概况</w:t>
      </w:r>
    </w:p>
    <w:p>
      <w:pPr>
        <w:snapToGrid w:val="0"/>
        <w:spacing w:line="500" w:lineRule="exact"/>
        <w:ind w:firstLine="420" w:firstLineChars="200"/>
        <w:rPr>
          <w:rFonts w:hint="eastAsia" w:hAnsi="宋体" w:cs="宋体"/>
          <w:color w:val="auto"/>
          <w:sz w:val="21"/>
          <w:szCs w:val="21"/>
          <w:highlight w:val="none"/>
          <w:shd w:val="clear" w:color="auto" w:fill="FFFFFF"/>
          <w:lang w:val="en-US" w:eastAsia="zh-CN"/>
        </w:rPr>
      </w:pPr>
      <w:bookmarkStart w:id="39" w:name="_Toc14604"/>
      <w:r>
        <w:rPr>
          <w:rFonts w:hint="eastAsia" w:ascii="宋体" w:hAnsi="宋体" w:eastAsia="宋体" w:cs="宋体"/>
          <w:b w:val="0"/>
          <w:color w:val="auto"/>
          <w:sz w:val="21"/>
          <w:szCs w:val="21"/>
          <w:highlight w:val="none"/>
        </w:rPr>
        <w:t>为实现污泥无害化处理的目标，改善城市生态环境，促进循环经济，根据《中华人民共和国固体废物污染环境防治法》等法律、法规的规定，现需对婺城新城区污水处理厂污水处理工艺中所产生的污泥进行处置。为规范处理处置</w:t>
      </w:r>
      <w:bookmarkStart w:id="40" w:name="_Hlk62558623"/>
      <w:r>
        <w:rPr>
          <w:rFonts w:hint="eastAsia" w:ascii="宋体" w:hAnsi="宋体" w:eastAsia="宋体" w:cs="宋体"/>
          <w:b w:val="0"/>
          <w:color w:val="auto"/>
          <w:sz w:val="21"/>
          <w:szCs w:val="21"/>
          <w:highlight w:val="none"/>
        </w:rPr>
        <w:t>婺城新城区</w:t>
      </w:r>
      <w:bookmarkEnd w:id="40"/>
      <w:r>
        <w:rPr>
          <w:rFonts w:hint="eastAsia" w:ascii="宋体" w:hAnsi="宋体" w:eastAsia="宋体" w:cs="宋体"/>
          <w:b w:val="0"/>
          <w:color w:val="auto"/>
          <w:sz w:val="21"/>
          <w:szCs w:val="21"/>
          <w:highlight w:val="none"/>
        </w:rPr>
        <w:t>污水处理厂产生的污泥，现开展婺城新城区污水处理厂污泥处置服务项目的公开招标。污泥处置需符合国家关于城镇污水处理厂污泥处理处置、污染防治的相关规定和《金华市人民政府办公室关于印发&lt;金华市清废行动实施方案&gt;的通知》金政办发〔2019〕17号及环保相关要求，实现污泥处置稳定化、无害化、资源化，同时符合“危险废物不出市、固体废物不出县”的原则</w:t>
      </w:r>
      <w:r>
        <w:rPr>
          <w:rFonts w:hint="eastAsia" w:hAnsi="宋体" w:cs="宋体"/>
          <w:color w:val="auto"/>
          <w:sz w:val="21"/>
          <w:szCs w:val="21"/>
          <w:highlight w:val="none"/>
          <w:shd w:val="clear" w:color="auto" w:fill="FFFFFF"/>
          <w:lang w:val="en-US" w:eastAsia="zh-CN"/>
        </w:rPr>
        <w:t>，本项目要求投标人污泥处置地点必须位于金华大市范围内。</w:t>
      </w:r>
    </w:p>
    <w:bookmarkEnd w:id="39"/>
    <w:p>
      <w:pPr>
        <w:spacing w:line="500" w:lineRule="exact"/>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二、服务数量及内容</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2057"/>
        <w:gridCol w:w="2801"/>
        <w:gridCol w:w="1077"/>
        <w:gridCol w:w="1440"/>
        <w:gridCol w:w="1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737" w:type="dxa"/>
            <w:noWrap w:val="0"/>
            <w:vAlign w:val="center"/>
          </w:tcPr>
          <w:p>
            <w:pPr>
              <w:spacing w:line="460" w:lineRule="exact"/>
              <w:rPr>
                <w:rFonts w:hint="eastAsia" w:ascii="宋体" w:hAnsi="宋体" w:eastAsia="宋体" w:cs="宋体"/>
                <w:b/>
                <w:color w:val="auto"/>
                <w:sz w:val="21"/>
                <w:szCs w:val="21"/>
                <w:highlight w:val="none"/>
              </w:rPr>
            </w:pPr>
            <w:bookmarkStart w:id="41" w:name="_Toc487792301"/>
            <w:bookmarkStart w:id="42" w:name="_Toc32525"/>
            <w:bookmarkStart w:id="43" w:name="_Toc487792261"/>
            <w:bookmarkStart w:id="44" w:name="_Toc16467"/>
            <w:r>
              <w:rPr>
                <w:rFonts w:hint="eastAsia" w:ascii="宋体" w:hAnsi="宋体" w:eastAsia="宋体" w:cs="宋体"/>
                <w:b/>
                <w:color w:val="auto"/>
                <w:sz w:val="21"/>
                <w:szCs w:val="21"/>
                <w:highlight w:val="none"/>
              </w:rPr>
              <w:t>序号</w:t>
            </w:r>
          </w:p>
        </w:tc>
        <w:tc>
          <w:tcPr>
            <w:tcW w:w="2057" w:type="dxa"/>
            <w:noWrap w:val="0"/>
            <w:vAlign w:val="center"/>
          </w:tcPr>
          <w:p>
            <w:pPr>
              <w:spacing w:line="460" w:lineRule="exact"/>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采购内容</w:t>
            </w:r>
          </w:p>
        </w:tc>
        <w:tc>
          <w:tcPr>
            <w:tcW w:w="2801" w:type="dxa"/>
            <w:noWrap w:val="0"/>
            <w:vAlign w:val="center"/>
          </w:tcPr>
          <w:p>
            <w:pPr>
              <w:spacing w:line="460" w:lineRule="exact"/>
              <w:ind w:firstLine="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服务要求</w:t>
            </w:r>
          </w:p>
        </w:tc>
        <w:tc>
          <w:tcPr>
            <w:tcW w:w="1077" w:type="dxa"/>
            <w:noWrap w:val="0"/>
            <w:vAlign w:val="center"/>
          </w:tcPr>
          <w:p>
            <w:pPr>
              <w:spacing w:line="460" w:lineRule="exac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服务期限</w:t>
            </w:r>
          </w:p>
        </w:tc>
        <w:tc>
          <w:tcPr>
            <w:tcW w:w="1440" w:type="dxa"/>
            <w:noWrap w:val="0"/>
            <w:vAlign w:val="center"/>
          </w:tcPr>
          <w:p>
            <w:pPr>
              <w:spacing w:line="460" w:lineRule="exact"/>
              <w:ind w:firstLine="48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数量</w:t>
            </w:r>
          </w:p>
        </w:tc>
        <w:tc>
          <w:tcPr>
            <w:tcW w:w="1455" w:type="dxa"/>
            <w:noWrap w:val="0"/>
            <w:vAlign w:val="center"/>
          </w:tcPr>
          <w:p>
            <w:pPr>
              <w:spacing w:line="460" w:lineRule="exact"/>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单价限价（人民币）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0" w:hRule="atLeast"/>
        </w:trPr>
        <w:tc>
          <w:tcPr>
            <w:tcW w:w="737" w:type="dxa"/>
            <w:noWrap w:val="0"/>
            <w:vAlign w:val="center"/>
          </w:tcPr>
          <w:p>
            <w:pPr>
              <w:tabs>
                <w:tab w:val="left" w:pos="1260"/>
              </w:tabs>
              <w:autoSpaceDE/>
              <w:autoSpaceDN/>
              <w:adjustRightInd/>
              <w:spacing w:line="4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2057" w:type="dxa"/>
            <w:noWrap w:val="0"/>
            <w:vAlign w:val="center"/>
          </w:tcPr>
          <w:p>
            <w:pPr>
              <w:tabs>
                <w:tab w:val="left" w:pos="1260"/>
              </w:tabs>
              <w:autoSpaceDE/>
              <w:autoSpaceDN/>
              <w:adjustRightInd/>
              <w:spacing w:line="4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婺城新城区污水处理厂污泥处置服务项目</w:t>
            </w:r>
          </w:p>
        </w:tc>
        <w:tc>
          <w:tcPr>
            <w:tcW w:w="2801" w:type="dxa"/>
            <w:noWrap w:val="0"/>
            <w:vAlign w:val="center"/>
          </w:tcPr>
          <w:p>
            <w:pPr>
              <w:tabs>
                <w:tab w:val="left" w:pos="1260"/>
              </w:tabs>
              <w:autoSpaceDE/>
              <w:autoSpaceDN/>
              <w:adjustRightInd/>
              <w:spacing w:line="4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主要包括对污水处理厂生产处理工艺中所产生的污泥进行处置。</w:t>
            </w:r>
          </w:p>
        </w:tc>
        <w:tc>
          <w:tcPr>
            <w:tcW w:w="1077" w:type="dxa"/>
            <w:noWrap w:val="0"/>
            <w:vAlign w:val="center"/>
          </w:tcPr>
          <w:p>
            <w:pPr>
              <w:tabs>
                <w:tab w:val="left" w:pos="1260"/>
              </w:tabs>
              <w:autoSpaceDE/>
              <w:autoSpaceDN/>
              <w:adjustRightInd/>
              <w:spacing w:line="4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1年</w:t>
            </w:r>
          </w:p>
        </w:tc>
        <w:tc>
          <w:tcPr>
            <w:tcW w:w="1440" w:type="dxa"/>
            <w:noWrap w:val="0"/>
            <w:vAlign w:val="center"/>
          </w:tcPr>
          <w:p>
            <w:pPr>
              <w:tabs>
                <w:tab w:val="left" w:pos="1260"/>
              </w:tabs>
              <w:autoSpaceDE/>
              <w:autoSpaceDN/>
              <w:adjustRightInd/>
              <w:spacing w:line="4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约</w:t>
            </w:r>
            <w:r>
              <w:rPr>
                <w:rFonts w:hint="eastAsia" w:hAnsi="宋体" w:cs="宋体"/>
                <w:color w:val="auto"/>
                <w:sz w:val="21"/>
                <w:szCs w:val="21"/>
                <w:highlight w:val="none"/>
                <w:lang w:eastAsia="zh-CN"/>
              </w:rPr>
              <w:t>15000</w:t>
            </w:r>
            <w:r>
              <w:rPr>
                <w:rFonts w:hint="eastAsia" w:ascii="宋体" w:hAnsi="宋体" w:eastAsia="宋体" w:cs="宋体"/>
                <w:color w:val="auto"/>
                <w:sz w:val="21"/>
                <w:szCs w:val="21"/>
                <w:highlight w:val="none"/>
              </w:rPr>
              <w:t>吨</w:t>
            </w:r>
          </w:p>
        </w:tc>
        <w:tc>
          <w:tcPr>
            <w:tcW w:w="1455" w:type="dxa"/>
            <w:noWrap w:val="0"/>
            <w:vAlign w:val="center"/>
          </w:tcPr>
          <w:p>
            <w:pPr>
              <w:tabs>
                <w:tab w:val="left" w:pos="1260"/>
              </w:tabs>
              <w:autoSpaceDE/>
              <w:autoSpaceDN/>
              <w:adjustRightInd/>
              <w:spacing w:line="460" w:lineRule="exact"/>
              <w:jc w:val="center"/>
              <w:textAlignment w:val="auto"/>
              <w:rPr>
                <w:rFonts w:hint="eastAsia" w:ascii="宋体" w:hAnsi="宋体" w:eastAsia="宋体" w:cs="宋体"/>
                <w:color w:val="auto"/>
                <w:sz w:val="21"/>
                <w:szCs w:val="21"/>
                <w:highlight w:val="none"/>
                <w:lang w:eastAsia="zh-CN"/>
              </w:rPr>
            </w:pPr>
            <w:r>
              <w:rPr>
                <w:rFonts w:hint="eastAsia" w:hAnsi="宋体" w:cs="宋体"/>
                <w:color w:val="auto"/>
                <w:sz w:val="21"/>
                <w:szCs w:val="21"/>
                <w:highlight w:val="none"/>
                <w:lang w:eastAsia="zh-CN"/>
              </w:rPr>
              <w:t>340元/吨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trPr>
        <w:tc>
          <w:tcPr>
            <w:tcW w:w="9567" w:type="dxa"/>
            <w:gridSpan w:val="6"/>
            <w:noWrap w:val="0"/>
            <w:vAlign w:val="center"/>
          </w:tcPr>
          <w:p>
            <w:pPr>
              <w:autoSpaceDE/>
              <w:adjustRightInd/>
              <w:snapToGrid w:val="0"/>
              <w:spacing w:line="460" w:lineRule="exact"/>
              <w:ind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备注：上述数量为预估的污泥处置量，具体以实际发生数量为准，投标人在投标报价时须考虑并包含因数量变化引起的风险和责任等相关费用</w:t>
            </w:r>
            <w:r>
              <w:rPr>
                <w:rFonts w:hint="eastAsia" w:ascii="宋体" w:hAnsi="宋体" w:eastAsia="宋体" w:cs="宋体"/>
                <w:color w:val="auto"/>
                <w:sz w:val="21"/>
                <w:szCs w:val="21"/>
                <w:highlight w:val="none"/>
                <w:lang w:val="en-US" w:eastAsia="zh-CN"/>
              </w:rPr>
              <w:t>(不含运输费)</w:t>
            </w:r>
            <w:r>
              <w:rPr>
                <w:rFonts w:hint="eastAsia" w:ascii="宋体" w:hAnsi="宋体" w:eastAsia="宋体" w:cs="宋体"/>
                <w:color w:val="auto"/>
                <w:sz w:val="21"/>
                <w:szCs w:val="21"/>
                <w:highlight w:val="none"/>
              </w:rPr>
              <w:t>。</w:t>
            </w:r>
          </w:p>
          <w:p>
            <w:pPr>
              <w:autoSpaceDE/>
              <w:adjustRightInd/>
              <w:snapToGrid w:val="0"/>
              <w:spacing w:line="460" w:lineRule="exact"/>
              <w:ind w:firstLine="420" w:firstLineChars="200"/>
              <w:jc w:val="both"/>
              <w:rPr>
                <w:rFonts w:hint="eastAsia" w:ascii="宋体" w:hAnsi="宋体" w:eastAsia="宋体" w:cs="宋体"/>
                <w:color w:val="auto"/>
                <w:sz w:val="21"/>
                <w:szCs w:val="21"/>
                <w:highlight w:val="none"/>
              </w:rPr>
            </w:pPr>
            <w:r>
              <w:rPr>
                <w:rFonts w:hint="eastAsia" w:hAnsi="宋体" w:cs="宋体"/>
                <w:bCs/>
                <w:color w:val="auto"/>
                <w:sz w:val="21"/>
                <w:szCs w:val="21"/>
                <w:highlight w:val="none"/>
                <w:lang w:val="en-US" w:eastAsia="zh-CN"/>
              </w:rPr>
              <w:t>服务期限：</w:t>
            </w:r>
            <w:r>
              <w:rPr>
                <w:rFonts w:hint="eastAsia" w:ascii="宋体" w:hAnsi="宋体" w:eastAsia="宋体" w:cs="宋体"/>
                <w:bCs/>
                <w:color w:val="auto"/>
                <w:sz w:val="21"/>
                <w:szCs w:val="21"/>
                <w:highlight w:val="none"/>
              </w:rPr>
              <w:t>自合同签订之日起一年。合同的服务期满后，经</w:t>
            </w:r>
            <w:r>
              <w:rPr>
                <w:rFonts w:hint="eastAsia" w:ascii="宋体" w:hAnsi="宋体" w:eastAsia="宋体" w:cs="宋体"/>
                <w:bCs/>
                <w:color w:val="auto"/>
                <w:sz w:val="21"/>
                <w:szCs w:val="21"/>
                <w:highlight w:val="none"/>
                <w:lang w:val="en-US" w:eastAsia="zh-CN"/>
              </w:rPr>
              <w:t>采购方</w:t>
            </w:r>
            <w:r>
              <w:rPr>
                <w:rFonts w:hint="eastAsia" w:hAnsi="宋体" w:eastAsia="宋体" w:cs="宋体"/>
                <w:bCs/>
                <w:color w:val="auto"/>
                <w:sz w:val="21"/>
                <w:szCs w:val="21"/>
                <w:highlight w:val="none"/>
                <w:lang w:val="en-US" w:eastAsia="zh-CN"/>
              </w:rPr>
              <w:t>同意后</w:t>
            </w:r>
            <w:r>
              <w:rPr>
                <w:rFonts w:hint="eastAsia" w:ascii="宋体" w:hAnsi="宋体" w:eastAsia="宋体" w:cs="宋体"/>
                <w:bCs/>
                <w:color w:val="auto"/>
                <w:sz w:val="21"/>
                <w:szCs w:val="21"/>
                <w:highlight w:val="none"/>
              </w:rPr>
              <w:t>，双方可协议续签合同（</w:t>
            </w:r>
            <w:r>
              <w:rPr>
                <w:rFonts w:hint="eastAsia" w:ascii="宋体" w:hAnsi="宋体" w:eastAsia="宋体" w:cs="宋体"/>
                <w:bCs/>
                <w:color w:val="auto"/>
                <w:sz w:val="21"/>
                <w:szCs w:val="21"/>
                <w:highlight w:val="none"/>
                <w:lang w:val="en-US" w:eastAsia="zh-CN"/>
              </w:rPr>
              <w:t>采购方</w:t>
            </w:r>
            <w:r>
              <w:rPr>
                <w:rFonts w:hint="eastAsia" w:ascii="宋体" w:hAnsi="宋体" w:eastAsia="宋体" w:cs="宋体"/>
                <w:bCs/>
                <w:color w:val="auto"/>
                <w:sz w:val="21"/>
                <w:szCs w:val="21"/>
                <w:highlight w:val="none"/>
              </w:rPr>
              <w:t>也有权重新组织采购），</w:t>
            </w:r>
            <w:r>
              <w:rPr>
                <w:rFonts w:hint="eastAsia" w:ascii="宋体" w:hAnsi="宋体" w:eastAsia="宋体" w:cs="宋体"/>
                <w:bCs/>
                <w:color w:val="auto"/>
                <w:sz w:val="21"/>
                <w:szCs w:val="21"/>
                <w:highlight w:val="none"/>
                <w:lang w:val="en-US" w:eastAsia="zh-CN"/>
              </w:rPr>
              <w:t>可</w:t>
            </w:r>
            <w:r>
              <w:rPr>
                <w:rFonts w:hint="eastAsia" w:ascii="宋体" w:hAnsi="宋体" w:eastAsia="宋体" w:cs="宋体"/>
                <w:bCs/>
                <w:color w:val="auto"/>
                <w:sz w:val="21"/>
                <w:szCs w:val="21"/>
                <w:highlight w:val="none"/>
              </w:rPr>
              <w:t>续签</w:t>
            </w:r>
            <w:r>
              <w:rPr>
                <w:rFonts w:hint="eastAsia" w:ascii="宋体" w:hAnsi="宋体" w:eastAsia="宋体" w:cs="宋体"/>
                <w:bCs/>
                <w:color w:val="auto"/>
                <w:sz w:val="21"/>
                <w:szCs w:val="21"/>
                <w:highlight w:val="none"/>
                <w:lang w:val="en-US" w:eastAsia="zh-CN"/>
              </w:rPr>
              <w:t>一</w:t>
            </w:r>
            <w:r>
              <w:rPr>
                <w:rFonts w:hint="eastAsia" w:ascii="宋体" w:hAnsi="宋体" w:eastAsia="宋体" w:cs="宋体"/>
                <w:bCs/>
                <w:color w:val="auto"/>
                <w:sz w:val="21"/>
                <w:szCs w:val="21"/>
                <w:highlight w:val="none"/>
              </w:rPr>
              <w:t>年。</w:t>
            </w:r>
          </w:p>
        </w:tc>
      </w:tr>
    </w:tbl>
    <w:p>
      <w:pPr>
        <w:numPr>
          <w:ilvl w:val="0"/>
          <w:numId w:val="1"/>
        </w:numPr>
        <w:snapToGrid w:val="0"/>
        <w:spacing w:line="500" w:lineRule="exact"/>
        <w:ind w:firstLine="422" w:firstLineChars="200"/>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污泥处理处置工艺及设施要求</w:t>
      </w:r>
    </w:p>
    <w:p>
      <w:pPr>
        <w:snapToGrid w:val="0"/>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1.污泥处置工艺成熟，运行稳定，污泥的最终出路符合国家和当地部门规定。</w:t>
      </w:r>
    </w:p>
    <w:p>
      <w:pPr>
        <w:snapToGrid w:val="0"/>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2.污泥处理处置设施及环保措施符合国家和环保部门要求。</w:t>
      </w:r>
    </w:p>
    <w:p>
      <w:pPr>
        <w:snapToGrid w:val="0"/>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3.污泥处理处置后的产物须达到国家和地方相关部门要求。</w:t>
      </w:r>
    </w:p>
    <w:p>
      <w:pPr>
        <w:snapToGrid w:val="0"/>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4.中标人须具备一定的应急调蓄储存能力，在紧急情况下，可储存一定量污泥。</w:t>
      </w:r>
    </w:p>
    <w:p>
      <w:pPr>
        <w:snapToGrid w:val="0"/>
        <w:spacing w:line="500" w:lineRule="exact"/>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四、污泥处置服务要求</w:t>
      </w:r>
    </w:p>
    <w:p>
      <w:pPr>
        <w:snapToGrid w:val="0"/>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1.污泥产生地点: 婺城新城区污水处理厂。</w:t>
      </w:r>
    </w:p>
    <w:p>
      <w:pPr>
        <w:snapToGrid w:val="0"/>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★2.污水处理厂产出污泥含水率不高于80%，日最高产量约80吨/天，中标人应及时接纳并按规范处置产出的所有污泥，原则上要求日产日清。(投标文件中须提供书面承诺函)</w:t>
      </w:r>
    </w:p>
    <w:p>
      <w:pPr>
        <w:snapToGrid w:val="0"/>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3.污泥处置服务质量要求:中标人须保证出厂减量干化后的污泥在合同约定地点进行集中无害化处理，本项目处置标准应按相关处理的技术规范和要求进行，经处置后的污泥须达到环保部门规定的相关标准。</w:t>
      </w:r>
    </w:p>
    <w:p>
      <w:pPr>
        <w:snapToGrid w:val="0"/>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4.本项目采用的相关标准:《城镇污水处理厂污泥处理处置污染防治最佳可行技术指南(试行) (HJ-BAT-002)及相关标准，如项目实施过程中有新颁布的标准或方法等，中标人须无条件按照新标准、新规范执行，并如期完成任务，相关标准也作为验收标准使用。</w:t>
      </w:r>
    </w:p>
    <w:p>
      <w:pPr>
        <w:spacing w:line="500" w:lineRule="exact"/>
        <w:ind w:firstLine="420" w:firstLineChars="200"/>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rPr>
        <w:t>5.处置需符合《金华市人民政府办公室关于印发&lt;金华市清废行动实施方案&gt;的通知》金政办发〔2019〕17号及环保相关要求，实现污泥处置稳定化、无害化、资源化，同时符合“危险废物不出市、固体废物不出县”的原则</w:t>
      </w:r>
      <w:r>
        <w:rPr>
          <w:rFonts w:hint="eastAsia" w:hAnsi="宋体" w:cs="宋体"/>
          <w:color w:val="auto"/>
          <w:sz w:val="21"/>
          <w:szCs w:val="21"/>
          <w:highlight w:val="none"/>
          <w:shd w:val="clear" w:color="auto" w:fill="FFFFFF"/>
          <w:lang w:val="en-US" w:eastAsia="zh-CN"/>
        </w:rPr>
        <w:t>，本项目要求投标人污泥处置地点必须位于金华大市范围内</w:t>
      </w:r>
      <w:r>
        <w:rPr>
          <w:rFonts w:hint="eastAsia" w:ascii="宋体" w:hAnsi="宋体" w:eastAsia="宋体" w:cs="宋体"/>
          <w:color w:val="auto"/>
          <w:sz w:val="21"/>
          <w:szCs w:val="21"/>
          <w:highlight w:val="none"/>
        </w:rPr>
        <w:t>。</w:t>
      </w:r>
    </w:p>
    <w:p>
      <w:pPr>
        <w:spacing w:line="500" w:lineRule="exact"/>
        <w:ind w:firstLine="422" w:firstLineChars="200"/>
        <w:rPr>
          <w:rFonts w:hint="eastAsia" w:ascii="宋体" w:hAnsi="宋体" w:eastAsia="宋体" w:cs="宋体"/>
          <w:color w:val="auto"/>
          <w:highlight w:val="none"/>
        </w:rPr>
      </w:pPr>
      <w:r>
        <w:rPr>
          <w:rFonts w:hint="eastAsia" w:ascii="宋体" w:hAnsi="宋体" w:eastAsia="宋体" w:cs="宋体"/>
          <w:b/>
          <w:color w:val="auto"/>
          <w:sz w:val="21"/>
          <w:szCs w:val="21"/>
          <w:highlight w:val="none"/>
        </w:rPr>
        <w:t>五、</w:t>
      </w:r>
      <w:r>
        <w:rPr>
          <w:rFonts w:hint="eastAsia" w:ascii="宋体" w:hAnsi="宋体" w:eastAsia="宋体" w:cs="宋体"/>
          <w:b/>
          <w:color w:val="auto"/>
          <w:sz w:val="21"/>
          <w:szCs w:val="21"/>
          <w:highlight w:val="none"/>
          <w:lang w:val="en-US" w:eastAsia="zh-CN"/>
        </w:rPr>
        <w:t>其他</w:t>
      </w:r>
      <w:r>
        <w:rPr>
          <w:rFonts w:hint="eastAsia" w:ascii="宋体" w:hAnsi="宋体" w:eastAsia="宋体" w:cs="宋体"/>
          <w:b/>
          <w:color w:val="auto"/>
          <w:sz w:val="21"/>
          <w:szCs w:val="21"/>
          <w:highlight w:val="none"/>
        </w:rPr>
        <w:t>服务要求</w:t>
      </w:r>
    </w:p>
    <w:p>
      <w:pPr>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中标人应严格按照《中国环境保护法》、《中华人民共和国固体废物污染环境防治法》、《金华市人民政府办公室关于印发&lt;金华市清废行动实施方案&gt;的通知》金政办发〔2019〕17号及国家、地方的其它相关法律法规、规范标准对污水处理厂污水处理工艺中所产生的污泥进行处置，并确保污泥的处置为安全处置，且符合相关规定和环保要求。中标人对处置过程和处置结果负责并承担一切法律责任。</w:t>
      </w:r>
    </w:p>
    <w:p>
      <w:pPr>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中标人在贮存、利用、处置污泥时，必须采取防扬散、防流失、防渗漏或者其他防止污染环境的措施；不得擅自倾倒、堆放、丢弃、遗撒固体废物。禁止向江河、湖泊、运河、渠道、水库及其最高水位线以下的滩地和岸坡等法律、法规规定禁止倾倒、堆放废弃物的地点倾倒、堆放污泥。</w:t>
      </w:r>
    </w:p>
    <w:p>
      <w:pPr>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未经采购人同意，中标人不得单方面将污泥转移至第三方处置，或在服务期间单方面拒绝接收采购方的污泥（环保局等政府部门规定的除外），否则由此造成的损失和责任均由中标人承担。</w:t>
      </w:r>
    </w:p>
    <w:p>
      <w:pPr>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中标人应保证优先处置采购</w:t>
      </w:r>
      <w:r>
        <w:rPr>
          <w:rFonts w:hint="eastAsia" w:hAnsi="宋体" w:eastAsia="宋体" w:cs="宋体"/>
          <w:color w:val="auto"/>
          <w:sz w:val="21"/>
          <w:szCs w:val="21"/>
          <w:highlight w:val="none"/>
          <w:lang w:eastAsia="zh-CN"/>
        </w:rPr>
        <w:t>人</w:t>
      </w:r>
      <w:r>
        <w:rPr>
          <w:rFonts w:hint="eastAsia" w:ascii="宋体" w:hAnsi="宋体" w:eastAsia="宋体" w:cs="宋体"/>
          <w:color w:val="auto"/>
          <w:sz w:val="21"/>
          <w:szCs w:val="21"/>
          <w:highlight w:val="none"/>
        </w:rPr>
        <w:t>的污泥，及时接纳采购</w:t>
      </w:r>
      <w:r>
        <w:rPr>
          <w:rFonts w:hint="eastAsia" w:hAnsi="宋体" w:eastAsia="宋体" w:cs="宋体"/>
          <w:color w:val="auto"/>
          <w:sz w:val="21"/>
          <w:szCs w:val="21"/>
          <w:highlight w:val="none"/>
          <w:lang w:eastAsia="zh-CN"/>
        </w:rPr>
        <w:t>人</w:t>
      </w:r>
      <w:r>
        <w:rPr>
          <w:rFonts w:hint="eastAsia" w:ascii="宋体" w:hAnsi="宋体" w:eastAsia="宋体" w:cs="宋体"/>
          <w:color w:val="auto"/>
          <w:sz w:val="21"/>
          <w:szCs w:val="21"/>
          <w:highlight w:val="none"/>
        </w:rPr>
        <w:t>的污泥；如果中标人因设备检修等原因不能接纳采购方的污泥时，应提前通知采购方，否则由此造成的损失和责任均由中标人承担。</w:t>
      </w:r>
    </w:p>
    <w:p>
      <w:pPr>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中标人应根据相关规定，配合采购人做好填写《浙江省污泥利用处置转移联单》的工作</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且中标人还须建立污泥处置的档案资料，包括种类、产生量、流向、贮存、处置等有关内容。</w:t>
      </w:r>
    </w:p>
    <w:p>
      <w:pPr>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污泥计量按双方约定的地磅为准，结算依据为双方授权代表签署的污泥转移联单数量为准。</w:t>
      </w:r>
    </w:p>
    <w:p>
      <w:pPr>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若超过3天未能完成污水处理厂的污泥处理，则按超出天数（含完成当天，不足1天按整天计）扣罚1万元/天，并承担由此造成的后果。特殊情况可向采购人申报，经采购人同意后，可适当延长处理解决时间。</w:t>
      </w:r>
    </w:p>
    <w:p>
      <w:pPr>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中标人必须重视安全生产工作，确保全年不出安全生产责任事故。如发生安全生产责任事故，由中标人承担一切责任及损失。</w:t>
      </w:r>
    </w:p>
    <w:p>
      <w:pPr>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中标人须接受采购人对项目实施过程中的监督管理。</w:t>
      </w:r>
    </w:p>
    <w:p>
      <w:pPr>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中标人有责任及时报告在污泥处理处置过程中所发生的事件，包括但不限于任何可能造成各方行政责任及经济损失、任何第三方的投诉和索赔的所有事件。</w:t>
      </w:r>
    </w:p>
    <w:p>
      <w:pPr>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中标人须接受采购人及其上级主管部门随时对中标人的污泥减量干化和处理处置情况的检查。</w:t>
      </w:r>
    </w:p>
    <w:p>
      <w:pPr>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采购人有权对中标人的违规操作行为(包括但不限于偷倒、乱倒)保留追究责任的权利。</w:t>
      </w:r>
    </w:p>
    <w:p>
      <w:pPr>
        <w:spacing w:line="500" w:lineRule="exact"/>
        <w:ind w:firstLine="420" w:firstLineChars="200"/>
        <w:rPr>
          <w:rFonts w:hint="eastAsia" w:hAnsi="宋体" w:cs="宋体"/>
          <w:color w:val="auto"/>
          <w:sz w:val="21"/>
          <w:szCs w:val="21"/>
          <w:highlight w:val="none"/>
          <w:lang w:val="en-US" w:eastAsia="zh-CN"/>
        </w:rPr>
      </w:pPr>
      <w:r>
        <w:rPr>
          <w:rFonts w:hint="eastAsia" w:hAnsi="宋体" w:cs="宋体"/>
          <w:color w:val="auto"/>
          <w:sz w:val="21"/>
          <w:szCs w:val="21"/>
          <w:highlight w:val="none"/>
          <w:lang w:val="en-US" w:eastAsia="zh-CN"/>
        </w:rPr>
        <w:t>★13.本项目中标人在签订合时须向采购单位提供以下全部资料的原件：①污泥处理处置（或污泥处理设施建设）环评的合法手续；②污泥处置设施已通过项目竣工环保验收；③已取得项目排污许可证。若中标人在签订合同时无法提供或未按照要求向采购单位提供以上全部资料的，视为中标人拒绝与采购人签订合同并自动放弃中标资格，采购人可以按照评审报告推荐的中标或者成交候选人名单排序，确定下一候选人为中标人，也可以重新开展政府采购活动。各投标人须在投标文件中对本项条款进行专项承诺。</w:t>
      </w:r>
    </w:p>
    <w:p>
      <w:pPr>
        <w:spacing w:line="500" w:lineRule="exact"/>
        <w:ind w:firstLine="420" w:firstLineChars="200"/>
        <w:rPr>
          <w:rFonts w:hint="default" w:ascii="宋体" w:hAnsi="宋体" w:eastAsia="宋体" w:cs="宋体"/>
          <w:b w:val="0"/>
          <w:color w:val="auto"/>
          <w:sz w:val="21"/>
          <w:szCs w:val="21"/>
          <w:highlight w:val="none"/>
          <w:lang w:val="en-US" w:eastAsia="zh-CN"/>
        </w:rPr>
      </w:pPr>
      <w:r>
        <w:rPr>
          <w:rFonts w:hint="eastAsia" w:ascii="宋体" w:hAnsi="宋体" w:eastAsia="宋体" w:cs="宋体"/>
          <w:color w:val="auto"/>
          <w:sz w:val="21"/>
          <w:szCs w:val="21"/>
          <w:highlight w:val="none"/>
        </w:rPr>
        <w:t>★</w:t>
      </w:r>
      <w:r>
        <w:rPr>
          <w:rFonts w:hint="eastAsia" w:hAnsi="宋体" w:cs="宋体"/>
          <w:b w:val="0"/>
          <w:color w:val="auto"/>
          <w:sz w:val="21"/>
          <w:szCs w:val="21"/>
          <w:highlight w:val="none"/>
          <w:lang w:val="en-US" w:eastAsia="zh-CN"/>
        </w:rPr>
        <w:t>14.在中标人的污泥处置设施、废气处理设备等配套设备设施出现故障、维修、保养或停机检修等影响中标人开展污泥处置的情形时，中标人可将应急期间的污泥临时交给具有污泥处置能力的其他单位进行处置，但须中标人提交书面申请和临时处置单位具有污泥处置能力的证明材料，经采购单位审核同意后方能执行，且中标人全年交给其他临时处置单位的污泥处置总量不得超过中标人年度污泥处理总量的30%；否则视为中标人违约，采购人有权单方面解除合同并追究中标人的违约责任。</w:t>
      </w:r>
      <w:r>
        <w:rPr>
          <w:rFonts w:hint="eastAsia" w:hAnsi="宋体" w:cs="宋体"/>
          <w:color w:val="auto"/>
          <w:sz w:val="21"/>
          <w:szCs w:val="21"/>
          <w:highlight w:val="none"/>
          <w:lang w:val="en-US" w:eastAsia="zh-CN"/>
        </w:rPr>
        <w:t>各投标人须在投标文件中对本项条款进行专项承诺。</w:t>
      </w:r>
    </w:p>
    <w:p>
      <w:pPr>
        <w:spacing w:line="500" w:lineRule="exact"/>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六、合同签订</w:t>
      </w:r>
    </w:p>
    <w:p>
      <w:pPr>
        <w:spacing w:line="500" w:lineRule="exact"/>
        <w:ind w:firstLine="420" w:firstLineChars="200"/>
        <w:rPr>
          <w:rFonts w:hint="eastAsia" w:ascii="宋体" w:hAnsi="宋体" w:eastAsia="宋体" w:cs="宋体"/>
          <w:color w:val="auto"/>
          <w:sz w:val="21"/>
          <w:szCs w:val="21"/>
          <w:highlight w:val="none"/>
        </w:rPr>
      </w:pPr>
      <w:r>
        <w:rPr>
          <w:rFonts w:hint="eastAsia" w:hAnsi="宋体" w:eastAsia="宋体" w:cs="宋体"/>
          <w:color w:val="auto"/>
          <w:sz w:val="21"/>
          <w:szCs w:val="21"/>
          <w:highlight w:val="none"/>
          <w:lang w:eastAsia="zh-CN"/>
        </w:rPr>
        <w:t>中标人</w:t>
      </w:r>
      <w:r>
        <w:rPr>
          <w:rFonts w:hint="eastAsia" w:ascii="宋体" w:hAnsi="宋体" w:eastAsia="宋体" w:cs="宋体"/>
          <w:color w:val="auto"/>
          <w:sz w:val="21"/>
          <w:szCs w:val="21"/>
          <w:highlight w:val="none"/>
        </w:rPr>
        <w:t>在领取</w:t>
      </w:r>
      <w:r>
        <w:rPr>
          <w:rFonts w:hint="eastAsia" w:hAnsi="宋体" w:eastAsia="宋体" w:cs="宋体"/>
          <w:color w:val="auto"/>
          <w:sz w:val="21"/>
          <w:szCs w:val="21"/>
          <w:highlight w:val="none"/>
          <w:lang w:eastAsia="zh-CN"/>
        </w:rPr>
        <w:t>中标</w:t>
      </w:r>
      <w:r>
        <w:rPr>
          <w:rFonts w:hint="eastAsia" w:ascii="宋体" w:hAnsi="宋体" w:eastAsia="宋体" w:cs="宋体"/>
          <w:color w:val="auto"/>
          <w:sz w:val="21"/>
          <w:szCs w:val="21"/>
          <w:highlight w:val="none"/>
        </w:rPr>
        <w:t>通知书后</w:t>
      </w:r>
      <w:r>
        <w:rPr>
          <w:rFonts w:hint="eastAsia" w:hAnsi="宋体" w:eastAsia="宋体" w:cs="宋体"/>
          <w:color w:val="auto"/>
          <w:sz w:val="21"/>
          <w:szCs w:val="21"/>
          <w:highlight w:val="none"/>
          <w:lang w:val="en-US" w:eastAsia="zh-CN"/>
        </w:rPr>
        <w:t>20</w:t>
      </w:r>
      <w:r>
        <w:rPr>
          <w:rFonts w:hint="eastAsia" w:ascii="宋体" w:hAnsi="宋体" w:eastAsia="宋体" w:cs="宋体"/>
          <w:color w:val="auto"/>
          <w:sz w:val="21"/>
          <w:szCs w:val="21"/>
          <w:highlight w:val="none"/>
        </w:rPr>
        <w:t>日内须与采购人签订采购合同。</w:t>
      </w:r>
      <w:r>
        <w:rPr>
          <w:rFonts w:hint="eastAsia" w:hAnsi="宋体" w:eastAsia="宋体" w:cs="宋体"/>
          <w:color w:val="auto"/>
          <w:sz w:val="21"/>
          <w:szCs w:val="21"/>
          <w:highlight w:val="none"/>
          <w:lang w:eastAsia="zh-CN"/>
        </w:rPr>
        <w:t>中标人</w:t>
      </w:r>
      <w:r>
        <w:rPr>
          <w:rFonts w:hint="eastAsia" w:ascii="宋体" w:hAnsi="宋体" w:eastAsia="宋体" w:cs="宋体"/>
          <w:color w:val="auto"/>
          <w:sz w:val="21"/>
          <w:szCs w:val="21"/>
          <w:highlight w:val="none"/>
        </w:rPr>
        <w:t>无故不签订合同的，采购人有权采用其他方式确定中标供应商</w:t>
      </w:r>
      <w:r>
        <w:rPr>
          <w:rFonts w:hint="eastAsia" w:hAnsi="宋体" w:cs="宋体"/>
          <w:color w:val="auto"/>
          <w:sz w:val="21"/>
          <w:szCs w:val="21"/>
          <w:highlight w:val="none"/>
        </w:rPr>
        <w:t>并不退还履约保证金（若已缴纳）</w:t>
      </w:r>
      <w:r>
        <w:rPr>
          <w:rFonts w:hint="eastAsia" w:ascii="宋体" w:hAnsi="宋体" w:eastAsia="宋体" w:cs="宋体"/>
          <w:color w:val="auto"/>
          <w:sz w:val="21"/>
          <w:szCs w:val="21"/>
          <w:highlight w:val="none"/>
        </w:rPr>
        <w:t>。</w:t>
      </w:r>
    </w:p>
    <w:p>
      <w:pPr>
        <w:spacing w:line="500" w:lineRule="exact"/>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七、付款方式</w:t>
      </w:r>
    </w:p>
    <w:bookmarkEnd w:id="41"/>
    <w:bookmarkEnd w:id="42"/>
    <w:bookmarkEnd w:id="43"/>
    <w:bookmarkEnd w:id="44"/>
    <w:p>
      <w:pPr>
        <w:snapToGrid w:val="0"/>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按实结算，每月结算一次，中标人将上一月度完成处置的污泥数量提交采购人确认，结算金额为：中标单价×经确认的当月实际处置污泥数量。</w:t>
      </w:r>
    </w:p>
    <w:p>
      <w:pPr>
        <w:snapToGrid w:val="0"/>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经双方确认无误后，中标人应在3个工作日内向采购人提供符合国家规定的发票，采购人收到中标人出具的发票后，于10个工作日内支付。</w:t>
      </w:r>
    </w:p>
    <w:p>
      <w:pPr>
        <w:pStyle w:val="30"/>
        <w:keepNext w:val="0"/>
        <w:keepLines w:val="0"/>
        <w:pageBreakBefore w:val="0"/>
        <w:widowControl w:val="0"/>
        <w:kinsoku/>
        <w:wordWrap/>
        <w:overflowPunct/>
        <w:topLinePunct w:val="0"/>
        <w:autoSpaceDE w:val="0"/>
        <w:autoSpaceDN w:val="0"/>
        <w:bidi w:val="0"/>
        <w:adjustRightInd w:val="0"/>
        <w:snapToGrid/>
        <w:spacing w:line="500" w:lineRule="exact"/>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注：①污泥计量按双方确认的地磅为准，结算依据为双方授权代表签署的污泥转移联单数量为准。</w:t>
      </w:r>
      <w:bookmarkEnd w:id="38"/>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②中标单位办理服务费结算时，须提供结算依据、合规发票等相关资料。③若联合体单位中标，联合体各方应当共同与采购人签订采购合同，联合体协议及合同中应明确联合体各方职责、费用，并就采购合同约定的事项对采购人承担连带责任。采购人与中标人之间的经济往来均由采购人和联合体牵头人之间进行，采购人不再与联合体的非牵头人发生任何经济往来。联合体内部的经济往来由联合体各方自行协商解决。④</w:t>
      </w:r>
      <w:r>
        <w:rPr>
          <w:rFonts w:hint="eastAsia" w:ascii="宋体" w:hAnsi="宋体" w:eastAsia="宋体" w:cs="宋体"/>
          <w:color w:val="auto"/>
          <w:sz w:val="21"/>
          <w:szCs w:val="21"/>
          <w:highlight w:val="none"/>
          <w:lang w:val="zh-CN"/>
        </w:rPr>
        <w:t>为支持和促进中小企业发展，进一步发挥政府采购政策功能，浙江省财政厅出台浙财采监〔2020〕3 号文件，企业若有购买保险/保函或者融资意向，可登录政采云平台融资服务（https://jinrong.zcygov.cn/），查看相应融资政策文件及各相关服务方案，咨询热线400-903-9583。</w:t>
      </w:r>
    </w:p>
    <w:p>
      <w:pPr>
        <w:pStyle w:val="4"/>
        <w:keepNext w:val="0"/>
        <w:keepLines w:val="0"/>
        <w:pageBreakBefore w:val="0"/>
        <w:widowControl w:val="0"/>
        <w:kinsoku/>
        <w:wordWrap/>
        <w:overflowPunct/>
        <w:topLinePunct w:val="0"/>
        <w:autoSpaceDE w:val="0"/>
        <w:autoSpaceDN w:val="0"/>
        <w:bidi w:val="0"/>
        <w:adjustRightInd w:val="0"/>
        <w:spacing w:line="500" w:lineRule="exact"/>
        <w:jc w:val="center"/>
        <w:textAlignment w:val="auto"/>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br w:type="page"/>
      </w:r>
      <w:bookmarkStart w:id="45" w:name="_Toc1310"/>
      <w:r>
        <w:rPr>
          <w:rFonts w:hint="eastAsia" w:ascii="宋体" w:hAnsi="宋体" w:eastAsia="宋体" w:cs="宋体"/>
          <w:color w:val="auto"/>
          <w:sz w:val="30"/>
          <w:szCs w:val="30"/>
          <w:highlight w:val="none"/>
        </w:rPr>
        <w:t>第三章  投标人须知</w:t>
      </w:r>
      <w:bookmarkEnd w:id="45"/>
    </w:p>
    <w:p>
      <w:pPr>
        <w:pStyle w:val="4"/>
        <w:spacing w:line="460" w:lineRule="exact"/>
        <w:jc w:val="center"/>
        <w:rPr>
          <w:rFonts w:hint="eastAsia" w:ascii="宋体" w:hAnsi="宋体" w:eastAsia="宋体" w:cs="宋体"/>
          <w:color w:val="auto"/>
          <w:sz w:val="30"/>
          <w:szCs w:val="30"/>
          <w:highlight w:val="none"/>
        </w:rPr>
      </w:pPr>
      <w:bookmarkStart w:id="46" w:name="_Toc15806"/>
      <w:r>
        <w:rPr>
          <w:rFonts w:hint="eastAsia" w:ascii="宋体" w:hAnsi="宋体" w:eastAsia="宋体" w:cs="宋体"/>
          <w:color w:val="auto"/>
          <w:sz w:val="30"/>
          <w:szCs w:val="30"/>
          <w:highlight w:val="none"/>
        </w:rPr>
        <w:t>前附表</w:t>
      </w:r>
      <w:bookmarkEnd w:id="46"/>
    </w:p>
    <w:tbl>
      <w:tblPr>
        <w:tblStyle w:val="20"/>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88"/>
        <w:gridCol w:w="2355"/>
        <w:gridCol w:w="623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788"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序号</w:t>
            </w:r>
          </w:p>
        </w:tc>
        <w:tc>
          <w:tcPr>
            <w:tcW w:w="858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ind w:firstLine="2940" w:firstLineChars="14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4" w:hRule="atLeast"/>
        </w:trPr>
        <w:tc>
          <w:tcPr>
            <w:tcW w:w="788"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858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项目名称：</w:t>
            </w:r>
            <w:r>
              <w:rPr>
                <w:rFonts w:hint="eastAsia" w:hAnsi="宋体" w:cs="宋体"/>
                <w:color w:val="auto"/>
                <w:sz w:val="21"/>
                <w:szCs w:val="21"/>
                <w:highlight w:val="none"/>
                <w:lang w:eastAsia="zh-CN"/>
              </w:rPr>
              <w:t>金华市婺城区住房和城乡建设局关于污水处理厂污泥处置服务项目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88"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858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投标报价及费用：</w:t>
            </w:r>
          </w:p>
          <w:p>
            <w:pPr>
              <w:snapToGrid w:val="0"/>
              <w:spacing w:line="460" w:lineRule="exact"/>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1.本项目投标应以人民币报价；</w:t>
            </w:r>
          </w:p>
          <w:p>
            <w:pPr>
              <w:snapToGrid w:val="0"/>
              <w:spacing w:line="460" w:lineRule="exact"/>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2.不论投标结果如何，投标人均应自行承担所有与投标有关的全部费用；</w:t>
            </w:r>
          </w:p>
          <w:p>
            <w:pPr>
              <w:snapToGrid w:val="0"/>
              <w:spacing w:line="460" w:lineRule="exact"/>
              <w:rPr>
                <w:rFonts w:hint="eastAsia" w:ascii="宋体" w:hAnsi="宋体" w:eastAsia="宋体" w:cs="宋体"/>
                <w:b/>
                <w:bCs/>
                <w:color w:val="auto"/>
                <w:sz w:val="21"/>
                <w:szCs w:val="21"/>
                <w:highlight w:val="none"/>
              </w:rPr>
            </w:pPr>
            <w:r>
              <w:rPr>
                <w:rFonts w:hint="eastAsia" w:ascii="宋体" w:hAnsi="宋体" w:eastAsia="宋体" w:cs="宋体"/>
                <w:b/>
                <w:color w:val="auto"/>
                <w:sz w:val="21"/>
                <w:szCs w:val="21"/>
                <w:highlight w:val="none"/>
              </w:rPr>
              <w:t>3.投标人在获取中标通知书的同时须向招标代理机构</w:t>
            </w:r>
            <w:r>
              <w:rPr>
                <w:rFonts w:hint="eastAsia" w:hAnsi="宋体" w:cs="宋体"/>
                <w:b/>
                <w:color w:val="auto"/>
                <w:sz w:val="21"/>
                <w:szCs w:val="21"/>
                <w:highlight w:val="none"/>
                <w:lang w:val="en-US" w:eastAsia="zh-CN"/>
              </w:rPr>
              <w:t>支付伍万元</w:t>
            </w:r>
            <w:r>
              <w:rPr>
                <w:rFonts w:hint="eastAsia" w:ascii="宋体" w:hAnsi="宋体" w:eastAsia="宋体" w:cs="宋体"/>
                <w:b/>
                <w:color w:val="auto"/>
                <w:sz w:val="21"/>
                <w:szCs w:val="21"/>
                <w:highlight w:val="none"/>
              </w:rPr>
              <w:t>采购代理服务费，缴纳形式：银行转账等形式。户名：金华市天盈招标代理有限公司，开户银行：金华银行股份有限公司多湖支行，银行账号：0188990822000064。（汇款用途请注明“采购代理服务费”及项目编号 ：</w:t>
            </w:r>
            <w:r>
              <w:rPr>
                <w:rFonts w:hint="eastAsia" w:hAnsi="宋体" w:cs="宋体"/>
                <w:b/>
                <w:color w:val="auto"/>
                <w:sz w:val="21"/>
                <w:szCs w:val="21"/>
                <w:highlight w:val="none"/>
                <w:lang w:val="en-US" w:eastAsia="zh-CN"/>
              </w:rPr>
              <w:t>365-1</w:t>
            </w:r>
            <w:r>
              <w:rPr>
                <w:rFonts w:hint="eastAsia" w:ascii="宋体" w:hAnsi="宋体" w:eastAsia="宋体" w:cs="宋体"/>
                <w:b/>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788"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858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答疑与澄清：投标人如认为招标文件表述不清晰、存在歧视性、排他性或者其他违法内容的，应当自知道或者应知其权益受到损害之日起七个工作日内，以书面形式要求招标采购单位作出书面解释、澄清或者向招标采购单位提出书面质疑；招标采购单位对已发出的招标文件进行必要澄清、答复、修改或补充的，在财政部门指定的政府采购信息发布媒体上发布更正公告，并以书面形式通知所有招标文件收受人。澄清或者修改的内容可能影响投标文件编制的，应当在投标截止时间至少15日前，以书面形式通知所有获取招标文件的潜在投标人；不足15日的，顺延提交投标文件的截止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788"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p>
        </w:tc>
        <w:tc>
          <w:tcPr>
            <w:tcW w:w="8588"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460" w:lineRule="exact"/>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政策落实：</w:t>
            </w:r>
          </w:p>
          <w:p>
            <w:pPr>
              <w:widowControl/>
              <w:snapToGrid w:val="0"/>
              <w:spacing w:line="4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1.扶持中小企业（监狱企业、残疾人福利性单位）：</w:t>
            </w:r>
          </w:p>
          <w:p>
            <w:pPr>
              <w:widowControl/>
              <w:snapToGrid w:val="0"/>
              <w:spacing w:line="4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政府采购促进中小企业发展管理办法》（财库〔2020〕46号），本单位在政府采购活动中应当通过加强采购需求管理，落实预留采购份额，价格评审优惠、优先采购等措施，提高中小企业在政府采购中的份额，支持中小企业发展。项目相关情况如下：</w:t>
            </w:r>
          </w:p>
          <w:p>
            <w:pPr>
              <w:widowControl/>
              <w:snapToGrid w:val="0"/>
              <w:spacing w:line="460" w:lineRule="exact"/>
              <w:ind w:firstLine="420" w:firstLineChars="200"/>
              <w:rPr>
                <w:rFonts w:hint="default" w:ascii="宋体" w:hAnsi="宋体" w:eastAsia="宋体" w:cs="宋体"/>
                <w:color w:val="auto"/>
                <w:sz w:val="21"/>
                <w:szCs w:val="21"/>
                <w:highlight w:val="none"/>
                <w:u w:val="single"/>
                <w:lang w:val="en-US"/>
              </w:rPr>
            </w:pPr>
            <w:r>
              <w:rPr>
                <w:rFonts w:hint="eastAsia" w:ascii="宋体" w:hAnsi="宋体" w:eastAsia="宋体" w:cs="宋体"/>
                <w:color w:val="auto"/>
                <w:sz w:val="21"/>
                <w:szCs w:val="21"/>
                <w:highlight w:val="none"/>
              </w:rPr>
              <w:t>（1）项目预算：</w:t>
            </w:r>
            <w:r>
              <w:rPr>
                <w:rFonts w:hint="eastAsia" w:ascii="宋体" w:hAnsi="宋体" w:eastAsia="宋体" w:cs="宋体"/>
                <w:color w:val="auto"/>
                <w:sz w:val="21"/>
                <w:szCs w:val="21"/>
                <w:highlight w:val="none"/>
                <w:u w:val="single"/>
              </w:rPr>
              <w:t xml:space="preserve"> </w:t>
            </w:r>
            <w:r>
              <w:rPr>
                <w:rFonts w:hint="eastAsia" w:hAnsi="宋体" w:cs="宋体"/>
                <w:color w:val="auto"/>
                <w:sz w:val="21"/>
                <w:szCs w:val="21"/>
                <w:highlight w:val="none"/>
                <w:u w:val="single"/>
                <w:lang w:val="en-US" w:eastAsia="zh-CN"/>
              </w:rPr>
              <w:t xml:space="preserve">500 </w:t>
            </w:r>
            <w:r>
              <w:rPr>
                <w:rFonts w:hint="eastAsia" w:ascii="宋体" w:hAnsi="宋体" w:eastAsia="宋体" w:cs="宋体"/>
                <w:color w:val="auto"/>
                <w:sz w:val="21"/>
                <w:szCs w:val="21"/>
                <w:highlight w:val="none"/>
                <w:u w:val="none"/>
                <w:lang w:val="en-US" w:eastAsia="zh-CN"/>
              </w:rPr>
              <w:t>万元</w:t>
            </w:r>
            <w:r>
              <w:rPr>
                <w:rFonts w:hint="eastAsia" w:hAnsi="宋体" w:cs="宋体"/>
                <w:color w:val="auto"/>
                <w:sz w:val="21"/>
                <w:szCs w:val="21"/>
                <w:highlight w:val="none"/>
                <w:u w:val="none"/>
                <w:lang w:val="en-US" w:eastAsia="zh-CN"/>
              </w:rPr>
              <w:t>；最高单价限价：</w:t>
            </w:r>
            <w:r>
              <w:rPr>
                <w:rFonts w:hint="eastAsia" w:hAnsi="宋体" w:cs="宋体"/>
                <w:color w:val="auto"/>
                <w:sz w:val="21"/>
                <w:szCs w:val="21"/>
                <w:highlight w:val="none"/>
                <w:u w:val="single"/>
                <w:lang w:val="en-US" w:eastAsia="zh-CN"/>
              </w:rPr>
              <w:t>340元/吨。</w:t>
            </w:r>
          </w:p>
          <w:p>
            <w:pPr>
              <w:widowControl/>
              <w:snapToGrid w:val="0"/>
              <w:spacing w:line="4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（2）项目属性：</w:t>
            </w:r>
            <w:r>
              <w:rPr>
                <w:rFonts w:hint="eastAsia" w:ascii="宋体" w:hAnsi="宋体" w:eastAsia="宋体" w:cs="宋体"/>
                <w:color w:val="auto"/>
                <w:sz w:val="21"/>
                <w:szCs w:val="21"/>
                <w:highlight w:val="none"/>
                <w:u w:val="single"/>
              </w:rPr>
              <w:t xml:space="preserve"> ②    </w:t>
            </w:r>
            <w:r>
              <w:rPr>
                <w:rFonts w:hint="eastAsia" w:ascii="宋体" w:hAnsi="宋体" w:eastAsia="宋体" w:cs="宋体"/>
                <w:color w:val="auto"/>
                <w:sz w:val="21"/>
                <w:szCs w:val="21"/>
                <w:highlight w:val="none"/>
              </w:rPr>
              <w:t>（①货物类/②服务类/③工程类）</w:t>
            </w:r>
          </w:p>
          <w:p>
            <w:pPr>
              <w:widowControl/>
              <w:snapToGrid w:val="0"/>
              <w:spacing w:line="4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（3）项目对应的中小企业划分标准所属行业：</w:t>
            </w:r>
            <w:r>
              <w:rPr>
                <w:rFonts w:hint="eastAsia" w:hAnsi="宋体" w:cs="宋体"/>
                <w:color w:val="auto"/>
                <w:sz w:val="21"/>
                <w:szCs w:val="21"/>
                <w:highlight w:val="none"/>
                <w:u w:val="single"/>
                <w:lang w:val="en-US" w:eastAsia="zh-CN"/>
              </w:rPr>
              <w:t xml:space="preserve">  其他未列明行业  </w:t>
            </w:r>
            <w:r>
              <w:rPr>
                <w:rFonts w:hint="eastAsia" w:ascii="宋体" w:hAnsi="宋体" w:eastAsia="宋体" w:cs="宋体"/>
                <w:color w:val="auto"/>
                <w:sz w:val="21"/>
                <w:szCs w:val="21"/>
                <w:highlight w:val="none"/>
              </w:rPr>
              <w:t>（具体根据《中小企业划型标准规定》执行）</w:t>
            </w:r>
          </w:p>
          <w:p>
            <w:pPr>
              <w:widowControl/>
              <w:snapToGrid w:val="0"/>
              <w:spacing w:line="4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（4）本项目 </w:t>
            </w:r>
            <w:r>
              <w:rPr>
                <w:rFonts w:hint="eastAsia" w:ascii="宋体" w:hAnsi="宋体" w:eastAsia="宋体" w:cs="宋体"/>
                <w:color w:val="auto"/>
                <w:sz w:val="21"/>
                <w:szCs w:val="21"/>
                <w:highlight w:val="none"/>
                <w:u w:val="single"/>
              </w:rPr>
              <w:t xml:space="preserve">  是  </w:t>
            </w:r>
            <w:r>
              <w:rPr>
                <w:rFonts w:hint="eastAsia" w:ascii="宋体" w:hAnsi="宋体" w:eastAsia="宋体" w:cs="宋体"/>
                <w:color w:val="auto"/>
                <w:sz w:val="21"/>
                <w:szCs w:val="21"/>
                <w:highlight w:val="none"/>
              </w:rPr>
              <w:t>（是/否）属于预留份额专门面向中小企业采购的项目。</w:t>
            </w:r>
          </w:p>
          <w:p>
            <w:pPr>
              <w:widowControl/>
              <w:snapToGrid w:val="0"/>
              <w:spacing w:line="4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（5）上述第4项中确定为“是”的采购项目，预留份额通过（①）措施进行：</w:t>
            </w:r>
          </w:p>
          <w:p>
            <w:pPr>
              <w:widowControl/>
              <w:snapToGrid w:val="0"/>
              <w:spacing w:line="4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①将采购项目整体或者设置采购包专门面向中小企业采购； </w:t>
            </w:r>
          </w:p>
          <w:p>
            <w:pPr>
              <w:widowControl/>
              <w:snapToGrid w:val="0"/>
              <w:spacing w:line="4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②要求供应商以联合体形式参加采购活动，且联合体中中小企业承担的部分达到</w:t>
            </w:r>
            <w:r>
              <w:rPr>
                <w:rFonts w:hint="eastAsia" w:ascii="宋体" w:hAnsi="宋体" w:eastAsia="宋体" w:cs="宋体"/>
                <w:color w:val="auto"/>
                <w:sz w:val="21"/>
                <w:szCs w:val="21"/>
                <w:highlight w:val="none"/>
                <w:u w:val="single"/>
              </w:rPr>
              <w:t> / （</w:t>
            </w:r>
            <w:r>
              <w:rPr>
                <w:rFonts w:hint="eastAsia" w:ascii="宋体" w:hAnsi="宋体" w:eastAsia="宋体" w:cs="宋体"/>
                <w:color w:val="auto"/>
                <w:sz w:val="21"/>
                <w:szCs w:val="21"/>
                <w:highlight w:val="none"/>
              </w:rPr>
              <w:t xml:space="preserve">比例）； </w:t>
            </w:r>
          </w:p>
          <w:p>
            <w:pPr>
              <w:widowControl/>
              <w:snapToGrid w:val="0"/>
              <w:spacing w:line="4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③要求获得采购合同的供应商将采购项目中的</w:t>
            </w:r>
            <w:r>
              <w:rPr>
                <w:rFonts w:hint="eastAsia" w:ascii="宋体" w:hAnsi="宋体" w:eastAsia="宋体" w:cs="宋体"/>
                <w:color w:val="auto"/>
                <w:sz w:val="21"/>
                <w:szCs w:val="21"/>
                <w:highlight w:val="none"/>
                <w:u w:val="single"/>
              </w:rPr>
              <w:t xml:space="preserve"> / （</w:t>
            </w:r>
            <w:r>
              <w:rPr>
                <w:rFonts w:hint="eastAsia" w:ascii="宋体" w:hAnsi="宋体" w:eastAsia="宋体" w:cs="宋体"/>
                <w:color w:val="auto"/>
                <w:sz w:val="21"/>
                <w:szCs w:val="21"/>
                <w:highlight w:val="none"/>
              </w:rPr>
              <w:t>比例）分包给一家或者多家中小企业。</w:t>
            </w:r>
          </w:p>
          <w:p>
            <w:pPr>
              <w:widowControl/>
              <w:snapToGrid w:val="0"/>
              <w:spacing w:line="4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（6）对于经主管预算单位统筹后未预留份额专门面向中小企业采购的采购项目，以及预留份额项目中的非预留部分采购包，对小微企业报价给予</w:t>
            </w:r>
            <w:r>
              <w:rPr>
                <w:rFonts w:hint="eastAsia" w:ascii="宋体" w:hAnsi="宋体" w:eastAsia="宋体" w:cs="宋体"/>
                <w:color w:val="auto"/>
                <w:sz w:val="21"/>
                <w:szCs w:val="21"/>
                <w:highlight w:val="none"/>
                <w:u w:val="single"/>
              </w:rPr>
              <w:t> / %</w:t>
            </w:r>
            <w:r>
              <w:rPr>
                <w:rFonts w:hint="eastAsia" w:ascii="宋体" w:hAnsi="宋体" w:eastAsia="宋体" w:cs="宋体"/>
                <w:color w:val="auto"/>
                <w:sz w:val="21"/>
                <w:szCs w:val="21"/>
                <w:highlight w:val="none"/>
              </w:rPr>
              <w:t xml:space="preserve"> 的扣除，用扣除后的价格参加评审。 </w:t>
            </w:r>
          </w:p>
          <w:p>
            <w:pPr>
              <w:widowControl/>
              <w:snapToGrid w:val="0"/>
              <w:spacing w:line="4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对于接受大中型企业与小微企业组成联合体或者允许大中型企业向一家或者多家小微企业分包的采购项目，对于联合协议或者分包意向协议约定小微企业的合同份额占到合同总金额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w:t>
            </w:r>
            <w:r>
              <w:rPr>
                <w:rFonts w:hint="eastAsia" w:ascii="宋体" w:hAnsi="宋体" w:eastAsia="宋体" w:cs="宋体"/>
                <w:color w:val="auto"/>
                <w:sz w:val="21"/>
                <w:szCs w:val="21"/>
                <w:highlight w:val="none"/>
                <w:u w:val="single"/>
              </w:rPr>
              <w:t>  / % </w:t>
            </w:r>
            <w:r>
              <w:rPr>
                <w:rFonts w:hint="eastAsia" w:ascii="宋体" w:hAnsi="宋体" w:eastAsia="宋体" w:cs="宋体"/>
                <w:color w:val="auto"/>
                <w:sz w:val="21"/>
                <w:szCs w:val="21"/>
                <w:highlight w:val="none"/>
              </w:rPr>
              <w:t>的扣除，用扣除后的价格参加评审。</w:t>
            </w:r>
          </w:p>
          <w:p>
            <w:pPr>
              <w:widowControl/>
              <w:snapToGrid w:val="0"/>
              <w:spacing w:line="4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注：专门面向中小企业采购的项目或者标项，不再执行价格评审优惠的扶持政策。</w:t>
            </w:r>
          </w:p>
          <w:p>
            <w:pPr>
              <w:widowControl/>
              <w:snapToGrid w:val="0"/>
              <w:spacing w:line="4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2.节能产品、环境标志产品的强制采购政策</w:t>
            </w:r>
          </w:p>
          <w:p>
            <w:pPr>
              <w:widowControl/>
              <w:snapToGrid w:val="0"/>
              <w:spacing w:line="4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（注：本项目不适用。）</w:t>
            </w:r>
          </w:p>
          <w:p>
            <w:pPr>
              <w:widowControl/>
              <w:snapToGrid w:val="0"/>
              <w:spacing w:line="4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3.节能产品、环境标志产品的优先采购政策</w:t>
            </w:r>
          </w:p>
          <w:p>
            <w:pPr>
              <w:widowControl/>
              <w:snapToGrid w:val="0"/>
              <w:spacing w:line="4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（注：本项目不适用。）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788"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p>
        </w:tc>
        <w:tc>
          <w:tcPr>
            <w:tcW w:w="858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lang w:bidi="ar"/>
              </w:rPr>
              <w:t>信用查询：</w:t>
            </w:r>
          </w:p>
          <w:p>
            <w:pPr>
              <w:snapToGrid w:val="0"/>
              <w:spacing w:line="4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根据《关于在政府采购活动中查询及使用信用记录有关问题的通知》财库[2016]125号的规定：</w:t>
            </w:r>
          </w:p>
          <w:p>
            <w:pPr>
              <w:snapToGrid w:val="0"/>
              <w:spacing w:line="4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（1）招标人或采购代理机构将对本项目供应商的信用记录进行查询。查询渠道为信用中国网站（www.creditchina.gov.cn）、中国政府采购网（www.ccgp.gov.cn）；</w:t>
            </w:r>
          </w:p>
          <w:p>
            <w:pPr>
              <w:snapToGrid w:val="0"/>
              <w:spacing w:line="4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（2）截止时点：提交投标文件（响应文件）截止时间前3年内；</w:t>
            </w:r>
          </w:p>
          <w:p>
            <w:pPr>
              <w:snapToGrid w:val="0"/>
              <w:spacing w:line="4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（3）查询记录和证据的留存：信用信息查询记录和证据以网页截图等方式留存。</w:t>
            </w:r>
          </w:p>
          <w:p>
            <w:pPr>
              <w:snapToGrid w:val="0"/>
              <w:spacing w:line="4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（4）使用规则：被列入失信被执行人、重大税收违法案件当事人名单、政府采购严重违法失信行为记录名单及其他不符合《中华人民共和国政府采购法》第二十二条规定条件的，其投标将被拒绝。</w:t>
            </w:r>
          </w:p>
          <w:p>
            <w:pPr>
              <w:snapToGrid w:val="0"/>
              <w:spacing w:line="4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（5）联合体成员任意一方存在不良信用记录的，视同联合体存在不良信用记录。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788"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w:t>
            </w:r>
          </w:p>
        </w:tc>
        <w:tc>
          <w:tcPr>
            <w:tcW w:w="2355"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rPr>
                <w:rFonts w:hint="eastAsia" w:ascii="宋体" w:hAnsi="宋体" w:eastAsia="宋体" w:cs="宋体"/>
                <w:color w:val="auto"/>
                <w:sz w:val="21"/>
                <w:szCs w:val="21"/>
                <w:highlight w:val="none"/>
              </w:rPr>
            </w:pPr>
            <w:r>
              <w:rPr>
                <w:rFonts w:hint="eastAsia" w:ascii="宋体" w:hAnsi="宋体" w:eastAsia="宋体" w:cs="宋体"/>
                <w:snapToGrid w:val="0"/>
                <w:color w:val="auto"/>
                <w:sz w:val="21"/>
                <w:szCs w:val="21"/>
                <w:highlight w:val="none"/>
              </w:rPr>
              <w:t>本项目对应的中小企业划分标准所属行业</w:t>
            </w:r>
          </w:p>
        </w:tc>
        <w:tc>
          <w:tcPr>
            <w:tcW w:w="6233"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rPr>
                <w:rFonts w:hint="eastAsia" w:ascii="宋体" w:hAnsi="宋体" w:eastAsia="宋体" w:cs="宋体"/>
                <w:color w:val="auto"/>
                <w:highlight w:val="none"/>
              </w:rPr>
            </w:pPr>
            <w:r>
              <w:rPr>
                <w:rFonts w:hint="eastAsia" w:ascii="宋体" w:hAnsi="宋体" w:eastAsia="宋体" w:cs="宋体"/>
                <w:color w:val="auto"/>
                <w:sz w:val="21"/>
                <w:szCs w:val="21"/>
                <w:highlight w:val="none"/>
              </w:rPr>
              <w:t>根据《关于印发中小企业划型标准规定的通知》（工信部联企业〔2011〕300号），本项目</w:t>
            </w:r>
            <w:r>
              <w:rPr>
                <w:rFonts w:hint="eastAsia" w:ascii="宋体" w:hAnsi="宋体" w:eastAsia="宋体" w:cs="宋体"/>
                <w:snapToGrid w:val="0"/>
                <w:color w:val="auto"/>
                <w:sz w:val="21"/>
                <w:szCs w:val="21"/>
                <w:highlight w:val="none"/>
              </w:rPr>
              <w:t>对应的中小企业</w:t>
            </w:r>
            <w:r>
              <w:rPr>
                <w:rFonts w:hint="eastAsia" w:ascii="宋体" w:hAnsi="宋体" w:eastAsia="宋体" w:cs="宋体"/>
                <w:color w:val="auto"/>
                <w:sz w:val="21"/>
                <w:szCs w:val="21"/>
                <w:highlight w:val="none"/>
              </w:rPr>
              <w:t>按所属行业为</w:t>
            </w:r>
            <w:r>
              <w:rPr>
                <w:rFonts w:hint="eastAsia" w:ascii="宋体" w:hAnsi="宋体" w:eastAsia="宋体" w:cs="宋体"/>
                <w:color w:val="auto"/>
                <w:sz w:val="21"/>
                <w:szCs w:val="21"/>
                <w:highlight w:val="none"/>
                <w:u w:val="single"/>
              </w:rPr>
              <w:t>“</w:t>
            </w:r>
            <w:r>
              <w:rPr>
                <w:rFonts w:hint="eastAsia" w:hAnsi="宋体" w:cs="宋体"/>
                <w:color w:val="auto"/>
                <w:sz w:val="21"/>
                <w:szCs w:val="21"/>
                <w:highlight w:val="none"/>
                <w:u w:val="single"/>
                <w:lang w:eastAsia="zh-CN"/>
              </w:rPr>
              <w:t>其他未列明行业</w:t>
            </w:r>
            <w:r>
              <w:rPr>
                <w:rFonts w:hint="eastAsia" w:ascii="宋体" w:hAnsi="宋体" w:eastAsia="宋体" w:cs="宋体"/>
                <w:color w:val="auto"/>
                <w:sz w:val="21"/>
                <w:szCs w:val="21"/>
                <w:highlight w:val="none"/>
                <w:u w:val="single"/>
              </w:rPr>
              <w:t>”</w:t>
            </w:r>
            <w:r>
              <w:rPr>
                <w:rFonts w:hint="eastAsia" w:ascii="宋体" w:hAnsi="宋体" w:eastAsia="宋体" w:cs="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788"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w:t>
            </w:r>
          </w:p>
        </w:tc>
        <w:tc>
          <w:tcPr>
            <w:tcW w:w="2355"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rPr>
                <w:rFonts w:hint="eastAsia" w:ascii="宋体" w:hAnsi="宋体" w:eastAsia="宋体" w:cs="宋体"/>
                <w:color w:val="auto"/>
                <w:sz w:val="21"/>
                <w:szCs w:val="21"/>
                <w:highlight w:val="none"/>
              </w:rPr>
            </w:pPr>
            <w:r>
              <w:rPr>
                <w:rFonts w:hint="eastAsia" w:ascii="宋体" w:hAnsi="宋体" w:eastAsia="宋体" w:cs="宋体"/>
                <w:snapToGrid w:val="0"/>
                <w:color w:val="auto"/>
                <w:sz w:val="21"/>
                <w:szCs w:val="21"/>
                <w:highlight w:val="none"/>
              </w:rPr>
              <w:t>节能产品</w:t>
            </w:r>
          </w:p>
        </w:tc>
        <w:tc>
          <w:tcPr>
            <w:tcW w:w="6233"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rPr>
                <w:rFonts w:hint="eastAsia" w:ascii="宋体" w:hAnsi="宋体" w:eastAsia="宋体" w:cs="宋体"/>
                <w:color w:val="auto"/>
                <w:sz w:val="21"/>
                <w:szCs w:val="21"/>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1"/>
                <w:szCs w:val="21"/>
                <w:highlight w:val="none"/>
              </w:rPr>
              <w:t xml:space="preserve"> 强制采购节能产品</w:t>
            </w:r>
          </w:p>
          <w:p>
            <w:pPr>
              <w:pStyle w:val="32"/>
              <w:spacing w:line="460" w:lineRule="exact"/>
              <w:rPr>
                <w:rFonts w:hint="eastAsia" w:ascii="宋体" w:hAnsi="宋体" w:eastAsia="宋体" w:cs="宋体"/>
                <w:color w:val="auto"/>
                <w:kern w:val="2"/>
                <w:sz w:val="21"/>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kern w:val="2"/>
                <w:sz w:val="21"/>
                <w:highlight w:val="none"/>
              </w:rPr>
              <w:t>优先采购节能产品</w:t>
            </w:r>
          </w:p>
          <w:p>
            <w:pPr>
              <w:snapToGrid w:val="0"/>
              <w:spacing w:line="460" w:lineRule="exact"/>
              <w:rPr>
                <w:rFonts w:hint="eastAsia" w:ascii="宋体" w:hAnsi="宋体" w:eastAsia="宋体" w:cs="宋体"/>
                <w:color w:val="auto"/>
                <w:highlight w:val="none"/>
              </w:rPr>
            </w:pPr>
            <w:r>
              <w:rPr>
                <w:rFonts w:hint="eastAsia" w:ascii="宋体" w:hAnsi="宋体" w:eastAsia="宋体" w:cs="宋体"/>
                <w:color w:val="auto"/>
                <w:sz w:val="21"/>
                <w:szCs w:val="21"/>
                <w:highlight w:val="none"/>
              </w:rPr>
              <w:sym w:font="Wingdings" w:char="F0FE"/>
            </w:r>
            <w:r>
              <w:rPr>
                <w:rFonts w:hint="eastAsia" w:ascii="宋体" w:hAnsi="宋体" w:eastAsia="宋体" w:cs="宋体"/>
                <w:color w:val="auto"/>
                <w:kern w:val="2"/>
                <w:sz w:val="21"/>
                <w:szCs w:val="21"/>
                <w:highlight w:val="none"/>
              </w:rPr>
              <w:t xml:space="preserve">  不适用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788"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w:t>
            </w:r>
          </w:p>
        </w:tc>
        <w:tc>
          <w:tcPr>
            <w:tcW w:w="2355"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rPr>
                <w:rFonts w:hint="eastAsia" w:ascii="宋体" w:hAnsi="宋体" w:eastAsia="宋体" w:cs="宋体"/>
                <w:color w:val="auto"/>
                <w:sz w:val="21"/>
                <w:szCs w:val="21"/>
                <w:highlight w:val="none"/>
              </w:rPr>
            </w:pPr>
            <w:r>
              <w:rPr>
                <w:rFonts w:hint="eastAsia" w:ascii="宋体" w:hAnsi="宋体" w:eastAsia="宋体" w:cs="宋体"/>
                <w:snapToGrid w:val="0"/>
                <w:color w:val="auto"/>
                <w:sz w:val="21"/>
                <w:szCs w:val="21"/>
                <w:highlight w:val="none"/>
              </w:rPr>
              <w:t>环境标志产品</w:t>
            </w:r>
          </w:p>
        </w:tc>
        <w:tc>
          <w:tcPr>
            <w:tcW w:w="6233"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rPr>
                <w:rFonts w:hint="eastAsia" w:ascii="宋体" w:hAnsi="宋体" w:eastAsia="宋体" w:cs="宋体"/>
                <w:color w:val="auto"/>
                <w:sz w:val="21"/>
                <w:szCs w:val="21"/>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1"/>
                <w:szCs w:val="21"/>
                <w:highlight w:val="none"/>
              </w:rPr>
              <w:t xml:space="preserve"> 强制采购</w:t>
            </w:r>
            <w:r>
              <w:rPr>
                <w:rFonts w:hint="eastAsia" w:ascii="宋体" w:hAnsi="宋体" w:eastAsia="宋体" w:cs="宋体"/>
                <w:color w:val="auto"/>
                <w:kern w:val="2"/>
                <w:sz w:val="21"/>
                <w:highlight w:val="none"/>
              </w:rPr>
              <w:t>环境标志产品</w:t>
            </w:r>
          </w:p>
          <w:p>
            <w:pPr>
              <w:pStyle w:val="32"/>
              <w:spacing w:line="460" w:lineRule="exact"/>
              <w:rPr>
                <w:rFonts w:hint="eastAsia" w:ascii="宋体" w:hAnsi="宋体" w:eastAsia="宋体" w:cs="宋体"/>
                <w:color w:val="auto"/>
                <w:kern w:val="2"/>
                <w:sz w:val="21"/>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kern w:val="2"/>
                <w:sz w:val="21"/>
                <w:highlight w:val="none"/>
              </w:rPr>
              <w:t>优先采购环境标志产品</w:t>
            </w:r>
          </w:p>
          <w:p>
            <w:pPr>
              <w:snapToGrid w:val="0"/>
              <w:spacing w:line="460" w:lineRule="exact"/>
              <w:rPr>
                <w:rFonts w:hint="eastAsia" w:ascii="宋体" w:hAnsi="宋体" w:eastAsia="宋体" w:cs="宋体"/>
                <w:color w:val="auto"/>
                <w:highlight w:val="none"/>
              </w:rPr>
            </w:pPr>
            <w:r>
              <w:rPr>
                <w:rFonts w:hint="eastAsia" w:ascii="宋体" w:hAnsi="宋体" w:eastAsia="宋体" w:cs="宋体"/>
                <w:color w:val="auto"/>
                <w:sz w:val="21"/>
                <w:szCs w:val="21"/>
                <w:highlight w:val="none"/>
              </w:rPr>
              <w:sym w:font="Wingdings" w:char="F0FE"/>
            </w:r>
            <w:r>
              <w:rPr>
                <w:rFonts w:hint="eastAsia" w:ascii="宋体" w:hAnsi="宋体" w:eastAsia="宋体" w:cs="宋体"/>
                <w:color w:val="auto"/>
                <w:sz w:val="21"/>
                <w:szCs w:val="21"/>
                <w:highlight w:val="none"/>
              </w:rPr>
              <w:t xml:space="preserve">  不适用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788"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w:t>
            </w:r>
          </w:p>
        </w:tc>
        <w:tc>
          <w:tcPr>
            <w:tcW w:w="858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jc w:val="both"/>
              <w:textAlignment w:val="bottom"/>
              <w:rPr>
                <w:rFonts w:hint="eastAsia" w:ascii="宋体" w:hAnsi="宋体" w:eastAsia="宋体" w:cs="宋体"/>
                <w:bCs/>
                <w:color w:val="auto"/>
                <w:sz w:val="21"/>
                <w:szCs w:val="21"/>
                <w:highlight w:val="none"/>
              </w:rPr>
            </w:pPr>
            <w:r>
              <w:rPr>
                <w:rFonts w:hint="eastAsia" w:ascii="宋体" w:hAnsi="宋体" w:eastAsia="宋体" w:cs="宋体"/>
                <w:b/>
                <w:color w:val="auto"/>
                <w:sz w:val="21"/>
                <w:szCs w:val="21"/>
                <w:highlight w:val="none"/>
              </w:rPr>
              <w:t>投标文件的递交：</w:t>
            </w:r>
          </w:p>
          <w:p>
            <w:pPr>
              <w:snapToGrid w:val="0"/>
              <w:spacing w:line="460" w:lineRule="exact"/>
              <w:jc w:val="both"/>
              <w:textAlignment w:val="bottom"/>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本项目投标文件分</w:t>
            </w:r>
            <w:r>
              <w:rPr>
                <w:rFonts w:hint="eastAsia" w:ascii="宋体" w:hAnsi="宋体" w:eastAsia="宋体" w:cs="宋体"/>
                <w:b/>
                <w:color w:val="auto"/>
                <w:sz w:val="21"/>
                <w:szCs w:val="21"/>
                <w:highlight w:val="none"/>
              </w:rPr>
              <w:t>资格文件、商务技术文件</w:t>
            </w:r>
            <w:r>
              <w:rPr>
                <w:rFonts w:hint="eastAsia" w:ascii="宋体" w:hAnsi="宋体" w:eastAsia="宋体" w:cs="宋体"/>
                <w:b/>
                <w:bCs/>
                <w:color w:val="auto"/>
                <w:sz w:val="21"/>
                <w:szCs w:val="21"/>
                <w:highlight w:val="none"/>
              </w:rPr>
              <w:t>、</w:t>
            </w:r>
            <w:r>
              <w:rPr>
                <w:rFonts w:hint="eastAsia" w:ascii="宋体" w:hAnsi="宋体" w:eastAsia="宋体" w:cs="宋体"/>
                <w:b/>
                <w:color w:val="auto"/>
                <w:sz w:val="21"/>
                <w:szCs w:val="21"/>
                <w:highlight w:val="none"/>
              </w:rPr>
              <w:t>报价文件</w:t>
            </w:r>
            <w:r>
              <w:rPr>
                <w:rFonts w:hint="eastAsia" w:ascii="宋体" w:hAnsi="宋体" w:eastAsia="宋体" w:cs="宋体"/>
                <w:bCs/>
                <w:color w:val="auto"/>
                <w:sz w:val="21"/>
                <w:szCs w:val="21"/>
                <w:highlight w:val="none"/>
              </w:rPr>
              <w:t xml:space="preserve"> 三部分。投标人应以以下方式递交投标文件：</w:t>
            </w:r>
          </w:p>
          <w:p>
            <w:pPr>
              <w:pStyle w:val="19"/>
              <w:snapToGrid w:val="0"/>
              <w:spacing w:after="0" w:line="460" w:lineRule="exact"/>
              <w:ind w:left="0" w:leftChars="0" w:firstLine="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★1.本项目实行“网上</w:t>
            </w:r>
            <w:r>
              <w:rPr>
                <w:rFonts w:hint="eastAsia" w:ascii="宋体" w:hAnsi="宋体" w:eastAsia="宋体" w:cs="宋体"/>
                <w:snapToGrid w:val="0"/>
                <w:color w:val="auto"/>
                <w:sz w:val="22"/>
                <w:highlight w:val="none"/>
              </w:rPr>
              <w:t>电子</w:t>
            </w:r>
            <w:r>
              <w:rPr>
                <w:rFonts w:hint="eastAsia" w:ascii="宋体" w:hAnsi="宋体" w:eastAsia="宋体" w:cs="宋体"/>
                <w:bCs/>
                <w:color w:val="auto"/>
                <w:sz w:val="21"/>
                <w:szCs w:val="21"/>
                <w:highlight w:val="none"/>
              </w:rPr>
              <w:t>投标、电子评标”，投标人应于投标截止时间前在“政采云”（</w:t>
            </w:r>
            <w:r>
              <w:rPr>
                <w:rFonts w:hint="eastAsia" w:ascii="宋体" w:hAnsi="宋体" w:eastAsia="宋体" w:cs="宋体"/>
                <w:color w:val="auto"/>
                <w:sz w:val="21"/>
                <w:szCs w:val="21"/>
                <w:highlight w:val="none"/>
                <w:shd w:val="clear" w:color="auto" w:fill="FFFFFF"/>
              </w:rPr>
              <w:t xml:space="preserve"> 电子交易客户端</w:t>
            </w:r>
            <w:r>
              <w:rPr>
                <w:rFonts w:hint="eastAsia" w:ascii="宋体" w:hAnsi="宋体" w:eastAsia="宋体" w:cs="宋体"/>
                <w:bCs/>
                <w:color w:val="auto"/>
                <w:sz w:val="21"/>
                <w:szCs w:val="21"/>
                <w:highlight w:val="none"/>
              </w:rPr>
              <w:t>）上传输、递交电子版投标文件（包括资格文件、商务技术文件和报价文件）；</w:t>
            </w:r>
          </w:p>
          <w:p>
            <w:pPr>
              <w:snapToGrid w:val="0"/>
              <w:spacing w:line="460" w:lineRule="exact"/>
              <w:jc w:val="both"/>
              <w:textAlignment w:val="bottom"/>
              <w:rPr>
                <w:rFonts w:hint="eastAsia" w:ascii="宋体" w:hAnsi="宋体" w:eastAsia="宋体" w:cs="宋体"/>
                <w:bCs/>
                <w:color w:val="auto"/>
                <w:sz w:val="21"/>
                <w:szCs w:val="21"/>
                <w:highlight w:val="none"/>
              </w:rPr>
            </w:pPr>
            <w:r>
              <w:rPr>
                <w:rFonts w:hint="eastAsia" w:hAnsi="宋体" w:cs="宋体"/>
                <w:bCs/>
                <w:color w:val="auto"/>
                <w:sz w:val="21"/>
                <w:szCs w:val="21"/>
                <w:highlight w:val="none"/>
                <w:lang w:val="en-US" w:eastAsia="zh-CN"/>
              </w:rPr>
              <w:t>2</w:t>
            </w:r>
            <w:r>
              <w:rPr>
                <w:rFonts w:hint="eastAsia" w:ascii="宋体" w:hAnsi="宋体" w:eastAsia="宋体" w:cs="宋体"/>
                <w:bCs/>
                <w:color w:val="auto"/>
                <w:sz w:val="21"/>
                <w:szCs w:val="21"/>
                <w:highlight w:val="none"/>
              </w:rPr>
              <w:t>.本招标文件所涉及的法定代表人或其授权代表签字或盖章的内容，如果投标人没有法定代表人电子签章，涉及法定代表人或其授权代表签字或盖章的内容，投标人可以线下签字或盖章后扫描上传。</w:t>
            </w:r>
          </w:p>
          <w:p>
            <w:pPr>
              <w:snapToGrid w:val="0"/>
              <w:spacing w:line="460" w:lineRule="exact"/>
              <w:jc w:val="both"/>
              <w:textAlignment w:val="bottom"/>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w:t>
            </w:r>
            <w:r>
              <w:rPr>
                <w:rFonts w:hint="eastAsia" w:hAnsi="宋体" w:cs="宋体"/>
                <w:color w:val="auto"/>
                <w:sz w:val="21"/>
                <w:szCs w:val="21"/>
                <w:highlight w:val="none"/>
                <w:lang w:val="en-US" w:eastAsia="zh-CN"/>
              </w:rPr>
              <w:t>3.</w:t>
            </w:r>
            <w:r>
              <w:rPr>
                <w:rFonts w:hint="eastAsia" w:ascii="宋体" w:hAnsi="宋体" w:eastAsia="宋体" w:cs="宋体"/>
                <w:color w:val="auto"/>
                <w:sz w:val="21"/>
                <w:szCs w:val="21"/>
                <w:highlight w:val="none"/>
              </w:rPr>
              <w:t>联合体投标的，须以联合体投标人的牵头单位的CA进行投标文件制作。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7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snapToGrid w:val="0"/>
              <w:spacing w:line="460" w:lineRule="exact"/>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10</w:t>
            </w:r>
          </w:p>
        </w:tc>
        <w:tc>
          <w:tcPr>
            <w:tcW w:w="858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snapToGrid w:val="0"/>
              <w:spacing w:line="460" w:lineRule="exact"/>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投标截止时间及地点：</w:t>
            </w:r>
          </w:p>
          <w:p>
            <w:pPr>
              <w:keepNext w:val="0"/>
              <w:keepLines w:val="0"/>
              <w:pageBreakBefore w:val="0"/>
              <w:widowControl w:val="0"/>
              <w:kinsoku/>
              <w:wordWrap/>
              <w:overflowPunct/>
              <w:topLinePunct w:val="0"/>
              <w:autoSpaceDE w:val="0"/>
              <w:autoSpaceDN w:val="0"/>
              <w:bidi w:val="0"/>
              <w:snapToGrid w:val="0"/>
              <w:spacing w:line="460" w:lineRule="exact"/>
              <w:outlineLvl w:val="9"/>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供应商应当在投标截止时间前在“政采云”（电子交易平台）上自行上传加密的电子投标（响应）文件。投标截止时间后递交的电子投标（响应）文件，将被政采云平台拒收。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788"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w:t>
            </w:r>
          </w:p>
        </w:tc>
        <w:tc>
          <w:tcPr>
            <w:tcW w:w="858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jc w:val="both"/>
              <w:textAlignment w:val="bottom"/>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开标时间及地点：</w:t>
            </w:r>
            <w:r>
              <w:rPr>
                <w:rFonts w:hint="eastAsia" w:hAnsi="宋体" w:cs="宋体"/>
                <w:color w:val="auto"/>
                <w:sz w:val="21"/>
                <w:szCs w:val="21"/>
                <w:highlight w:val="none"/>
                <w:lang w:eastAsia="zh-CN"/>
              </w:rPr>
              <w:t>202</w:t>
            </w:r>
            <w:r>
              <w:rPr>
                <w:rFonts w:hint="eastAsia" w:hAnsi="宋体" w:cs="宋体"/>
                <w:color w:val="auto"/>
                <w:sz w:val="21"/>
                <w:szCs w:val="21"/>
                <w:highlight w:val="none"/>
                <w:lang w:val="en-US" w:eastAsia="zh-CN"/>
              </w:rPr>
              <w:t>4</w:t>
            </w:r>
            <w:r>
              <w:rPr>
                <w:rFonts w:hint="eastAsia" w:hAnsi="宋体" w:cs="宋体"/>
                <w:color w:val="auto"/>
                <w:sz w:val="21"/>
                <w:szCs w:val="21"/>
                <w:highlight w:val="none"/>
                <w:lang w:eastAsia="zh-CN"/>
              </w:rPr>
              <w:t xml:space="preserve">年 </w:t>
            </w:r>
            <w:r>
              <w:rPr>
                <w:rFonts w:hint="eastAsia" w:hAnsi="宋体" w:cs="宋体"/>
                <w:color w:val="auto"/>
                <w:sz w:val="21"/>
                <w:szCs w:val="21"/>
                <w:highlight w:val="none"/>
                <w:lang w:val="en-US" w:eastAsia="zh-CN"/>
              </w:rPr>
              <w:t xml:space="preserve"> </w:t>
            </w:r>
            <w:r>
              <w:rPr>
                <w:rFonts w:hint="eastAsia" w:hAnsi="宋体" w:cs="宋体"/>
                <w:color w:val="auto"/>
                <w:sz w:val="21"/>
                <w:szCs w:val="21"/>
                <w:highlight w:val="none"/>
                <w:lang w:eastAsia="zh-CN"/>
              </w:rPr>
              <w:t>月</w:t>
            </w:r>
            <w:r>
              <w:rPr>
                <w:rFonts w:hint="eastAsia" w:hAnsi="宋体" w:cs="宋体"/>
                <w:color w:val="auto"/>
                <w:sz w:val="21"/>
                <w:szCs w:val="21"/>
                <w:highlight w:val="none"/>
                <w:lang w:val="en-US" w:eastAsia="zh-CN"/>
              </w:rPr>
              <w:t xml:space="preserve">  </w:t>
            </w:r>
            <w:r>
              <w:rPr>
                <w:rFonts w:hint="eastAsia" w:hAnsi="宋体" w:cs="宋体"/>
                <w:color w:val="auto"/>
                <w:sz w:val="21"/>
                <w:szCs w:val="21"/>
                <w:highlight w:val="none"/>
                <w:lang w:eastAsia="zh-CN"/>
              </w:rPr>
              <w:t xml:space="preserve"> 日</w:t>
            </w:r>
            <w:r>
              <w:rPr>
                <w:rFonts w:hint="eastAsia" w:hAnsi="宋体" w:cs="宋体"/>
                <w:color w:val="auto"/>
                <w:sz w:val="21"/>
                <w:szCs w:val="21"/>
                <w:highlight w:val="none"/>
                <w:lang w:val="en-US" w:eastAsia="zh-CN"/>
              </w:rPr>
              <w:t xml:space="preserve"> 09点30分</w:t>
            </w:r>
            <w:r>
              <w:rPr>
                <w:rFonts w:hint="eastAsia" w:ascii="宋体" w:hAnsi="宋体" w:eastAsia="宋体" w:cs="宋体"/>
                <w:color w:val="auto"/>
                <w:sz w:val="21"/>
                <w:szCs w:val="21"/>
                <w:highlight w:val="none"/>
              </w:rPr>
              <w:t>，金华市双龙南街858号金华财富大厦（金华市行政服务中心新办事大厅4楼</w:t>
            </w:r>
            <w:r>
              <w:rPr>
                <w:rFonts w:hint="eastAsia" w:hAnsi="宋体" w:cs="宋体"/>
                <w:color w:val="auto"/>
                <w:sz w:val="21"/>
                <w:szCs w:val="21"/>
                <w:highlight w:val="none"/>
                <w:lang w:val="en-US" w:eastAsia="zh-CN"/>
              </w:rPr>
              <w:t>开标1室</w:t>
            </w:r>
            <w:r>
              <w:rPr>
                <w:rFonts w:hint="eastAsia" w:ascii="宋体" w:hAnsi="宋体" w:eastAsia="宋体" w:cs="宋体"/>
                <w:color w:val="auto"/>
                <w:sz w:val="21"/>
                <w:szCs w:val="21"/>
                <w:highlight w:val="none"/>
              </w:rPr>
              <w:t>）</w:t>
            </w:r>
          </w:p>
          <w:p>
            <w:pPr>
              <w:snapToGrid w:val="0"/>
              <w:spacing w:line="460" w:lineRule="exact"/>
              <w:jc w:val="both"/>
              <w:textAlignment w:val="bottom"/>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截止开标时间，政采云（电子交易平台）自动提取所有投标文件，投标人须在解密时限内完成解密，解密时限为30分钟，投标人在规定的时间内都已解密完成，则系统自动结束解密，采购代理机构开启投标文件；除另有规定外，投标人未能在约定的解密时限内完成解密的，系统将默认其自动放弃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7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snapToGrid w:val="0"/>
              <w:spacing w:line="460" w:lineRule="exact"/>
              <w:jc w:val="center"/>
              <w:outlineLvl w:val="9"/>
              <w:rPr>
                <w:rFonts w:hint="eastAsia" w:ascii="宋体" w:hAnsi="宋体" w:eastAsia="宋体" w:cs="宋体"/>
                <w:color w:val="auto"/>
                <w:sz w:val="21"/>
                <w:szCs w:val="21"/>
                <w:highlight w:val="none"/>
              </w:rPr>
            </w:pPr>
            <w:r>
              <w:rPr>
                <w:rFonts w:hint="eastAsia" w:hAnsi="宋体" w:eastAsia="宋体" w:cs="宋体"/>
                <w:color w:val="auto"/>
                <w:sz w:val="21"/>
                <w:szCs w:val="21"/>
                <w:highlight w:val="none"/>
                <w:lang w:val="en-US" w:eastAsia="zh-CN"/>
              </w:rPr>
              <w:t>12</w:t>
            </w:r>
          </w:p>
        </w:tc>
        <w:tc>
          <w:tcPr>
            <w:tcW w:w="858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textAlignment w:val="bottom"/>
              <w:rPr>
                <w:rFonts w:hint="eastAsia" w:hAnsi="宋体" w:cs="宋体"/>
                <w:color w:val="auto"/>
                <w:sz w:val="21"/>
                <w:szCs w:val="21"/>
                <w:highlight w:val="none"/>
              </w:rPr>
            </w:pPr>
            <w:r>
              <w:rPr>
                <w:rFonts w:hint="eastAsia" w:hAnsi="宋体" w:cs="宋体"/>
                <w:b/>
                <w:color w:val="auto"/>
                <w:sz w:val="21"/>
                <w:szCs w:val="21"/>
                <w:highlight w:val="none"/>
              </w:rPr>
              <w:t xml:space="preserve">履约保证金的收取及退还: </w:t>
            </w:r>
          </w:p>
          <w:p>
            <w:pPr>
              <w:widowControl/>
              <w:autoSpaceDE/>
              <w:autoSpaceDN/>
              <w:spacing w:line="460" w:lineRule="exact"/>
              <w:ind w:firstLine="0" w:firstLineChars="0"/>
              <w:rPr>
                <w:rFonts w:hint="eastAsia" w:hAnsi="宋体" w:cs="宋体"/>
                <w:b/>
                <w:color w:val="auto"/>
                <w:sz w:val="21"/>
                <w:szCs w:val="21"/>
                <w:highlight w:val="none"/>
              </w:rPr>
            </w:pPr>
            <w:r>
              <w:rPr>
                <w:rFonts w:hint="eastAsia" w:hAnsi="宋体" w:cs="宋体"/>
                <w:b/>
                <w:color w:val="auto"/>
                <w:sz w:val="21"/>
                <w:szCs w:val="21"/>
                <w:highlight w:val="none"/>
              </w:rPr>
              <w:t>1.中标人</w:t>
            </w:r>
            <w:r>
              <w:rPr>
                <w:rFonts w:hint="eastAsia" w:hAnsi="宋体" w:cs="宋体"/>
                <w:b/>
                <w:color w:val="auto"/>
                <w:sz w:val="21"/>
                <w:szCs w:val="21"/>
                <w:highlight w:val="none"/>
                <w:lang w:eastAsia="zh-CN"/>
              </w:rPr>
              <w:t>（</w:t>
            </w:r>
            <w:r>
              <w:rPr>
                <w:rFonts w:hint="eastAsia" w:hAnsi="宋体" w:cs="宋体"/>
                <w:b/>
                <w:color w:val="auto"/>
                <w:sz w:val="21"/>
                <w:szCs w:val="21"/>
                <w:highlight w:val="none"/>
                <w:lang w:val="en-US" w:eastAsia="zh-CN"/>
              </w:rPr>
              <w:t>联合体中标的，由联合体牵头人缴纳</w:t>
            </w:r>
            <w:r>
              <w:rPr>
                <w:rFonts w:hint="eastAsia" w:hAnsi="宋体" w:cs="宋体"/>
                <w:b/>
                <w:color w:val="auto"/>
                <w:sz w:val="21"/>
                <w:szCs w:val="21"/>
                <w:highlight w:val="none"/>
                <w:lang w:eastAsia="zh-CN"/>
              </w:rPr>
              <w:t>）</w:t>
            </w:r>
            <w:r>
              <w:rPr>
                <w:rFonts w:hint="eastAsia" w:hAnsi="宋体" w:cs="宋体"/>
                <w:b/>
                <w:color w:val="auto"/>
                <w:sz w:val="21"/>
                <w:szCs w:val="21"/>
                <w:highlight w:val="none"/>
              </w:rPr>
              <w:t>必须在合同签订后向招标人缴纳</w:t>
            </w:r>
            <w:r>
              <w:rPr>
                <w:rFonts w:hint="eastAsia" w:ascii="宋体" w:hAnsi="宋体" w:eastAsia="宋体" w:cs="宋体"/>
                <w:b/>
                <w:color w:val="auto"/>
                <w:sz w:val="21"/>
                <w:szCs w:val="21"/>
                <w:highlight w:val="none"/>
              </w:rPr>
              <w:t>人民币</w:t>
            </w:r>
            <w:r>
              <w:rPr>
                <w:rFonts w:hint="eastAsia" w:hAnsi="宋体" w:cs="宋体"/>
                <w:b/>
                <w:color w:val="auto"/>
                <w:sz w:val="21"/>
                <w:szCs w:val="21"/>
                <w:highlight w:val="none"/>
                <w:lang w:val="en-US" w:eastAsia="zh-CN"/>
              </w:rPr>
              <w:t>伍</w:t>
            </w:r>
            <w:r>
              <w:rPr>
                <w:rFonts w:hint="eastAsia" w:hAnsi="宋体" w:eastAsia="宋体" w:cs="宋体"/>
                <w:b/>
                <w:color w:val="auto"/>
                <w:sz w:val="21"/>
                <w:szCs w:val="21"/>
                <w:highlight w:val="none"/>
                <w:lang w:val="en-US" w:eastAsia="zh-CN"/>
              </w:rPr>
              <w:t>万</w:t>
            </w:r>
            <w:r>
              <w:rPr>
                <w:rFonts w:hint="eastAsia" w:ascii="宋体" w:hAnsi="宋体" w:eastAsia="宋体" w:cs="宋体"/>
                <w:b/>
                <w:color w:val="auto"/>
                <w:sz w:val="21"/>
                <w:szCs w:val="21"/>
                <w:highlight w:val="none"/>
              </w:rPr>
              <w:t>元整</w:t>
            </w:r>
            <w:r>
              <w:rPr>
                <w:rFonts w:hint="eastAsia" w:hAnsi="宋体" w:cs="宋体"/>
                <w:b/>
                <w:color w:val="auto"/>
                <w:sz w:val="21"/>
                <w:szCs w:val="21"/>
                <w:highlight w:val="none"/>
              </w:rPr>
              <w:t>的履约保证金，可以支票、汇票、本票或者金融机构、保险公司、担保机构出具的保函/保险（可在政采云平台购买，咨询热线4009039583）等非现金形式提交。履约保证金（或履约保函）在污泥处置服务已达到采购文件与合同约定的要求、</w:t>
            </w:r>
            <w:r>
              <w:rPr>
                <w:rFonts w:hint="eastAsia" w:hAnsi="宋体" w:eastAsia="宋体" w:cs="宋体"/>
                <w:b/>
                <w:color w:val="auto"/>
                <w:sz w:val="21"/>
                <w:szCs w:val="21"/>
                <w:highlight w:val="none"/>
                <w:lang w:eastAsia="zh-CN"/>
              </w:rPr>
              <w:t>中标人投标</w:t>
            </w:r>
            <w:r>
              <w:rPr>
                <w:rFonts w:hint="eastAsia" w:hAnsi="宋体" w:cs="宋体"/>
                <w:b/>
                <w:color w:val="auto"/>
                <w:sz w:val="21"/>
                <w:szCs w:val="21"/>
                <w:highlight w:val="none"/>
              </w:rPr>
              <w:t>文件的承诺及交接完成后，予以无息退还（或撤销到期履约保函）</w:t>
            </w:r>
            <w:r>
              <w:rPr>
                <w:rFonts w:hint="eastAsia" w:hAnsi="宋体" w:cs="宋体"/>
                <w:b/>
                <w:bCs/>
                <w:color w:val="auto"/>
                <w:sz w:val="21"/>
                <w:szCs w:val="21"/>
                <w:highlight w:val="none"/>
              </w:rPr>
              <w:t>。</w:t>
            </w:r>
          </w:p>
          <w:p>
            <w:pPr>
              <w:keepNext w:val="0"/>
              <w:keepLines w:val="0"/>
              <w:pageBreakBefore w:val="0"/>
              <w:widowControl w:val="0"/>
              <w:kinsoku/>
              <w:wordWrap/>
              <w:overflowPunct/>
              <w:topLinePunct w:val="0"/>
              <w:autoSpaceDE w:val="0"/>
              <w:autoSpaceDN w:val="0"/>
              <w:bidi w:val="0"/>
              <w:snapToGrid w:val="0"/>
              <w:spacing w:line="460" w:lineRule="exact"/>
              <w:jc w:val="both"/>
              <w:textAlignment w:val="bottom"/>
              <w:outlineLvl w:val="9"/>
              <w:rPr>
                <w:rFonts w:hint="eastAsia" w:ascii="宋体" w:hAnsi="宋体" w:eastAsia="宋体" w:cs="宋体"/>
                <w:color w:val="auto"/>
                <w:sz w:val="21"/>
                <w:szCs w:val="21"/>
                <w:highlight w:val="none"/>
              </w:rPr>
            </w:pPr>
            <w:r>
              <w:rPr>
                <w:rFonts w:hint="eastAsia" w:hAnsi="宋体" w:cs="宋体"/>
                <w:b/>
                <w:color w:val="auto"/>
                <w:sz w:val="21"/>
                <w:szCs w:val="21"/>
                <w:highlight w:val="none"/>
              </w:rPr>
              <w:t>2.为支持和促进中小企业发展，进一步发挥政府采购政策功能，浙江省财政厅出台浙财采监〔2020〕3 号文件，企业若有购买保险/保函或者融资意向，</w:t>
            </w:r>
            <w:r>
              <w:rPr>
                <w:rFonts w:hint="eastAsia" w:hAnsi="宋体" w:cs="宋体"/>
                <w:b/>
                <w:color w:val="auto"/>
                <w:sz w:val="21"/>
                <w:szCs w:val="21"/>
                <w:highlight w:val="none"/>
                <w:lang w:eastAsia="zh-CN"/>
              </w:rPr>
              <w:t>可登录</w:t>
            </w:r>
            <w:r>
              <w:rPr>
                <w:rFonts w:hint="eastAsia" w:hAnsi="宋体" w:cs="宋体"/>
                <w:b/>
                <w:color w:val="auto"/>
                <w:sz w:val="21"/>
                <w:szCs w:val="21"/>
                <w:highlight w:val="none"/>
              </w:rPr>
              <w:t>政采云平台融资服务（https://jinrong.zcygov.cn/），查看相应融资政策文件及各相关服务方案，咨询热线400-903-9583。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788"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1</w:t>
            </w:r>
            <w:r>
              <w:rPr>
                <w:rFonts w:hint="eastAsia" w:hAnsi="宋体" w:cs="宋体"/>
                <w:color w:val="auto"/>
                <w:sz w:val="21"/>
                <w:szCs w:val="21"/>
                <w:highlight w:val="none"/>
                <w:lang w:val="en-US" w:eastAsia="zh-CN"/>
              </w:rPr>
              <w:t>3</w:t>
            </w:r>
          </w:p>
        </w:tc>
        <w:tc>
          <w:tcPr>
            <w:tcW w:w="858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textAlignment w:val="bottom"/>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评标办法：综合评分法。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788"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1</w:t>
            </w:r>
            <w:r>
              <w:rPr>
                <w:rFonts w:hint="eastAsia" w:hAnsi="宋体" w:cs="宋体"/>
                <w:color w:val="auto"/>
                <w:sz w:val="21"/>
                <w:szCs w:val="21"/>
                <w:highlight w:val="none"/>
                <w:lang w:val="en-US" w:eastAsia="zh-CN"/>
              </w:rPr>
              <w:t>4</w:t>
            </w:r>
          </w:p>
        </w:tc>
        <w:tc>
          <w:tcPr>
            <w:tcW w:w="858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textAlignment w:val="bottom"/>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结果公示：结果公示于浙江政府采购网</w:t>
            </w:r>
            <w:r>
              <w:rPr>
                <w:rFonts w:hint="eastAsia" w:hAnsi="宋体" w:cs="宋体"/>
                <w:color w:val="auto"/>
                <w:sz w:val="21"/>
                <w:szCs w:val="21"/>
                <w:highlight w:val="none"/>
              </w:rPr>
              <w:t>http://zfcg.czt.zj.gov.cn/</w:t>
            </w:r>
            <w:r>
              <w:rPr>
                <w:rFonts w:hint="eastAsia" w:ascii="宋体" w:hAnsi="宋体" w:eastAsia="宋体" w:cs="宋体"/>
                <w:color w:val="auto"/>
                <w:sz w:val="21"/>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8" w:hRule="atLeast"/>
        </w:trPr>
        <w:tc>
          <w:tcPr>
            <w:tcW w:w="788"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1</w:t>
            </w:r>
            <w:r>
              <w:rPr>
                <w:rFonts w:hint="eastAsia" w:hAnsi="宋体" w:cs="宋体"/>
                <w:color w:val="auto"/>
                <w:sz w:val="21"/>
                <w:szCs w:val="21"/>
                <w:highlight w:val="none"/>
                <w:lang w:val="en-US" w:eastAsia="zh-CN"/>
              </w:rPr>
              <w:t>5</w:t>
            </w:r>
          </w:p>
        </w:tc>
        <w:tc>
          <w:tcPr>
            <w:tcW w:w="858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textAlignment w:val="bottom"/>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签订合同时间：中标通知书发出后20日内。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7" w:hRule="atLeast"/>
        </w:trPr>
        <w:tc>
          <w:tcPr>
            <w:tcW w:w="788"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1</w:t>
            </w:r>
            <w:r>
              <w:rPr>
                <w:rFonts w:hint="eastAsia" w:hAnsi="宋体" w:cs="宋体"/>
                <w:color w:val="auto"/>
                <w:sz w:val="21"/>
                <w:szCs w:val="21"/>
                <w:highlight w:val="none"/>
                <w:lang w:val="en-US" w:eastAsia="zh-CN"/>
              </w:rPr>
              <w:t>6</w:t>
            </w:r>
          </w:p>
        </w:tc>
        <w:tc>
          <w:tcPr>
            <w:tcW w:w="858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投标文件有效期：90天。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 w:hRule="atLeast"/>
        </w:trPr>
        <w:tc>
          <w:tcPr>
            <w:tcW w:w="788"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1</w:t>
            </w:r>
            <w:r>
              <w:rPr>
                <w:rFonts w:hint="eastAsia" w:hAnsi="宋体" w:cs="宋体"/>
                <w:color w:val="auto"/>
                <w:sz w:val="21"/>
                <w:szCs w:val="21"/>
                <w:highlight w:val="none"/>
                <w:lang w:val="en-US" w:eastAsia="zh-CN"/>
              </w:rPr>
              <w:t>7</w:t>
            </w:r>
          </w:p>
        </w:tc>
        <w:tc>
          <w:tcPr>
            <w:tcW w:w="858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解释：本招标文件的解释权属于招标采购单位。</w:t>
            </w:r>
          </w:p>
        </w:tc>
      </w:tr>
    </w:tbl>
    <w:p>
      <w:pPr>
        <w:autoSpaceDE/>
        <w:autoSpaceDN/>
        <w:adjustRightInd/>
        <w:spacing w:line="500" w:lineRule="exact"/>
        <w:ind w:firstLine="482" w:firstLineChars="200"/>
        <w:jc w:val="both"/>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一、总则</w:t>
      </w:r>
    </w:p>
    <w:p>
      <w:pPr>
        <w:autoSpaceDE/>
        <w:autoSpaceDN/>
        <w:adjustRightInd/>
        <w:spacing w:line="500" w:lineRule="exact"/>
        <w:ind w:firstLine="422" w:firstLineChars="200"/>
        <w:jc w:val="both"/>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（一）适用范围</w:t>
      </w:r>
    </w:p>
    <w:p>
      <w:pPr>
        <w:autoSpaceDE/>
        <w:autoSpaceDN/>
        <w:adjustRightInd/>
        <w:spacing w:line="500" w:lineRule="exact"/>
        <w:ind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本招标文件适用于</w:t>
      </w:r>
      <w:r>
        <w:rPr>
          <w:rFonts w:hint="eastAsia" w:hAnsi="宋体" w:cs="宋体"/>
          <w:color w:val="auto"/>
          <w:sz w:val="21"/>
          <w:szCs w:val="21"/>
          <w:highlight w:val="none"/>
          <w:lang w:eastAsia="zh-CN"/>
        </w:rPr>
        <w:t>金华市婺城区住房和城乡建设局关于污水处理厂污泥处置服务项目</w:t>
      </w:r>
      <w:r>
        <w:rPr>
          <w:rFonts w:hint="eastAsia" w:ascii="宋体" w:hAnsi="宋体" w:eastAsia="宋体" w:cs="宋体"/>
          <w:color w:val="auto"/>
          <w:sz w:val="21"/>
          <w:szCs w:val="21"/>
          <w:highlight w:val="none"/>
        </w:rPr>
        <w:t>的招标、投标、评标、定标、验收、合同履约、付款等行为（法律、法规另有规定的，从其规定）。</w:t>
      </w:r>
    </w:p>
    <w:p>
      <w:pPr>
        <w:autoSpaceDE/>
        <w:autoSpaceDN/>
        <w:adjustRightInd/>
        <w:spacing w:line="500" w:lineRule="exact"/>
        <w:ind w:firstLine="422" w:firstLineChars="200"/>
        <w:jc w:val="both"/>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（二）定义</w:t>
      </w:r>
    </w:p>
    <w:p>
      <w:pPr>
        <w:autoSpaceDE/>
        <w:autoSpaceDN/>
        <w:adjustRightInd/>
        <w:spacing w:line="500" w:lineRule="exact"/>
        <w:ind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1.招标采购单位系指组织本次招标的代理机构和招标人（“采购单位”“采购人”）。</w:t>
      </w:r>
    </w:p>
    <w:p>
      <w:pPr>
        <w:autoSpaceDE/>
        <w:autoSpaceDN/>
        <w:adjustRightInd/>
        <w:spacing w:line="500" w:lineRule="exact"/>
        <w:ind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2.“投标人”（又称 “供应商”）系指向招标人提交投标文件的单位或个人或投标联合体。</w:t>
      </w:r>
    </w:p>
    <w:p>
      <w:pPr>
        <w:autoSpaceDE/>
        <w:autoSpaceDN/>
        <w:adjustRightInd/>
        <w:spacing w:line="500" w:lineRule="exact"/>
        <w:ind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3.“服务” 系指中标人受</w:t>
      </w:r>
      <w:r>
        <w:rPr>
          <w:rFonts w:hint="eastAsia" w:hAnsi="宋体" w:cs="宋体"/>
          <w:color w:val="auto"/>
          <w:sz w:val="21"/>
          <w:szCs w:val="21"/>
          <w:highlight w:val="none"/>
          <w:lang w:val="en-US" w:eastAsia="zh-CN"/>
        </w:rPr>
        <w:t>招标人</w:t>
      </w:r>
      <w:r>
        <w:rPr>
          <w:rFonts w:hint="eastAsia" w:ascii="宋体" w:hAnsi="宋体" w:eastAsia="宋体" w:cs="宋体"/>
          <w:color w:val="auto"/>
          <w:sz w:val="21"/>
          <w:szCs w:val="21"/>
          <w:highlight w:val="none"/>
        </w:rPr>
        <w:t>委托提供</w:t>
      </w:r>
      <w:r>
        <w:rPr>
          <w:rFonts w:hint="eastAsia" w:hAnsi="宋体" w:cs="宋体"/>
          <w:color w:val="auto"/>
          <w:sz w:val="21"/>
          <w:szCs w:val="21"/>
          <w:highlight w:val="none"/>
          <w:lang w:eastAsia="zh-CN"/>
        </w:rPr>
        <w:t>金华市婺城区住房和城乡建设局关于污水处理厂污泥处置服务项目</w:t>
      </w:r>
      <w:r>
        <w:rPr>
          <w:rFonts w:hint="eastAsia" w:ascii="宋体" w:hAnsi="宋体" w:eastAsia="宋体" w:cs="宋体"/>
          <w:color w:val="auto"/>
          <w:sz w:val="21"/>
          <w:szCs w:val="21"/>
          <w:highlight w:val="none"/>
        </w:rPr>
        <w:t>以及其他类似的义务。</w:t>
      </w:r>
    </w:p>
    <w:p>
      <w:pPr>
        <w:autoSpaceDE/>
        <w:autoSpaceDN/>
        <w:adjustRightInd/>
        <w:spacing w:line="500" w:lineRule="exact"/>
        <w:ind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4.“项目”系指投标人按招标文件规定向招标人提供的专业服务。</w:t>
      </w:r>
    </w:p>
    <w:p>
      <w:pPr>
        <w:autoSpaceDE/>
        <w:autoSpaceDN/>
        <w:adjustRightInd/>
        <w:spacing w:line="500" w:lineRule="exact"/>
        <w:ind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5.“书面形式”包括信函、传真、电报等。</w:t>
      </w:r>
    </w:p>
    <w:p>
      <w:pPr>
        <w:autoSpaceDE/>
        <w:autoSpaceDN/>
        <w:adjustRightInd/>
        <w:spacing w:line="500" w:lineRule="exact"/>
        <w:ind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w:t>
      </w:r>
      <w:r>
        <w:rPr>
          <w:rFonts w:hint="eastAsia" w:ascii="宋体" w:hAnsi="宋体" w:eastAsia="宋体" w:cs="宋体"/>
          <w:bCs/>
          <w:color w:val="auto"/>
          <w:sz w:val="21"/>
          <w:szCs w:val="21"/>
          <w:highlight w:val="none"/>
        </w:rPr>
        <w:t>★</w:t>
      </w:r>
      <w:r>
        <w:rPr>
          <w:rFonts w:hint="eastAsia" w:ascii="宋体" w:hAnsi="宋体" w:eastAsia="宋体" w:cs="宋体"/>
          <w:color w:val="auto"/>
          <w:sz w:val="21"/>
          <w:szCs w:val="21"/>
          <w:highlight w:val="none"/>
        </w:rPr>
        <w:t>”系指实质性要求指标，“</w:t>
      </w:r>
      <w:r>
        <w:rPr>
          <w:rFonts w:hint="eastAsia" w:ascii="宋体" w:hAnsi="宋体" w:eastAsia="宋体" w:cs="宋体"/>
          <w:b/>
          <w:color w:val="auto"/>
          <w:sz w:val="21"/>
          <w:szCs w:val="21"/>
          <w:highlight w:val="none"/>
        </w:rPr>
        <w:t>▲</w:t>
      </w:r>
      <w:r>
        <w:rPr>
          <w:rFonts w:hint="eastAsia" w:ascii="宋体" w:hAnsi="宋体" w:eastAsia="宋体" w:cs="宋体"/>
          <w:color w:val="auto"/>
          <w:sz w:val="21"/>
          <w:szCs w:val="21"/>
          <w:highlight w:val="none"/>
        </w:rPr>
        <w:t>”系指重要性指标条款。</w:t>
      </w:r>
    </w:p>
    <w:p>
      <w:pPr>
        <w:autoSpaceDE/>
        <w:autoSpaceDN/>
        <w:adjustRightInd/>
        <w:spacing w:line="500" w:lineRule="exact"/>
        <w:ind w:firstLine="422" w:firstLineChars="200"/>
        <w:jc w:val="both"/>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（三）招标方式</w:t>
      </w:r>
    </w:p>
    <w:p>
      <w:pPr>
        <w:autoSpaceDE/>
        <w:autoSpaceDN/>
        <w:adjustRightInd/>
        <w:spacing w:line="500" w:lineRule="exact"/>
        <w:ind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本次招标采用公开招标方式进行。</w:t>
      </w:r>
    </w:p>
    <w:p>
      <w:pPr>
        <w:autoSpaceDE/>
        <w:autoSpaceDN/>
        <w:adjustRightInd/>
        <w:spacing w:line="500" w:lineRule="exact"/>
        <w:ind w:firstLine="422" w:firstLineChars="200"/>
        <w:jc w:val="both"/>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（四）投标委托</w:t>
      </w:r>
    </w:p>
    <w:p>
      <w:pPr>
        <w:autoSpaceDE/>
        <w:autoSpaceDN/>
        <w:adjustRightInd/>
        <w:spacing w:line="500" w:lineRule="exact"/>
        <w:ind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如投标人代表不是法定代表人，须有法定代表人（或“联合体投标人牵头单位的法定代表人”，下同）出具的授权委托书。</w:t>
      </w:r>
    </w:p>
    <w:p>
      <w:pPr>
        <w:autoSpaceDE/>
        <w:autoSpaceDN/>
        <w:adjustRightInd/>
        <w:spacing w:line="500" w:lineRule="exact"/>
        <w:ind w:firstLine="422" w:firstLineChars="200"/>
        <w:jc w:val="both"/>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（五）投标费用</w:t>
      </w:r>
    </w:p>
    <w:p>
      <w:pPr>
        <w:autoSpaceDE/>
        <w:autoSpaceDN/>
        <w:adjustRightInd/>
        <w:spacing w:line="500" w:lineRule="exact"/>
        <w:ind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不论投标结果如何，投标人均应自行承担所有与投标有关的全部费用（招标文件有相反规定除外）。</w:t>
      </w:r>
      <w:r>
        <w:rPr>
          <w:rFonts w:hint="eastAsia" w:ascii="宋体" w:hAnsi="宋体" w:eastAsia="宋体" w:cs="宋体"/>
          <w:b/>
          <w:bCs/>
          <w:color w:val="auto"/>
          <w:sz w:val="21"/>
          <w:szCs w:val="21"/>
          <w:highlight w:val="none"/>
        </w:rPr>
        <w:t>中标、成交供应商放弃中标、成交资格导致重新采购的，应当承担支付代理费和专家评审费等费用在内的赔偿责任。</w:t>
      </w:r>
    </w:p>
    <w:p>
      <w:pPr>
        <w:autoSpaceDE/>
        <w:autoSpaceDN/>
        <w:adjustRightInd/>
        <w:spacing w:line="500" w:lineRule="exact"/>
        <w:ind w:firstLine="422" w:firstLineChars="200"/>
        <w:jc w:val="both"/>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（六）勘察现场</w:t>
      </w:r>
    </w:p>
    <w:p>
      <w:pPr>
        <w:autoSpaceDE/>
        <w:autoSpaceDN/>
        <w:adjustRightInd/>
        <w:spacing w:line="500" w:lineRule="exact"/>
        <w:ind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投标人可进行现场考察，以获取有关投标、签署合同和其他所需的资料。不组织集中考察，由各投标人自行安排，但必须在开标5天前进行。投标人在考察过程中发生的各类事件和所发生的各项费用，均由投标人自行承担，招标人和代理机构概不负责。</w:t>
      </w:r>
    </w:p>
    <w:p>
      <w:pPr>
        <w:autoSpaceDE/>
        <w:autoSpaceDN/>
        <w:adjustRightInd/>
        <w:spacing w:line="500" w:lineRule="exact"/>
        <w:ind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2.招标人向投标人提供的有关现场的数据和资料，是招标人现有的能被投标人利用的资料，招标方对投标人据此做出的任何推论、理解和结论不负责任。</w:t>
      </w:r>
    </w:p>
    <w:p>
      <w:pPr>
        <w:autoSpaceDE/>
        <w:autoSpaceDN/>
        <w:adjustRightInd/>
        <w:spacing w:line="500" w:lineRule="exact"/>
        <w:ind w:firstLine="422" w:firstLineChars="200"/>
        <w:jc w:val="both"/>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（七）知识产权</w:t>
      </w:r>
    </w:p>
    <w:p>
      <w:pPr>
        <w:autoSpaceDE/>
        <w:autoSpaceDN/>
        <w:adjustRightInd/>
        <w:spacing w:line="500" w:lineRule="exact"/>
        <w:ind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投标人须保证，招标人在中华人民共和国境内使用投标资料、技术、服务或其任何一部分时，享有不受限制的无偿使用权，不会产生因第三方提出侵犯其专利权、商标权或其它知识产权而引起的法律或经济纠纷。如投标人不拥有相应的知识产权，则在投标报价中必须包括合法获取该知识产权的一切相关费用。如因此导致招标人损失的，投标人须承担全部赔偿责任。</w:t>
      </w:r>
    </w:p>
    <w:p>
      <w:pPr>
        <w:autoSpaceDE/>
        <w:autoSpaceDN/>
        <w:adjustRightInd/>
        <w:spacing w:line="500" w:lineRule="exact"/>
        <w:ind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2.所有投标文件不论中标与否均不退还。</w:t>
      </w:r>
    </w:p>
    <w:p>
      <w:pPr>
        <w:autoSpaceDE/>
        <w:autoSpaceDN/>
        <w:adjustRightInd/>
        <w:spacing w:line="500" w:lineRule="exact"/>
        <w:ind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在招标过程中，本项目由招标人提供的所有基础资料（包括文字、图纸、电子数据）的版权均受法律保护，投标人应按国家要求做好所有基础资料的保密工作，除为本项目本身使用外，不作其他用途，任何未经招标人同意的修改、拷贝、传播、公开发布等行为都将承担由此引起的一切经济、法律责任。</w:t>
      </w:r>
    </w:p>
    <w:p>
      <w:pPr>
        <w:autoSpaceDE/>
        <w:autoSpaceDN/>
        <w:adjustRightInd/>
        <w:spacing w:line="500" w:lineRule="exact"/>
        <w:ind w:firstLine="422" w:firstLineChars="200"/>
        <w:jc w:val="both"/>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w:t>
      </w:r>
      <w:r>
        <w:rPr>
          <w:rFonts w:hint="eastAsia" w:hAnsi="宋体" w:cs="宋体"/>
          <w:b/>
          <w:color w:val="auto"/>
          <w:sz w:val="21"/>
          <w:szCs w:val="21"/>
          <w:highlight w:val="none"/>
          <w:lang w:val="en-US" w:eastAsia="zh-CN"/>
        </w:rPr>
        <w:t>八</w:t>
      </w:r>
      <w:r>
        <w:rPr>
          <w:rFonts w:hint="eastAsia" w:ascii="宋体" w:hAnsi="宋体" w:eastAsia="宋体" w:cs="宋体"/>
          <w:b/>
          <w:color w:val="auto"/>
          <w:sz w:val="21"/>
          <w:szCs w:val="21"/>
          <w:highlight w:val="none"/>
        </w:rPr>
        <w:t>）联合体投标</w:t>
      </w:r>
    </w:p>
    <w:p>
      <w:pPr>
        <w:tabs>
          <w:tab w:val="left" w:pos="1260"/>
        </w:tabs>
        <w:autoSpaceDE/>
        <w:autoSpaceDN/>
        <w:adjustRightInd/>
        <w:snapToGrid w:val="0"/>
        <w:spacing w:line="460" w:lineRule="exact"/>
        <w:ind w:firstLine="420" w:firstLineChars="200"/>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1.本项目专门面向中小企业采购，并接受中型企业与小微企业组成联合体、小微企业与小微企业组成联合体参与投标。组成联合体的中小微企业均应不属于大企业的分支机构，不存在控股股东为大企业的情形，也不存在与大企业的负责人为同一人的情形</w:t>
      </w:r>
      <w:r>
        <w:rPr>
          <w:rFonts w:hint="eastAsia" w:ascii="宋体" w:hAnsi="宋体" w:eastAsia="宋体" w:cs="宋体"/>
          <w:color w:val="auto"/>
          <w:sz w:val="21"/>
          <w:szCs w:val="21"/>
          <w:highlight w:val="none"/>
          <w:lang w:bidi="ar"/>
        </w:rPr>
        <w:t>。</w:t>
      </w:r>
    </w:p>
    <w:p>
      <w:pPr>
        <w:autoSpaceDE/>
        <w:autoSpaceDN/>
        <w:snapToGrid w:val="0"/>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2.以联合体形式参加投标的，联合体各方均应当符合《政府采购法》第二十二条规定的条件。</w:t>
      </w:r>
    </w:p>
    <w:p>
      <w:pPr>
        <w:autoSpaceDE/>
        <w:autoSpaceDN/>
        <w:snapToGrid w:val="0"/>
        <w:spacing w:line="500" w:lineRule="exact"/>
        <w:ind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联合体投标时，联合体各方之间应当签订联合协议，明确联合体投标人的牵头单位，并约定联合体各方应当承担的工作和相应的责任，然后，将联合协议连同投标文件一并提交。联合体中有同类资质的投标人按照联合体分工承担相同工作的，应当按照资质等级较低的投标人确定资质等级。联合体各方签订联合协议后，不得再以自己的名义单独在同一项目中投标，也不得组成新的联合体参加同一项目投标。联合体各方在同一招标项目中以自己名义单独投标或者参加其他联合体投标的，相关投标均无效。</w:t>
      </w:r>
    </w:p>
    <w:p>
      <w:pPr>
        <w:autoSpaceDE/>
        <w:autoSpaceDN/>
        <w:snapToGrid w:val="0"/>
        <w:spacing w:line="500" w:lineRule="exact"/>
        <w:ind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4.联合体各方应当共同与招标人签订采购合同，就采购合同约定的事项对招标人承担连带责任。</w:t>
      </w:r>
    </w:p>
    <w:p>
      <w:pPr>
        <w:pStyle w:val="19"/>
        <w:adjustRightInd w:val="0"/>
        <w:snapToGrid w:val="0"/>
        <w:spacing w:after="0" w:line="520" w:lineRule="exact"/>
        <w:ind w:left="0" w:leftChars="0"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5.以联合体形式参加政府采购活动，联合体各方均为中小企业的，联合体视同中小企业。其中，联合体各方均为小微企业的，联合体视同小微企业。</w:t>
      </w:r>
    </w:p>
    <w:p>
      <w:pPr>
        <w:autoSpaceDE/>
        <w:autoSpaceDN/>
        <w:adjustRightInd/>
        <w:spacing w:line="500" w:lineRule="exact"/>
        <w:ind w:firstLine="422" w:firstLineChars="200"/>
        <w:jc w:val="both"/>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w:t>
      </w:r>
      <w:r>
        <w:rPr>
          <w:rFonts w:hint="eastAsia" w:hAnsi="宋体" w:cs="宋体"/>
          <w:b/>
          <w:color w:val="auto"/>
          <w:sz w:val="21"/>
          <w:szCs w:val="21"/>
          <w:highlight w:val="none"/>
          <w:lang w:val="en-US" w:eastAsia="zh-CN"/>
        </w:rPr>
        <w:t>九</w:t>
      </w:r>
      <w:r>
        <w:rPr>
          <w:rFonts w:hint="eastAsia" w:ascii="宋体" w:hAnsi="宋体" w:eastAsia="宋体" w:cs="宋体"/>
          <w:b/>
          <w:color w:val="auto"/>
          <w:sz w:val="21"/>
          <w:szCs w:val="21"/>
          <w:highlight w:val="none"/>
        </w:rPr>
        <w:t>）转包与分包</w:t>
      </w:r>
    </w:p>
    <w:p>
      <w:pPr>
        <w:autoSpaceDE/>
        <w:autoSpaceDN/>
        <w:adjustRightInd/>
        <w:spacing w:line="500" w:lineRule="exact"/>
        <w:ind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1.转包：本项目不允许转包。</w:t>
      </w:r>
    </w:p>
    <w:p>
      <w:pPr>
        <w:snapToGrid w:val="0"/>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bidi="ar"/>
        </w:rPr>
        <w:t>分包：</w:t>
      </w:r>
      <w:r>
        <w:rPr>
          <w:rFonts w:hint="eastAsia" w:ascii="宋体" w:hAnsi="宋体" w:eastAsia="宋体" w:cs="宋体"/>
          <w:color w:val="auto"/>
          <w:sz w:val="21"/>
          <w:szCs w:val="21"/>
          <w:highlight w:val="none"/>
        </w:rPr>
        <w:t>本项目专门面向中小企业采购，并允许中型企业向小微企业、小微企业向小微企业合理分包，但不允许向大型企业分包。接受分包合同的小微企业均应不属于大企业的分支机构，不存在控股股东为大企业的情形，也不存在与大企业的负责人为同一人的情形</w:t>
      </w:r>
      <w:r>
        <w:rPr>
          <w:rFonts w:hint="eastAsia" w:ascii="宋体" w:hAnsi="宋体" w:eastAsia="宋体" w:cs="宋体"/>
          <w:color w:val="auto"/>
          <w:sz w:val="21"/>
          <w:szCs w:val="21"/>
          <w:highlight w:val="none"/>
          <w:lang w:bidi="ar"/>
        </w:rPr>
        <w:t>。</w:t>
      </w:r>
      <w:r>
        <w:rPr>
          <w:rFonts w:hint="eastAsia" w:ascii="宋体" w:hAnsi="宋体" w:eastAsia="宋体" w:cs="宋体"/>
          <w:color w:val="auto"/>
          <w:sz w:val="21"/>
          <w:szCs w:val="21"/>
          <w:highlight w:val="none"/>
        </w:rPr>
        <w:t xml:space="preserve"> </w:t>
      </w:r>
    </w:p>
    <w:p>
      <w:pPr>
        <w:autoSpaceDE/>
        <w:autoSpaceDN/>
        <w:adjustRightInd/>
        <w:snapToGrid w:val="0"/>
        <w:spacing w:line="520" w:lineRule="exact"/>
        <w:ind w:firstLine="420" w:firstLineChars="200"/>
        <w:jc w:val="both"/>
        <w:rPr>
          <w:rFonts w:hint="eastAsia" w:ascii="宋体" w:hAnsi="宋体" w:eastAsia="宋体" w:cs="宋体"/>
          <w:color w:val="auto"/>
          <w:sz w:val="21"/>
          <w:szCs w:val="21"/>
          <w:highlight w:val="none"/>
        </w:rPr>
      </w:pPr>
      <w:r>
        <w:rPr>
          <w:rFonts w:hint="eastAsia" w:hAnsi="宋体" w:cs="宋体"/>
          <w:color w:val="auto"/>
          <w:sz w:val="21"/>
          <w:szCs w:val="21"/>
          <w:highlight w:val="none"/>
          <w:lang w:val="en-US" w:eastAsia="zh-CN"/>
        </w:rPr>
        <w:t>本项目允许分包，但分包的主体须采购人审核并书面同意。在分包时，</w:t>
      </w:r>
      <w:r>
        <w:rPr>
          <w:rFonts w:hint="eastAsia" w:ascii="宋体" w:hAnsi="宋体" w:eastAsia="宋体" w:cs="宋体"/>
          <w:color w:val="auto"/>
          <w:sz w:val="21"/>
          <w:szCs w:val="21"/>
          <w:highlight w:val="none"/>
        </w:rPr>
        <w:t>应当在</w:t>
      </w:r>
      <w:r>
        <w:rPr>
          <w:rFonts w:hint="eastAsia" w:hAnsi="宋体" w:cs="宋体"/>
          <w:color w:val="auto"/>
          <w:sz w:val="21"/>
          <w:szCs w:val="21"/>
          <w:highlight w:val="none"/>
          <w:lang w:val="en-US" w:eastAsia="zh-CN"/>
        </w:rPr>
        <w:t>分包协议</w:t>
      </w:r>
      <w:r>
        <w:rPr>
          <w:rFonts w:hint="eastAsia" w:ascii="宋体" w:hAnsi="宋体" w:eastAsia="宋体" w:cs="宋体"/>
          <w:color w:val="auto"/>
          <w:sz w:val="21"/>
          <w:szCs w:val="21"/>
          <w:highlight w:val="none"/>
        </w:rPr>
        <w:t>中载明分包承担主体、分包工作内容，分包承担主体应当具备相应资质条件（如有要求）且不得再次分包。政府采购合同采用分包履行的，中标供应商就采购项目和分包项目向采购人负责，分包供应商就分包项目承担责任。</w:t>
      </w:r>
    </w:p>
    <w:p>
      <w:pPr>
        <w:autoSpaceDE/>
        <w:autoSpaceDN/>
        <w:adjustRightInd/>
        <w:spacing w:line="500" w:lineRule="exact"/>
        <w:ind w:firstLine="422" w:firstLineChars="200"/>
        <w:jc w:val="both"/>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w:t>
      </w:r>
      <w:r>
        <w:rPr>
          <w:rFonts w:hint="eastAsia" w:hAnsi="宋体" w:cs="宋体"/>
          <w:b/>
          <w:color w:val="auto"/>
          <w:sz w:val="21"/>
          <w:szCs w:val="21"/>
          <w:highlight w:val="none"/>
          <w:lang w:val="en-US" w:eastAsia="zh-CN"/>
        </w:rPr>
        <w:t>十</w:t>
      </w:r>
      <w:r>
        <w:rPr>
          <w:rFonts w:hint="eastAsia" w:ascii="宋体" w:hAnsi="宋体" w:eastAsia="宋体" w:cs="宋体"/>
          <w:b/>
          <w:color w:val="auto"/>
          <w:sz w:val="21"/>
          <w:szCs w:val="21"/>
          <w:highlight w:val="none"/>
        </w:rPr>
        <w:t>）特别说明</w:t>
      </w:r>
    </w:p>
    <w:p>
      <w:pPr>
        <w:autoSpaceDE/>
        <w:autoSpaceDN/>
        <w:adjustRightInd/>
        <w:spacing w:line="500" w:lineRule="exact"/>
        <w:ind w:firstLine="420" w:firstLineChars="200"/>
        <w:jc w:val="both"/>
        <w:rPr>
          <w:rFonts w:hint="eastAsia" w:ascii="宋体" w:hAnsi="宋体" w:eastAsia="宋体" w:cs="宋体"/>
          <w:b/>
          <w:color w:val="auto"/>
          <w:sz w:val="21"/>
          <w:highlight w:val="none"/>
        </w:rPr>
      </w:pPr>
      <w:r>
        <w:rPr>
          <w:rFonts w:hint="eastAsia" w:ascii="宋体" w:hAnsi="宋体" w:eastAsia="宋体" w:cs="宋体"/>
          <w:bCs/>
          <w:color w:val="auto"/>
          <w:sz w:val="21"/>
          <w:szCs w:val="21"/>
          <w:highlight w:val="none"/>
        </w:rPr>
        <w:t>★1.投标单位负责人为同一人或者存在直接控股、管理关系的不同投标人，不得参加同一合同项下的政府采购活动。如在评标过程（或标后质疑投诉期内）中发现投标人间存在上述关系，存在上述关系的全部投标人均做无效投标（或无效中标）处理。</w:t>
      </w:r>
    </w:p>
    <w:p>
      <w:pPr>
        <w:autoSpaceDE/>
        <w:autoSpaceDN/>
        <w:adjustRightInd/>
        <w:spacing w:line="500" w:lineRule="exact"/>
        <w:ind w:firstLine="422" w:firstLineChars="200"/>
        <w:jc w:val="both"/>
        <w:rPr>
          <w:rFonts w:hint="eastAsia" w:ascii="宋体" w:hAnsi="宋体" w:eastAsia="宋体" w:cs="宋体"/>
          <w:b/>
          <w:color w:val="auto"/>
          <w:sz w:val="21"/>
          <w:szCs w:val="21"/>
          <w:highlight w:val="none"/>
        </w:rPr>
      </w:pPr>
      <w:r>
        <w:rPr>
          <w:rFonts w:hint="eastAsia" w:ascii="宋体" w:hAnsi="宋体" w:eastAsia="宋体" w:cs="宋体"/>
          <w:b/>
          <w:color w:val="auto"/>
          <w:sz w:val="21"/>
          <w:highlight w:val="none"/>
        </w:rPr>
        <w:t>2.</w:t>
      </w:r>
      <w:r>
        <w:rPr>
          <w:rFonts w:hint="eastAsia" w:ascii="宋体" w:hAnsi="宋体" w:eastAsia="宋体" w:cs="宋体"/>
          <w:b/>
          <w:color w:val="auto"/>
          <w:sz w:val="21"/>
          <w:szCs w:val="21"/>
          <w:highlight w:val="none"/>
        </w:rPr>
        <w:t>“政采云”平台运营机构，以及与该机构有直接控股或者管理关系可能影响采购公正性的任何单位和个人，不得在该平台进行的政府采购项目电子交易中投标、响应政府采购项目。</w:t>
      </w:r>
    </w:p>
    <w:p>
      <w:pPr>
        <w:autoSpaceDE/>
        <w:autoSpaceDN/>
        <w:adjustRightInd/>
        <w:spacing w:line="500" w:lineRule="exact"/>
        <w:ind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3.投标人投标所使用的资格、信誉、荣誉、业绩与企业认证必须为本法人（或本投标联合体）所拥有。投标人投标所使用的采购项目实施人员必须为本法人（或本投标联合体）员工。</w:t>
      </w:r>
    </w:p>
    <w:p>
      <w:pPr>
        <w:autoSpaceDE/>
        <w:autoSpaceDN/>
        <w:adjustRightInd/>
        <w:spacing w:line="500" w:lineRule="exact"/>
        <w:ind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投标人应仔细阅读招标文件的所有内容，按照招标文件的要求提交投标文件。投标人必须对投标文件所提供的全部资料的真实性承担法律责任，并无条件接受采购代理机构、招标人及政府采购监督管理部门等对其中任何资料进行核实的要求。</w:t>
      </w:r>
    </w:p>
    <w:p>
      <w:pPr>
        <w:autoSpaceDE/>
        <w:autoSpaceDN/>
        <w:adjustRightInd/>
        <w:spacing w:line="500" w:lineRule="exact"/>
        <w:ind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5.投标人在投标活动中提供任何虚假材料，其投标无效，并报监管部门查处。中标后发现的，中标人须依照</w:t>
      </w:r>
      <w:r>
        <w:rPr>
          <w:rFonts w:hint="eastAsia" w:hAnsi="宋体" w:cs="宋体"/>
          <w:color w:val="auto"/>
          <w:sz w:val="21"/>
          <w:szCs w:val="21"/>
          <w:highlight w:val="none"/>
          <w:lang w:val="en-US" w:eastAsia="zh-CN"/>
        </w:rPr>
        <w:t>相关法律法规</w:t>
      </w:r>
      <w:r>
        <w:rPr>
          <w:rFonts w:hint="eastAsia" w:ascii="宋体" w:hAnsi="宋体" w:eastAsia="宋体" w:cs="宋体"/>
          <w:color w:val="auto"/>
          <w:sz w:val="21"/>
          <w:szCs w:val="21"/>
          <w:highlight w:val="none"/>
        </w:rPr>
        <w:t>规定赔偿招标人，且民事赔偿并不免除违法投标人的行政与刑事责任。</w:t>
      </w:r>
    </w:p>
    <w:p>
      <w:pPr>
        <w:autoSpaceDE/>
        <w:autoSpaceDN/>
        <w:adjustRightInd/>
        <w:spacing w:line="500" w:lineRule="exact"/>
        <w:ind w:firstLine="422" w:firstLineChars="200"/>
        <w:jc w:val="both"/>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（十</w:t>
      </w:r>
      <w:r>
        <w:rPr>
          <w:rFonts w:hint="eastAsia" w:hAnsi="宋体" w:cs="宋体"/>
          <w:b/>
          <w:color w:val="auto"/>
          <w:sz w:val="21"/>
          <w:szCs w:val="21"/>
          <w:highlight w:val="none"/>
          <w:lang w:val="en-US" w:eastAsia="zh-CN"/>
        </w:rPr>
        <w:t>一</w:t>
      </w:r>
      <w:r>
        <w:rPr>
          <w:rFonts w:hint="eastAsia" w:ascii="宋体" w:hAnsi="宋体" w:eastAsia="宋体" w:cs="宋体"/>
          <w:b/>
          <w:color w:val="auto"/>
          <w:sz w:val="21"/>
          <w:szCs w:val="21"/>
          <w:highlight w:val="none"/>
        </w:rPr>
        <w:t>）质疑和投诉</w:t>
      </w:r>
    </w:p>
    <w:p>
      <w:pPr>
        <w:autoSpaceDE/>
        <w:autoSpaceDN/>
        <w:adjustRightInd/>
        <w:spacing w:line="500" w:lineRule="exact"/>
        <w:ind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投标人认为招标文件、招标过程或中标结果使自己的合法权益受到损害的，应当在知道或者应知其权益受到损害之日起七个工作日内，以书面形式向招标人、采购代理机构提出质疑。投标人对招标采购单位的质疑答复不满意或者招标采购单位未在规定时间内作出答复的，可以在答复期满后十五个工作日内向同级采购监管部门投诉。</w:t>
      </w:r>
    </w:p>
    <w:p>
      <w:pPr>
        <w:autoSpaceDE/>
        <w:autoSpaceDN/>
        <w:adjustRightInd/>
        <w:spacing w:line="500" w:lineRule="exact"/>
        <w:ind w:firstLine="420" w:firstLineChars="200"/>
        <w:jc w:val="both"/>
        <w:rPr>
          <w:rFonts w:hint="eastAsia" w:ascii="宋体" w:hAnsi="宋体" w:eastAsia="宋体" w:cs="宋体"/>
          <w:color w:val="auto"/>
          <w:sz w:val="21"/>
          <w:szCs w:val="21"/>
          <w:highlight w:val="none"/>
          <w:lang w:eastAsia="zh-TW"/>
        </w:rPr>
      </w:pPr>
      <w:r>
        <w:rPr>
          <w:rFonts w:hint="eastAsia" w:ascii="宋体" w:hAnsi="宋体" w:eastAsia="宋体" w:cs="宋体"/>
          <w:color w:val="auto"/>
          <w:sz w:val="21"/>
          <w:szCs w:val="21"/>
          <w:highlight w:val="none"/>
        </w:rPr>
        <w:t>2.质疑、投诉应当符合中华人民共和国财政部令第94号《政府采购质疑和投诉办法》的规定，并分别采用财政部发布的《政府采购供应商质疑函范本》和《政府采购供应商投诉书范本》等书面形式，质疑书、投诉书均应明确阐述招标文件、招标过程或中标结果中使自己合法权益受到损害的实质性内容，提供相关事实、依据和证据及其来源或线索，便于有关单位调查、答复和处理。</w:t>
      </w:r>
      <w:r>
        <w:rPr>
          <w:rFonts w:hint="eastAsia" w:ascii="宋体" w:hAnsi="宋体" w:eastAsia="宋体" w:cs="宋体"/>
          <w:bCs/>
          <w:color w:val="auto"/>
          <w:sz w:val="21"/>
          <w:szCs w:val="21"/>
          <w:highlight w:val="none"/>
        </w:rPr>
        <w:t>质疑函范本、投诉书范本请到浙江政府采购网下载专区下载。</w:t>
      </w:r>
    </w:p>
    <w:p>
      <w:pPr>
        <w:autoSpaceDE/>
        <w:autoSpaceDN/>
        <w:adjustRightInd/>
        <w:spacing w:line="500" w:lineRule="exact"/>
        <w:ind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r>
        <w:rPr>
          <w:rFonts w:hint="eastAsia" w:ascii="宋体" w:hAnsi="宋体" w:eastAsia="宋体" w:cs="宋体"/>
          <w:color w:val="auto"/>
          <w:sz w:val="21"/>
          <w:szCs w:val="21"/>
          <w:highlight w:val="none"/>
          <w:lang w:val="zh-CN"/>
        </w:rPr>
        <w:t>投标人须在法定质疑期内一次性提出针对同一采购程序环节的质疑。未按上述要求提供的质疑函，采购代理机构有权不予受理。</w:t>
      </w:r>
    </w:p>
    <w:p>
      <w:pPr>
        <w:autoSpaceDE/>
        <w:autoSpaceDN/>
        <w:adjustRightInd/>
        <w:snapToGrid w:val="0"/>
        <w:spacing w:line="500" w:lineRule="exact"/>
        <w:ind w:firstLine="482" w:firstLineChars="200"/>
        <w:jc w:val="both"/>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二、招标文件</w:t>
      </w:r>
    </w:p>
    <w:p>
      <w:pPr>
        <w:autoSpaceDE/>
        <w:autoSpaceDN/>
        <w:adjustRightInd/>
        <w:spacing w:line="500" w:lineRule="exact"/>
        <w:ind w:firstLine="422" w:firstLineChars="200"/>
        <w:jc w:val="both"/>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（一）招标文件的构成。本招标文件由以下部分组成：</w:t>
      </w:r>
    </w:p>
    <w:p>
      <w:pPr>
        <w:autoSpaceDE/>
        <w:autoSpaceDN/>
        <w:adjustRightInd/>
        <w:spacing w:line="500" w:lineRule="exact"/>
        <w:ind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1.招标公告</w:t>
      </w:r>
    </w:p>
    <w:p>
      <w:pPr>
        <w:autoSpaceDE/>
        <w:autoSpaceDN/>
        <w:adjustRightInd/>
        <w:spacing w:line="500" w:lineRule="exact"/>
        <w:ind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2.招标需求</w:t>
      </w:r>
    </w:p>
    <w:p>
      <w:pPr>
        <w:autoSpaceDE/>
        <w:autoSpaceDN/>
        <w:snapToGrid w:val="0"/>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3.投标人须知</w:t>
      </w:r>
    </w:p>
    <w:p>
      <w:pPr>
        <w:autoSpaceDE/>
        <w:autoSpaceDN/>
        <w:snapToGrid w:val="0"/>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4.评标办法及</w:t>
      </w:r>
      <w:r>
        <w:rPr>
          <w:rFonts w:hint="eastAsia" w:hAnsi="宋体" w:cs="宋体"/>
          <w:color w:val="auto"/>
          <w:sz w:val="21"/>
          <w:szCs w:val="21"/>
          <w:highlight w:val="none"/>
          <w:lang w:val="en-US" w:eastAsia="zh-CN"/>
        </w:rPr>
        <w:t>评分</w:t>
      </w:r>
      <w:r>
        <w:rPr>
          <w:rFonts w:hint="eastAsia" w:ascii="宋体" w:hAnsi="宋体" w:eastAsia="宋体" w:cs="宋体"/>
          <w:color w:val="auto"/>
          <w:sz w:val="21"/>
          <w:szCs w:val="21"/>
          <w:highlight w:val="none"/>
        </w:rPr>
        <w:t>标准</w:t>
      </w:r>
    </w:p>
    <w:p>
      <w:pPr>
        <w:autoSpaceDE/>
        <w:autoSpaceDN/>
        <w:snapToGrid w:val="0"/>
        <w:spacing w:line="500" w:lineRule="exact"/>
        <w:ind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5.合同</w:t>
      </w:r>
      <w:r>
        <w:rPr>
          <w:rFonts w:hint="eastAsia" w:hAnsi="宋体" w:cs="宋体"/>
          <w:color w:val="auto"/>
          <w:sz w:val="21"/>
          <w:szCs w:val="21"/>
          <w:highlight w:val="none"/>
          <w:lang w:val="en-US" w:eastAsia="zh-CN"/>
        </w:rPr>
        <w:t>文本</w:t>
      </w:r>
    </w:p>
    <w:p>
      <w:pPr>
        <w:autoSpaceDE/>
        <w:autoSpaceDN/>
        <w:snapToGrid w:val="0"/>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6.投标文件格式</w:t>
      </w:r>
    </w:p>
    <w:p>
      <w:pPr>
        <w:autoSpaceDE/>
        <w:autoSpaceDN/>
        <w:snapToGrid w:val="0"/>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7.本项目招标文件的澄清、答复、修改、补充的内容（如有）</w:t>
      </w:r>
    </w:p>
    <w:p>
      <w:pPr>
        <w:autoSpaceDE/>
        <w:autoSpaceDN/>
        <w:snapToGrid w:val="0"/>
        <w:spacing w:line="500" w:lineRule="exact"/>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（二）投标人的风险</w:t>
      </w:r>
    </w:p>
    <w:p>
      <w:pPr>
        <w:autoSpaceDE/>
        <w:autoSpaceDN/>
        <w:snapToGrid w:val="0"/>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投标人没有按照招标文件要求提供全部资料，或者投标人没有对招标文件在各方面作出实质性响应是投标人的风险，并可能导致其投标被拒绝。</w:t>
      </w:r>
    </w:p>
    <w:p>
      <w:pPr>
        <w:autoSpaceDE/>
        <w:autoSpaceDN/>
        <w:snapToGrid w:val="0"/>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招标人、采购代理机构不保证所有已完成报名的投标人都符合资格要求。</w:t>
      </w:r>
    </w:p>
    <w:p>
      <w:pPr>
        <w:autoSpaceDE/>
        <w:autoSpaceDN/>
        <w:snapToGrid w:val="0"/>
        <w:spacing w:line="500" w:lineRule="exact"/>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（三）招标文件的澄清与修改</w:t>
      </w:r>
    </w:p>
    <w:p>
      <w:pPr>
        <w:autoSpaceDE/>
        <w:autoSpaceDN/>
        <w:snapToGrid w:val="0"/>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投标人应认真阅读本招标文件，发现其中有误或有不合理要求的，应当自知道或者应知其权益受到损害之日起七个工作日内，以书面形式要求招标采购单位作出书面解释、澄清或者向招标采购单位提出书面质疑；招标采购单位对已发出的招标文件进行必要澄清、答复、修改或补充的，在财政部门指定的政府采购信息发布媒体上发布更正公告，并以书面形式通知所有招标文件收受人。澄清或者修改的内容可能影响投标文件编制的，应当在投标截止时间至少15日前，以书面形式通知所有获取招标文件的潜在投标人；不足15日的，顺延提交投标文件的截止时间。</w:t>
      </w:r>
    </w:p>
    <w:p>
      <w:pPr>
        <w:autoSpaceDE/>
        <w:autoSpaceDN/>
        <w:snapToGrid w:val="0"/>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2.采购代理机构必须以书面形式答复投标人要求澄清的问题，并将不包含问题来源的答复书面通知所有购买招标文件的投标人，除书面答复以外的其他澄清方式及澄清内容均无效。</w:t>
      </w:r>
    </w:p>
    <w:p>
      <w:pPr>
        <w:autoSpaceDE/>
        <w:autoSpaceDN/>
        <w:snapToGrid w:val="0"/>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3.招标文件澄清、答复、修改、补充的内容为招标文件的组成部分。当招标文件与招标文件的答复、澄清、修改、补充通知就同一内容的表述不一致时，以最后发出的书面文件为准。</w:t>
      </w:r>
    </w:p>
    <w:p>
      <w:pPr>
        <w:autoSpaceDE/>
        <w:autoSpaceDN/>
        <w:snapToGrid w:val="0"/>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4.招标文件的澄清、答复、修改或补充都应该通过本代理机构以法定形式发布，招标人非通过本机构，不得擅自澄清、答复、修改或补充招标文件。</w:t>
      </w:r>
    </w:p>
    <w:p>
      <w:pPr>
        <w:autoSpaceDE/>
        <w:autoSpaceDN/>
        <w:snapToGrid w:val="0"/>
        <w:spacing w:line="500" w:lineRule="exact"/>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三、投标文件的编制</w:t>
      </w:r>
    </w:p>
    <w:p>
      <w:pPr>
        <w:snapToGrid w:val="0"/>
        <w:spacing w:line="500" w:lineRule="exact"/>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注：投标人应保证所提供文件资料的真实性，所有文件资料必须是针对本次投标的。如发现投标人提供了虚假文件资料，其投标将被拒绝，并自行承担相应的法律责任。</w:t>
      </w:r>
    </w:p>
    <w:p>
      <w:pPr>
        <w:tabs>
          <w:tab w:val="left" w:pos="6955"/>
        </w:tabs>
        <w:snapToGrid w:val="0"/>
        <w:spacing w:line="500" w:lineRule="exact"/>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（一）投标文件的形式</w:t>
      </w:r>
      <w:r>
        <w:rPr>
          <w:rFonts w:hint="eastAsia" w:ascii="宋体" w:hAnsi="宋体" w:eastAsia="宋体" w:cs="宋体"/>
          <w:b/>
          <w:color w:val="auto"/>
          <w:sz w:val="21"/>
          <w:szCs w:val="21"/>
          <w:highlight w:val="none"/>
        </w:rPr>
        <w:tab/>
      </w:r>
    </w:p>
    <w:p>
      <w:pPr>
        <w:snapToGrid w:val="0"/>
        <w:spacing w:line="500" w:lineRule="exact"/>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1.投标文件为电子投标文件。</w:t>
      </w:r>
    </w:p>
    <w:p>
      <w:pPr>
        <w:wordWrap w:val="0"/>
        <w:topLinePunct/>
        <w:autoSpaceDE/>
        <w:autoSpaceDN/>
        <w:snapToGrid w:val="0"/>
        <w:spacing w:line="500" w:lineRule="exact"/>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1.1电子投标文件：电子投标文件按政采云平台供应商项目采购－电子交易操作指南（</w:t>
      </w:r>
      <w:r>
        <w:rPr>
          <w:rFonts w:hint="eastAsia" w:ascii="宋体" w:hAnsi="宋体" w:eastAsia="宋体" w:cs="宋体"/>
          <w:color w:val="auto"/>
          <w:sz w:val="21"/>
          <w:szCs w:val="21"/>
          <w:highlight w:val="none"/>
          <w:shd w:val="clear" w:color="auto" w:fill="FFFFFF"/>
        </w:rPr>
        <w:t>https://edu.zcygov.cn/luban/e-biding?utm=a0004.2ef5001f.0001.0109.da8b35e0da8611e98d8937b7ef8a3544</w:t>
      </w:r>
      <w:r>
        <w:rPr>
          <w:rFonts w:hint="eastAsia" w:ascii="宋体" w:hAnsi="宋体" w:eastAsia="宋体" w:cs="宋体"/>
          <w:b/>
          <w:color w:val="auto"/>
          <w:sz w:val="21"/>
          <w:szCs w:val="21"/>
          <w:highlight w:val="none"/>
        </w:rPr>
        <w:t>）及本招标文件要求制作、加密并递交；</w:t>
      </w:r>
    </w:p>
    <w:p>
      <w:pPr>
        <w:snapToGrid w:val="0"/>
        <w:spacing w:line="500" w:lineRule="exact"/>
        <w:ind w:firstLine="422" w:firstLineChars="200"/>
        <w:outlineLvl w:val="1"/>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（二）投标文件的组成</w:t>
      </w:r>
    </w:p>
    <w:p>
      <w:pPr>
        <w:snapToGrid w:val="0"/>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bCs/>
          <w:color w:val="auto"/>
          <w:sz w:val="21"/>
          <w:szCs w:val="21"/>
          <w:highlight w:val="none"/>
        </w:rPr>
        <w:t>★</w:t>
      </w:r>
      <w:r>
        <w:rPr>
          <w:rFonts w:hint="eastAsia" w:ascii="宋体" w:hAnsi="宋体" w:eastAsia="宋体" w:cs="宋体"/>
          <w:b/>
          <w:color w:val="auto"/>
          <w:sz w:val="21"/>
          <w:szCs w:val="21"/>
          <w:highlight w:val="none"/>
        </w:rPr>
        <w:t>投标文件（电子投标文件）由资格文件、商务技术文件和报价文件三部分组成。本项目投标报价的信息只允许出现在“报价文件”中，不得出现在资格文件、商务技术文件中。</w:t>
      </w:r>
    </w:p>
    <w:p>
      <w:pPr>
        <w:snapToGrid w:val="0"/>
        <w:spacing w:line="500" w:lineRule="exact"/>
        <w:ind w:firstLine="422" w:firstLineChars="200"/>
        <w:textAlignment w:val="bottom"/>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1.资格文件部分</w:t>
      </w:r>
    </w:p>
    <w:p>
      <w:pPr>
        <w:autoSpaceDE/>
        <w:autoSpaceDN/>
        <w:adjustRightInd/>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（1）投标人（包括投标联合体各方）有效期内的营业执照副本扫描件或复印件；</w:t>
      </w:r>
    </w:p>
    <w:p>
      <w:pPr>
        <w:widowControl/>
        <w:autoSpaceDE/>
        <w:autoSpaceDN/>
        <w:adjustRightInd/>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（2）符合参加政府采购活动应当具备的一般条件的承诺函（格式见附件）；</w:t>
      </w:r>
    </w:p>
    <w:p>
      <w:pPr>
        <w:widowControl/>
        <w:autoSpaceDE/>
        <w:autoSpaceDN/>
        <w:adjustRightInd/>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（3）落实政府采购政策需满足的资格要求（格式见附件）；</w:t>
      </w:r>
    </w:p>
    <w:p>
      <w:pPr>
        <w:widowControl/>
        <w:autoSpaceDE/>
        <w:autoSpaceDN/>
        <w:adjustRightInd/>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（4）本项目的特定资格要求（格式见附件）；</w:t>
      </w:r>
    </w:p>
    <w:p>
      <w:pPr>
        <w:autoSpaceDE/>
        <w:autoSpaceDN/>
        <w:snapToGrid w:val="0"/>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（5）联合协议（联合体投标人须提供，格式见附件）（如有）。</w:t>
      </w:r>
    </w:p>
    <w:p>
      <w:pPr>
        <w:autoSpaceDE/>
        <w:autoSpaceDN/>
        <w:adjustRightInd/>
        <w:spacing w:line="500" w:lineRule="exact"/>
        <w:ind w:firstLine="422" w:firstLineChars="200"/>
        <w:jc w:val="both"/>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2.</w:t>
      </w:r>
      <w:r>
        <w:rPr>
          <w:rFonts w:hint="eastAsia" w:ascii="宋体" w:hAnsi="宋体" w:eastAsia="宋体" w:cs="宋体"/>
          <w:b/>
          <w:bCs/>
          <w:color w:val="auto"/>
          <w:sz w:val="21"/>
          <w:szCs w:val="21"/>
          <w:highlight w:val="none"/>
        </w:rPr>
        <w:t>商务技术文件</w:t>
      </w:r>
    </w:p>
    <w:p>
      <w:pPr>
        <w:autoSpaceDE/>
        <w:autoSpaceDN/>
        <w:adjustRightInd/>
        <w:spacing w:line="500" w:lineRule="exact"/>
        <w:ind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（1）投标人技术商务标自评得分汇总表；（格式内容参照技术商务评分表，格式见附件）；</w:t>
      </w:r>
    </w:p>
    <w:p>
      <w:pPr>
        <w:autoSpaceDE/>
        <w:autoSpaceDN/>
        <w:adjustRightInd/>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（2）投标人（或联合体投标人牵头单位）法定代表人身份证明、</w:t>
      </w:r>
      <w:r>
        <w:rPr>
          <w:rFonts w:hint="eastAsia" w:ascii="宋体" w:hAnsi="宋体" w:eastAsia="宋体" w:cs="宋体"/>
          <w:color w:val="auto"/>
          <w:sz w:val="21"/>
          <w:highlight w:val="none"/>
        </w:rPr>
        <w:t>法定代表人授权委托书</w:t>
      </w:r>
      <w:r>
        <w:rPr>
          <w:rFonts w:hint="eastAsia" w:ascii="宋体" w:hAnsi="宋体" w:eastAsia="宋体" w:cs="宋体"/>
          <w:color w:val="auto"/>
          <w:sz w:val="21"/>
          <w:szCs w:val="21"/>
          <w:highlight w:val="none"/>
        </w:rPr>
        <w:t>（格式见附件，如法定代表人本人参加的，则仅须提供法定代表人身份证明及法定代表人身份证复印件）；</w:t>
      </w:r>
    </w:p>
    <w:p>
      <w:pPr>
        <w:autoSpaceDE/>
        <w:autoSpaceDN/>
        <w:adjustRightInd/>
        <w:spacing w:line="500" w:lineRule="exact"/>
        <w:ind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（3）投标人（包括投标联合体各方）情况表（格式见附件）；</w:t>
      </w:r>
    </w:p>
    <w:p>
      <w:pPr>
        <w:autoSpaceDE/>
        <w:autoSpaceDN/>
        <w:adjustRightInd/>
        <w:spacing w:line="500" w:lineRule="exact"/>
        <w:ind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（4）投标人（包括投标联合体各方）类似案例成功的业绩（须提供对应采购合同复印件等相关资料）（加盖公章）（格式见附件）；</w:t>
      </w:r>
    </w:p>
    <w:p>
      <w:pPr>
        <w:spacing w:line="500" w:lineRule="exact"/>
        <w:ind w:firstLine="420" w:firstLineChars="200"/>
        <w:rPr>
          <w:rFonts w:hint="eastAsia" w:ascii="宋体" w:hAnsi="宋体" w:eastAsia="宋体" w:cs="宋体"/>
          <w:color w:val="auto"/>
          <w:highlight w:val="none"/>
        </w:rPr>
      </w:pPr>
      <w:r>
        <w:rPr>
          <w:rFonts w:hint="eastAsia" w:ascii="宋体" w:hAnsi="宋体" w:eastAsia="宋体" w:cs="宋体"/>
          <w:color w:val="auto"/>
          <w:sz w:val="21"/>
          <w:szCs w:val="21"/>
          <w:highlight w:val="none"/>
        </w:rPr>
        <w:t>（5）投标人（包括投标联合体各方）拟投入本项目的服务人员配置表（格式见附件）；</w:t>
      </w:r>
    </w:p>
    <w:p>
      <w:pPr>
        <w:keepNext w:val="0"/>
        <w:keepLines w:val="0"/>
        <w:pageBreakBefore w:val="0"/>
        <w:kinsoku/>
        <w:wordWrap/>
        <w:overflowPunct/>
        <w:topLinePunct w:val="0"/>
        <w:bidi w:val="0"/>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hAnsi="宋体" w:cs="宋体"/>
          <w:color w:val="auto"/>
          <w:sz w:val="21"/>
          <w:szCs w:val="21"/>
          <w:highlight w:val="none"/>
          <w:lang w:val="en-US" w:eastAsia="zh-CN"/>
        </w:rPr>
        <w:t>6</w:t>
      </w:r>
      <w:r>
        <w:rPr>
          <w:rFonts w:hint="eastAsia" w:ascii="宋体" w:hAnsi="宋体" w:eastAsia="宋体" w:cs="宋体"/>
          <w:color w:val="auto"/>
          <w:sz w:val="21"/>
          <w:szCs w:val="21"/>
          <w:highlight w:val="none"/>
        </w:rPr>
        <w:t>）服务要求响应表（格式见附件）；</w:t>
      </w:r>
    </w:p>
    <w:p>
      <w:pPr>
        <w:keepNext w:val="0"/>
        <w:keepLines w:val="0"/>
        <w:pageBreakBefore w:val="0"/>
        <w:kinsoku/>
        <w:wordWrap/>
        <w:overflowPunct/>
        <w:topLinePunct w:val="0"/>
        <w:bidi w:val="0"/>
        <w:snapToGrid w:val="0"/>
        <w:spacing w:line="500" w:lineRule="exact"/>
        <w:ind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w:t>
      </w:r>
      <w:r>
        <w:rPr>
          <w:rFonts w:hint="eastAsia" w:hAnsi="宋体" w:cs="宋体"/>
          <w:color w:val="auto"/>
          <w:sz w:val="21"/>
          <w:szCs w:val="21"/>
          <w:highlight w:val="none"/>
          <w:lang w:val="en-US" w:eastAsia="zh-CN"/>
        </w:rPr>
        <w:t>7</w:t>
      </w:r>
      <w:r>
        <w:rPr>
          <w:rFonts w:hint="eastAsia" w:ascii="宋体" w:hAnsi="宋体" w:eastAsia="宋体" w:cs="宋体"/>
          <w:color w:val="auto"/>
          <w:sz w:val="21"/>
          <w:szCs w:val="21"/>
          <w:highlight w:val="none"/>
        </w:rPr>
        <w:t>）服务计划书（至少应包括对本项目采购人所需服务的总体认识、项目实施方案、服务响应的承诺、服务质量保证措施及</w:t>
      </w:r>
      <w:r>
        <w:rPr>
          <w:rFonts w:hint="eastAsia" w:hAnsi="宋体" w:cs="宋体"/>
          <w:color w:val="auto"/>
          <w:sz w:val="21"/>
          <w:szCs w:val="21"/>
          <w:highlight w:val="none"/>
          <w:lang w:val="en-US" w:eastAsia="zh-CN"/>
        </w:rPr>
        <w:t>采购文件中要求的</w:t>
      </w:r>
      <w:r>
        <w:rPr>
          <w:rFonts w:hint="eastAsia" w:ascii="宋体" w:hAnsi="宋体" w:eastAsia="宋体" w:cs="宋体"/>
          <w:color w:val="auto"/>
          <w:sz w:val="21"/>
          <w:szCs w:val="21"/>
          <w:highlight w:val="none"/>
        </w:rPr>
        <w:t>承诺等内容</w:t>
      </w:r>
      <w:r>
        <w:rPr>
          <w:rFonts w:hint="eastAsia" w:hAnsi="宋体" w:cs="宋体"/>
          <w:color w:val="auto"/>
          <w:sz w:val="21"/>
          <w:szCs w:val="21"/>
          <w:highlight w:val="none"/>
          <w:lang w:eastAsia="zh-CN"/>
        </w:rPr>
        <w:t>）；</w:t>
      </w:r>
    </w:p>
    <w:p>
      <w:pPr>
        <w:keepNext w:val="0"/>
        <w:keepLines w:val="0"/>
        <w:pageBreakBefore w:val="0"/>
        <w:kinsoku/>
        <w:wordWrap/>
        <w:overflowPunct/>
        <w:topLinePunct w:val="0"/>
        <w:bidi w:val="0"/>
        <w:snapToGrid w:val="0"/>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hAnsi="宋体" w:cs="宋体"/>
          <w:color w:val="auto"/>
          <w:sz w:val="21"/>
          <w:szCs w:val="21"/>
          <w:highlight w:val="none"/>
          <w:lang w:val="en-US" w:eastAsia="zh-CN"/>
        </w:rPr>
        <w:t>8</w:t>
      </w:r>
      <w:r>
        <w:rPr>
          <w:rFonts w:hint="eastAsia" w:ascii="宋体" w:hAnsi="宋体" w:eastAsia="宋体" w:cs="宋体"/>
          <w:color w:val="auto"/>
          <w:sz w:val="21"/>
          <w:szCs w:val="21"/>
          <w:highlight w:val="none"/>
        </w:rPr>
        <w:t>）优惠条件：</w:t>
      </w:r>
      <w:r>
        <w:rPr>
          <w:rFonts w:hint="eastAsia" w:ascii="宋体" w:hAnsi="宋体" w:eastAsia="宋体" w:cs="宋体"/>
          <w:color w:val="auto"/>
          <w:sz w:val="21"/>
          <w:szCs w:val="21"/>
          <w:highlight w:val="none"/>
          <w:lang w:eastAsia="zh-CN"/>
        </w:rPr>
        <w:t>投标人</w:t>
      </w:r>
      <w:r>
        <w:rPr>
          <w:rFonts w:hint="eastAsia" w:ascii="宋体" w:hAnsi="宋体" w:eastAsia="宋体" w:cs="宋体"/>
          <w:color w:val="auto"/>
          <w:sz w:val="21"/>
          <w:szCs w:val="21"/>
          <w:highlight w:val="none"/>
        </w:rPr>
        <w:t xml:space="preserve">承诺给予采购人的各种优惠条件，包括其他优惠服务、公益服务或增值服务； </w:t>
      </w:r>
    </w:p>
    <w:p>
      <w:pPr>
        <w:keepNext w:val="0"/>
        <w:keepLines w:val="0"/>
        <w:pageBreakBefore w:val="0"/>
        <w:kinsoku/>
        <w:wordWrap/>
        <w:overflowPunct/>
        <w:topLinePunct w:val="0"/>
        <w:autoSpaceDE/>
        <w:autoSpaceDN/>
        <w:bidi w:val="0"/>
        <w:adjustRightInd/>
        <w:spacing w:line="50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hAnsi="宋体" w:cs="宋体"/>
          <w:color w:val="auto"/>
          <w:sz w:val="21"/>
          <w:szCs w:val="21"/>
          <w:highlight w:val="none"/>
          <w:lang w:val="en-US" w:eastAsia="zh-CN"/>
        </w:rPr>
        <w:t>9</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投标人</w:t>
      </w:r>
      <w:r>
        <w:rPr>
          <w:rFonts w:hint="eastAsia" w:ascii="宋体" w:hAnsi="宋体" w:eastAsia="宋体" w:cs="宋体"/>
          <w:color w:val="auto"/>
          <w:sz w:val="21"/>
          <w:szCs w:val="21"/>
          <w:highlight w:val="none"/>
        </w:rPr>
        <w:t>对本项目的合理化建议和改进措施；</w:t>
      </w:r>
    </w:p>
    <w:p>
      <w:pPr>
        <w:autoSpaceDE/>
        <w:autoSpaceDN/>
        <w:adjustRightInd/>
        <w:spacing w:line="500" w:lineRule="exact"/>
        <w:ind w:firstLine="420" w:firstLineChars="200"/>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w:t>
      </w:r>
      <w:r>
        <w:rPr>
          <w:rFonts w:hint="eastAsia" w:hAnsi="宋体" w:cs="宋体"/>
          <w:color w:val="auto"/>
          <w:sz w:val="21"/>
          <w:szCs w:val="21"/>
          <w:highlight w:val="none"/>
          <w:lang w:val="en-US" w:eastAsia="zh-CN"/>
        </w:rPr>
        <w:t>10</w:t>
      </w:r>
      <w:r>
        <w:rPr>
          <w:rFonts w:hint="eastAsia" w:ascii="宋体" w:hAnsi="宋体" w:eastAsia="宋体" w:cs="宋体"/>
          <w:color w:val="auto"/>
          <w:sz w:val="21"/>
          <w:szCs w:val="21"/>
          <w:highlight w:val="none"/>
        </w:rPr>
        <w:t>）评分规则中涉及的所需提供的资料</w:t>
      </w:r>
      <w:r>
        <w:rPr>
          <w:rFonts w:hint="eastAsia" w:ascii="宋体" w:hAnsi="宋体" w:eastAsia="宋体" w:cs="宋体"/>
          <w:color w:val="auto"/>
          <w:sz w:val="21"/>
          <w:szCs w:val="21"/>
          <w:highlight w:val="none"/>
          <w:lang w:eastAsia="zh-CN"/>
        </w:rPr>
        <w:t>、投标人</w:t>
      </w:r>
      <w:r>
        <w:rPr>
          <w:rFonts w:hint="eastAsia" w:ascii="宋体" w:hAnsi="宋体" w:eastAsia="宋体" w:cs="宋体"/>
          <w:color w:val="auto"/>
          <w:sz w:val="21"/>
          <w:szCs w:val="21"/>
          <w:highlight w:val="none"/>
        </w:rPr>
        <w:t>需要说明的其他文件和说明（格式略）。</w:t>
      </w:r>
    </w:p>
    <w:p>
      <w:pPr>
        <w:autoSpaceDE/>
        <w:autoSpaceDN/>
        <w:adjustRightInd/>
        <w:spacing w:line="500" w:lineRule="exact"/>
        <w:ind w:firstLine="420" w:firstLineChars="200"/>
        <w:rPr>
          <w:rFonts w:hint="eastAsia" w:ascii="宋体" w:hAnsi="宋体" w:eastAsia="宋体" w:cs="宋体"/>
          <w:b/>
          <w:color w:val="auto"/>
          <w:sz w:val="21"/>
          <w:szCs w:val="21"/>
          <w:highlight w:val="none"/>
        </w:rPr>
      </w:pPr>
      <w:r>
        <w:rPr>
          <w:rFonts w:hint="eastAsia" w:ascii="宋体" w:hAnsi="宋体" w:eastAsia="宋体" w:cs="宋体"/>
          <w:bCs/>
          <w:color w:val="auto"/>
          <w:sz w:val="21"/>
          <w:szCs w:val="21"/>
          <w:highlight w:val="none"/>
        </w:rPr>
        <w:t>★</w:t>
      </w:r>
      <w:r>
        <w:rPr>
          <w:rFonts w:hint="eastAsia" w:ascii="宋体" w:hAnsi="宋体" w:eastAsia="宋体" w:cs="宋体"/>
          <w:b/>
          <w:color w:val="auto"/>
          <w:sz w:val="21"/>
          <w:szCs w:val="21"/>
          <w:highlight w:val="none"/>
        </w:rPr>
        <w:t>注：</w:t>
      </w:r>
      <w:r>
        <w:rPr>
          <w:rFonts w:hint="eastAsia" w:ascii="宋体" w:hAnsi="宋体" w:eastAsia="宋体" w:cs="宋体"/>
          <w:b/>
          <w:bCs/>
          <w:color w:val="auto"/>
          <w:sz w:val="21"/>
          <w:szCs w:val="21"/>
          <w:highlight w:val="none"/>
        </w:rPr>
        <w:t>商务技术文件</w:t>
      </w:r>
      <w:r>
        <w:rPr>
          <w:rFonts w:hint="eastAsia" w:ascii="宋体" w:hAnsi="宋体" w:eastAsia="宋体" w:cs="宋体"/>
          <w:b/>
          <w:color w:val="auto"/>
          <w:sz w:val="21"/>
          <w:szCs w:val="21"/>
          <w:highlight w:val="none"/>
        </w:rPr>
        <w:t>中不得含有报价的信息，否则按投标无效处理。</w:t>
      </w:r>
    </w:p>
    <w:p>
      <w:pPr>
        <w:snapToGrid w:val="0"/>
        <w:spacing w:line="500" w:lineRule="exact"/>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3.报价文件</w:t>
      </w:r>
    </w:p>
    <w:p>
      <w:pPr>
        <w:autoSpaceDE/>
        <w:autoSpaceDN/>
        <w:adjustRightInd/>
        <w:spacing w:line="500" w:lineRule="exact"/>
        <w:ind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（1）投标函（格式见附件）；</w:t>
      </w:r>
    </w:p>
    <w:p>
      <w:pPr>
        <w:autoSpaceDE/>
        <w:autoSpaceDN/>
        <w:adjustRightInd/>
        <w:spacing w:line="500" w:lineRule="exact"/>
        <w:ind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（2）开标（报价）一览表（格式见附件）；</w:t>
      </w:r>
    </w:p>
    <w:p>
      <w:pPr>
        <w:autoSpaceDE/>
        <w:autoSpaceDN/>
        <w:adjustRightInd/>
        <w:spacing w:line="500" w:lineRule="exact"/>
        <w:ind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hAnsi="宋体" w:cs="宋体"/>
          <w:color w:val="auto"/>
          <w:sz w:val="21"/>
          <w:szCs w:val="21"/>
          <w:highlight w:val="none"/>
          <w:lang w:val="en-US" w:eastAsia="zh-CN"/>
        </w:rPr>
        <w:t>3</w:t>
      </w:r>
      <w:r>
        <w:rPr>
          <w:rFonts w:hint="eastAsia" w:ascii="宋体" w:hAnsi="宋体" w:eastAsia="宋体" w:cs="宋体"/>
          <w:color w:val="auto"/>
          <w:sz w:val="21"/>
          <w:szCs w:val="21"/>
          <w:highlight w:val="none"/>
        </w:rPr>
        <w:t>）投标人（包括投标联合体各方）针对报价需要说明的其他文件和说明（格式自拟）。</w:t>
      </w:r>
    </w:p>
    <w:p>
      <w:pPr>
        <w:autoSpaceDE/>
        <w:autoSpaceDN/>
        <w:adjustRightInd/>
        <w:spacing w:line="500" w:lineRule="exact"/>
        <w:ind w:firstLine="422" w:firstLineChars="200"/>
        <w:jc w:val="both"/>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（三）投标文件的语言及计量</w:t>
      </w:r>
    </w:p>
    <w:p>
      <w:pPr>
        <w:autoSpaceDE/>
        <w:autoSpaceDN/>
        <w:adjustRightInd/>
        <w:spacing w:line="500" w:lineRule="exact"/>
        <w:ind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1.投标文件以及投标方与招标方就有关投标事宜的所有来往函电，均应以中文汉语书写。除签名、盖章、专用名称等特殊情形外，以中文汉语以外的文字表述的投标文件视同未提供。</w:t>
      </w:r>
    </w:p>
    <w:p>
      <w:pPr>
        <w:autoSpaceDE/>
        <w:autoSpaceDN/>
        <w:adjustRightInd/>
        <w:spacing w:line="500" w:lineRule="exact"/>
        <w:ind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2.投标计量单位，招标文件已有明确规定的，使用招标文件规定的计量单位。招标文件没有规定的，应采用中华人民共和国法定计量单位（货币单位：人民币元），否则视同未响应。</w:t>
      </w:r>
    </w:p>
    <w:p>
      <w:pPr>
        <w:autoSpaceDE/>
        <w:autoSpaceDN/>
        <w:adjustRightInd/>
        <w:spacing w:line="500" w:lineRule="exact"/>
        <w:ind w:firstLine="422" w:firstLineChars="200"/>
        <w:jc w:val="both"/>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（四）投标报价</w:t>
      </w:r>
    </w:p>
    <w:p>
      <w:pPr>
        <w:autoSpaceDE/>
        <w:autoSpaceDN/>
        <w:adjustRightInd/>
        <w:spacing w:line="500" w:lineRule="exact"/>
        <w:ind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1.投标报价应按招标文件中相关附表格式填写。</w:t>
      </w:r>
    </w:p>
    <w:p>
      <w:pPr>
        <w:keepNext w:val="0"/>
        <w:keepLines w:val="0"/>
        <w:pageBreakBefore w:val="0"/>
        <w:kinsoku/>
        <w:wordWrap/>
        <w:overflowPunct/>
        <w:topLinePunct w:val="0"/>
        <w:autoSpaceDE/>
        <w:autoSpaceDN/>
        <w:bidi w:val="0"/>
        <w:adjustRightInd/>
        <w:spacing w:line="500" w:lineRule="exact"/>
        <w:ind w:firstLine="420" w:firstLineChars="200"/>
        <w:jc w:val="both"/>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★2.投标报价是履行合同的最终价格，包括人工费、保险、贮存费、污泥处置费、安全文明作业、环保、风险费、管理费、验收、辅助工作、合理利润及税费等</w:t>
      </w:r>
      <w:r>
        <w:rPr>
          <w:rFonts w:hint="eastAsia" w:hAnsi="宋体" w:cs="宋体"/>
          <w:b w:val="0"/>
          <w:bCs/>
          <w:color w:val="auto"/>
          <w:sz w:val="21"/>
          <w:szCs w:val="21"/>
          <w:highlight w:val="none"/>
          <w:lang w:val="en-US" w:eastAsia="zh-CN"/>
        </w:rPr>
        <w:t>除运费以外的</w:t>
      </w:r>
      <w:r>
        <w:rPr>
          <w:rFonts w:hint="eastAsia" w:ascii="宋体" w:hAnsi="宋体" w:eastAsia="宋体" w:cs="宋体"/>
          <w:b w:val="0"/>
          <w:bCs/>
          <w:color w:val="auto"/>
          <w:sz w:val="21"/>
          <w:szCs w:val="21"/>
          <w:highlight w:val="none"/>
        </w:rPr>
        <w:t>一切费用。投标人应参照国家的相应标准，结合自身综合实力、市场行情、本项目具体特点和技术要求自行报价。除政策性文件规定以外，投标人所报价格在合同实施期间不因市场变化因素而变动。</w:t>
      </w:r>
    </w:p>
    <w:p>
      <w:pPr>
        <w:autoSpaceDE/>
        <w:autoSpaceDN/>
        <w:snapToGrid w:val="0"/>
        <w:spacing w:line="460" w:lineRule="exact"/>
        <w:ind w:firstLine="420" w:firstLineChars="200"/>
        <w:jc w:val="both"/>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★3</w:t>
      </w:r>
      <w:r>
        <w:rPr>
          <w:rFonts w:hint="eastAsia" w:ascii="宋体" w:hAnsi="宋体" w:eastAsia="宋体" w:cs="宋体"/>
          <w:b w:val="0"/>
          <w:bCs/>
          <w:color w:val="auto"/>
          <w:sz w:val="21"/>
          <w:szCs w:val="21"/>
          <w:highlight w:val="none"/>
          <w:lang w:val="en-US" w:eastAsia="zh-CN"/>
        </w:rPr>
        <w:t>.</w:t>
      </w:r>
      <w:r>
        <w:rPr>
          <w:rFonts w:hint="eastAsia" w:ascii="宋体" w:hAnsi="宋体" w:eastAsia="宋体" w:cs="宋体"/>
          <w:b w:val="0"/>
          <w:bCs/>
          <w:color w:val="auto"/>
          <w:sz w:val="21"/>
          <w:szCs w:val="21"/>
          <w:highlight w:val="none"/>
        </w:rPr>
        <w:t>本项目设有最高单价限价：</w:t>
      </w:r>
      <w:r>
        <w:rPr>
          <w:rFonts w:hint="eastAsia" w:hAnsi="宋体" w:cs="宋体"/>
          <w:b w:val="0"/>
          <w:bCs/>
          <w:color w:val="auto"/>
          <w:sz w:val="21"/>
          <w:szCs w:val="21"/>
          <w:highlight w:val="none"/>
          <w:lang w:eastAsia="zh-CN"/>
        </w:rPr>
        <w:t>340元/吨</w:t>
      </w:r>
      <w:r>
        <w:rPr>
          <w:rFonts w:hint="eastAsia" w:ascii="宋体" w:hAnsi="宋体" w:eastAsia="宋体" w:cs="宋体"/>
          <w:b w:val="0"/>
          <w:bCs/>
          <w:color w:val="auto"/>
          <w:sz w:val="21"/>
          <w:szCs w:val="21"/>
          <w:highlight w:val="none"/>
        </w:rPr>
        <w:t>；超过单价限价的投标，作无效标处理。</w:t>
      </w:r>
    </w:p>
    <w:p>
      <w:pPr>
        <w:widowControl/>
        <w:autoSpaceDE/>
        <w:autoSpaceDN/>
        <w:adjustRightInd/>
        <w:spacing w:line="500" w:lineRule="exact"/>
        <w:ind w:firstLine="420" w:firstLineChars="200"/>
        <w:jc w:val="both"/>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w:t>
      </w:r>
      <w:r>
        <w:rPr>
          <w:rFonts w:hint="eastAsia" w:ascii="宋体" w:hAnsi="宋体" w:eastAsia="宋体" w:cs="宋体"/>
          <w:b w:val="0"/>
          <w:bCs/>
          <w:color w:val="auto"/>
          <w:sz w:val="21"/>
          <w:szCs w:val="21"/>
          <w:highlight w:val="none"/>
          <w:lang w:val="en-US" w:eastAsia="zh-CN"/>
        </w:rPr>
        <w:t>4</w:t>
      </w:r>
      <w:r>
        <w:rPr>
          <w:rFonts w:hint="eastAsia" w:ascii="宋体" w:hAnsi="宋体" w:eastAsia="宋体" w:cs="宋体"/>
          <w:b w:val="0"/>
          <w:bCs/>
          <w:color w:val="auto"/>
          <w:sz w:val="21"/>
          <w:szCs w:val="21"/>
          <w:highlight w:val="none"/>
        </w:rPr>
        <w:t>.投标文件只允许有一个报价，有选择的或有条件的报价将不予接受。</w:t>
      </w:r>
    </w:p>
    <w:p>
      <w:pPr>
        <w:autoSpaceDE/>
        <w:autoSpaceDN/>
        <w:adjustRightInd/>
        <w:spacing w:line="500" w:lineRule="exact"/>
        <w:ind w:firstLine="420" w:firstLineChars="200"/>
        <w:jc w:val="both"/>
        <w:rPr>
          <w:rFonts w:hint="default" w:ascii="宋体" w:hAnsi="宋体" w:eastAsia="宋体" w:cs="宋体"/>
          <w:b w:val="0"/>
          <w:bCs/>
          <w:color w:val="auto"/>
          <w:sz w:val="21"/>
          <w:szCs w:val="21"/>
          <w:highlight w:val="none"/>
          <w:lang w:val="en-US" w:eastAsia="zh-CN"/>
        </w:rPr>
      </w:pPr>
      <w:r>
        <w:rPr>
          <w:rFonts w:hint="eastAsia" w:hAnsi="宋体" w:cs="宋体"/>
          <w:b w:val="0"/>
          <w:bCs/>
          <w:color w:val="auto"/>
          <w:sz w:val="21"/>
          <w:szCs w:val="21"/>
          <w:highlight w:val="none"/>
          <w:lang w:val="en-US" w:eastAsia="zh-CN"/>
        </w:rPr>
        <w:t>5.本项目采购代理服务费由中标单位进行支付。</w:t>
      </w:r>
    </w:p>
    <w:p>
      <w:pPr>
        <w:autoSpaceDE/>
        <w:autoSpaceDN/>
        <w:adjustRightInd/>
        <w:spacing w:line="500" w:lineRule="exact"/>
        <w:ind w:firstLine="422" w:firstLineChars="200"/>
        <w:jc w:val="both"/>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（五）投标文件的有效期</w:t>
      </w:r>
    </w:p>
    <w:p>
      <w:pPr>
        <w:autoSpaceDE/>
        <w:autoSpaceDN/>
        <w:adjustRightInd/>
        <w:spacing w:line="500" w:lineRule="exact"/>
        <w:ind w:firstLine="420" w:firstLineChars="200"/>
        <w:jc w:val="both"/>
        <w:rPr>
          <w:rFonts w:hint="eastAsia" w:ascii="宋体" w:hAnsi="宋体" w:eastAsia="宋体" w:cs="宋体"/>
          <w:color w:val="auto"/>
          <w:sz w:val="21"/>
          <w:szCs w:val="21"/>
          <w:highlight w:val="none"/>
        </w:rPr>
      </w:pPr>
      <w:r>
        <w:rPr>
          <w:rFonts w:hint="eastAsia" w:ascii="宋体" w:hAnsi="宋体" w:eastAsia="宋体" w:cs="宋体"/>
          <w:bCs/>
          <w:color w:val="auto"/>
          <w:sz w:val="21"/>
          <w:szCs w:val="21"/>
          <w:highlight w:val="none"/>
        </w:rPr>
        <w:t>★</w:t>
      </w:r>
      <w:r>
        <w:rPr>
          <w:rFonts w:hint="eastAsia" w:ascii="宋体" w:hAnsi="宋体" w:eastAsia="宋体" w:cs="宋体"/>
          <w:color w:val="auto"/>
          <w:sz w:val="21"/>
          <w:szCs w:val="21"/>
          <w:highlight w:val="none"/>
        </w:rPr>
        <w:t>1.自投标截止日起90天投标文件应保持有效。有效期不足的投标文件将被拒绝。</w:t>
      </w:r>
    </w:p>
    <w:p>
      <w:pPr>
        <w:autoSpaceDE/>
        <w:autoSpaceDN/>
        <w:adjustRightInd/>
        <w:spacing w:line="500" w:lineRule="exact"/>
        <w:ind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2.在特殊情况下，招标人可与投标人协商延长投标书的有效期，这种要求和答复均以书面形式进行。</w:t>
      </w:r>
    </w:p>
    <w:p>
      <w:pPr>
        <w:spacing w:line="500" w:lineRule="exact"/>
        <w:ind w:firstLine="420" w:firstLineChars="200"/>
        <w:rPr>
          <w:rFonts w:hint="eastAsia" w:ascii="宋体" w:hAnsi="宋体" w:eastAsia="宋体" w:cs="宋体"/>
          <w:color w:val="auto"/>
          <w:highlight w:val="none"/>
        </w:rPr>
      </w:pPr>
      <w:r>
        <w:rPr>
          <w:rFonts w:hint="eastAsia" w:ascii="宋体" w:hAnsi="宋体" w:eastAsia="宋体" w:cs="宋体"/>
          <w:color w:val="auto"/>
          <w:sz w:val="21"/>
          <w:szCs w:val="21"/>
          <w:highlight w:val="none"/>
        </w:rPr>
        <w:t>3.投标人可拒绝接受延期要求。同意延长有效期的，不能以此为由修改投标文件。</w:t>
      </w:r>
    </w:p>
    <w:p>
      <w:pPr>
        <w:autoSpaceDE/>
        <w:autoSpaceDN/>
        <w:adjustRightInd/>
        <w:spacing w:line="500" w:lineRule="exact"/>
        <w:ind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4.中标人的投标文件自开标之日起至合同履行完毕止均应保持有效。</w:t>
      </w:r>
    </w:p>
    <w:p>
      <w:pPr>
        <w:autoSpaceDE/>
        <w:autoSpaceDN/>
        <w:adjustRightInd/>
        <w:spacing w:line="500" w:lineRule="exact"/>
        <w:ind w:firstLine="422" w:firstLineChars="200"/>
        <w:jc w:val="both"/>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（六）投标文件的签署和份数</w:t>
      </w:r>
    </w:p>
    <w:p>
      <w:pPr>
        <w:widowControl/>
        <w:snapToGrid w:val="0"/>
        <w:spacing w:line="500" w:lineRule="exact"/>
        <w:ind w:firstLine="420"/>
        <w:rPr>
          <w:rFonts w:hint="eastAsia" w:ascii="宋体" w:hAnsi="宋体" w:eastAsia="宋体" w:cs="宋体"/>
          <w:color w:val="auto"/>
          <w:sz w:val="21"/>
          <w:highlight w:val="none"/>
        </w:rPr>
      </w:pPr>
      <w:r>
        <w:rPr>
          <w:rFonts w:hint="eastAsia" w:ascii="宋体" w:hAnsi="宋体" w:eastAsia="宋体" w:cs="宋体"/>
          <w:color w:val="auto"/>
          <w:sz w:val="21"/>
          <w:szCs w:val="24"/>
          <w:highlight w:val="none"/>
        </w:rPr>
        <w:t>1.</w:t>
      </w:r>
      <w:r>
        <w:rPr>
          <w:rFonts w:hint="eastAsia" w:ascii="宋体" w:hAnsi="宋体" w:eastAsia="宋体" w:cs="宋体"/>
          <w:color w:val="auto"/>
          <w:sz w:val="21"/>
          <w:highlight w:val="none"/>
        </w:rPr>
        <w:t>电子投标文件部分：</w:t>
      </w:r>
    </w:p>
    <w:p>
      <w:pPr>
        <w:widowControl/>
        <w:snapToGrid w:val="0"/>
        <w:spacing w:line="500" w:lineRule="exact"/>
        <w:ind w:firstLine="420"/>
        <w:rPr>
          <w:rFonts w:hint="eastAsia" w:ascii="宋体" w:hAnsi="宋体" w:eastAsia="宋体" w:cs="宋体"/>
          <w:color w:val="auto"/>
          <w:sz w:val="21"/>
          <w:highlight w:val="none"/>
        </w:rPr>
      </w:pPr>
      <w:r>
        <w:rPr>
          <w:rFonts w:hint="eastAsia" w:ascii="宋体" w:hAnsi="宋体" w:eastAsia="宋体" w:cs="宋体"/>
          <w:color w:val="auto"/>
          <w:sz w:val="21"/>
          <w:highlight w:val="none"/>
        </w:rPr>
        <w:t>投标人应根据“政采云供应商项目采购－电子交易操作指南”及本招标文件规定的格式和顺序编制电子投标文件并进行关联定位。</w:t>
      </w:r>
    </w:p>
    <w:p>
      <w:pPr>
        <w:widowControl/>
        <w:autoSpaceDE/>
        <w:autoSpaceDN/>
        <w:adjustRightInd/>
        <w:snapToGrid w:val="0"/>
        <w:spacing w:line="500" w:lineRule="exact"/>
        <w:ind w:firstLine="420" w:firstLineChars="200"/>
        <w:rPr>
          <w:rFonts w:hint="eastAsia" w:ascii="宋体" w:hAnsi="宋体" w:eastAsia="宋体" w:cs="宋体"/>
          <w:color w:val="auto"/>
          <w:sz w:val="21"/>
          <w:highlight w:val="none"/>
        </w:rPr>
      </w:pPr>
      <w:r>
        <w:rPr>
          <w:rFonts w:hint="eastAsia" w:ascii="宋体" w:hAnsi="宋体" w:eastAsia="宋体" w:cs="宋体"/>
          <w:color w:val="auto"/>
          <w:sz w:val="21"/>
          <w:highlight w:val="none"/>
        </w:rPr>
        <w:t>2.投标文件的盖章：投标文件中所涉及的加盖公章均可采用CA电子签章，或投标单位可以线下盖章后扫描上传。联合体投标的，投标文件须由联合体牵头人在规定位置盖章（除采购文件中有特殊要求的，以具体约定为准）。</w:t>
      </w:r>
    </w:p>
    <w:p>
      <w:pPr>
        <w:autoSpaceDE/>
        <w:autoSpaceDN/>
        <w:adjustRightInd/>
        <w:spacing w:line="500" w:lineRule="exact"/>
        <w:ind w:firstLine="420" w:firstLineChars="200"/>
        <w:jc w:val="both"/>
        <w:rPr>
          <w:rFonts w:hint="eastAsia" w:ascii="宋体" w:hAnsi="宋体" w:eastAsia="宋体" w:cs="宋体"/>
          <w:b/>
          <w:color w:val="auto"/>
          <w:sz w:val="21"/>
          <w:szCs w:val="21"/>
          <w:highlight w:val="none"/>
        </w:rPr>
      </w:pPr>
      <w:r>
        <w:rPr>
          <w:rFonts w:hint="eastAsia" w:ascii="宋体" w:hAnsi="宋体" w:eastAsia="宋体" w:cs="宋体"/>
          <w:color w:val="auto"/>
          <w:sz w:val="21"/>
          <w:highlight w:val="none"/>
        </w:rPr>
        <w:t>3.法定代表人或其授权代表签字或盖章：本招标文件所涉及的法定代表人或其授权代表签字或盖章的内容，投标单位（</w:t>
      </w:r>
      <w:r>
        <w:rPr>
          <w:rFonts w:hint="eastAsia" w:ascii="宋体" w:hAnsi="宋体" w:eastAsia="宋体" w:cs="宋体"/>
          <w:color w:val="auto"/>
          <w:sz w:val="21"/>
          <w:szCs w:val="21"/>
          <w:highlight w:val="none"/>
        </w:rPr>
        <w:t>或联合体投标人牵头单位</w:t>
      </w:r>
      <w:r>
        <w:rPr>
          <w:rFonts w:hint="eastAsia" w:ascii="宋体" w:hAnsi="宋体" w:eastAsia="宋体" w:cs="宋体"/>
          <w:color w:val="auto"/>
          <w:sz w:val="21"/>
          <w:highlight w:val="none"/>
        </w:rPr>
        <w:t>）可采用法定代表人电子签章，也可以线下签字或盖章后扫描上传。</w:t>
      </w:r>
    </w:p>
    <w:p>
      <w:pPr>
        <w:autoSpaceDE/>
        <w:autoSpaceDN/>
        <w:adjustRightInd/>
        <w:spacing w:line="500" w:lineRule="exact"/>
        <w:ind w:firstLine="422" w:firstLineChars="200"/>
        <w:jc w:val="both"/>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（七）投标文件的包装、递交、修改和撤回</w:t>
      </w:r>
    </w:p>
    <w:p>
      <w:pPr>
        <w:widowControl/>
        <w:autoSpaceDE/>
        <w:autoSpaceDN/>
        <w:adjustRightInd/>
        <w:snapToGrid w:val="0"/>
        <w:spacing w:line="500" w:lineRule="exact"/>
        <w:ind w:firstLine="420"/>
        <w:jc w:val="both"/>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1.投标人应当在投标截止时间前在“政采云”（</w:t>
      </w:r>
      <w:r>
        <w:rPr>
          <w:rFonts w:hint="eastAsia" w:ascii="宋体" w:hAnsi="宋体" w:eastAsia="宋体" w:cs="宋体"/>
          <w:color w:val="auto"/>
          <w:sz w:val="21"/>
          <w:szCs w:val="21"/>
          <w:highlight w:val="none"/>
          <w:shd w:val="clear" w:color="auto" w:fill="FFFFFF"/>
        </w:rPr>
        <w:t>电子交易客户端</w:t>
      </w:r>
      <w:r>
        <w:rPr>
          <w:rFonts w:hint="eastAsia" w:ascii="宋体" w:hAnsi="宋体" w:eastAsia="宋体" w:cs="宋体"/>
          <w:b/>
          <w:bCs/>
          <w:color w:val="auto"/>
          <w:sz w:val="21"/>
          <w:szCs w:val="21"/>
          <w:highlight w:val="none"/>
        </w:rPr>
        <w:t>）上自行上传加密的电子投标文件。</w:t>
      </w:r>
    </w:p>
    <w:p>
      <w:pPr>
        <w:autoSpaceDE/>
        <w:autoSpaceDN/>
        <w:adjustRightInd/>
        <w:spacing w:line="500" w:lineRule="exact"/>
        <w:ind w:firstLine="420" w:firstLineChars="200"/>
        <w:jc w:val="both"/>
        <w:rPr>
          <w:rFonts w:hint="eastAsia" w:ascii="宋体" w:hAnsi="宋体" w:eastAsia="宋体" w:cs="宋体"/>
          <w:color w:val="auto"/>
          <w:sz w:val="21"/>
          <w:szCs w:val="21"/>
          <w:highlight w:val="none"/>
        </w:rPr>
      </w:pPr>
      <w:r>
        <w:rPr>
          <w:rFonts w:hint="eastAsia" w:ascii="宋体" w:hAnsi="宋体" w:eastAsia="宋体" w:cs="宋体"/>
          <w:bCs/>
          <w:color w:val="auto"/>
          <w:sz w:val="21"/>
          <w:szCs w:val="21"/>
          <w:highlight w:val="none"/>
        </w:rPr>
        <w:t>★</w:t>
      </w:r>
      <w:r>
        <w:rPr>
          <w:rFonts w:hint="eastAsia" w:ascii="宋体" w:hAnsi="宋体" w:eastAsia="宋体" w:cs="宋体"/>
          <w:color w:val="auto"/>
          <w:sz w:val="21"/>
          <w:szCs w:val="21"/>
          <w:highlight w:val="none"/>
        </w:rPr>
        <w:t>2.投标人未在“政采云”（</w:t>
      </w:r>
      <w:r>
        <w:rPr>
          <w:rFonts w:hint="eastAsia" w:ascii="宋体" w:hAnsi="宋体" w:eastAsia="宋体" w:cs="宋体"/>
          <w:color w:val="auto"/>
          <w:sz w:val="21"/>
          <w:szCs w:val="21"/>
          <w:highlight w:val="none"/>
          <w:shd w:val="clear" w:color="auto" w:fill="FFFFFF"/>
        </w:rPr>
        <w:t xml:space="preserve"> 电子交易客户端</w:t>
      </w:r>
      <w:r>
        <w:rPr>
          <w:rFonts w:hint="eastAsia" w:ascii="宋体" w:hAnsi="宋体" w:eastAsia="宋体" w:cs="宋体"/>
          <w:color w:val="auto"/>
          <w:sz w:val="21"/>
          <w:szCs w:val="21"/>
          <w:highlight w:val="none"/>
        </w:rPr>
        <w:t>）上自行上传加密的电子投标文件的，投标无效。</w:t>
      </w:r>
    </w:p>
    <w:p>
      <w:pPr>
        <w:autoSpaceDE/>
        <w:autoSpaceDN/>
        <w:adjustRightInd/>
        <w:spacing w:line="500" w:lineRule="exact"/>
        <w:ind w:firstLine="422" w:firstLineChars="200"/>
        <w:jc w:val="both"/>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3.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送达的投标、响应文件，将被政采云平台拒收。</w:t>
      </w:r>
    </w:p>
    <w:p>
      <w:pPr>
        <w:autoSpaceDE/>
        <w:autoSpaceDN/>
        <w:adjustRightInd/>
        <w:spacing w:line="500" w:lineRule="exact"/>
        <w:ind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4.截止开标时间，政采云（</w:t>
      </w:r>
      <w:r>
        <w:rPr>
          <w:rFonts w:hint="eastAsia" w:ascii="宋体" w:hAnsi="宋体" w:eastAsia="宋体" w:cs="宋体"/>
          <w:color w:val="auto"/>
          <w:sz w:val="21"/>
          <w:szCs w:val="21"/>
          <w:highlight w:val="none"/>
          <w:shd w:val="clear" w:color="auto" w:fill="FFFFFF"/>
        </w:rPr>
        <w:t>电子交易客户端</w:t>
      </w:r>
      <w:r>
        <w:rPr>
          <w:rFonts w:hint="eastAsia" w:ascii="宋体" w:hAnsi="宋体" w:eastAsia="宋体" w:cs="宋体"/>
          <w:color w:val="auto"/>
          <w:sz w:val="21"/>
          <w:szCs w:val="21"/>
          <w:highlight w:val="none"/>
        </w:rPr>
        <w:t>）自动提取所有投标文件，投标人须在解密时限内完成解密，解密时限由财政部门设置，投标人在规定的时间内都已解密完成，则系统自动结束解密，采购代理机构开启投标文件；投标人超过解密时限的，系统默认自动放弃。</w:t>
      </w:r>
    </w:p>
    <w:p>
      <w:pPr>
        <w:autoSpaceDE/>
        <w:autoSpaceDN/>
        <w:adjustRightInd/>
        <w:spacing w:line="500" w:lineRule="exact"/>
        <w:ind w:firstLine="422" w:firstLineChars="200"/>
        <w:jc w:val="both"/>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（八）投标无效的情形</w:t>
      </w:r>
    </w:p>
    <w:p>
      <w:pPr>
        <w:autoSpaceDE/>
        <w:autoSpaceDN/>
        <w:adjustRightInd/>
        <w:spacing w:line="500" w:lineRule="exact"/>
        <w:ind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实质上没有响应招标文件要求的投标将被视为无效投标。投标人不得通过修正或撤销不合要求的偏离或保留从而使其投标成为实质上响应的投标，但经评标委员会认定属于投标人疏忽、笔误所造成的差错，应当允许其在评标结束之前进行修改或者补正。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autoSpaceDE/>
        <w:autoSpaceDN/>
        <w:adjustRightInd/>
        <w:spacing w:line="500" w:lineRule="exact"/>
        <w:ind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1.在符合性审查和商务评审时，如发现下列情形之一的，投标文件将被视为无效：</w:t>
      </w:r>
    </w:p>
    <w:p>
      <w:pPr>
        <w:autoSpaceDE/>
        <w:autoSpaceDN/>
        <w:adjustRightInd/>
        <w:spacing w:line="500" w:lineRule="exact"/>
        <w:ind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（1）资格证明文件不全的，或者不符合招标文件标明的资格要求的；</w:t>
      </w:r>
    </w:p>
    <w:p>
      <w:pPr>
        <w:autoSpaceDE/>
        <w:autoSpaceDN/>
        <w:adjustRightInd/>
        <w:spacing w:line="500" w:lineRule="exact"/>
        <w:ind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（2）投标文件无投标人（或联合体投标人的牵头单位）的法定代表人（或其授权代表）签字，或未提供法定代表人授权委托书的；</w:t>
      </w:r>
    </w:p>
    <w:p>
      <w:pPr>
        <w:autoSpaceDE/>
        <w:autoSpaceDN/>
        <w:adjustRightInd/>
        <w:spacing w:line="500" w:lineRule="exact"/>
        <w:ind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（3）投标代表人未能出具身份证明或与法定代表人授权委托人身份不符的；</w:t>
      </w:r>
    </w:p>
    <w:p>
      <w:pPr>
        <w:autoSpaceDE/>
        <w:autoSpaceDN/>
        <w:adjustRightInd/>
        <w:spacing w:line="500" w:lineRule="exact"/>
        <w:ind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（4）投标文件格式不规范、项目不齐全或者内容虚假的；</w:t>
      </w:r>
    </w:p>
    <w:p>
      <w:pPr>
        <w:autoSpaceDE/>
        <w:autoSpaceDN/>
        <w:adjustRightInd/>
        <w:spacing w:line="500" w:lineRule="exact"/>
        <w:ind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（5）投标文件的实质性内容未使用中文表述、意思表述不明确、前后矛盾或者使用计量单位不符合招标文件要求的（经评标委员会认定并允许其当场更正的笔误除外）；</w:t>
      </w:r>
    </w:p>
    <w:p>
      <w:pPr>
        <w:autoSpaceDE/>
        <w:autoSpaceDN/>
        <w:adjustRightInd/>
        <w:spacing w:line="500" w:lineRule="exact"/>
        <w:ind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w:t>
      </w:r>
      <w:r>
        <w:rPr>
          <w:rFonts w:hint="eastAsia" w:ascii="宋体" w:hAnsi="宋体" w:eastAsia="宋体" w:cs="宋体"/>
          <w:color w:val="auto"/>
          <w:sz w:val="21"/>
          <w:highlight w:val="none"/>
        </w:rPr>
        <w:t>投标有效期、工期、付款方式等商务条款不能满足招标文件要求的</w:t>
      </w:r>
      <w:r>
        <w:rPr>
          <w:rFonts w:hint="eastAsia" w:ascii="宋体" w:hAnsi="宋体" w:eastAsia="宋体" w:cs="宋体"/>
          <w:color w:val="auto"/>
          <w:sz w:val="21"/>
          <w:szCs w:val="21"/>
          <w:highlight w:val="none"/>
        </w:rPr>
        <w:t>；</w:t>
      </w:r>
    </w:p>
    <w:p>
      <w:pPr>
        <w:keepNext w:val="0"/>
        <w:keepLines w:val="0"/>
        <w:pageBreakBefore w:val="0"/>
        <w:widowControl/>
        <w:kinsoku/>
        <w:wordWrap/>
        <w:overflowPunct/>
        <w:topLinePunct w:val="0"/>
        <w:bidi w:val="0"/>
        <w:adjustRightInd w:val="0"/>
        <w:snapToGrid w:val="0"/>
        <w:spacing w:line="500" w:lineRule="exact"/>
        <w:ind w:firstLine="420" w:firstLineChars="200"/>
        <w:jc w:val="left"/>
        <w:textAlignment w:val="auto"/>
        <w:rPr>
          <w:rFonts w:hint="eastAsia" w:ascii="宋体" w:hAnsi="宋体" w:eastAsia="宋体" w:cs="宋体"/>
          <w:color w:val="auto"/>
          <w:sz w:val="21"/>
          <w:highlight w:val="none"/>
        </w:rPr>
      </w:pPr>
      <w:r>
        <w:rPr>
          <w:rFonts w:hint="eastAsia" w:ascii="宋体" w:hAnsi="宋体" w:eastAsia="宋体" w:cs="宋体"/>
          <w:color w:val="auto"/>
          <w:sz w:val="21"/>
          <w:highlight w:val="none"/>
        </w:rPr>
        <w:t>（7）电子投标文件解密失败的；</w:t>
      </w:r>
    </w:p>
    <w:p>
      <w:pPr>
        <w:keepNext w:val="0"/>
        <w:keepLines w:val="0"/>
        <w:pageBreakBefore w:val="0"/>
        <w:kinsoku/>
        <w:wordWrap/>
        <w:overflowPunct/>
        <w:topLinePunct w:val="0"/>
        <w:autoSpaceDE/>
        <w:autoSpaceDN/>
        <w:bidi w:val="0"/>
        <w:adjustRightInd w:val="0"/>
        <w:snapToGrid w:val="0"/>
        <w:spacing w:line="500" w:lineRule="exact"/>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（8）联合体投标时，没有提交共同投标协议（联合协议）的；</w:t>
      </w:r>
    </w:p>
    <w:p>
      <w:pPr>
        <w:keepNext w:val="0"/>
        <w:keepLines w:val="0"/>
        <w:pageBreakBefore w:val="0"/>
        <w:kinsoku/>
        <w:wordWrap/>
        <w:overflowPunct/>
        <w:topLinePunct w:val="0"/>
        <w:autoSpaceDE/>
        <w:autoSpaceDN/>
        <w:bidi w:val="0"/>
        <w:adjustRightInd w:val="0"/>
        <w:snapToGrid w:val="0"/>
        <w:spacing w:line="500" w:lineRule="exact"/>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（9）项目分包时，没有提交分包意向协议的；</w:t>
      </w:r>
    </w:p>
    <w:p>
      <w:pPr>
        <w:keepNext w:val="0"/>
        <w:keepLines w:val="0"/>
        <w:pageBreakBefore w:val="0"/>
        <w:kinsoku/>
        <w:wordWrap/>
        <w:overflowPunct/>
        <w:topLinePunct w:val="0"/>
        <w:autoSpaceDE/>
        <w:autoSpaceDN/>
        <w:bidi w:val="0"/>
        <w:adjustRightInd w:val="0"/>
        <w:snapToGrid w:val="0"/>
        <w:spacing w:line="500" w:lineRule="exact"/>
        <w:ind w:firstLine="420" w:firstLineChars="20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（10）同一IP地址上传投标、响应文件；</w:t>
      </w:r>
    </w:p>
    <w:p>
      <w:pPr>
        <w:keepNext w:val="0"/>
        <w:keepLines w:val="0"/>
        <w:pageBreakBefore w:val="0"/>
        <w:kinsoku/>
        <w:wordWrap/>
        <w:overflowPunct/>
        <w:topLinePunct w:val="0"/>
        <w:autoSpaceDE/>
        <w:autoSpaceDN/>
        <w:bidi w:val="0"/>
        <w:adjustRightInd w:val="0"/>
        <w:snapToGrid w:val="0"/>
        <w:spacing w:line="500" w:lineRule="exact"/>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11</w:t>
      </w:r>
      <w:r>
        <w:rPr>
          <w:rFonts w:hint="eastAsia" w:ascii="宋体" w:hAnsi="宋体" w:eastAsia="宋体" w:cs="宋体"/>
          <w:color w:val="auto"/>
          <w:sz w:val="21"/>
          <w:szCs w:val="21"/>
          <w:highlight w:val="none"/>
        </w:rPr>
        <w:t>）未实质性响应招标文件要求或者投标文件有招标方不能接受的附加条件的。</w:t>
      </w:r>
    </w:p>
    <w:p>
      <w:pPr>
        <w:keepNext w:val="0"/>
        <w:keepLines w:val="0"/>
        <w:pageBreakBefore w:val="0"/>
        <w:kinsoku/>
        <w:wordWrap/>
        <w:overflowPunct/>
        <w:topLinePunct w:val="0"/>
        <w:autoSpaceDE/>
        <w:autoSpaceDN/>
        <w:bidi w:val="0"/>
        <w:adjustRightInd w:val="0"/>
        <w:snapToGrid w:val="0"/>
        <w:spacing w:line="500" w:lineRule="exact"/>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2.在技术评审时，如发现下列情形之一的，投标文件将被视为无效：</w:t>
      </w:r>
    </w:p>
    <w:p>
      <w:pPr>
        <w:keepNext w:val="0"/>
        <w:keepLines w:val="0"/>
        <w:pageBreakBefore w:val="0"/>
        <w:kinsoku/>
        <w:wordWrap/>
        <w:overflowPunct/>
        <w:topLinePunct w:val="0"/>
        <w:autoSpaceDE/>
        <w:autoSpaceDN/>
        <w:bidi w:val="0"/>
        <w:adjustRightInd w:val="0"/>
        <w:snapToGrid w:val="0"/>
        <w:spacing w:line="500" w:lineRule="exact"/>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（1）不符合法律法规和招标文件中规定的其他实质性要求的（评标委员会一致认定）的；</w:t>
      </w:r>
    </w:p>
    <w:p>
      <w:pPr>
        <w:keepNext w:val="0"/>
        <w:keepLines w:val="0"/>
        <w:pageBreakBefore w:val="0"/>
        <w:kinsoku/>
        <w:wordWrap/>
        <w:overflowPunct/>
        <w:topLinePunct w:val="0"/>
        <w:autoSpaceDE/>
        <w:autoSpaceDN/>
        <w:bidi w:val="0"/>
        <w:adjustRightInd w:val="0"/>
        <w:snapToGrid w:val="0"/>
        <w:spacing w:line="500" w:lineRule="exact"/>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（2）明显不符合招标文件服务要求、服务质量标准，或者与招标文件中标“★”的服务要求项目发生实质性偏离的；</w:t>
      </w:r>
    </w:p>
    <w:p>
      <w:pPr>
        <w:keepNext w:val="0"/>
        <w:keepLines w:val="0"/>
        <w:pageBreakBefore w:val="0"/>
        <w:kinsoku/>
        <w:wordWrap/>
        <w:overflowPunct/>
        <w:topLinePunct w:val="0"/>
        <w:autoSpaceDE/>
        <w:autoSpaceDN/>
        <w:bidi w:val="0"/>
        <w:adjustRightInd w:val="0"/>
        <w:snapToGrid w:val="0"/>
        <w:spacing w:line="500" w:lineRule="exact"/>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（3）允许偏离的技术、性能指标或者辅助功能项目发生负偏离达20项（含）以上的；</w:t>
      </w:r>
    </w:p>
    <w:p>
      <w:pPr>
        <w:keepNext w:val="0"/>
        <w:keepLines w:val="0"/>
        <w:pageBreakBefore w:val="0"/>
        <w:kinsoku/>
        <w:wordWrap/>
        <w:overflowPunct/>
        <w:topLinePunct w:val="0"/>
        <w:autoSpaceDE/>
        <w:autoSpaceDN/>
        <w:bidi w:val="0"/>
        <w:adjustRightInd w:val="0"/>
        <w:snapToGrid w:val="0"/>
        <w:spacing w:line="500" w:lineRule="exact"/>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（4）投标技术方案不明确，存在一个或一个以上备选（替代）投标方案的；</w:t>
      </w:r>
    </w:p>
    <w:p>
      <w:pPr>
        <w:keepNext w:val="0"/>
        <w:keepLines w:val="0"/>
        <w:pageBreakBefore w:val="0"/>
        <w:kinsoku/>
        <w:wordWrap/>
        <w:overflowPunct/>
        <w:topLinePunct w:val="0"/>
        <w:autoSpaceDE/>
        <w:autoSpaceDN/>
        <w:bidi w:val="0"/>
        <w:adjustRightInd w:val="0"/>
        <w:snapToGrid w:val="0"/>
        <w:spacing w:line="500" w:lineRule="exact"/>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（5）与其他参加本次投标供应商的投标文件（技术文件）的文字表述内容相同连续20行以上或者差错相同2处以上的。</w:t>
      </w:r>
    </w:p>
    <w:p>
      <w:pPr>
        <w:keepNext w:val="0"/>
        <w:keepLines w:val="0"/>
        <w:pageBreakBefore w:val="0"/>
        <w:kinsoku/>
        <w:wordWrap/>
        <w:overflowPunct/>
        <w:topLinePunct w:val="0"/>
        <w:autoSpaceDE/>
        <w:autoSpaceDN/>
        <w:bidi w:val="0"/>
        <w:adjustRightInd w:val="0"/>
        <w:snapToGrid w:val="0"/>
        <w:spacing w:line="500" w:lineRule="exact"/>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3.在报价评审时，如发现下列情形之一的，投标文件将被视为无效：</w:t>
      </w:r>
    </w:p>
    <w:p>
      <w:pPr>
        <w:keepNext w:val="0"/>
        <w:keepLines w:val="0"/>
        <w:pageBreakBefore w:val="0"/>
        <w:kinsoku/>
        <w:wordWrap/>
        <w:overflowPunct/>
        <w:topLinePunct w:val="0"/>
        <w:autoSpaceDE/>
        <w:autoSpaceDN/>
        <w:bidi w:val="0"/>
        <w:adjustRightInd w:val="0"/>
        <w:snapToGrid w:val="0"/>
        <w:spacing w:line="500" w:lineRule="exact"/>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（1）未采用人民币报价或者未按照招标文件标明的币种报价的；</w:t>
      </w:r>
    </w:p>
    <w:p>
      <w:pPr>
        <w:keepNext w:val="0"/>
        <w:keepLines w:val="0"/>
        <w:pageBreakBefore w:val="0"/>
        <w:kinsoku/>
        <w:wordWrap/>
        <w:overflowPunct/>
        <w:topLinePunct w:val="0"/>
        <w:autoSpaceDE/>
        <w:autoSpaceDN/>
        <w:bidi w:val="0"/>
        <w:adjustRightInd w:val="0"/>
        <w:snapToGrid w:val="0"/>
        <w:spacing w:line="500" w:lineRule="exact"/>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）投标报价明细表总额与开标（报价）一览表总价不一致，且投标人拒绝按招标文件规定的方式进行错误修正的；</w:t>
      </w:r>
    </w:p>
    <w:p>
      <w:pPr>
        <w:keepNext w:val="0"/>
        <w:keepLines w:val="0"/>
        <w:pageBreakBefore w:val="0"/>
        <w:kinsoku/>
        <w:wordWrap/>
        <w:overflowPunct/>
        <w:topLinePunct w:val="0"/>
        <w:bidi w:val="0"/>
        <w:adjustRightInd w:val="0"/>
        <w:snapToGrid w:val="0"/>
        <w:spacing w:line="500" w:lineRule="exact"/>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）投标人的</w:t>
      </w:r>
      <w:r>
        <w:rPr>
          <w:rFonts w:hint="eastAsia" w:hAnsi="宋体" w:cs="宋体"/>
          <w:color w:val="auto"/>
          <w:sz w:val="21"/>
          <w:szCs w:val="21"/>
          <w:highlight w:val="none"/>
          <w:lang w:eastAsia="zh-CN"/>
        </w:rPr>
        <w:t>投标</w:t>
      </w:r>
      <w:r>
        <w:rPr>
          <w:rFonts w:hint="eastAsia" w:ascii="宋体" w:hAnsi="宋体" w:eastAsia="宋体" w:cs="宋体"/>
          <w:color w:val="auto"/>
          <w:sz w:val="21"/>
          <w:szCs w:val="21"/>
          <w:highlight w:val="none"/>
        </w:rPr>
        <w:t>报价超过最高限价的；</w:t>
      </w:r>
    </w:p>
    <w:p>
      <w:pPr>
        <w:keepNext w:val="0"/>
        <w:keepLines w:val="0"/>
        <w:pageBreakBefore w:val="0"/>
        <w:kinsoku/>
        <w:wordWrap/>
        <w:overflowPunct/>
        <w:topLinePunct w:val="0"/>
        <w:bidi w:val="0"/>
        <w:adjustRightInd w:val="0"/>
        <w:snapToGrid w:val="0"/>
        <w:spacing w:line="500" w:lineRule="exact"/>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）评标委员会一致认为投标人报价或某些分项报价明显不合理，有降低质量、不能诚信履约的可能，且该投标人未在规定期限内作出解释，或所作解释不合理，经评标委员会取得一致意见后，确定该投标无效的；</w:t>
      </w:r>
    </w:p>
    <w:p>
      <w:pPr>
        <w:keepNext w:val="0"/>
        <w:keepLines w:val="0"/>
        <w:pageBreakBefore w:val="0"/>
        <w:kinsoku/>
        <w:wordWrap/>
        <w:overflowPunct/>
        <w:topLinePunct w:val="0"/>
        <w:autoSpaceDE/>
        <w:autoSpaceDN/>
        <w:bidi w:val="0"/>
        <w:adjustRightInd w:val="0"/>
        <w:snapToGrid w:val="0"/>
        <w:spacing w:line="500" w:lineRule="exact"/>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highlight w:val="none"/>
        </w:rPr>
        <w:t>（</w:t>
      </w:r>
      <w:r>
        <w:rPr>
          <w:rFonts w:hint="eastAsia" w:ascii="宋体" w:hAnsi="宋体" w:eastAsia="宋体" w:cs="宋体"/>
          <w:color w:val="auto"/>
          <w:sz w:val="21"/>
          <w:highlight w:val="none"/>
          <w:lang w:val="en-US" w:eastAsia="zh-CN"/>
        </w:rPr>
        <w:t>5</w:t>
      </w:r>
      <w:r>
        <w:rPr>
          <w:rFonts w:hint="eastAsia" w:ascii="宋体" w:hAnsi="宋体" w:eastAsia="宋体" w:cs="宋体"/>
          <w:color w:val="auto"/>
          <w:sz w:val="21"/>
          <w:highlight w:val="none"/>
        </w:rPr>
        <w:t>）投标人在线制作投标文件时《开标（报价）一览表》中填写的金额与解密后“电子加密投标文件”中《开标（报价）一览表》填写的金额不一致的，以解密后“电子加密投标文件”中《开标（报价）一览表》填写的金额为准，投标供应商拒绝接受此调整的，按无效投标处理。</w:t>
      </w:r>
    </w:p>
    <w:p>
      <w:pPr>
        <w:keepNext w:val="0"/>
        <w:keepLines w:val="0"/>
        <w:pageBreakBefore w:val="0"/>
        <w:kinsoku/>
        <w:wordWrap/>
        <w:overflowPunct/>
        <w:topLinePunct w:val="0"/>
        <w:autoSpaceDE/>
        <w:autoSpaceDN/>
        <w:bidi w:val="0"/>
        <w:adjustRightInd w:val="0"/>
        <w:snapToGrid w:val="0"/>
        <w:spacing w:line="500" w:lineRule="exact"/>
        <w:ind w:firstLine="420" w:firstLineChars="200"/>
        <w:jc w:val="left"/>
        <w:textAlignment w:val="auto"/>
        <w:rPr>
          <w:rFonts w:hint="eastAsia" w:ascii="宋体" w:hAnsi="宋体" w:eastAsia="宋体" w:cs="宋体"/>
          <w:color w:val="auto"/>
          <w:sz w:val="21"/>
          <w:highlight w:val="none"/>
        </w:rPr>
      </w:pPr>
      <w:r>
        <w:rPr>
          <w:rFonts w:hint="eastAsia" w:ascii="宋体" w:hAnsi="宋体" w:eastAsia="宋体" w:cs="宋体"/>
          <w:color w:val="auto"/>
          <w:sz w:val="21"/>
          <w:szCs w:val="21"/>
          <w:highlight w:val="none"/>
        </w:rPr>
        <w:t>4.</w:t>
      </w:r>
      <w:r>
        <w:rPr>
          <w:rFonts w:hint="eastAsia" w:ascii="宋体" w:hAnsi="宋体" w:eastAsia="宋体" w:cs="宋体"/>
          <w:color w:val="auto"/>
          <w:sz w:val="21"/>
          <w:highlight w:val="none"/>
        </w:rPr>
        <w:t>有下列情形之一的，视为投标人串通投标，其投标无效：</w:t>
      </w:r>
    </w:p>
    <w:p>
      <w:pPr>
        <w:keepNext w:val="0"/>
        <w:keepLines w:val="0"/>
        <w:pageBreakBefore w:val="0"/>
        <w:kinsoku/>
        <w:wordWrap/>
        <w:overflowPunct/>
        <w:topLinePunct w:val="0"/>
        <w:autoSpaceDE/>
        <w:autoSpaceDN/>
        <w:bidi w:val="0"/>
        <w:adjustRightInd w:val="0"/>
        <w:snapToGrid w:val="0"/>
        <w:spacing w:line="500" w:lineRule="exact"/>
        <w:ind w:firstLine="420" w:firstLineChars="200"/>
        <w:jc w:val="left"/>
        <w:textAlignment w:val="auto"/>
        <w:rPr>
          <w:rFonts w:hint="eastAsia" w:ascii="宋体" w:hAnsi="宋体" w:eastAsia="宋体" w:cs="宋体"/>
          <w:color w:val="auto"/>
          <w:sz w:val="21"/>
          <w:highlight w:val="none"/>
        </w:rPr>
      </w:pPr>
      <w:r>
        <w:rPr>
          <w:rFonts w:hint="eastAsia" w:ascii="宋体" w:hAnsi="宋体" w:eastAsia="宋体" w:cs="宋体"/>
          <w:color w:val="auto"/>
          <w:sz w:val="21"/>
          <w:highlight w:val="none"/>
        </w:rPr>
        <w:t>（1）不同投标人的投标文件由同一单位或者个人编制（同一IP地址上传投标、响应文件）；</w:t>
      </w:r>
    </w:p>
    <w:p>
      <w:pPr>
        <w:keepNext w:val="0"/>
        <w:keepLines w:val="0"/>
        <w:pageBreakBefore w:val="0"/>
        <w:kinsoku/>
        <w:wordWrap/>
        <w:overflowPunct/>
        <w:topLinePunct w:val="0"/>
        <w:autoSpaceDE/>
        <w:autoSpaceDN/>
        <w:bidi w:val="0"/>
        <w:adjustRightInd w:val="0"/>
        <w:snapToGrid w:val="0"/>
        <w:spacing w:line="500" w:lineRule="exact"/>
        <w:ind w:firstLine="420" w:firstLineChars="200"/>
        <w:jc w:val="left"/>
        <w:textAlignment w:val="auto"/>
        <w:rPr>
          <w:rFonts w:hint="eastAsia" w:ascii="宋体" w:hAnsi="宋体" w:eastAsia="宋体" w:cs="宋体"/>
          <w:color w:val="auto"/>
          <w:sz w:val="21"/>
          <w:highlight w:val="none"/>
        </w:rPr>
      </w:pPr>
      <w:r>
        <w:rPr>
          <w:rFonts w:hint="eastAsia" w:ascii="宋体" w:hAnsi="宋体" w:eastAsia="宋体" w:cs="宋体"/>
          <w:color w:val="auto"/>
          <w:sz w:val="21"/>
          <w:highlight w:val="none"/>
        </w:rPr>
        <w:t>（2）不同投标人委托同一单位或者个人办理投标事宜；</w:t>
      </w:r>
    </w:p>
    <w:p>
      <w:pPr>
        <w:keepNext w:val="0"/>
        <w:keepLines w:val="0"/>
        <w:pageBreakBefore w:val="0"/>
        <w:kinsoku/>
        <w:wordWrap/>
        <w:overflowPunct/>
        <w:topLinePunct w:val="0"/>
        <w:autoSpaceDE/>
        <w:autoSpaceDN/>
        <w:bidi w:val="0"/>
        <w:adjustRightInd w:val="0"/>
        <w:snapToGrid w:val="0"/>
        <w:spacing w:line="500" w:lineRule="exact"/>
        <w:ind w:firstLine="420" w:firstLineChars="200"/>
        <w:jc w:val="left"/>
        <w:textAlignment w:val="auto"/>
        <w:rPr>
          <w:rFonts w:hint="eastAsia" w:ascii="宋体" w:hAnsi="宋体" w:eastAsia="宋体" w:cs="宋体"/>
          <w:color w:val="auto"/>
          <w:sz w:val="21"/>
          <w:highlight w:val="none"/>
        </w:rPr>
      </w:pPr>
      <w:r>
        <w:rPr>
          <w:rFonts w:hint="eastAsia" w:ascii="宋体" w:hAnsi="宋体" w:eastAsia="宋体" w:cs="宋体"/>
          <w:color w:val="auto"/>
          <w:sz w:val="21"/>
          <w:highlight w:val="none"/>
        </w:rPr>
        <w:t>（3）不同投标人的投标文件载明的项目管理成员或者联系人员为同一人；</w:t>
      </w:r>
    </w:p>
    <w:p>
      <w:pPr>
        <w:keepNext w:val="0"/>
        <w:keepLines w:val="0"/>
        <w:pageBreakBefore w:val="0"/>
        <w:kinsoku/>
        <w:wordWrap/>
        <w:overflowPunct/>
        <w:topLinePunct w:val="0"/>
        <w:autoSpaceDE/>
        <w:autoSpaceDN/>
        <w:bidi w:val="0"/>
        <w:adjustRightInd w:val="0"/>
        <w:snapToGrid w:val="0"/>
        <w:spacing w:line="500" w:lineRule="exact"/>
        <w:ind w:firstLine="420" w:firstLineChars="200"/>
        <w:jc w:val="left"/>
        <w:textAlignment w:val="auto"/>
        <w:rPr>
          <w:rFonts w:hint="eastAsia" w:ascii="宋体" w:hAnsi="宋体" w:eastAsia="宋体" w:cs="宋体"/>
          <w:color w:val="auto"/>
          <w:sz w:val="21"/>
          <w:highlight w:val="none"/>
        </w:rPr>
      </w:pPr>
      <w:r>
        <w:rPr>
          <w:rFonts w:hint="eastAsia" w:ascii="宋体" w:hAnsi="宋体" w:eastAsia="宋体" w:cs="宋体"/>
          <w:color w:val="auto"/>
          <w:sz w:val="21"/>
          <w:highlight w:val="none"/>
        </w:rPr>
        <w:t>（4）不同投标人的投标文件异常一致或者投标报价呈规律性差异；</w:t>
      </w:r>
    </w:p>
    <w:p>
      <w:pPr>
        <w:keepNext w:val="0"/>
        <w:keepLines w:val="0"/>
        <w:pageBreakBefore w:val="0"/>
        <w:kinsoku/>
        <w:wordWrap/>
        <w:overflowPunct/>
        <w:topLinePunct w:val="0"/>
        <w:autoSpaceDE/>
        <w:autoSpaceDN/>
        <w:bidi w:val="0"/>
        <w:adjustRightInd w:val="0"/>
        <w:snapToGrid w:val="0"/>
        <w:spacing w:line="500" w:lineRule="exact"/>
        <w:ind w:firstLine="420" w:firstLineChars="200"/>
        <w:jc w:val="left"/>
        <w:textAlignment w:val="auto"/>
        <w:rPr>
          <w:rFonts w:hint="eastAsia" w:ascii="宋体" w:hAnsi="宋体" w:eastAsia="宋体" w:cs="宋体"/>
          <w:color w:val="auto"/>
          <w:sz w:val="21"/>
          <w:highlight w:val="none"/>
        </w:rPr>
      </w:pPr>
      <w:r>
        <w:rPr>
          <w:rFonts w:hint="eastAsia" w:ascii="宋体" w:hAnsi="宋体" w:eastAsia="宋体" w:cs="宋体"/>
          <w:color w:val="auto"/>
          <w:sz w:val="21"/>
          <w:highlight w:val="none"/>
        </w:rPr>
        <w:t>（5）不同投标人的投标文件相互混装；</w:t>
      </w:r>
    </w:p>
    <w:p>
      <w:pPr>
        <w:keepNext w:val="0"/>
        <w:keepLines w:val="0"/>
        <w:pageBreakBefore w:val="0"/>
        <w:kinsoku/>
        <w:wordWrap/>
        <w:overflowPunct/>
        <w:topLinePunct w:val="0"/>
        <w:autoSpaceDE/>
        <w:autoSpaceDN/>
        <w:bidi w:val="0"/>
        <w:adjustRightInd w:val="0"/>
        <w:snapToGrid w:val="0"/>
        <w:spacing w:line="500" w:lineRule="exact"/>
        <w:ind w:firstLine="420" w:firstLineChars="200"/>
        <w:jc w:val="left"/>
        <w:textAlignment w:val="auto"/>
        <w:rPr>
          <w:rFonts w:hint="eastAsia" w:ascii="宋体" w:hAnsi="宋体" w:eastAsia="宋体" w:cs="宋体"/>
          <w:color w:val="auto"/>
          <w:sz w:val="21"/>
          <w:highlight w:val="none"/>
        </w:rPr>
      </w:pPr>
      <w:r>
        <w:rPr>
          <w:rFonts w:hint="eastAsia" w:ascii="宋体" w:hAnsi="宋体" w:eastAsia="宋体" w:cs="宋体"/>
          <w:color w:val="auto"/>
          <w:sz w:val="21"/>
          <w:highlight w:val="none"/>
        </w:rPr>
        <w:t>（6）不同投标人的投标保证金从同一单位或者个人的账户转出。</w:t>
      </w:r>
    </w:p>
    <w:p>
      <w:pPr>
        <w:keepNext w:val="0"/>
        <w:keepLines w:val="0"/>
        <w:pageBreakBefore w:val="0"/>
        <w:kinsoku/>
        <w:wordWrap/>
        <w:overflowPunct/>
        <w:topLinePunct w:val="0"/>
        <w:autoSpaceDE/>
        <w:autoSpaceDN/>
        <w:bidi w:val="0"/>
        <w:adjustRightInd w:val="0"/>
        <w:snapToGrid w:val="0"/>
        <w:spacing w:line="500" w:lineRule="exact"/>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.被拒绝的投标文件为无效投标文件。</w:t>
      </w:r>
    </w:p>
    <w:p>
      <w:pPr>
        <w:keepNext w:val="0"/>
        <w:keepLines w:val="0"/>
        <w:pageBreakBefore w:val="0"/>
        <w:kinsoku/>
        <w:wordWrap/>
        <w:overflowPunct/>
        <w:topLinePunct w:val="0"/>
        <w:autoSpaceDE/>
        <w:autoSpaceDN/>
        <w:bidi w:val="0"/>
        <w:adjustRightInd w:val="0"/>
        <w:snapToGrid w:val="0"/>
        <w:spacing w:line="500" w:lineRule="exact"/>
        <w:ind w:firstLine="482" w:firstLineChars="200"/>
        <w:jc w:val="lef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四、开标</w:t>
      </w:r>
    </w:p>
    <w:p>
      <w:pPr>
        <w:keepNext w:val="0"/>
        <w:keepLines w:val="0"/>
        <w:pageBreakBefore w:val="0"/>
        <w:kinsoku/>
        <w:wordWrap/>
        <w:overflowPunct/>
        <w:topLinePunct w:val="0"/>
        <w:autoSpaceDE/>
        <w:autoSpaceDN/>
        <w:bidi w:val="0"/>
        <w:adjustRightInd w:val="0"/>
        <w:snapToGrid w:val="0"/>
        <w:spacing w:line="500" w:lineRule="exact"/>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1.开标会由采购代理机构主持，宣布开标会议开始；</w:t>
      </w:r>
    </w:p>
    <w:p>
      <w:pPr>
        <w:keepNext w:val="0"/>
        <w:keepLines w:val="0"/>
        <w:pageBreakBefore w:val="0"/>
        <w:kinsoku/>
        <w:wordWrap/>
        <w:overflowPunct/>
        <w:topLinePunct w:val="0"/>
        <w:autoSpaceDE/>
        <w:autoSpaceDN/>
        <w:bidi w:val="0"/>
        <w:adjustRightInd w:val="0"/>
        <w:snapToGrid w:val="0"/>
        <w:spacing w:line="500" w:lineRule="exact"/>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2.在开标后投标供应商登录“政采云”平台，用“项目采购－开标评标”功能进行解密投标文件。</w:t>
      </w:r>
    </w:p>
    <w:p>
      <w:pPr>
        <w:autoSpaceDE/>
        <w:autoSpaceDN/>
        <w:adjustRightInd w:val="0"/>
        <w:snapToGrid w:val="0"/>
        <w:spacing w:line="50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若投标供应商在规定时间内无法解密或解密失败的，视为投标文件撤回。</w:t>
      </w:r>
    </w:p>
    <w:p>
      <w:pPr>
        <w:autoSpaceDE/>
        <w:autoSpaceDN/>
        <w:adjustRightInd w:val="0"/>
        <w:snapToGrid w:val="0"/>
        <w:spacing w:line="50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招标人或采购代理机构先对投标人的资格进行审查，如评审小组对投标文件有疑问，对投标人进行在线询标，投标人须在澄清截止时间前上传澄清函，若在澄清截止时间前未进行有效澄清的，逾期将不再接受澄清。资格审查不合格的投标人不再进入商务技术文件及报价文件的评审。</w:t>
      </w:r>
    </w:p>
    <w:p>
      <w:pPr>
        <w:autoSpaceDE/>
        <w:autoSpaceDN/>
        <w:adjustRightInd w:val="0"/>
        <w:snapToGrid w:val="0"/>
        <w:spacing w:line="50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评标委员会先对商务技术文件进行评审，如对投标文件有疑问，对投标人进行在线询标，投标人须在发起的澄清截止时间前上传澄清函，若在发起的澄清截止时间前未进行有效澄清的，逾期将不再接受澄清。商务技术文件不合格的投标人不再进入报价文件评审。</w:t>
      </w:r>
    </w:p>
    <w:p>
      <w:pPr>
        <w:autoSpaceDE/>
        <w:autoSpaceDN/>
        <w:adjustRightInd w:val="0"/>
        <w:snapToGrid w:val="0"/>
        <w:spacing w:line="50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5.资信商务技术文件评审结果在线公布后，在线开启报价文件，并由评标委员会进行报价评审。</w:t>
      </w:r>
      <w:r>
        <w:rPr>
          <w:rFonts w:hint="eastAsia" w:ascii="宋体" w:hAnsi="宋体" w:eastAsia="宋体" w:cs="宋体"/>
          <w:color w:val="auto"/>
          <w:sz w:val="21"/>
          <w:highlight w:val="none"/>
        </w:rPr>
        <w:t>投标供应商在线制作投标</w:t>
      </w:r>
      <w:r>
        <w:rPr>
          <w:rFonts w:hint="eastAsia" w:ascii="宋体" w:hAnsi="宋体" w:eastAsia="宋体" w:cs="宋体"/>
          <w:b/>
          <w:color w:val="auto"/>
          <w:sz w:val="21"/>
          <w:szCs w:val="21"/>
          <w:highlight w:val="none"/>
        </w:rPr>
        <w:t>报价</w:t>
      </w:r>
      <w:r>
        <w:rPr>
          <w:rFonts w:hint="eastAsia" w:ascii="宋体" w:hAnsi="宋体" w:eastAsia="宋体" w:cs="宋体"/>
          <w:color w:val="auto"/>
          <w:sz w:val="21"/>
          <w:highlight w:val="none"/>
        </w:rPr>
        <w:t>文件中填写的金额与解密后“电子加密投标</w:t>
      </w:r>
      <w:r>
        <w:rPr>
          <w:rFonts w:hint="eastAsia" w:ascii="宋体" w:hAnsi="宋体" w:eastAsia="宋体" w:cs="宋体"/>
          <w:b/>
          <w:color w:val="auto"/>
          <w:sz w:val="21"/>
          <w:szCs w:val="21"/>
          <w:highlight w:val="none"/>
        </w:rPr>
        <w:t>报价</w:t>
      </w:r>
      <w:r>
        <w:rPr>
          <w:rFonts w:hint="eastAsia" w:ascii="宋体" w:hAnsi="宋体" w:eastAsia="宋体" w:cs="宋体"/>
          <w:color w:val="auto"/>
          <w:sz w:val="21"/>
          <w:highlight w:val="none"/>
        </w:rPr>
        <w:t>文件”中填写的金额不一致时，以解密后“电子加密投标</w:t>
      </w:r>
      <w:r>
        <w:rPr>
          <w:rFonts w:hint="eastAsia" w:ascii="宋体" w:hAnsi="宋体" w:eastAsia="宋体" w:cs="宋体"/>
          <w:b/>
          <w:color w:val="auto"/>
          <w:sz w:val="21"/>
          <w:szCs w:val="21"/>
          <w:highlight w:val="none"/>
        </w:rPr>
        <w:t>报价</w:t>
      </w:r>
      <w:r>
        <w:rPr>
          <w:rFonts w:hint="eastAsia" w:ascii="宋体" w:hAnsi="宋体" w:eastAsia="宋体" w:cs="宋体"/>
          <w:color w:val="auto"/>
          <w:sz w:val="21"/>
          <w:highlight w:val="none"/>
        </w:rPr>
        <w:t>文件”中填写的金额为准，投标供应商拒绝接受此规定的，按无效标处理。</w:t>
      </w:r>
    </w:p>
    <w:p>
      <w:pPr>
        <w:autoSpaceDE/>
        <w:autoSpaceDN/>
        <w:adjustRightInd w:val="0"/>
        <w:snapToGrid w:val="0"/>
        <w:spacing w:line="50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 综合评审结果在线公布各投标人得分汇总，并在线提交（宣布）中标候选人。</w:t>
      </w:r>
    </w:p>
    <w:p>
      <w:pPr>
        <w:autoSpaceDE/>
        <w:autoSpaceDN/>
        <w:adjustRightInd w:val="0"/>
        <w:snapToGrid w:val="0"/>
        <w:spacing w:line="50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 评审结束后，代理机构宣布开标结束，并公布采购结果。</w:t>
      </w:r>
    </w:p>
    <w:p>
      <w:pPr>
        <w:autoSpaceDE/>
        <w:autoSpaceDN/>
        <w:adjustRightInd w:val="0"/>
        <w:snapToGrid w:val="0"/>
        <w:spacing w:line="50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注：政采云公司如对电子化开标及评审程序有调整的，按调整后的程序操作。</w:t>
      </w:r>
    </w:p>
    <w:p>
      <w:pPr>
        <w:autoSpaceDE/>
        <w:autoSpaceDN/>
        <w:adjustRightInd w:val="0"/>
        <w:snapToGrid w:val="0"/>
        <w:spacing w:line="500" w:lineRule="exact"/>
        <w:ind w:firstLine="482" w:firstLineChars="200"/>
        <w:jc w:val="lef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五、评标</w:t>
      </w:r>
    </w:p>
    <w:p>
      <w:pPr>
        <w:autoSpaceDE/>
        <w:autoSpaceDN/>
        <w:adjustRightInd w:val="0"/>
        <w:snapToGrid w:val="0"/>
        <w:spacing w:line="50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（一）组建评标委员会</w:t>
      </w:r>
    </w:p>
    <w:p>
      <w:pPr>
        <w:autoSpaceDE/>
        <w:autoSpaceDN/>
        <w:adjustRightInd w:val="0"/>
        <w:snapToGrid w:val="0"/>
        <w:spacing w:line="50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招标单位和代理机构将根据本项目的特点依法组建评标委员会，评标委员会由招标单位和有关技术、经济等方面五名以上（含五名）单数的专家组成，其中技术、经济等方面的专家不少于成员总数的三分之二。专家统一在浙江省政府采购专家管理系统（政采云）的专家库中随机抽取。</w:t>
      </w:r>
    </w:p>
    <w:p>
      <w:pPr>
        <w:autoSpaceDE/>
        <w:autoSpaceDN/>
        <w:adjustRightInd w:val="0"/>
        <w:snapToGrid w:val="0"/>
        <w:spacing w:line="50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（二）评标的方式</w:t>
      </w:r>
    </w:p>
    <w:p>
      <w:pPr>
        <w:autoSpaceDE/>
        <w:autoSpaceDN/>
        <w:adjustRightInd w:val="0"/>
        <w:snapToGrid w:val="0"/>
        <w:spacing w:line="50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本项目采用不公开方式评标，评标的依据为招标文件和投标文件。</w:t>
      </w:r>
    </w:p>
    <w:p>
      <w:pPr>
        <w:autoSpaceDE/>
        <w:autoSpaceDN/>
        <w:adjustRightInd w:val="0"/>
        <w:snapToGrid w:val="0"/>
        <w:spacing w:line="50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（三）评标程序</w:t>
      </w:r>
    </w:p>
    <w:p>
      <w:pPr>
        <w:autoSpaceDE/>
        <w:autoSpaceDN/>
        <w:adjustRightInd w:val="0"/>
        <w:snapToGrid w:val="0"/>
        <w:spacing w:line="50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1.形式审查</w:t>
      </w:r>
    </w:p>
    <w:p>
      <w:pPr>
        <w:autoSpaceDE/>
        <w:autoSpaceDN/>
        <w:adjustRightInd w:val="0"/>
        <w:snapToGrid w:val="0"/>
        <w:spacing w:line="50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招标人代表和代理机构工作人员协助评标委员会对投标人的资格和投标文件的完整性、合法性等进行审查。</w:t>
      </w:r>
    </w:p>
    <w:p>
      <w:pPr>
        <w:autoSpaceDE/>
        <w:autoSpaceDN/>
        <w:adjustRightInd w:val="0"/>
        <w:snapToGrid w:val="0"/>
        <w:spacing w:line="50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2.实质审查与比较</w:t>
      </w:r>
    </w:p>
    <w:p>
      <w:pPr>
        <w:autoSpaceDE/>
        <w:autoSpaceDN/>
        <w:adjustRightInd w:val="0"/>
        <w:snapToGrid w:val="0"/>
        <w:spacing w:line="50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（1）评标委员会审查投标文件的实质性内容是否符合招标文件的实质性要求。</w:t>
      </w:r>
    </w:p>
    <w:p>
      <w:pPr>
        <w:autoSpaceDE/>
        <w:autoSpaceDN/>
        <w:adjustRightInd w:val="0"/>
        <w:snapToGrid w:val="0"/>
        <w:spacing w:line="50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（2）评标委员会将根据投标人的投标文件进行审查、核对，如有疑问，将对投标人进行询标，投标人要向评标委员会澄清有关问题，并最终以书面形式进行答复。</w:t>
      </w:r>
    </w:p>
    <w:p>
      <w:pPr>
        <w:autoSpaceDE/>
        <w:autoSpaceDN/>
        <w:adjustRightInd w:val="0"/>
        <w:snapToGrid w:val="0"/>
        <w:spacing w:line="50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投标人代表未到场或者拒绝澄清或者澄清的内容改变了投标文件的实质性内容的，评标委员会有权对该投标文件作出不利于投标人的评判。</w:t>
      </w:r>
    </w:p>
    <w:p>
      <w:pPr>
        <w:autoSpaceDE/>
        <w:autoSpaceDN/>
        <w:adjustRightInd w:val="0"/>
        <w:snapToGrid w:val="0"/>
        <w:spacing w:line="50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（3）各投标人的技术商务得分为所有评委的有效评分的算术平均数，由指定专人进行计算复核。</w:t>
      </w:r>
    </w:p>
    <w:p>
      <w:pPr>
        <w:autoSpaceDE/>
        <w:autoSpaceDN/>
        <w:adjustRightInd w:val="0"/>
        <w:snapToGrid w:val="0"/>
        <w:spacing w:line="50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（4）代理机构工作人员协助评标委员会根据本项目的评分标准计算各投标人的投标报价得分。</w:t>
      </w:r>
    </w:p>
    <w:p>
      <w:pPr>
        <w:autoSpaceDE/>
        <w:autoSpaceDN/>
        <w:adjustRightInd w:val="0"/>
        <w:snapToGrid w:val="0"/>
        <w:spacing w:line="50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（5）评标委员会完成评标后，评委对各部分得分汇总，计算出本项目最终得分、评标价等。评标委员会按评标原则推荐中标候选人同时起草评标报告。</w:t>
      </w:r>
    </w:p>
    <w:p>
      <w:pPr>
        <w:autoSpaceDE/>
        <w:autoSpaceDN/>
        <w:adjustRightInd w:val="0"/>
        <w:snapToGrid w:val="0"/>
        <w:spacing w:line="50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（四）澄清问题的形式</w:t>
      </w:r>
    </w:p>
    <w:p>
      <w:pPr>
        <w:autoSpaceDE/>
        <w:autoSpaceDN/>
        <w:adjustRightInd w:val="0"/>
        <w:snapToGrid w:val="0"/>
        <w:spacing w:line="50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对投标文件中含义不明确、同类问题表述不一致或者有明显文字和计算错误的内容，评标委员会可要求投标人作出必要的澄清、说明或者纠正。投标人的澄清、说明或者补正应当采用书面形式，由其授权代表签字或盖章确认，并不得超出投标文件的范围或者改变投标文件的实质性内容。</w:t>
      </w:r>
    </w:p>
    <w:p>
      <w:pPr>
        <w:snapToGrid w:val="0"/>
        <w:spacing w:line="500" w:lineRule="exact"/>
        <w:ind w:firstLine="420" w:firstLineChars="200"/>
        <w:rPr>
          <w:rFonts w:hint="eastAsia" w:ascii="宋体" w:hAnsi="宋体" w:eastAsia="宋体" w:cs="宋体"/>
          <w:color w:val="auto"/>
          <w:sz w:val="21"/>
          <w:highlight w:val="none"/>
        </w:rPr>
      </w:pPr>
      <w:r>
        <w:rPr>
          <w:rFonts w:hint="eastAsia" w:ascii="宋体" w:hAnsi="宋体" w:eastAsia="宋体" w:cs="宋体"/>
          <w:color w:val="auto"/>
          <w:sz w:val="21"/>
          <w:highlight w:val="none"/>
        </w:rPr>
        <w:t>本项目在线开评标进行时，供应商法定代表人或其授权代表需自行关注平台提示信息，期间如有发出“询标/澄清函”等相关线上函件时，因供应商自身原因逾期/错过回复时间，由此造成的后果由供应商自行承担。</w:t>
      </w:r>
    </w:p>
    <w:p>
      <w:pPr>
        <w:autoSpaceDE/>
        <w:autoSpaceDN/>
        <w:adjustRightInd w:val="0"/>
        <w:snapToGrid w:val="0"/>
        <w:spacing w:line="50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（五）错误修正</w:t>
      </w:r>
    </w:p>
    <w:p>
      <w:pPr>
        <w:autoSpaceDE/>
        <w:autoSpaceDN/>
        <w:adjustRightInd w:val="0"/>
        <w:snapToGrid w:val="0"/>
        <w:spacing w:line="50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投标文件如果出现计算或表达上的错误，修正错误的原则如下：</w:t>
      </w:r>
    </w:p>
    <w:p>
      <w:pPr>
        <w:autoSpaceDE/>
        <w:autoSpaceDN/>
        <w:adjustRightInd w:val="0"/>
        <w:snapToGrid w:val="0"/>
        <w:spacing w:line="50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1.开标（报价）一览表总价与投标报价明细表汇总数不一致的，以开标（报价）一览表为准；</w:t>
      </w:r>
    </w:p>
    <w:p>
      <w:pPr>
        <w:autoSpaceDE/>
        <w:autoSpaceDN/>
        <w:adjustRightInd w:val="0"/>
        <w:snapToGrid w:val="0"/>
        <w:spacing w:line="50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2.投标文件的大写金额和小写金额不一致的，以大写金额为准；</w:t>
      </w:r>
    </w:p>
    <w:p>
      <w:pPr>
        <w:autoSpaceDE/>
        <w:autoSpaceDN/>
        <w:adjustRightInd w:val="0"/>
        <w:snapToGrid w:val="0"/>
        <w:spacing w:line="50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3.总价金额与按单价汇总金额不一致的，以单价金额计算结果为准；</w:t>
      </w:r>
    </w:p>
    <w:p>
      <w:pPr>
        <w:autoSpaceDE/>
        <w:autoSpaceDN/>
        <w:adjustRightInd w:val="0"/>
        <w:snapToGrid w:val="0"/>
        <w:spacing w:line="50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4.对不同文字文本投标文件的解释发生异议的，以中文文本为准。</w:t>
      </w:r>
    </w:p>
    <w:p>
      <w:pPr>
        <w:autoSpaceDE/>
        <w:autoSpaceDN/>
        <w:adjustRightInd w:val="0"/>
        <w:snapToGrid w:val="0"/>
        <w:spacing w:line="50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按上述修正错误的原则及方法调整或修正投标文件的投标报价，投标人同意并签字确认后，调整后的投标报价对投标人具有约束作用。如果投标人不接受修正后的报价，则其投标将作为无效投标处理。</w:t>
      </w:r>
    </w:p>
    <w:p>
      <w:pPr>
        <w:autoSpaceDE/>
        <w:autoSpaceDN/>
        <w:adjustRightInd w:val="0"/>
        <w:snapToGrid w:val="0"/>
        <w:spacing w:line="50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（六）评标原则和评标办法</w:t>
      </w:r>
    </w:p>
    <w:p>
      <w:pPr>
        <w:autoSpaceDE/>
        <w:autoSpaceDN/>
        <w:adjustRightInd w:val="0"/>
        <w:snapToGrid w:val="0"/>
        <w:spacing w:line="50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autoSpaceDE/>
        <w:autoSpaceDN/>
        <w:adjustRightInd w:val="0"/>
        <w:snapToGrid w:val="0"/>
        <w:spacing w:line="50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2.评标办法。具体评标内容及评分标准等详见《第四章：评标办法及评分标准》。</w:t>
      </w:r>
    </w:p>
    <w:p>
      <w:pPr>
        <w:autoSpaceDE/>
        <w:autoSpaceDN/>
        <w:adjustRightInd w:val="0"/>
        <w:snapToGrid w:val="0"/>
        <w:spacing w:line="50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（七）评标过程的监控</w:t>
      </w:r>
    </w:p>
    <w:p>
      <w:pPr>
        <w:autoSpaceDE/>
        <w:autoSpaceDN/>
        <w:adjustRightInd w:val="0"/>
        <w:snapToGrid w:val="0"/>
        <w:spacing w:line="50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本项目评标过程实行全程录音、录像监控，投标人在评标过程中所进行的试图影响评标结果的不公正活动，可能导致其投标被拒绝。</w:t>
      </w:r>
    </w:p>
    <w:p>
      <w:pPr>
        <w:autoSpaceDE/>
        <w:autoSpaceDN/>
        <w:adjustRightInd w:val="0"/>
        <w:snapToGrid w:val="0"/>
        <w:spacing w:line="50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（八）中止电子交易活动的情形</w:t>
      </w:r>
    </w:p>
    <w:p>
      <w:pPr>
        <w:snapToGrid w:val="0"/>
        <w:spacing w:line="50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采购过程中出现以下情形，导致电子交易平台无法正常运行，或者无法保证电子交易的公平、公正和安全时，中止电子交易活动：</w:t>
      </w:r>
    </w:p>
    <w:p>
      <w:pPr>
        <w:snapToGrid w:val="0"/>
        <w:spacing w:line="50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1.电子交易平台发生故障而无法登录访问的；</w:t>
      </w:r>
    </w:p>
    <w:p>
      <w:pPr>
        <w:snapToGrid w:val="0"/>
        <w:spacing w:line="50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2.电子交易平台应用或数据库出现错误，不能进行正常操作的；</w:t>
      </w:r>
    </w:p>
    <w:p>
      <w:pPr>
        <w:snapToGrid w:val="0"/>
        <w:spacing w:line="50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3.电子交易平台发现严重安全漏洞，有潜在泄密危险的；</w:t>
      </w:r>
    </w:p>
    <w:p>
      <w:pPr>
        <w:snapToGrid w:val="0"/>
        <w:spacing w:line="50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4.病毒发作导致不能进行正常操作的；</w:t>
      </w:r>
    </w:p>
    <w:p>
      <w:pPr>
        <w:snapToGrid w:val="0"/>
        <w:spacing w:line="50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5.其他无法保证电子交易的公平、公正和安全的情况。</w:t>
      </w:r>
    </w:p>
    <w:p>
      <w:pPr>
        <w:autoSpaceDE/>
        <w:autoSpaceDN/>
        <w:adjustRightInd w:val="0"/>
        <w:snapToGrid w:val="0"/>
        <w:spacing w:line="50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出现前款规定情形，不影响采购公平、公正性的，采购组织机构可以待上述情形消除后继续组织电子交易活动；影响或可能影响采购公平、公正性的，应当重新采购。</w:t>
      </w:r>
    </w:p>
    <w:p>
      <w:pPr>
        <w:autoSpaceDE/>
        <w:autoSpaceDN/>
        <w:adjustRightInd w:val="0"/>
        <w:snapToGrid w:val="0"/>
        <w:spacing w:line="500" w:lineRule="exact"/>
        <w:ind w:firstLine="482" w:firstLineChars="200"/>
        <w:jc w:val="lef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六、定标</w:t>
      </w:r>
    </w:p>
    <w:p>
      <w:pPr>
        <w:autoSpaceDE/>
        <w:autoSpaceDN/>
        <w:adjustRightInd w:val="0"/>
        <w:snapToGrid w:val="0"/>
        <w:spacing w:line="50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（一）确定中标人。本项目由招标人（或招标人事先授权评标委员会）确定中标人。</w:t>
      </w:r>
    </w:p>
    <w:p>
      <w:pPr>
        <w:autoSpaceDE/>
        <w:autoSpaceDN/>
        <w:adjustRightInd w:val="0"/>
        <w:snapToGrid w:val="0"/>
        <w:spacing w:line="50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1.采购代理机构在评标结束后2个工作日内将评标报告交招标人确认。</w:t>
      </w:r>
    </w:p>
    <w:p>
      <w:pPr>
        <w:autoSpaceDE/>
        <w:autoSpaceDN/>
        <w:adjustRightInd w:val="0"/>
        <w:snapToGrid w:val="0"/>
        <w:spacing w:line="50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2.投标人对评标结果无异议的，招标人应在收到评标报告后5个工作日内对评标结果进行确认。如有投标人对评标结果提出质疑的，招标人可在质疑处理完毕后确定中标人。</w:t>
      </w:r>
    </w:p>
    <w:p>
      <w:pPr>
        <w:autoSpaceDE/>
        <w:autoSpaceDN/>
        <w:adjustRightInd w:val="0"/>
        <w:snapToGrid w:val="0"/>
        <w:spacing w:line="50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3.中标结果公示期：1个工作日。</w:t>
      </w:r>
    </w:p>
    <w:p>
      <w:pPr>
        <w:autoSpaceDE/>
        <w:autoSpaceDN/>
        <w:adjustRightInd w:val="0"/>
        <w:snapToGrid w:val="0"/>
        <w:spacing w:line="50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4.中标结果公示的同时采购代理机构以书面形式发出《中标通知书》。</w:t>
      </w:r>
    </w:p>
    <w:p>
      <w:pPr>
        <w:autoSpaceDE/>
        <w:autoSpaceDN/>
        <w:adjustRightInd w:val="0"/>
        <w:snapToGrid w:val="0"/>
        <w:spacing w:line="500" w:lineRule="exact"/>
        <w:ind w:firstLine="482" w:firstLineChars="200"/>
        <w:jc w:val="lef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七、合同授予</w:t>
      </w:r>
    </w:p>
    <w:p>
      <w:pPr>
        <w:pStyle w:val="3"/>
        <w:autoSpaceDE/>
        <w:autoSpaceDN/>
        <w:adjustRightInd w:val="0"/>
        <w:snapToGrid w:val="0"/>
        <w:spacing w:line="500" w:lineRule="exact"/>
        <w:ind w:firstLine="422" w:firstLineChars="200"/>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1.合同的签订</w:t>
      </w:r>
    </w:p>
    <w:p>
      <w:pPr>
        <w:autoSpaceDE/>
        <w:autoSpaceDN/>
        <w:snapToGrid w:val="0"/>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1.1除不可抗力等特殊情况外，招标人原则上应当在中标通知书发出之日起20日内，与成交人按照采购文件确定的事项签订政府采购合同，并在签订之日起2个工作日内将政府采购合同在浙江政府采购网上公告。</w:t>
      </w:r>
    </w:p>
    <w:p>
      <w:pPr>
        <w:pStyle w:val="33"/>
        <w:adjustRightInd w:val="0"/>
        <w:snapToGrid w:val="0"/>
        <w:spacing w:line="500" w:lineRule="exact"/>
        <w:ind w:firstLine="420" w:firstLineChars="200"/>
        <w:jc w:val="left"/>
        <w:rPr>
          <w:rFonts w:ascii="宋体" w:hAnsi="宋体" w:eastAsia="宋体" w:cs="宋体"/>
          <w:color w:val="auto"/>
          <w:kern w:val="0"/>
          <w:szCs w:val="21"/>
          <w:highlight w:val="none"/>
        </w:rPr>
      </w:pPr>
      <w:r>
        <w:rPr>
          <w:rFonts w:ascii="宋体" w:hAnsi="宋体" w:eastAsia="宋体" w:cs="宋体"/>
          <w:color w:val="auto"/>
          <w:kern w:val="0"/>
          <w:szCs w:val="21"/>
          <w:highlight w:val="none"/>
        </w:rPr>
        <w:t>1</w:t>
      </w:r>
      <w:r>
        <w:rPr>
          <w:rFonts w:ascii="宋体" w:hAnsi="宋体" w:eastAsia="宋体" w:cs="宋体"/>
          <w:color w:val="auto"/>
          <w:kern w:val="0"/>
          <w:szCs w:val="21"/>
          <w:highlight w:val="none"/>
          <w:lang w:val="zh-CN"/>
        </w:rPr>
        <w:t>.2成交人按规定的日期、时间、地点，由法定代表人或其授权代表与招标人代表签订合同。如成交人为联合体的，由联合体成员各方法定代表人或其授权代表与招标人代表签订合同。</w:t>
      </w:r>
    </w:p>
    <w:p>
      <w:pPr>
        <w:pStyle w:val="33"/>
        <w:adjustRightInd w:val="0"/>
        <w:snapToGrid w:val="0"/>
        <w:spacing w:line="500" w:lineRule="exact"/>
        <w:ind w:firstLine="420" w:firstLineChars="200"/>
        <w:jc w:val="left"/>
        <w:rPr>
          <w:rFonts w:ascii="宋体" w:hAnsi="宋体" w:eastAsia="宋体" w:cs="宋体"/>
          <w:color w:val="auto"/>
          <w:szCs w:val="21"/>
          <w:highlight w:val="none"/>
        </w:rPr>
      </w:pPr>
      <w:r>
        <w:rPr>
          <w:rFonts w:ascii="宋体" w:hAnsi="宋体" w:eastAsia="宋体" w:cs="宋体"/>
          <w:color w:val="auto"/>
          <w:szCs w:val="21"/>
          <w:highlight w:val="none"/>
        </w:rPr>
        <w:t>1.3如签订合同并生效后，供应商无故拒绝或延期，除按照合同条款处理外，列入不良行为记录一次，并给予通报。</w:t>
      </w:r>
    </w:p>
    <w:p>
      <w:pPr>
        <w:pStyle w:val="33"/>
        <w:adjustRightInd w:val="0"/>
        <w:snapToGrid w:val="0"/>
        <w:spacing w:line="500" w:lineRule="exact"/>
        <w:ind w:firstLine="420" w:firstLineChars="200"/>
        <w:jc w:val="left"/>
        <w:rPr>
          <w:rFonts w:ascii="宋体" w:hAnsi="宋体" w:eastAsia="宋体" w:cs="宋体"/>
          <w:color w:val="auto"/>
          <w:szCs w:val="21"/>
          <w:highlight w:val="none"/>
        </w:rPr>
      </w:pPr>
      <w:r>
        <w:rPr>
          <w:rFonts w:ascii="宋体" w:hAnsi="宋体" w:eastAsia="宋体" w:cs="宋体"/>
          <w:color w:val="auto"/>
          <w:szCs w:val="21"/>
          <w:highlight w:val="none"/>
        </w:rPr>
        <w:t>1.4成交人拒绝与招标人签订合同的，招标人可以按照评审报告推荐的中标或者成交候选人名单排序，确定下一候选人为成交人，也可以重新开展政府采购活动。</w:t>
      </w:r>
    </w:p>
    <w:p>
      <w:pPr>
        <w:pStyle w:val="33"/>
        <w:adjustRightInd w:val="0"/>
        <w:snapToGrid w:val="0"/>
        <w:spacing w:line="500" w:lineRule="exact"/>
        <w:ind w:firstLine="420" w:firstLineChars="200"/>
        <w:jc w:val="left"/>
        <w:rPr>
          <w:rFonts w:ascii="宋体" w:hAnsi="宋体" w:eastAsia="宋体" w:cs="宋体"/>
          <w:color w:val="auto"/>
          <w:szCs w:val="21"/>
          <w:highlight w:val="none"/>
        </w:rPr>
      </w:pPr>
      <w:r>
        <w:rPr>
          <w:rFonts w:ascii="宋体" w:hAnsi="宋体" w:eastAsia="宋体" w:cs="宋体"/>
          <w:color w:val="auto"/>
          <w:szCs w:val="21"/>
          <w:highlight w:val="none"/>
        </w:rPr>
        <w:t>1.5采购合同由招标人与成交人根据采购文件、磋商响应文件等内容通过政府采购电子交易平台在线签订，自动备案。</w:t>
      </w:r>
    </w:p>
    <w:p>
      <w:pPr>
        <w:pStyle w:val="33"/>
        <w:adjustRightInd w:val="0"/>
        <w:snapToGrid w:val="0"/>
        <w:spacing w:line="500" w:lineRule="exact"/>
        <w:ind w:firstLine="422" w:firstLineChars="200"/>
        <w:jc w:val="left"/>
        <w:rPr>
          <w:rFonts w:ascii="宋体" w:hAnsi="宋体" w:eastAsia="宋体" w:cs="宋体"/>
          <w:b/>
          <w:bCs/>
          <w:color w:val="auto"/>
          <w:szCs w:val="21"/>
          <w:highlight w:val="none"/>
        </w:rPr>
      </w:pPr>
      <w:r>
        <w:rPr>
          <w:rFonts w:ascii="宋体" w:hAnsi="宋体" w:eastAsia="宋体" w:cs="宋体"/>
          <w:b/>
          <w:bCs/>
          <w:color w:val="auto"/>
          <w:szCs w:val="21"/>
          <w:highlight w:val="none"/>
        </w:rPr>
        <w:t>1.6政府采购货物和服务项目不得收取质量保证金。政府采购工程以及与工程建设有关的货物、服务，采用招标方式采购的，按国家和省有关规定执行。</w:t>
      </w:r>
    </w:p>
    <w:p>
      <w:pPr>
        <w:pStyle w:val="3"/>
        <w:autoSpaceDE/>
        <w:autoSpaceDN/>
        <w:adjustRightInd w:val="0"/>
        <w:snapToGrid w:val="0"/>
        <w:spacing w:line="500" w:lineRule="exact"/>
        <w:ind w:firstLine="422" w:firstLineChars="200"/>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2.履约保证金</w:t>
      </w:r>
    </w:p>
    <w:p>
      <w:pPr>
        <w:pStyle w:val="18"/>
        <w:adjustRightInd w:val="0"/>
        <w:snapToGrid w:val="0"/>
        <w:spacing w:before="0" w:beforeAutospacing="0" w:after="0" w:afterAutospacing="0" w:line="500" w:lineRule="exact"/>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color w:val="auto"/>
          <w:sz w:val="21"/>
          <w:szCs w:val="21"/>
          <w:highlight w:val="none"/>
          <w:lang w:val="en-US" w:eastAsia="zh-CN"/>
        </w:rPr>
        <w:t>2</w:t>
      </w:r>
      <w:r>
        <w:rPr>
          <w:rFonts w:ascii="宋体" w:hAnsi="宋体" w:eastAsia="宋体" w:cs="宋体"/>
          <w:b/>
          <w:color w:val="auto"/>
          <w:sz w:val="21"/>
          <w:szCs w:val="21"/>
          <w:highlight w:val="none"/>
        </w:rPr>
        <w:t>.</w:t>
      </w:r>
      <w:r>
        <w:rPr>
          <w:rFonts w:hint="eastAsia" w:ascii="宋体" w:hAnsi="宋体" w:eastAsia="宋体" w:cs="宋体"/>
          <w:b/>
          <w:color w:val="auto"/>
          <w:sz w:val="21"/>
          <w:szCs w:val="21"/>
          <w:highlight w:val="none"/>
          <w:lang w:val="en-US" w:eastAsia="zh-CN"/>
        </w:rPr>
        <w:t>1</w:t>
      </w:r>
      <w:r>
        <w:rPr>
          <w:rFonts w:ascii="宋体" w:hAnsi="宋体" w:eastAsia="宋体" w:cs="宋体"/>
          <w:b/>
          <w:color w:val="auto"/>
          <w:sz w:val="21"/>
          <w:szCs w:val="21"/>
          <w:highlight w:val="none"/>
        </w:rPr>
        <w:t xml:space="preserve"> </w:t>
      </w:r>
      <w:r>
        <w:rPr>
          <w:rFonts w:hint="eastAsia" w:ascii="宋体" w:hAnsi="宋体" w:eastAsia="宋体" w:cs="宋体"/>
          <w:b/>
          <w:bCs/>
          <w:color w:val="auto"/>
          <w:kern w:val="0"/>
          <w:sz w:val="21"/>
          <w:szCs w:val="21"/>
          <w:highlight w:val="none"/>
        </w:rPr>
        <w:t>拟签订的合同文本要求成交人提交履约保证金的，供应商应当以支票、汇票、本票或者金融机构、担保机构出具的保函等非现金形式提交</w:t>
      </w:r>
      <w:r>
        <w:rPr>
          <w:rFonts w:hint="eastAsia" w:ascii="宋体" w:hAnsi="宋体" w:eastAsia="宋体" w:cs="宋体"/>
          <w:b/>
          <w:bCs/>
          <w:color w:val="auto"/>
          <w:sz w:val="21"/>
          <w:szCs w:val="21"/>
          <w:highlight w:val="none"/>
        </w:rPr>
        <w:t>。履约保证金的数额</w:t>
      </w:r>
      <w:r>
        <w:rPr>
          <w:rFonts w:hint="eastAsia" w:ascii="宋体" w:eastAsia="宋体" w:cs="宋体"/>
          <w:b/>
          <w:bCs/>
          <w:color w:val="auto"/>
          <w:sz w:val="21"/>
          <w:szCs w:val="21"/>
          <w:highlight w:val="none"/>
          <w:lang w:eastAsia="zh-CN"/>
        </w:rPr>
        <w:t>为</w:t>
      </w:r>
      <w:r>
        <w:rPr>
          <w:rFonts w:hint="eastAsia" w:ascii="宋体" w:hAnsi="宋体" w:eastAsia="宋体" w:cs="宋体"/>
          <w:b/>
          <w:color w:val="auto"/>
          <w:sz w:val="21"/>
          <w:szCs w:val="21"/>
          <w:highlight w:val="none"/>
        </w:rPr>
        <w:t>人民币</w:t>
      </w:r>
      <w:r>
        <w:rPr>
          <w:rFonts w:hint="eastAsia" w:ascii="宋体" w:eastAsia="宋体" w:cs="宋体"/>
          <w:b/>
          <w:color w:val="auto"/>
          <w:sz w:val="21"/>
          <w:szCs w:val="21"/>
          <w:highlight w:val="none"/>
          <w:lang w:eastAsia="zh-CN"/>
        </w:rPr>
        <w:t>陆</w:t>
      </w:r>
      <w:r>
        <w:rPr>
          <w:rFonts w:hint="eastAsia" w:ascii="宋体" w:hAnsi="宋体" w:eastAsia="宋体" w:cs="宋体"/>
          <w:b/>
          <w:color w:val="auto"/>
          <w:sz w:val="21"/>
          <w:szCs w:val="21"/>
          <w:highlight w:val="none"/>
        </w:rPr>
        <w:t>万</w:t>
      </w:r>
      <w:r>
        <w:rPr>
          <w:rFonts w:hint="eastAsia" w:ascii="宋体" w:eastAsia="宋体" w:cs="宋体"/>
          <w:b/>
          <w:color w:val="auto"/>
          <w:sz w:val="21"/>
          <w:szCs w:val="21"/>
          <w:highlight w:val="none"/>
          <w:lang w:eastAsia="zh-CN"/>
        </w:rPr>
        <w:t>伍仟</w:t>
      </w:r>
      <w:r>
        <w:rPr>
          <w:rFonts w:hint="eastAsia" w:ascii="宋体" w:hAnsi="宋体" w:eastAsia="宋体" w:cs="宋体"/>
          <w:b/>
          <w:color w:val="auto"/>
          <w:sz w:val="21"/>
          <w:szCs w:val="21"/>
          <w:highlight w:val="none"/>
        </w:rPr>
        <w:t>元整</w:t>
      </w:r>
      <w:r>
        <w:rPr>
          <w:rFonts w:ascii="宋体" w:hAnsi="宋体" w:eastAsia="宋体" w:cs="宋体"/>
          <w:b/>
          <w:bCs/>
          <w:color w:val="auto"/>
          <w:sz w:val="21"/>
          <w:szCs w:val="21"/>
          <w:highlight w:val="none"/>
        </w:rPr>
        <w:t>。</w:t>
      </w:r>
      <w:r>
        <w:rPr>
          <w:rFonts w:hint="eastAsia" w:ascii="宋体" w:hAnsi="宋体" w:eastAsia="宋体" w:cs="宋体"/>
          <w:b/>
          <w:bCs/>
          <w:color w:val="auto"/>
          <w:sz w:val="21"/>
          <w:szCs w:val="21"/>
          <w:highlight w:val="none"/>
        </w:rPr>
        <w:t>鼓励和支持供应商以履约保函形式提供履约保证金。</w:t>
      </w:r>
    </w:p>
    <w:p>
      <w:pPr>
        <w:tabs>
          <w:tab w:val="left" w:pos="0"/>
        </w:tabs>
        <w:autoSpaceDE/>
        <w:autoSpaceDN/>
        <w:snapToGrid w:val="0"/>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供应商可登录政采云平台－【金融服务】—【我的项目】—【已备案合同】以保函形式提供：</w:t>
      </w:r>
    </w:p>
    <w:p>
      <w:pPr>
        <w:tabs>
          <w:tab w:val="left" w:pos="0"/>
        </w:tabs>
        <w:autoSpaceDE/>
        <w:autoSpaceDN/>
        <w:snapToGrid w:val="0"/>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2.2 签订合同后，如中标人不按双方合同约定履约，则没收其全部履约保证金，履约保证金不足以赔偿损失的，按实际损失赔偿。</w:t>
      </w:r>
    </w:p>
    <w:p>
      <w:pPr>
        <w:autoSpaceDE/>
        <w:autoSpaceDN/>
        <w:adjustRightInd w:val="0"/>
        <w:snapToGrid w:val="0"/>
        <w:spacing w:line="500" w:lineRule="exact"/>
        <w:ind w:firstLine="420" w:firstLineChars="200"/>
        <w:jc w:val="left"/>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2.3 履约保证金（或履约保函）在中标人按合同约定</w:t>
      </w:r>
      <w:r>
        <w:rPr>
          <w:rFonts w:hint="eastAsia" w:hAnsi="宋体" w:cs="宋体"/>
          <w:color w:val="auto"/>
          <w:sz w:val="21"/>
          <w:szCs w:val="21"/>
          <w:highlight w:val="none"/>
          <w:lang w:eastAsia="zh-CN" w:bidi="ar"/>
        </w:rPr>
        <w:t>最终验收合格无质量问题</w:t>
      </w:r>
      <w:r>
        <w:rPr>
          <w:rFonts w:hint="eastAsia" w:ascii="宋体" w:hAnsi="宋体" w:eastAsia="宋体" w:cs="宋体"/>
          <w:color w:val="auto"/>
          <w:sz w:val="21"/>
          <w:szCs w:val="21"/>
          <w:highlight w:val="none"/>
          <w:lang w:bidi="ar"/>
        </w:rPr>
        <w:t>予以无息退还（或撤销到期履约保函），若有合同约定或依法认定的扣款情况，扣除后退还。</w:t>
      </w:r>
    </w:p>
    <w:p>
      <w:pPr>
        <w:autoSpaceDE/>
        <w:autoSpaceDN/>
        <w:adjustRightInd w:val="0"/>
        <w:snapToGrid w:val="0"/>
        <w:spacing w:line="500" w:lineRule="exact"/>
        <w:ind w:firstLine="422" w:firstLineChars="200"/>
        <w:jc w:val="left"/>
        <w:rPr>
          <w:rFonts w:hint="eastAsia" w:ascii="宋体" w:hAnsi="宋体" w:eastAsia="宋体" w:cs="宋体"/>
          <w:b/>
          <w:color w:val="auto"/>
          <w:sz w:val="21"/>
          <w:szCs w:val="21"/>
          <w:highlight w:val="none"/>
          <w:lang w:eastAsia="zh-CN"/>
        </w:rPr>
      </w:pPr>
      <w:r>
        <w:rPr>
          <w:rFonts w:hint="eastAsia" w:ascii="宋体" w:hAnsi="宋体" w:eastAsia="宋体" w:cs="宋体"/>
          <w:b/>
          <w:color w:val="auto"/>
          <w:sz w:val="21"/>
          <w:szCs w:val="21"/>
          <w:highlight w:val="none"/>
        </w:rPr>
        <w:t>3.预付款</w:t>
      </w:r>
      <w:r>
        <w:rPr>
          <w:rFonts w:hint="eastAsia" w:ascii="宋体" w:hAnsi="宋体" w:cs="宋体"/>
          <w:b/>
          <w:color w:val="auto"/>
          <w:sz w:val="21"/>
          <w:szCs w:val="21"/>
          <w:highlight w:val="none"/>
          <w:lang w:val="en-US" w:eastAsia="zh-CN"/>
        </w:rPr>
        <w:t>（本项目无预付款，采用按月定期结算支付）</w:t>
      </w:r>
    </w:p>
    <w:p>
      <w:pPr>
        <w:tabs>
          <w:tab w:val="left" w:pos="0"/>
        </w:tabs>
        <w:autoSpaceDE/>
        <w:autoSpaceDN/>
        <w:snapToGrid w:val="0"/>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单位应当在政府采购合同中约定预付款，对中小企业合同预付款比例原则上不低于合同金额的40％，不高于合同金额的70%；项目分年安排预算的，每年预付款比例不低于项目年度计划支付资金额的40％，不高于年度计划支付资金额的70%；采购项目实施以</w:t>
      </w:r>
      <w:r>
        <w:rPr>
          <w:rFonts w:hint="eastAsia" w:ascii="宋体" w:hAnsi="宋体" w:eastAsia="宋体" w:cs="宋体"/>
          <w:b/>
          <w:bCs/>
          <w:color w:val="auto"/>
          <w:sz w:val="21"/>
          <w:szCs w:val="21"/>
          <w:highlight w:val="none"/>
        </w:rPr>
        <w:t>人工投入为主</w:t>
      </w:r>
      <w:r>
        <w:rPr>
          <w:rFonts w:hint="eastAsia" w:ascii="宋体" w:hAnsi="宋体" w:eastAsia="宋体" w:cs="宋体"/>
          <w:color w:val="auto"/>
          <w:sz w:val="21"/>
          <w:szCs w:val="21"/>
          <w:highlight w:val="none"/>
        </w:rPr>
        <w:t>的，可适当降低预付款比例，但不得低于</w:t>
      </w:r>
      <w:r>
        <w:rPr>
          <w:rFonts w:hint="eastAsia" w:ascii="宋体" w:hAnsi="宋体" w:eastAsia="宋体" w:cs="宋体"/>
          <w:b/>
          <w:bCs/>
          <w:color w:val="auto"/>
          <w:sz w:val="21"/>
          <w:szCs w:val="21"/>
          <w:highlight w:val="none"/>
        </w:rPr>
        <w:t>30%。</w:t>
      </w:r>
      <w:r>
        <w:rPr>
          <w:rFonts w:hint="eastAsia" w:ascii="宋体" w:hAnsi="宋体" w:eastAsia="宋体" w:cs="宋体"/>
          <w:color w:val="auto"/>
          <w:sz w:val="21"/>
          <w:szCs w:val="21"/>
          <w:highlight w:val="none"/>
        </w:rPr>
        <w:t>对供应商为大型企业的项目或者以人工投入为主且实行按月定期结算支付款项的项目，预付款可低于上述比例或者不约定预付款。在签订合同时，供应商明确表示无需预付款或者主动要求降低预付款比例的，采购单位可不适用前述规定。采购单位根据项目特点、供应商诚信等因素，可以要求供应商提交银行、保险公司等金融机构出具的预付款保函或其他担保措施。政府采购预付款应在合同生效以及具备实施条件后</w:t>
      </w:r>
      <w:r>
        <w:rPr>
          <w:rFonts w:hint="eastAsia" w:ascii="宋体" w:hAnsi="宋体" w:eastAsia="宋体" w:cs="宋体"/>
          <w:b/>
          <w:bCs/>
          <w:color w:val="auto"/>
          <w:sz w:val="21"/>
          <w:szCs w:val="21"/>
          <w:highlight w:val="none"/>
        </w:rPr>
        <w:t>7个工作日内</w:t>
      </w:r>
      <w:r>
        <w:rPr>
          <w:rFonts w:hint="eastAsia" w:ascii="宋体" w:hAnsi="宋体" w:eastAsia="宋体" w:cs="宋体"/>
          <w:color w:val="auto"/>
          <w:sz w:val="21"/>
          <w:szCs w:val="21"/>
          <w:highlight w:val="none"/>
        </w:rPr>
        <w:t>支付。政府采购工程以及与工程建设有关的货物、服务，采用招标方式采购的，预付款从其相关规定。</w:t>
      </w:r>
    </w:p>
    <w:p>
      <w:pPr>
        <w:tabs>
          <w:tab w:val="left" w:pos="0"/>
        </w:tabs>
        <w:autoSpaceDE/>
        <w:autoSpaceDN/>
        <w:snapToGrid w:val="0"/>
        <w:spacing w:line="500" w:lineRule="exact"/>
        <w:ind w:firstLine="482"/>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★如在签订合同时，</w:t>
      </w:r>
      <w:r>
        <w:rPr>
          <w:rFonts w:hint="eastAsia" w:ascii="宋体" w:hAnsi="宋体" w:eastAsia="宋体" w:cs="宋体"/>
          <w:color w:val="auto"/>
          <w:sz w:val="21"/>
          <w:szCs w:val="21"/>
          <w:highlight w:val="none"/>
          <w:lang w:val="en-US" w:eastAsia="zh-CN"/>
        </w:rPr>
        <w:t>中标人</w:t>
      </w:r>
      <w:r>
        <w:rPr>
          <w:rFonts w:hint="eastAsia" w:ascii="宋体" w:hAnsi="宋体" w:eastAsia="宋体" w:cs="宋体"/>
          <w:color w:val="auto"/>
          <w:sz w:val="21"/>
          <w:szCs w:val="21"/>
          <w:highlight w:val="none"/>
        </w:rPr>
        <w:t>明确表示无需预付款或者主动要求降低预付款比例的，可降低预付款比例（预付款保函同步调整）。</w:t>
      </w:r>
    </w:p>
    <w:p>
      <w:pPr>
        <w:pStyle w:val="3"/>
        <w:autoSpaceDE/>
        <w:autoSpaceDN/>
        <w:adjustRightInd w:val="0"/>
        <w:snapToGrid w:val="0"/>
        <w:spacing w:line="500" w:lineRule="exact"/>
        <w:ind w:firstLine="422" w:firstLineChars="200"/>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4.资金支付</w:t>
      </w:r>
    </w:p>
    <w:p>
      <w:pPr>
        <w:pStyle w:val="3"/>
        <w:adjustRightInd w:val="0"/>
        <w:snapToGrid w:val="0"/>
        <w:spacing w:line="500" w:lineRule="exact"/>
        <w:ind w:firstLine="422" w:firstLineChars="200"/>
        <w:jc w:val="left"/>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采购单位应当及时</w:t>
      </w:r>
      <w:r>
        <w:rPr>
          <w:rFonts w:hint="eastAsia" w:ascii="宋体" w:hAnsi="宋体" w:eastAsia="宋体" w:cs="宋体"/>
          <w:color w:val="auto"/>
          <w:sz w:val="21"/>
          <w:szCs w:val="21"/>
          <w:highlight w:val="none"/>
        </w:rPr>
        <w:t>组织项目验收，</w:t>
      </w:r>
      <w:r>
        <w:rPr>
          <w:rFonts w:hint="eastAsia" w:ascii="宋体" w:hAnsi="宋体" w:eastAsia="宋体" w:cs="宋体"/>
          <w:b/>
          <w:bCs/>
          <w:color w:val="auto"/>
          <w:sz w:val="21"/>
          <w:szCs w:val="21"/>
          <w:highlight w:val="none"/>
        </w:rPr>
        <w:t>不得以政府部门审计作为支付供应商款项的条件。</w:t>
      </w:r>
      <w:r>
        <w:rPr>
          <w:rFonts w:hint="eastAsia" w:ascii="宋体" w:hAnsi="宋体" w:eastAsia="宋体" w:cs="宋体"/>
          <w:color w:val="auto"/>
          <w:sz w:val="21"/>
          <w:szCs w:val="21"/>
          <w:highlight w:val="none"/>
        </w:rPr>
        <w:t>采购单位对于满足合同约定支付条件的，</w:t>
      </w:r>
      <w:r>
        <w:rPr>
          <w:rFonts w:hint="eastAsia" w:ascii="宋体" w:hAnsi="宋体" w:eastAsia="宋体" w:cs="宋体"/>
          <w:b/>
          <w:bCs/>
          <w:color w:val="auto"/>
          <w:sz w:val="21"/>
          <w:szCs w:val="21"/>
          <w:highlight w:val="none"/>
        </w:rPr>
        <w:t>自收到发票</w:t>
      </w:r>
      <w:r>
        <w:rPr>
          <w:rFonts w:hint="eastAsia" w:ascii="宋体" w:hAnsi="宋体" w:eastAsia="宋体" w:cs="宋体"/>
          <w:b/>
          <w:bCs/>
          <w:strike w:val="0"/>
          <w:dstrike w:val="0"/>
          <w:color w:val="auto"/>
          <w:sz w:val="21"/>
          <w:szCs w:val="21"/>
          <w:highlight w:val="none"/>
        </w:rPr>
        <w:t>后7个工作日内</w:t>
      </w:r>
      <w:r>
        <w:rPr>
          <w:rFonts w:hint="eastAsia" w:ascii="宋体" w:hAnsi="宋体" w:eastAsia="宋体" w:cs="宋体"/>
          <w:strike w:val="0"/>
          <w:dstrike w:val="0"/>
          <w:color w:val="auto"/>
          <w:sz w:val="21"/>
          <w:szCs w:val="21"/>
          <w:highlight w:val="none"/>
        </w:rPr>
        <w:t>将</w:t>
      </w:r>
      <w:r>
        <w:rPr>
          <w:rFonts w:hint="eastAsia" w:ascii="宋体" w:hAnsi="宋体" w:eastAsia="宋体" w:cs="宋体"/>
          <w:color w:val="auto"/>
          <w:sz w:val="21"/>
          <w:szCs w:val="21"/>
          <w:highlight w:val="none"/>
        </w:rPr>
        <w:t>资金支付到合同约定的供应商账户。采购单位不得以机构变动、人员更替、政策调整、单位放假、履行内部付款流程，或者在合同未作约定的情况下以等待竣工验收批复、决算审计等为由迟延付款。迟延支付中小企业款项的，供应商可要求采购单位支付逾期利息。</w:t>
      </w:r>
    </w:p>
    <w:p>
      <w:pPr>
        <w:tabs>
          <w:tab w:val="left" w:pos="0"/>
        </w:tabs>
        <w:autoSpaceDE/>
        <w:autoSpaceDN/>
        <w:snapToGrid w:val="0"/>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本项的资金支付按本招标文件“第二章 招标需求”中的“付款方式”执行并在合同中进行约定。</w:t>
      </w:r>
    </w:p>
    <w:p>
      <w:pPr>
        <w:snapToGrid w:val="0"/>
        <w:spacing w:line="500" w:lineRule="exact"/>
        <w:ind w:firstLine="422" w:firstLineChars="200"/>
        <w:rPr>
          <w:rFonts w:hint="eastAsia" w:ascii="宋体" w:hAnsi="宋体" w:eastAsia="宋体" w:cs="宋体"/>
          <w:b/>
          <w:bCs/>
          <w:color w:val="auto"/>
          <w:sz w:val="21"/>
          <w:szCs w:val="21"/>
          <w:highlight w:val="none"/>
          <w:lang w:bidi="ar"/>
        </w:rPr>
      </w:pPr>
      <w:r>
        <w:rPr>
          <w:rFonts w:hint="eastAsia" w:ascii="宋体" w:hAnsi="宋体" w:eastAsia="宋体" w:cs="宋体"/>
          <w:b/>
          <w:color w:val="auto"/>
          <w:sz w:val="21"/>
          <w:szCs w:val="21"/>
          <w:highlight w:val="none"/>
          <w:lang w:bidi="ar"/>
        </w:rPr>
        <w:t>八、项目验收</w:t>
      </w:r>
    </w:p>
    <w:p>
      <w:pPr>
        <w:tabs>
          <w:tab w:val="left" w:pos="0"/>
        </w:tabs>
        <w:snapToGrid w:val="0"/>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招标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napToGrid w:val="0"/>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2.招标人可以邀请参加本项目的其他供应商或者第三方机构参与验收。参与验收的供应商或者第三方机构的意见作为验收书的参考资料一并存档。</w:t>
      </w:r>
    </w:p>
    <w:p>
      <w:pPr>
        <w:autoSpaceDE/>
        <w:autoSpaceDN/>
        <w:snapToGrid w:val="0"/>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严格按照采购合同开展履约验收。招标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autoSpaceDE/>
        <w:autoSpaceDN/>
        <w:snapToGrid w:val="0"/>
        <w:spacing w:line="500" w:lineRule="exact"/>
        <w:ind w:firstLine="420" w:firstLineChars="200"/>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rPr>
        <w:t>4.招标人原则上应当在</w:t>
      </w:r>
      <w:r>
        <w:rPr>
          <w:rFonts w:hint="eastAsia" w:ascii="宋体" w:hAnsi="宋体" w:eastAsia="宋体" w:cs="宋体"/>
          <w:b/>
          <w:bCs/>
          <w:color w:val="auto"/>
          <w:sz w:val="21"/>
          <w:szCs w:val="21"/>
          <w:highlight w:val="none"/>
        </w:rPr>
        <w:t>履约验收之日起2个工作日内</w:t>
      </w:r>
      <w:r>
        <w:rPr>
          <w:rFonts w:hint="eastAsia" w:ascii="宋体" w:hAnsi="宋体" w:eastAsia="宋体" w:cs="宋体"/>
          <w:color w:val="auto"/>
          <w:sz w:val="21"/>
          <w:szCs w:val="21"/>
          <w:highlight w:val="none"/>
        </w:rPr>
        <w:t>，将</w:t>
      </w:r>
      <w:r>
        <w:rPr>
          <w:rFonts w:hint="eastAsia" w:ascii="宋体" w:hAnsi="宋体" w:eastAsia="宋体" w:cs="宋体"/>
          <w:b/>
          <w:bCs/>
          <w:color w:val="auto"/>
          <w:sz w:val="21"/>
          <w:szCs w:val="21"/>
          <w:highlight w:val="none"/>
        </w:rPr>
        <w:t>履约验收结果在浙江政府采购网上公告。</w:t>
      </w:r>
    </w:p>
    <w:p>
      <w:pPr>
        <w:autoSpaceDE/>
        <w:autoSpaceDN/>
        <w:snapToGrid w:val="0"/>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5.验收合格的项目，招标人将根据采购合同的约定及时向供应商支付采购资金、退还履约保证金。</w:t>
      </w:r>
    </w:p>
    <w:p>
      <w:pPr>
        <w:tabs>
          <w:tab w:val="left" w:pos="0"/>
        </w:tabs>
        <w:snapToGrid w:val="0"/>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验收不合格的项目，招标人将依法及时处理。采购合同的履行、违约责任和解决争议的方式等适用《中华人民共和国民法典》。供应商在履约过程中有政府采购法律法规规定的违法违规情形的，招标人应当及时报告本级财政部门。</w:t>
      </w:r>
    </w:p>
    <w:p>
      <w:pPr>
        <w:autoSpaceDE/>
        <w:autoSpaceDN/>
        <w:adjustRightInd w:val="0"/>
        <w:snapToGrid w:val="0"/>
        <w:spacing w:line="500" w:lineRule="exact"/>
        <w:ind w:firstLine="422" w:firstLineChars="200"/>
        <w:jc w:val="left"/>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九、本项目招标在</w:t>
      </w:r>
      <w:r>
        <w:rPr>
          <w:rFonts w:hint="eastAsia" w:hAnsi="宋体" w:cs="宋体"/>
          <w:b/>
          <w:color w:val="auto"/>
          <w:sz w:val="21"/>
          <w:szCs w:val="21"/>
          <w:highlight w:val="none"/>
          <w:lang w:eastAsia="zh-CN"/>
        </w:rPr>
        <w:t>金华市婺城区财政局政府采购监督管理办公室</w:t>
      </w:r>
      <w:r>
        <w:rPr>
          <w:rFonts w:hint="eastAsia" w:ascii="宋体" w:hAnsi="宋体" w:eastAsia="宋体" w:cs="宋体"/>
          <w:b/>
          <w:color w:val="auto"/>
          <w:sz w:val="21"/>
          <w:szCs w:val="21"/>
          <w:highlight w:val="none"/>
        </w:rPr>
        <w:t>监督下进行。</w:t>
      </w:r>
    </w:p>
    <w:p>
      <w:pPr>
        <w:autoSpaceDE/>
        <w:autoSpaceDN/>
        <w:adjustRightInd w:val="0"/>
        <w:snapToGrid w:val="0"/>
        <w:spacing w:line="500" w:lineRule="exact"/>
        <w:ind w:firstLine="422" w:firstLineChars="200"/>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十、电子投标特别提醒</w:t>
      </w:r>
    </w:p>
    <w:p>
      <w:pPr>
        <w:widowControl/>
        <w:snapToGrid w:val="0"/>
        <w:spacing w:line="500" w:lineRule="exact"/>
        <w:ind w:firstLine="420" w:firstLineChars="200"/>
        <w:rPr>
          <w:rFonts w:hint="eastAsia" w:ascii="宋体" w:hAnsi="宋体" w:eastAsia="宋体" w:cs="宋体"/>
          <w:color w:val="auto"/>
          <w:sz w:val="21"/>
          <w:highlight w:val="none"/>
        </w:rPr>
      </w:pPr>
      <w:r>
        <w:rPr>
          <w:rFonts w:hint="eastAsia" w:ascii="宋体" w:hAnsi="宋体" w:eastAsia="宋体" w:cs="宋体"/>
          <w:color w:val="auto"/>
          <w:sz w:val="21"/>
          <w:highlight w:val="none"/>
        </w:rPr>
        <w:t>1.请所有投标人在政采云系统准时参加线上开标活动，并且要求法定代表人或授权委托人全程在线。</w:t>
      </w:r>
    </w:p>
    <w:p>
      <w:pPr>
        <w:widowControl/>
        <w:snapToGrid w:val="0"/>
        <w:spacing w:line="500" w:lineRule="exact"/>
        <w:ind w:firstLine="420" w:firstLineChars="200"/>
        <w:rPr>
          <w:rFonts w:hint="eastAsia" w:ascii="宋体" w:hAnsi="宋体" w:eastAsia="宋体" w:cs="宋体"/>
          <w:color w:val="auto"/>
          <w:sz w:val="21"/>
          <w:highlight w:val="none"/>
        </w:rPr>
      </w:pPr>
      <w:r>
        <w:rPr>
          <w:rFonts w:hint="eastAsia" w:ascii="宋体" w:hAnsi="宋体" w:eastAsia="宋体" w:cs="宋体"/>
          <w:color w:val="auto"/>
          <w:sz w:val="21"/>
          <w:highlight w:val="none"/>
        </w:rPr>
        <w:t>2.投标截止时间后，代理机构将线上开启解密，投标人需及时用CA锁在线解密，解密时间一般为半小时（</w:t>
      </w:r>
      <w:r>
        <w:rPr>
          <w:rFonts w:hint="eastAsia" w:ascii="宋体" w:hAnsi="宋体" w:eastAsia="宋体" w:cs="宋体"/>
          <w:color w:val="auto"/>
          <w:sz w:val="21"/>
          <w:szCs w:val="21"/>
          <w:highlight w:val="none"/>
        </w:rPr>
        <w:t>解密时限由财政部门设置</w:t>
      </w:r>
      <w:r>
        <w:rPr>
          <w:rFonts w:hint="eastAsia" w:ascii="宋体" w:hAnsi="宋体" w:eastAsia="宋体" w:cs="宋体"/>
          <w:color w:val="auto"/>
          <w:sz w:val="21"/>
          <w:highlight w:val="none"/>
        </w:rPr>
        <w:t>），逾期解密，投标人自行承担风险。</w:t>
      </w:r>
    </w:p>
    <w:p>
      <w:pPr>
        <w:widowControl/>
        <w:snapToGrid w:val="0"/>
        <w:spacing w:line="500" w:lineRule="exact"/>
        <w:ind w:firstLine="420" w:firstLineChars="200"/>
        <w:rPr>
          <w:rFonts w:hint="eastAsia" w:ascii="宋体" w:hAnsi="宋体" w:eastAsia="宋体" w:cs="宋体"/>
          <w:color w:val="auto"/>
          <w:sz w:val="21"/>
          <w:highlight w:val="none"/>
        </w:rPr>
      </w:pPr>
      <w:r>
        <w:rPr>
          <w:rFonts w:hint="eastAsia" w:ascii="宋体" w:hAnsi="宋体" w:eastAsia="宋体" w:cs="宋体"/>
          <w:color w:val="auto"/>
          <w:sz w:val="21"/>
          <w:highlight w:val="none"/>
        </w:rPr>
        <w:t>3.解密响应文件的CA锁必须跟制作响应文件的CA锁为同一个，否则将导致解密失败。</w:t>
      </w:r>
    </w:p>
    <w:p>
      <w:pPr>
        <w:snapToGrid w:val="0"/>
        <w:spacing w:line="500" w:lineRule="exact"/>
        <w:ind w:firstLine="420" w:firstLineChars="200"/>
        <w:jc w:val="left"/>
        <w:rPr>
          <w:rFonts w:hint="eastAsia" w:ascii="宋体" w:hAnsi="宋体" w:eastAsia="宋体" w:cs="宋体"/>
          <w:color w:val="auto"/>
          <w:sz w:val="21"/>
          <w:highlight w:val="none"/>
        </w:rPr>
      </w:pPr>
      <w:r>
        <w:rPr>
          <w:rFonts w:hint="eastAsia" w:ascii="宋体" w:hAnsi="宋体" w:eastAsia="宋体" w:cs="宋体"/>
          <w:color w:val="auto"/>
          <w:sz w:val="21"/>
          <w:highlight w:val="none"/>
        </w:rPr>
        <w:t>4.请务必确保投标文件制作客户端为最新版本，旧版本可能导致投标文件解密失败。</w:t>
      </w:r>
    </w:p>
    <w:p>
      <w:pPr>
        <w:snapToGrid w:val="0"/>
        <w:spacing w:line="500" w:lineRule="exact"/>
        <w:ind w:firstLine="420" w:firstLineChars="200"/>
        <w:jc w:val="left"/>
        <w:rPr>
          <w:rFonts w:hint="eastAsia" w:ascii="宋体" w:hAnsi="宋体" w:eastAsia="宋体" w:cs="宋体"/>
          <w:color w:val="auto"/>
          <w:sz w:val="21"/>
          <w:highlight w:val="none"/>
        </w:rPr>
      </w:pPr>
    </w:p>
    <w:p>
      <w:pPr>
        <w:snapToGrid w:val="0"/>
        <w:spacing w:line="500" w:lineRule="exact"/>
        <w:ind w:firstLine="420"/>
        <w:jc w:val="center"/>
        <w:outlineLvl w:val="0"/>
        <w:rPr>
          <w:rFonts w:hint="eastAsia" w:ascii="宋体" w:hAnsi="宋体" w:eastAsia="宋体" w:cs="宋体"/>
          <w:color w:val="auto"/>
          <w:sz w:val="30"/>
          <w:szCs w:val="30"/>
          <w:highlight w:val="none"/>
        </w:rPr>
      </w:pPr>
      <w:r>
        <w:rPr>
          <w:rFonts w:hint="eastAsia" w:ascii="宋体" w:hAnsi="宋体" w:eastAsia="宋体" w:cs="宋体"/>
          <w:color w:val="auto"/>
          <w:sz w:val="21"/>
          <w:szCs w:val="21"/>
          <w:highlight w:val="none"/>
        </w:rPr>
        <w:br w:type="page"/>
      </w:r>
      <w:bookmarkStart w:id="47" w:name="_Toc29832"/>
      <w:r>
        <w:rPr>
          <w:rFonts w:hint="eastAsia" w:ascii="宋体" w:hAnsi="宋体" w:eastAsia="宋体" w:cs="宋体"/>
          <w:b/>
          <w:bCs/>
          <w:color w:val="auto"/>
          <w:sz w:val="30"/>
          <w:szCs w:val="30"/>
          <w:highlight w:val="none"/>
        </w:rPr>
        <w:t>第四章 评标办法及评分标准</w:t>
      </w:r>
      <w:bookmarkEnd w:id="47"/>
    </w:p>
    <w:p>
      <w:pPr>
        <w:autoSpaceDE/>
        <w:autoSpaceDN/>
        <w:adjustRightInd/>
        <w:spacing w:line="500" w:lineRule="exact"/>
        <w:ind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为公正、公平、科学地选择中标人，根据《中华人民共和国政府采购法》等有关法律法规的规定，并结合本项目的实际，制定本办法。</w:t>
      </w:r>
    </w:p>
    <w:p>
      <w:pPr>
        <w:autoSpaceDE/>
        <w:autoSpaceDN/>
        <w:adjustRightInd/>
        <w:spacing w:line="500" w:lineRule="exact"/>
        <w:ind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本办法仅适用本项目的评标。</w:t>
      </w:r>
    </w:p>
    <w:p>
      <w:pPr>
        <w:pStyle w:val="18"/>
        <w:adjustRightInd w:val="0"/>
        <w:snapToGrid w:val="0"/>
        <w:spacing w:before="0" w:beforeAutospacing="0" w:after="0" w:afterAutospacing="0" w:line="500" w:lineRule="exact"/>
        <w:ind w:firstLine="422" w:firstLineChars="200"/>
        <w:rPr>
          <w:rFonts w:hint="eastAsia" w:ascii="宋体" w:hAnsi="宋体" w:eastAsia="宋体" w:cs="宋体"/>
          <w:b/>
          <w:bCs/>
          <w:color w:val="auto"/>
          <w:highlight w:val="none"/>
          <w:lang w:bidi="ar"/>
        </w:rPr>
      </w:pPr>
      <w:r>
        <w:rPr>
          <w:rFonts w:hint="eastAsia" w:ascii="宋体" w:hAnsi="宋体" w:eastAsia="宋体" w:cs="宋体"/>
          <w:b/>
          <w:color w:val="auto"/>
          <w:sz w:val="21"/>
          <w:szCs w:val="21"/>
          <w:highlight w:val="none"/>
        </w:rPr>
        <w:t>一、评审纪律和要求</w:t>
      </w:r>
    </w:p>
    <w:p>
      <w:pPr>
        <w:autoSpaceDE/>
        <w:autoSpaceDN/>
        <w:snapToGrid w:val="0"/>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1.评审专家必须公平、公正评审，遵纪守法，客观、廉洁地履行职责。</w:t>
      </w:r>
    </w:p>
    <w:p>
      <w:pPr>
        <w:autoSpaceDE/>
        <w:autoSpaceDN/>
        <w:snapToGrid w:val="0"/>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2.评审专家在评审开始前，应关闭并上交随身携带的各种通信工具。</w:t>
      </w:r>
    </w:p>
    <w:p>
      <w:pPr>
        <w:autoSpaceDE/>
        <w:autoSpaceDN/>
        <w:snapToGrid w:val="0"/>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3.评审专家在评审过程中，未经许可不得中途离开评审现场，不得迟到早退。</w:t>
      </w:r>
    </w:p>
    <w:p>
      <w:pPr>
        <w:autoSpaceDE/>
        <w:autoSpaceDN/>
        <w:snapToGrid w:val="0"/>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4.评审专家和工作人员不得透露评审过程中的讨论情况和评审结果。</w:t>
      </w:r>
    </w:p>
    <w:p>
      <w:pPr>
        <w:autoSpaceDE/>
        <w:autoSpaceDN/>
        <w:snapToGrid w:val="0"/>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评审时，评审专家须按招标文件规定的程序、条件和标准，对投标人投标文件的合规性、完整性和有效性进行审查、比较和评估，其中对投标人的资格条件、主要技术参数、商务报价和其他评审要素等，评审专家应逐项进行审查、比较，不得漏评少评。</w:t>
      </w:r>
      <w:r>
        <w:rPr>
          <w:rFonts w:hint="eastAsia" w:ascii="宋体" w:hAnsi="宋体" w:eastAsia="宋体" w:cs="宋体"/>
          <w:b/>
          <w:bCs/>
          <w:color w:val="auto"/>
          <w:sz w:val="21"/>
          <w:szCs w:val="21"/>
          <w:highlight w:val="none"/>
        </w:rPr>
        <w:t>如发现与招标文件要求相偏离的，应对其偏离情形进行必要的核实，并在工作底稿中予以说明；如属于实质性偏离或符合无效投标文件的，可询问投标人，并允许投标人进行陈述申辩，但不允许其对偏离条款进行补充、修正或撤回</w:t>
      </w:r>
      <w:r>
        <w:rPr>
          <w:rFonts w:hint="eastAsia" w:ascii="宋体" w:hAnsi="宋体" w:eastAsia="宋体" w:cs="宋体"/>
          <w:color w:val="auto"/>
          <w:sz w:val="21"/>
          <w:szCs w:val="21"/>
          <w:highlight w:val="none"/>
        </w:rPr>
        <w:t>。</w:t>
      </w:r>
    </w:p>
    <w:p>
      <w:pPr>
        <w:autoSpaceDE/>
        <w:autoSpaceDN/>
        <w:snapToGrid w:val="0"/>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6.招标人、采购代理机构不得向评审委员会的评审专家作倾向性、误导性的解释或者说明。</w:t>
      </w:r>
    </w:p>
    <w:p>
      <w:pPr>
        <w:autoSpaceDE/>
        <w:autoSpaceDN/>
        <w:snapToGrid w:val="0"/>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7.采购代理机构应当为评审专家提供必要的评审条件和相应的评审工作底稿，并严格按规定程序组织评审专家有步骤地进行项目评审，</w:t>
      </w:r>
      <w:r>
        <w:rPr>
          <w:rFonts w:hint="eastAsia" w:ascii="宋体" w:hAnsi="宋体" w:eastAsia="宋体" w:cs="宋体"/>
          <w:b/>
          <w:bCs/>
          <w:color w:val="auto"/>
          <w:sz w:val="21"/>
          <w:szCs w:val="21"/>
          <w:highlight w:val="none"/>
        </w:rPr>
        <w:t>对各评审专家的评审情况和评审意见进行合理性和合规性审查，对明显畸高、畸低的重大差异评审情况（其总评分偏离平均分30%以上），提醒相关评审专家进行复核或书面说明理由</w:t>
      </w:r>
      <w:r>
        <w:rPr>
          <w:rFonts w:hint="eastAsia" w:ascii="宋体" w:hAnsi="宋体" w:eastAsia="宋体" w:cs="宋体"/>
          <w:color w:val="auto"/>
          <w:sz w:val="21"/>
          <w:szCs w:val="21"/>
          <w:highlight w:val="none"/>
        </w:rPr>
        <w:t>。</w:t>
      </w:r>
    </w:p>
    <w:p>
      <w:pPr>
        <w:autoSpaceDE/>
        <w:autoSpaceDN/>
        <w:snapToGrid w:val="0"/>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8.评审专家在评审过程中不得将自己的观点强加给其他评审专家，评审专家应自主发表见解，对评审意见承担个人责任。</w:t>
      </w:r>
    </w:p>
    <w:p>
      <w:pPr>
        <w:autoSpaceDE/>
        <w:autoSpaceDN/>
        <w:snapToGrid w:val="0"/>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w:t>
      </w:r>
      <w:r>
        <w:rPr>
          <w:rFonts w:hint="eastAsia" w:ascii="宋体" w:hAnsi="宋体" w:eastAsia="宋体" w:cs="宋体"/>
          <w:b/>
          <w:bCs/>
          <w:color w:val="auto"/>
          <w:sz w:val="21"/>
          <w:szCs w:val="21"/>
          <w:highlight w:val="none"/>
        </w:rPr>
        <w:t>评审结束后，评审委员会应向采购代理机构提交项目评审报告。评审报告是招标人确定中标人的合法依据，评审委员会应当如实、客观地反映评审情况，按招标文件的评审办法和细则的规定推荐中标候选人，说明推荐理由，并重点对中标候选人的技术、服务和价格等情况进行评价和比较。如排名第一的投标人报价为最高报价的，评审报告中须对其报价的合理性等进行分析和特别说明</w:t>
      </w:r>
      <w:r>
        <w:rPr>
          <w:rFonts w:hint="eastAsia" w:ascii="宋体" w:hAnsi="宋体" w:eastAsia="宋体" w:cs="宋体"/>
          <w:color w:val="auto"/>
          <w:sz w:val="21"/>
          <w:szCs w:val="21"/>
          <w:highlight w:val="none"/>
        </w:rPr>
        <w:t>。</w:t>
      </w:r>
    </w:p>
    <w:p>
      <w:pPr>
        <w:autoSpaceDE/>
        <w:autoSpaceDN/>
        <w:snapToGrid w:val="0"/>
        <w:spacing w:line="500" w:lineRule="exact"/>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10.评审专家应当独立、客观、公正地提出评审意见，不得带有倾向性，不得影响其他评审专家评审，并在评审报告上签字；如对评审报告有异议的，可在报告上签署不同意见，并说明理由，否则将视为同意。</w:t>
      </w:r>
    </w:p>
    <w:p>
      <w:pPr>
        <w:autoSpaceDE/>
        <w:autoSpaceDN/>
        <w:snapToGrid w:val="0"/>
        <w:spacing w:line="500" w:lineRule="exact"/>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11.评审专家应当遵守评审工作纪律，不得泄露评审文件、评审情况和评审中获悉的商业秘密。</w:t>
      </w:r>
    </w:p>
    <w:p>
      <w:pPr>
        <w:autoSpaceDE/>
        <w:autoSpaceDN/>
        <w:snapToGrid w:val="0"/>
        <w:spacing w:line="500" w:lineRule="exact"/>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评审委员会在评审过程中发现投标人有行贿、提供虚假材料或者串通等违法行为的，应当及时向财政部门报告。</w:t>
      </w:r>
    </w:p>
    <w:p>
      <w:pPr>
        <w:autoSpaceDE/>
        <w:autoSpaceDN/>
        <w:snapToGrid w:val="0"/>
        <w:spacing w:line="500" w:lineRule="exact"/>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12.招标文件内容违反国家有关强制性规定的，评审委员会应当停止评审并向采购代理机构说明情况。</w:t>
      </w:r>
    </w:p>
    <w:p>
      <w:pPr>
        <w:autoSpaceDE/>
        <w:autoSpaceDN/>
        <w:snapToGrid w:val="0"/>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13.评审专家应当配合采购代理机构答复投标人提出的质疑。</w:t>
      </w:r>
    </w:p>
    <w:p>
      <w:pPr>
        <w:autoSpaceDE/>
        <w:autoSpaceDN/>
        <w:snapToGrid w:val="0"/>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14.评审专家应当配合财政部门的投诉处理工作。</w:t>
      </w:r>
    </w:p>
    <w:p>
      <w:pPr>
        <w:autoSpaceDE/>
        <w:autoSpaceDN/>
        <w:snapToGrid w:val="0"/>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15.评审专家有如下行为之一的，责令改正，给予警告，可以并处一千元以下的罚款：</w:t>
      </w:r>
    </w:p>
    <w:p>
      <w:pPr>
        <w:autoSpaceDE/>
        <w:autoSpaceDN/>
        <w:snapToGrid w:val="0"/>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①明知应当回避而未主动回避的；</w:t>
      </w:r>
    </w:p>
    <w:p>
      <w:pPr>
        <w:autoSpaceDE/>
        <w:autoSpaceDN/>
        <w:snapToGrid w:val="0"/>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snapToGrid w:val="0"/>
          <w:color w:val="auto"/>
          <w:sz w:val="21"/>
          <w:szCs w:val="21"/>
          <w:highlight w:val="none"/>
        </w:rPr>
        <w:t>②在得知自己为评审专家身份后至评审结束前时段内私下接触投标人的</w:t>
      </w:r>
      <w:r>
        <w:rPr>
          <w:rFonts w:hint="eastAsia" w:ascii="宋体" w:hAnsi="宋体" w:eastAsia="宋体" w:cs="宋体"/>
          <w:color w:val="auto"/>
          <w:sz w:val="21"/>
          <w:szCs w:val="21"/>
          <w:highlight w:val="none"/>
        </w:rPr>
        <w:t>；</w:t>
      </w:r>
    </w:p>
    <w:p>
      <w:pPr>
        <w:autoSpaceDE/>
        <w:autoSpaceDN/>
        <w:snapToGrid w:val="0"/>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③在评审过程中擅离职守，影响评审程序正常进行的；</w:t>
      </w:r>
    </w:p>
    <w:p>
      <w:pPr>
        <w:autoSpaceDE/>
        <w:autoSpaceDN/>
        <w:snapToGrid w:val="0"/>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④在评审过程有明显不合理或者不正当倾向性的；</w:t>
      </w:r>
    </w:p>
    <w:p>
      <w:pPr>
        <w:autoSpaceDE/>
        <w:autoSpaceDN/>
        <w:snapToGrid w:val="0"/>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⑤未按招标文件规定的评审方法和标准进行评审的。</w:t>
      </w:r>
    </w:p>
    <w:p>
      <w:pPr>
        <w:autoSpaceDE/>
        <w:autoSpaceDN/>
        <w:snapToGrid w:val="0"/>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⑥上述①至⑤行为影响中标结果的，中标结果无效。</w:t>
      </w:r>
    </w:p>
    <w:p>
      <w:pPr>
        <w:autoSpaceDE/>
        <w:autoSpaceDN/>
        <w:snapToGrid w:val="0"/>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16.政府采购评审专家未按照招标文件规定的评审程序、评审方法和评审标准进行独立评审或者泄露评审文件、评审情况的，由财政部门给予警告，并处2000元以上2万元以下的罚款；影响中标、成交结果的，处2万元以上5万元以下的罚款，禁止其参加政府采购评审活动。</w:t>
      </w:r>
    </w:p>
    <w:p>
      <w:pPr>
        <w:autoSpaceDE/>
        <w:autoSpaceDN/>
        <w:snapToGrid w:val="0"/>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政府采购评审专家与投标人存在利害关系未回避的，处2万元以上5万元以下的罚款，禁止其参加政府采购评审活动。</w:t>
      </w:r>
    </w:p>
    <w:p>
      <w:pPr>
        <w:autoSpaceDE/>
        <w:autoSpaceDN/>
        <w:snapToGrid w:val="0"/>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政府采购评审专家收受招标人、采购代理机构、投标人贿赂或者获取其他不正当利益，构成犯罪的，依法追究刑事责任；尚不构成犯罪的，处2万元以上5万元以下的罚款，禁止其参加政府采购评审活动。</w:t>
      </w:r>
    </w:p>
    <w:p>
      <w:pPr>
        <w:autoSpaceDE/>
        <w:autoSpaceDN/>
        <w:snapToGrid w:val="0"/>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政府采购评审专家有上述违法行为的，其评审意见无效，不得获取评审费；有违法所得的，没收违法所得；给他人造成损失的，依法承担民事责任。</w:t>
      </w:r>
    </w:p>
    <w:p>
      <w:pPr>
        <w:pStyle w:val="18"/>
        <w:adjustRightInd w:val="0"/>
        <w:snapToGrid w:val="0"/>
        <w:spacing w:before="0" w:beforeAutospacing="0" w:after="0" w:afterAutospacing="0" w:line="500" w:lineRule="exact"/>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二、评标定标时对政府采购政策的落实要求</w:t>
      </w:r>
    </w:p>
    <w:p>
      <w:pPr>
        <w:pStyle w:val="18"/>
        <w:adjustRightInd w:val="0"/>
        <w:snapToGrid w:val="0"/>
        <w:spacing w:before="0" w:beforeAutospacing="0" w:after="0" w:afterAutospacing="0" w:line="500" w:lineRule="exact"/>
        <w:ind w:firstLine="420" w:firstLineChars="200"/>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val="en" w:bidi="ar"/>
        </w:rPr>
        <w:t>1</w:t>
      </w:r>
      <w:r>
        <w:rPr>
          <w:rFonts w:hint="eastAsia" w:ascii="宋体" w:hAnsi="宋体" w:eastAsia="宋体" w:cs="宋体"/>
          <w:color w:val="auto"/>
          <w:sz w:val="21"/>
          <w:szCs w:val="21"/>
          <w:highlight w:val="none"/>
          <w:lang w:bidi="ar"/>
        </w:rPr>
        <w:t>.采购项目需要落实的政府采购政策</w:t>
      </w:r>
    </w:p>
    <w:p>
      <w:pPr>
        <w:pStyle w:val="18"/>
        <w:adjustRightInd w:val="0"/>
        <w:snapToGrid w:val="0"/>
        <w:spacing w:before="0" w:beforeAutospacing="0" w:after="0" w:afterAutospacing="0" w:line="500" w:lineRule="exact"/>
        <w:ind w:firstLine="420" w:firstLineChars="200"/>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val="en" w:bidi="ar"/>
        </w:rPr>
        <w:t>1</w:t>
      </w:r>
      <w:r>
        <w:rPr>
          <w:rFonts w:hint="eastAsia" w:ascii="宋体" w:hAnsi="宋体" w:eastAsia="宋体" w:cs="宋体"/>
          <w:color w:val="auto"/>
          <w:sz w:val="21"/>
          <w:szCs w:val="21"/>
          <w:highlight w:val="none"/>
          <w:lang w:bidi="ar"/>
        </w:rPr>
        <w:t>.1 本项目原则上采购本国生产的货物、工程和服务，不允许采购进口产品。除非招标人采购进口产品，已经在采购活动开始前向财政部门提出申请并获得财政部门审核同意，且在采购需求中明确规定可以采购进口产品，未明确视同不得采购进口产品（但如果因信息不对称等原因，仍有满足需求的国内产品要求参与采购竞争的，招标人、采购机构不会对其加以限制，仍将按照公平竞争原则实施采购）。</w:t>
      </w:r>
    </w:p>
    <w:p>
      <w:pPr>
        <w:pStyle w:val="18"/>
        <w:adjustRightInd w:val="0"/>
        <w:snapToGrid w:val="0"/>
        <w:spacing w:before="0" w:beforeAutospacing="0" w:after="0" w:afterAutospacing="0" w:line="500" w:lineRule="exact"/>
        <w:ind w:firstLine="420" w:firstLineChars="200"/>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val="en" w:bidi="ar"/>
        </w:rPr>
        <w:t>1</w:t>
      </w:r>
      <w:r>
        <w:rPr>
          <w:rFonts w:hint="eastAsia" w:ascii="宋体" w:hAnsi="宋体" w:eastAsia="宋体" w:cs="宋体"/>
          <w:color w:val="auto"/>
          <w:sz w:val="21"/>
          <w:szCs w:val="21"/>
          <w:highlight w:val="none"/>
          <w:lang w:bidi="ar"/>
        </w:rPr>
        <w:t>.2 支持绿色发展</w:t>
      </w:r>
    </w:p>
    <w:p>
      <w:pPr>
        <w:pStyle w:val="18"/>
        <w:adjustRightInd w:val="0"/>
        <w:snapToGrid w:val="0"/>
        <w:spacing w:before="0" w:beforeAutospacing="0" w:after="0" w:afterAutospacing="0" w:line="500" w:lineRule="exact"/>
        <w:ind w:firstLine="420" w:firstLineChars="200"/>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val="en" w:bidi="ar"/>
        </w:rPr>
        <w:t>1</w:t>
      </w:r>
      <w:r>
        <w:rPr>
          <w:rFonts w:hint="eastAsia" w:ascii="宋体" w:hAnsi="宋体" w:eastAsia="宋体" w:cs="宋体"/>
          <w:color w:val="auto"/>
          <w:sz w:val="21"/>
          <w:szCs w:val="21"/>
          <w:highlight w:val="none"/>
          <w:lang w:bidi="ar"/>
        </w:rPr>
        <w:t>.2.1招标人拟采购的产品属于品目清单范围的，招标人及其委托的采购代理机构将依据国家确定的认证机构出具的、处于有效期之内的节能产品、环境标志产品认证证书，对获得证书的产品实施政府优先采购或强制采购。供应商须按采购文件要求提供相关产品认证证书。▲招标人拟采购的产品属于政府强制采购的节能产品品目清单范围的，供应商未按采购文件要求提供国家确定的认证机构出具的、处于有效期之内的节能产品认证证书的，投标无效。</w:t>
      </w:r>
    </w:p>
    <w:p>
      <w:pPr>
        <w:pStyle w:val="18"/>
        <w:adjustRightInd w:val="0"/>
        <w:snapToGrid w:val="0"/>
        <w:spacing w:before="0" w:beforeAutospacing="0" w:after="0" w:afterAutospacing="0" w:line="500" w:lineRule="exact"/>
        <w:ind w:firstLine="420" w:firstLineChars="200"/>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val="en" w:bidi="ar"/>
        </w:rPr>
        <w:t>1</w:t>
      </w:r>
      <w:r>
        <w:rPr>
          <w:rFonts w:hint="eastAsia" w:ascii="宋体" w:hAnsi="宋体" w:eastAsia="宋体" w:cs="宋体"/>
          <w:color w:val="auto"/>
          <w:sz w:val="21"/>
          <w:szCs w:val="21"/>
          <w:highlight w:val="none"/>
          <w:lang w:bidi="ar"/>
        </w:rPr>
        <w:t>.2.2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pStyle w:val="18"/>
        <w:adjustRightInd w:val="0"/>
        <w:snapToGrid w:val="0"/>
        <w:spacing w:before="0" w:beforeAutospacing="0" w:after="0" w:afterAutospacing="0" w:line="500" w:lineRule="exact"/>
        <w:ind w:firstLine="420" w:firstLineChars="200"/>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val="en" w:bidi="ar"/>
        </w:rPr>
        <w:t>1</w:t>
      </w:r>
      <w:r>
        <w:rPr>
          <w:rFonts w:hint="eastAsia" w:ascii="宋体" w:hAnsi="宋体" w:eastAsia="宋体" w:cs="宋体"/>
          <w:color w:val="auto"/>
          <w:sz w:val="21"/>
          <w:szCs w:val="21"/>
          <w:highlight w:val="none"/>
          <w:lang w:bidi="ar"/>
        </w:rPr>
        <w:t>.3支持中小企业发展</w:t>
      </w:r>
    </w:p>
    <w:p>
      <w:pPr>
        <w:pStyle w:val="18"/>
        <w:adjustRightInd w:val="0"/>
        <w:snapToGrid w:val="0"/>
        <w:spacing w:before="0" w:beforeAutospacing="0" w:after="0" w:afterAutospacing="0" w:line="500" w:lineRule="exact"/>
        <w:ind w:firstLine="420" w:firstLineChars="200"/>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val="en" w:bidi="ar"/>
        </w:rPr>
        <w:t>1</w:t>
      </w:r>
      <w:r>
        <w:rPr>
          <w:rFonts w:hint="eastAsia" w:ascii="宋体" w:hAnsi="宋体" w:eastAsia="宋体" w:cs="宋体"/>
          <w:color w:val="auto"/>
          <w:sz w:val="21"/>
          <w:szCs w:val="21"/>
          <w:highlight w:val="none"/>
          <w:lang w:bidi="ar"/>
        </w:rPr>
        <w:t>.3.1中小企业，是指在中华人民共和国境内依法设立，依据国务院批准的中小企业划分标准确定的中型企业、小型企业和微型企业，但与大企业的负责人为同一人，或者与大企业存在直接控股、管理关系的除外。</w:t>
      </w:r>
    </w:p>
    <w:p>
      <w:pPr>
        <w:pStyle w:val="18"/>
        <w:adjustRightInd w:val="0"/>
        <w:snapToGrid w:val="0"/>
        <w:spacing w:before="0" w:beforeAutospacing="0" w:after="0" w:afterAutospacing="0" w:line="500" w:lineRule="exact"/>
        <w:ind w:firstLine="420" w:firstLineChars="200"/>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符合中小企业划分标准的个体工商户，在政府采购活动中视同中小企业。</w:t>
      </w:r>
    </w:p>
    <w:p>
      <w:pPr>
        <w:pStyle w:val="18"/>
        <w:adjustRightInd w:val="0"/>
        <w:snapToGrid w:val="0"/>
        <w:spacing w:before="0" w:beforeAutospacing="0" w:after="0" w:afterAutospacing="0" w:line="500" w:lineRule="exact"/>
        <w:ind w:firstLine="420" w:firstLineChars="200"/>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val="en" w:bidi="ar"/>
        </w:rPr>
        <w:t>1</w:t>
      </w:r>
      <w:r>
        <w:rPr>
          <w:rFonts w:hint="eastAsia" w:ascii="宋体" w:hAnsi="宋体" w:eastAsia="宋体" w:cs="宋体"/>
          <w:color w:val="auto"/>
          <w:sz w:val="21"/>
          <w:szCs w:val="21"/>
          <w:highlight w:val="none"/>
          <w:lang w:bidi="ar"/>
        </w:rPr>
        <w:t>.3.2在政府采购活动中，供应商提供的货物、工程或者服务符合下列情形的，享受中小企业扶持政策；</w:t>
      </w:r>
    </w:p>
    <w:p>
      <w:pPr>
        <w:pStyle w:val="18"/>
        <w:adjustRightInd w:val="0"/>
        <w:snapToGrid w:val="0"/>
        <w:spacing w:before="0" w:beforeAutospacing="0" w:after="0" w:afterAutospacing="0" w:line="500" w:lineRule="exact"/>
        <w:ind w:firstLine="420" w:firstLineChars="200"/>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val="en" w:bidi="ar"/>
        </w:rPr>
        <w:t>1</w:t>
      </w:r>
      <w:r>
        <w:rPr>
          <w:rFonts w:hint="eastAsia" w:ascii="宋体" w:hAnsi="宋体" w:eastAsia="宋体" w:cs="宋体"/>
          <w:color w:val="auto"/>
          <w:sz w:val="21"/>
          <w:szCs w:val="21"/>
          <w:highlight w:val="none"/>
          <w:lang w:bidi="ar"/>
        </w:rPr>
        <w:t>.3.2.1在货物采购项目中，货物由中小企业制造，即货物由中小企业生产且使用该中小企业商号或者注册商标；</w:t>
      </w:r>
    </w:p>
    <w:p>
      <w:pPr>
        <w:pStyle w:val="18"/>
        <w:adjustRightInd w:val="0"/>
        <w:snapToGrid w:val="0"/>
        <w:spacing w:before="0" w:beforeAutospacing="0" w:after="0" w:afterAutospacing="0" w:line="500" w:lineRule="exact"/>
        <w:ind w:firstLine="420" w:firstLineChars="200"/>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val="en" w:bidi="ar"/>
        </w:rPr>
        <w:t>1</w:t>
      </w:r>
      <w:r>
        <w:rPr>
          <w:rFonts w:hint="eastAsia" w:ascii="宋体" w:hAnsi="宋体" w:eastAsia="宋体" w:cs="宋体"/>
          <w:color w:val="auto"/>
          <w:sz w:val="21"/>
          <w:szCs w:val="21"/>
          <w:highlight w:val="none"/>
          <w:lang w:bidi="ar"/>
        </w:rPr>
        <w:t>.3.2.2在工程采购项目中，工程由中小企业承建，即工程施工单位为中小企业；</w:t>
      </w:r>
    </w:p>
    <w:p>
      <w:pPr>
        <w:pStyle w:val="18"/>
        <w:adjustRightInd w:val="0"/>
        <w:snapToGrid w:val="0"/>
        <w:spacing w:before="0" w:beforeAutospacing="0" w:after="0" w:afterAutospacing="0" w:line="500" w:lineRule="exact"/>
        <w:ind w:firstLine="420" w:firstLineChars="200"/>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val="en" w:bidi="ar"/>
        </w:rPr>
        <w:t>1</w:t>
      </w:r>
      <w:r>
        <w:rPr>
          <w:rFonts w:hint="eastAsia" w:ascii="宋体" w:hAnsi="宋体" w:eastAsia="宋体" w:cs="宋体"/>
          <w:color w:val="auto"/>
          <w:sz w:val="21"/>
          <w:szCs w:val="21"/>
          <w:highlight w:val="none"/>
          <w:lang w:bidi="ar"/>
        </w:rPr>
        <w:t>.3.2.3在服务采购项目中，服务由中小企业承接，即提供服务的人员为中小企业依照《中华人民共和国劳动合同法》订立劳动合同的从业人员。</w:t>
      </w:r>
    </w:p>
    <w:p>
      <w:pPr>
        <w:pStyle w:val="18"/>
        <w:adjustRightInd w:val="0"/>
        <w:snapToGrid w:val="0"/>
        <w:spacing w:before="0" w:beforeAutospacing="0" w:after="0" w:afterAutospacing="0" w:line="500" w:lineRule="exact"/>
        <w:ind w:firstLine="420" w:firstLineChars="200"/>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在货物采购项目中，供应商提供的货物既有中小企业制造货物，也有大型企业制造货物的，不享受中小企业扶持政策。</w:t>
      </w:r>
    </w:p>
    <w:p>
      <w:pPr>
        <w:pStyle w:val="18"/>
        <w:adjustRightInd w:val="0"/>
        <w:snapToGrid w:val="0"/>
        <w:spacing w:before="0" w:beforeAutospacing="0" w:after="0" w:afterAutospacing="0" w:line="500" w:lineRule="exact"/>
        <w:ind w:firstLine="420" w:firstLineChars="200"/>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以联合体形式参加政府采购活动，联合体各方均为中小企业的，联合体视同中小企业。其中，联合体各方均为小微企业的，联合体视同小微企业。</w:t>
      </w:r>
    </w:p>
    <w:p>
      <w:pPr>
        <w:pStyle w:val="18"/>
        <w:adjustRightInd w:val="0"/>
        <w:snapToGrid w:val="0"/>
        <w:spacing w:before="0" w:beforeAutospacing="0" w:after="0" w:afterAutospacing="0" w:line="500" w:lineRule="exact"/>
        <w:ind w:firstLine="420" w:firstLineChars="200"/>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val="en" w:bidi="ar"/>
        </w:rPr>
        <w:t>1</w:t>
      </w:r>
      <w:r>
        <w:rPr>
          <w:rFonts w:hint="eastAsia" w:ascii="宋体" w:hAnsi="宋体" w:eastAsia="宋体" w:cs="宋体"/>
          <w:color w:val="auto"/>
          <w:sz w:val="21"/>
          <w:szCs w:val="21"/>
          <w:highlight w:val="none"/>
          <w:lang w:bidi="ar"/>
        </w:rPr>
        <w:t>.3.3对于未预留份额专门面向中小企业的政府采购货物或服务项目，以及预留份额政府采购货物或服务项目中的非预留部分标项，对小型和微型企业的投标报价给予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扣除，用扣除后的价格参加评审。组成联合体或者接受分包的小微企业与联合体内其他企业、分包企业之间存在直接控股、管理关系的，不享受价格扣除优惠政策。</w:t>
      </w:r>
    </w:p>
    <w:p>
      <w:pPr>
        <w:pStyle w:val="18"/>
        <w:adjustRightInd w:val="0"/>
        <w:snapToGrid w:val="0"/>
        <w:spacing w:before="0" w:beforeAutospacing="0" w:after="0" w:afterAutospacing="0" w:line="500" w:lineRule="exact"/>
        <w:ind w:firstLine="420" w:firstLineChars="200"/>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val="en" w:bidi="ar"/>
        </w:rPr>
        <w:t>1</w:t>
      </w:r>
      <w:r>
        <w:rPr>
          <w:rFonts w:hint="eastAsia" w:ascii="宋体" w:hAnsi="宋体" w:eastAsia="宋体" w:cs="宋体"/>
          <w:color w:val="auto"/>
          <w:sz w:val="21"/>
          <w:szCs w:val="21"/>
          <w:highlight w:val="none"/>
          <w:lang w:bidi="ar"/>
        </w:rPr>
        <w:t>.3.4符合《关于促进残疾人就业政府采购政策的通知》（财库〔2017〕141号）规定的条件并提供《残疾人福利性单位声明函》（附件1）的残疾人福利性单位视同小型、微型企业。</w:t>
      </w:r>
    </w:p>
    <w:p>
      <w:pPr>
        <w:pStyle w:val="18"/>
        <w:adjustRightInd w:val="0"/>
        <w:snapToGrid w:val="0"/>
        <w:spacing w:before="0" w:beforeAutospacing="0" w:after="0" w:afterAutospacing="0" w:line="500" w:lineRule="exact"/>
        <w:ind w:firstLine="420" w:firstLineChars="200"/>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val="en" w:bidi="ar"/>
        </w:rPr>
        <w:t>1</w:t>
      </w:r>
      <w:r>
        <w:rPr>
          <w:rFonts w:hint="eastAsia" w:ascii="宋体" w:hAnsi="宋体" w:eastAsia="宋体" w:cs="宋体"/>
          <w:color w:val="auto"/>
          <w:sz w:val="21"/>
          <w:szCs w:val="21"/>
          <w:highlight w:val="none"/>
          <w:lang w:bidi="ar"/>
        </w:rPr>
        <w:t>.3.5符合《关于政府采购支持监狱企业发展有关问题的通知》（财库[2014]68号）规定的监狱企业并提供由省级以上监狱管理局、戒毒管理局（含新疆生产建设兵团）出具的属于监狱企业证明文件的，视同为小型、微型企业。</w:t>
      </w:r>
    </w:p>
    <w:p>
      <w:pPr>
        <w:pStyle w:val="18"/>
        <w:adjustRightInd w:val="0"/>
        <w:snapToGrid w:val="0"/>
        <w:spacing w:before="0" w:beforeAutospacing="0" w:after="0" w:afterAutospacing="0" w:line="500" w:lineRule="exact"/>
        <w:ind w:firstLine="420" w:firstLineChars="200"/>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val="en" w:bidi="ar"/>
        </w:rPr>
        <w:t>1</w:t>
      </w:r>
      <w:r>
        <w:rPr>
          <w:rFonts w:hint="eastAsia" w:ascii="宋体" w:hAnsi="宋体" w:eastAsia="宋体" w:cs="宋体"/>
          <w:color w:val="auto"/>
          <w:sz w:val="21"/>
          <w:szCs w:val="21"/>
          <w:highlight w:val="none"/>
          <w:lang w:bidi="ar"/>
        </w:rPr>
        <w:t>.3.6可享受中小企业扶持政策的供应商应按照采购文件格式要求提供《中小企业声明函》，供应商提供的《中小企业声明函》与实际情况不符的，供应商未按采购文件要求提供国家确定的认证机构出具的、处于有效期之内的产品认证证书的，不享受中小企业扶持政策。声明内容不实的，属于提供虚假材料谋取中标、成交的，依法承担法律责任。</w:t>
      </w:r>
    </w:p>
    <w:p>
      <w:pPr>
        <w:pStyle w:val="18"/>
        <w:adjustRightInd w:val="0"/>
        <w:snapToGrid w:val="0"/>
        <w:spacing w:before="0" w:beforeAutospacing="0" w:after="0" w:afterAutospacing="0" w:line="500" w:lineRule="exact"/>
        <w:ind w:firstLine="420" w:firstLineChars="200"/>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val="en" w:bidi="ar"/>
        </w:rPr>
        <w:t>1</w:t>
      </w:r>
      <w:r>
        <w:rPr>
          <w:rFonts w:hint="eastAsia" w:ascii="宋体" w:hAnsi="宋体" w:eastAsia="宋体" w:cs="宋体"/>
          <w:color w:val="auto"/>
          <w:sz w:val="21"/>
          <w:szCs w:val="21"/>
          <w:highlight w:val="none"/>
          <w:lang w:bidi="ar"/>
        </w:rPr>
        <w:t>.3.7中小企业享受扶持政策获得政府采购合同的，小微企业不得将合同分包给大中型企业，中型企业不得将合同分包给大型企业。</w:t>
      </w:r>
    </w:p>
    <w:p>
      <w:pPr>
        <w:pStyle w:val="18"/>
        <w:adjustRightInd w:val="0"/>
        <w:snapToGrid w:val="0"/>
        <w:spacing w:before="0" w:beforeAutospacing="0" w:after="0" w:afterAutospacing="0" w:line="500" w:lineRule="exact"/>
        <w:ind w:firstLine="420" w:firstLineChars="200"/>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val="en" w:bidi="ar"/>
        </w:rPr>
        <w:t>1</w:t>
      </w:r>
      <w:r>
        <w:rPr>
          <w:rFonts w:hint="eastAsia" w:ascii="宋体" w:hAnsi="宋体" w:eastAsia="宋体" w:cs="宋体"/>
          <w:color w:val="auto"/>
          <w:sz w:val="21"/>
          <w:szCs w:val="21"/>
          <w:highlight w:val="none"/>
          <w:lang w:bidi="ar"/>
        </w:rPr>
        <w:t>.4支持创新发展</w:t>
      </w:r>
    </w:p>
    <w:p>
      <w:pPr>
        <w:pStyle w:val="18"/>
        <w:adjustRightInd w:val="0"/>
        <w:snapToGrid w:val="0"/>
        <w:spacing w:before="0" w:beforeAutospacing="0" w:after="0" w:afterAutospacing="0" w:line="500" w:lineRule="exact"/>
        <w:ind w:firstLine="420" w:firstLineChars="200"/>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val="en" w:bidi="ar"/>
        </w:rPr>
        <w:t>1</w:t>
      </w:r>
      <w:r>
        <w:rPr>
          <w:rFonts w:hint="eastAsia" w:ascii="宋体" w:hAnsi="宋体" w:eastAsia="宋体" w:cs="宋体"/>
          <w:color w:val="auto"/>
          <w:sz w:val="21"/>
          <w:szCs w:val="21"/>
          <w:highlight w:val="none"/>
          <w:lang w:bidi="ar"/>
        </w:rPr>
        <w:t>.4.1 招标人优先采购被认定为首台套产品和“制造精品”的自主创新产品。</w:t>
      </w:r>
    </w:p>
    <w:p>
      <w:pPr>
        <w:pStyle w:val="18"/>
        <w:adjustRightInd w:val="0"/>
        <w:snapToGrid w:val="0"/>
        <w:spacing w:before="0" w:beforeAutospacing="0" w:after="0" w:afterAutospacing="0" w:line="500" w:lineRule="exact"/>
        <w:ind w:firstLine="420" w:firstLineChars="200"/>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val="en" w:bidi="ar"/>
        </w:rPr>
        <w:t>1</w:t>
      </w:r>
      <w:r>
        <w:rPr>
          <w:rFonts w:hint="eastAsia" w:ascii="宋体" w:hAnsi="宋体" w:eastAsia="宋体" w:cs="宋体"/>
          <w:color w:val="auto"/>
          <w:sz w:val="21"/>
          <w:szCs w:val="21"/>
          <w:highlight w:val="none"/>
          <w:lang w:bidi="ar"/>
        </w:rPr>
        <w:t>.4.2</w:t>
      </w:r>
      <w:r>
        <w:rPr>
          <w:rFonts w:hint="eastAsia" w:ascii="宋体" w:hAnsi="宋体" w:eastAsia="宋体" w:cs="宋体"/>
          <w:b/>
          <w:bCs/>
          <w:color w:val="auto"/>
          <w:sz w:val="21"/>
          <w:szCs w:val="21"/>
          <w:highlight w:val="none"/>
          <w:lang w:bidi="ar"/>
        </w:rPr>
        <w:t>首台套产品被纳入《首台套产品推广应用指导目录》之日起3年内，以及产品核心技术高于国内领先水平，并具有明晰自主知识产权的“制造精品”产品，自认定之日起3年内视同已具备相应销售业绩，参加政府采购活动时业绩分值为满分</w:t>
      </w:r>
      <w:r>
        <w:rPr>
          <w:rFonts w:hint="eastAsia" w:ascii="宋体" w:hAnsi="宋体" w:eastAsia="宋体" w:cs="宋体"/>
          <w:color w:val="auto"/>
          <w:sz w:val="21"/>
          <w:szCs w:val="21"/>
          <w:highlight w:val="none"/>
          <w:lang w:bidi="ar"/>
        </w:rPr>
        <w:t>。</w:t>
      </w:r>
    </w:p>
    <w:p>
      <w:pPr>
        <w:autoSpaceDE/>
        <w:autoSpaceDN/>
        <w:adjustRightInd/>
        <w:spacing w:line="500" w:lineRule="exact"/>
        <w:ind w:firstLine="420" w:firstLineChars="200"/>
        <w:jc w:val="both"/>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lang w:val="en" w:bidi="ar"/>
        </w:rPr>
        <w:t>1</w:t>
      </w:r>
      <w:r>
        <w:rPr>
          <w:rFonts w:hint="eastAsia" w:ascii="宋体" w:hAnsi="宋体" w:eastAsia="宋体" w:cs="宋体"/>
          <w:color w:val="auto"/>
          <w:sz w:val="21"/>
          <w:szCs w:val="21"/>
          <w:highlight w:val="none"/>
          <w:lang w:bidi="ar"/>
        </w:rPr>
        <w:t>.5中小企业信用融资：为支持和促进中小企业发展，进一步发挥政府采购政策功能， 省财政厅、浙江银监局、省金融办制定了《浙江省政府采购支持中小企业信用融资试点办法》浙财采监[2012]13号），所称的政府采购信用融资，是指银行业金融机构（以下简称银行）以政府采购诚信考核和信用审查为基础，凭借政府采购合同，按优于一般中小企业的贷款利率直接向申请贷款的投标人发放贷款的一种融资方式。投标人可登录浙江政府采购（https://zfcg.czt.zj.gov.cn/）的中小企业信用融资栏目了解相关信息。供应商可以通过浙江政府采购网（https://zfcg.czt.zj.gov.cn/）首页的“浙江政采贷”模块进入申请，还可以通过政府采购云平台（https://www.zcygov.cn/）首页的“金融服务”模块进入申请。</w:t>
      </w:r>
    </w:p>
    <w:p>
      <w:pPr>
        <w:autoSpaceDE/>
        <w:autoSpaceDN/>
        <w:adjustRightInd/>
        <w:spacing w:line="500" w:lineRule="exact"/>
        <w:ind w:firstLine="422" w:firstLineChars="200"/>
        <w:jc w:val="both"/>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三、总则</w:t>
      </w:r>
    </w:p>
    <w:p>
      <w:pPr>
        <w:autoSpaceDE/>
        <w:autoSpaceDN/>
        <w:adjustRightInd/>
        <w:spacing w:line="500" w:lineRule="exact"/>
        <w:ind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本次评标采用综合评分法，总分为100分，</w:t>
      </w:r>
      <w:r>
        <w:rPr>
          <w:rFonts w:hint="eastAsia" w:hAnsi="宋体" w:cs="宋体"/>
          <w:color w:val="auto"/>
          <w:sz w:val="21"/>
          <w:szCs w:val="21"/>
          <w:highlight w:val="none"/>
          <w:lang w:val="en-US" w:eastAsia="zh-CN"/>
        </w:rPr>
        <w:t>由</w:t>
      </w:r>
      <w:r>
        <w:rPr>
          <w:rFonts w:hint="eastAsia" w:hAnsi="宋体" w:cs="宋体"/>
          <w:color w:val="auto"/>
          <w:sz w:val="21"/>
          <w:szCs w:val="21"/>
          <w:highlight w:val="none"/>
          <w:lang w:eastAsia="zh-CN"/>
        </w:rPr>
        <w:t>报价分</w:t>
      </w:r>
      <w:r>
        <w:rPr>
          <w:rFonts w:hint="eastAsia" w:hAnsi="宋体" w:cs="宋体"/>
          <w:color w:val="auto"/>
          <w:sz w:val="21"/>
          <w:szCs w:val="21"/>
          <w:highlight w:val="none"/>
          <w:lang w:val="en-US" w:eastAsia="zh-CN"/>
        </w:rPr>
        <w:t>30</w:t>
      </w:r>
      <w:r>
        <w:rPr>
          <w:rFonts w:hint="eastAsia" w:ascii="宋体" w:hAnsi="宋体" w:eastAsia="宋体" w:cs="宋体"/>
          <w:color w:val="auto"/>
          <w:sz w:val="21"/>
          <w:szCs w:val="21"/>
          <w:highlight w:val="none"/>
        </w:rPr>
        <w:t>分、</w:t>
      </w:r>
      <w:r>
        <w:rPr>
          <w:rFonts w:hint="eastAsia" w:hAnsi="宋体" w:cs="宋体"/>
          <w:color w:val="auto"/>
          <w:sz w:val="21"/>
          <w:szCs w:val="21"/>
          <w:highlight w:val="none"/>
          <w:lang w:eastAsia="zh-CN"/>
        </w:rPr>
        <w:t>商务技术</w:t>
      </w:r>
      <w:r>
        <w:rPr>
          <w:rFonts w:hint="eastAsia" w:ascii="宋体" w:hAnsi="宋体" w:eastAsia="宋体" w:cs="宋体"/>
          <w:color w:val="auto"/>
          <w:sz w:val="21"/>
          <w:szCs w:val="21"/>
          <w:highlight w:val="none"/>
        </w:rPr>
        <w:t>分</w:t>
      </w:r>
      <w:r>
        <w:rPr>
          <w:rFonts w:hint="eastAsia" w:hAnsi="宋体" w:cs="宋体"/>
          <w:color w:val="auto"/>
          <w:sz w:val="21"/>
          <w:szCs w:val="21"/>
          <w:highlight w:val="none"/>
          <w:lang w:val="en-US" w:eastAsia="zh-CN"/>
        </w:rPr>
        <w:t>70</w:t>
      </w:r>
      <w:r>
        <w:rPr>
          <w:rFonts w:hint="eastAsia" w:ascii="宋体" w:hAnsi="宋体" w:eastAsia="宋体" w:cs="宋体"/>
          <w:color w:val="auto"/>
          <w:sz w:val="21"/>
          <w:szCs w:val="21"/>
          <w:highlight w:val="none"/>
        </w:rPr>
        <w:t>分等二部分</w:t>
      </w:r>
      <w:r>
        <w:rPr>
          <w:rFonts w:hint="eastAsia" w:hAnsi="宋体" w:cs="宋体"/>
          <w:color w:val="auto"/>
          <w:sz w:val="21"/>
          <w:szCs w:val="21"/>
          <w:highlight w:val="none"/>
          <w:lang w:val="en-US" w:eastAsia="zh-CN"/>
        </w:rPr>
        <w:t>组成</w:t>
      </w:r>
      <w:r>
        <w:rPr>
          <w:rFonts w:hint="eastAsia" w:ascii="宋体" w:hAnsi="宋体" w:eastAsia="宋体" w:cs="宋体"/>
          <w:color w:val="auto"/>
          <w:sz w:val="21"/>
          <w:szCs w:val="21"/>
          <w:highlight w:val="none"/>
        </w:rPr>
        <w:t>。合格投标人的评标得分为各项目汇总得分，中标候选资格按评标得分由高到低顺序排列；得分相同的，按投标报价由低到高顺序排列；汇总得分及报价均相同的，按</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投标人的污泥处理处置技术与能力</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得分由高到低顺序排列。排名第一的投标人为中标候选人，排名第二的投标人为候补中标候选人……其他投标人中标候选资格依此类推。评分过程中采用四舍五入法，并保留小数2位。</w:t>
      </w:r>
    </w:p>
    <w:p>
      <w:pPr>
        <w:autoSpaceDE/>
        <w:autoSpaceDN/>
        <w:adjustRightInd/>
        <w:spacing w:line="500" w:lineRule="exact"/>
        <w:ind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投标人评标综合得分=</w:t>
      </w:r>
      <w:r>
        <w:rPr>
          <w:rFonts w:hint="eastAsia" w:hAnsi="宋体" w:cs="宋体"/>
          <w:color w:val="auto"/>
          <w:sz w:val="21"/>
          <w:szCs w:val="21"/>
          <w:highlight w:val="none"/>
          <w:lang w:eastAsia="zh-CN"/>
        </w:rPr>
        <w:t>报价分</w:t>
      </w:r>
      <w:r>
        <w:rPr>
          <w:rFonts w:hint="eastAsia" w:ascii="宋体" w:hAnsi="宋体" w:eastAsia="宋体" w:cs="宋体"/>
          <w:color w:val="auto"/>
          <w:sz w:val="21"/>
          <w:szCs w:val="21"/>
          <w:highlight w:val="none"/>
        </w:rPr>
        <w:t>+</w:t>
      </w:r>
      <w:r>
        <w:rPr>
          <w:rFonts w:hint="eastAsia" w:hAnsi="宋体" w:cs="宋体"/>
          <w:color w:val="auto"/>
          <w:sz w:val="21"/>
          <w:szCs w:val="21"/>
          <w:highlight w:val="none"/>
          <w:lang w:eastAsia="zh-CN"/>
        </w:rPr>
        <w:t>商务技术</w:t>
      </w:r>
      <w:r>
        <w:rPr>
          <w:rFonts w:hint="eastAsia" w:ascii="宋体" w:hAnsi="宋体" w:eastAsia="宋体" w:cs="宋体"/>
          <w:color w:val="auto"/>
          <w:sz w:val="21"/>
          <w:szCs w:val="21"/>
          <w:highlight w:val="none"/>
        </w:rPr>
        <w:t>分。</w:t>
      </w:r>
    </w:p>
    <w:p>
      <w:pPr>
        <w:autoSpaceDE/>
        <w:autoSpaceDN/>
        <w:adjustRightInd/>
        <w:spacing w:line="500" w:lineRule="exact"/>
        <w:ind w:firstLine="422" w:firstLineChars="200"/>
        <w:jc w:val="both"/>
        <w:rPr>
          <w:rFonts w:hint="eastAsia" w:ascii="宋体" w:hAnsi="宋体" w:eastAsia="宋体" w:cs="宋体"/>
          <w:b/>
          <w:color w:val="auto"/>
          <w:sz w:val="21"/>
          <w:szCs w:val="21"/>
          <w:highlight w:val="none"/>
        </w:rPr>
      </w:pPr>
      <w:r>
        <w:rPr>
          <w:rFonts w:hint="eastAsia" w:hAnsi="宋体" w:cs="宋体"/>
          <w:b/>
          <w:color w:val="auto"/>
          <w:sz w:val="21"/>
          <w:szCs w:val="21"/>
          <w:highlight w:val="none"/>
          <w:lang w:eastAsia="zh-CN"/>
        </w:rPr>
        <w:t>商务技术</w:t>
      </w:r>
      <w:r>
        <w:rPr>
          <w:rFonts w:hint="eastAsia" w:ascii="宋体" w:hAnsi="宋体" w:eastAsia="宋体" w:cs="宋体"/>
          <w:b/>
          <w:color w:val="auto"/>
          <w:sz w:val="21"/>
          <w:szCs w:val="21"/>
          <w:highlight w:val="none"/>
        </w:rPr>
        <w:t>分=（评审小组所有成员评分合计数）/（评审小组组成人员数）</w:t>
      </w:r>
    </w:p>
    <w:p>
      <w:pPr>
        <w:autoSpaceDE/>
        <w:autoSpaceDN/>
        <w:adjustRightInd/>
        <w:spacing w:line="500" w:lineRule="exact"/>
        <w:ind w:firstLine="422" w:firstLineChars="200"/>
        <w:jc w:val="both"/>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四、评标内容及标准</w:t>
      </w:r>
    </w:p>
    <w:p>
      <w:pPr>
        <w:autoSpaceDE/>
        <w:autoSpaceDN/>
        <w:adjustRightInd/>
        <w:spacing w:line="500" w:lineRule="exact"/>
        <w:ind w:firstLine="422" w:firstLineChars="200"/>
        <w:jc w:val="both"/>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（一）</w:t>
      </w:r>
      <w:r>
        <w:rPr>
          <w:rFonts w:hint="eastAsia" w:hAnsi="宋体" w:cs="宋体"/>
          <w:b/>
          <w:color w:val="auto"/>
          <w:sz w:val="21"/>
          <w:szCs w:val="21"/>
          <w:highlight w:val="none"/>
          <w:lang w:eastAsia="zh-CN"/>
        </w:rPr>
        <w:t>报价分</w:t>
      </w:r>
      <w:r>
        <w:rPr>
          <w:rFonts w:hint="eastAsia" w:ascii="宋体" w:hAnsi="宋体" w:eastAsia="宋体" w:cs="宋体"/>
          <w:b/>
          <w:color w:val="auto"/>
          <w:sz w:val="21"/>
          <w:szCs w:val="21"/>
          <w:highlight w:val="none"/>
        </w:rPr>
        <w:t>（</w:t>
      </w:r>
      <w:r>
        <w:rPr>
          <w:rFonts w:hint="eastAsia" w:hAnsi="宋体" w:cs="宋体"/>
          <w:b/>
          <w:color w:val="auto"/>
          <w:sz w:val="21"/>
          <w:szCs w:val="21"/>
          <w:highlight w:val="none"/>
          <w:lang w:val="en-US" w:eastAsia="zh-CN"/>
        </w:rPr>
        <w:t>30</w:t>
      </w:r>
      <w:r>
        <w:rPr>
          <w:rFonts w:hint="eastAsia" w:ascii="宋体" w:hAnsi="宋体" w:eastAsia="宋体" w:cs="宋体"/>
          <w:b/>
          <w:color w:val="auto"/>
          <w:sz w:val="21"/>
          <w:szCs w:val="21"/>
          <w:highlight w:val="none"/>
        </w:rPr>
        <w:t>分）</w:t>
      </w:r>
    </w:p>
    <w:p>
      <w:pPr>
        <w:autoSpaceDE/>
        <w:autoSpaceDN/>
        <w:adjustRightInd/>
        <w:spacing w:line="500" w:lineRule="exact"/>
        <w:ind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hAnsi="宋体" w:cs="宋体"/>
          <w:color w:val="auto"/>
          <w:sz w:val="21"/>
          <w:szCs w:val="21"/>
          <w:highlight w:val="none"/>
          <w:lang w:eastAsia="zh-CN"/>
        </w:rPr>
        <w:t>报价分</w:t>
      </w:r>
      <w:r>
        <w:rPr>
          <w:rFonts w:hint="eastAsia" w:ascii="宋体" w:hAnsi="宋体" w:eastAsia="宋体" w:cs="宋体"/>
          <w:color w:val="auto"/>
          <w:sz w:val="21"/>
          <w:szCs w:val="21"/>
          <w:highlight w:val="none"/>
        </w:rPr>
        <w:t>采用低价优先法计算，即：以满足招标文件要求且投标</w:t>
      </w:r>
      <w:r>
        <w:rPr>
          <w:rFonts w:hint="eastAsia" w:hAnsi="宋体" w:cs="宋体"/>
          <w:color w:val="auto"/>
          <w:sz w:val="21"/>
          <w:szCs w:val="21"/>
          <w:highlight w:val="none"/>
          <w:lang w:val="en-US" w:eastAsia="zh-CN"/>
        </w:rPr>
        <w:t>价格</w:t>
      </w:r>
      <w:r>
        <w:rPr>
          <w:rFonts w:hint="eastAsia" w:ascii="宋体" w:hAnsi="宋体" w:eastAsia="宋体" w:cs="宋体"/>
          <w:color w:val="auto"/>
          <w:sz w:val="21"/>
          <w:szCs w:val="21"/>
          <w:highlight w:val="none"/>
        </w:rPr>
        <w:t>最低价者</w:t>
      </w:r>
      <w:r>
        <w:rPr>
          <w:rFonts w:hint="eastAsia" w:hAnsi="宋体" w:cs="宋体"/>
          <w:color w:val="auto"/>
          <w:sz w:val="21"/>
          <w:szCs w:val="21"/>
          <w:highlight w:val="none"/>
          <w:lang w:val="en-US" w:eastAsia="zh-CN"/>
        </w:rPr>
        <w:t>的投标报价</w:t>
      </w:r>
      <w:r>
        <w:rPr>
          <w:rFonts w:hint="eastAsia" w:ascii="宋体" w:hAnsi="宋体" w:eastAsia="宋体" w:cs="宋体"/>
          <w:color w:val="auto"/>
          <w:sz w:val="21"/>
          <w:szCs w:val="21"/>
          <w:highlight w:val="none"/>
        </w:rPr>
        <w:t>定为评标基准价，其</w:t>
      </w:r>
      <w:r>
        <w:rPr>
          <w:rFonts w:hint="eastAsia" w:hAnsi="宋体" w:cs="宋体"/>
          <w:color w:val="auto"/>
          <w:sz w:val="21"/>
          <w:szCs w:val="21"/>
          <w:highlight w:val="none"/>
          <w:lang w:eastAsia="zh-CN"/>
        </w:rPr>
        <w:t>报价分</w:t>
      </w:r>
      <w:r>
        <w:rPr>
          <w:rFonts w:hint="eastAsia" w:ascii="宋体" w:hAnsi="宋体" w:eastAsia="宋体" w:cs="宋体"/>
          <w:color w:val="auto"/>
          <w:sz w:val="21"/>
          <w:szCs w:val="21"/>
          <w:highlight w:val="none"/>
        </w:rPr>
        <w:t>为满分。其他投标人的</w:t>
      </w:r>
      <w:r>
        <w:rPr>
          <w:rFonts w:hint="eastAsia" w:hAnsi="宋体" w:cs="宋体"/>
          <w:color w:val="auto"/>
          <w:sz w:val="21"/>
          <w:szCs w:val="21"/>
          <w:highlight w:val="none"/>
          <w:lang w:eastAsia="zh-CN"/>
        </w:rPr>
        <w:t>报价分</w:t>
      </w:r>
      <w:r>
        <w:rPr>
          <w:rFonts w:hint="eastAsia" w:ascii="宋体" w:hAnsi="宋体" w:eastAsia="宋体" w:cs="宋体"/>
          <w:color w:val="auto"/>
          <w:sz w:val="21"/>
          <w:szCs w:val="21"/>
          <w:highlight w:val="none"/>
        </w:rPr>
        <w:t>统一按照下列公式计算：</w:t>
      </w:r>
    </w:p>
    <w:p>
      <w:pPr>
        <w:pStyle w:val="9"/>
        <w:snapToGrid w:val="0"/>
        <w:spacing w:line="500" w:lineRule="exact"/>
        <w:ind w:firstLine="420" w:firstLineChars="200"/>
        <w:rPr>
          <w:rFonts w:hint="eastAsia" w:ascii="宋体" w:hAnsi="宋体" w:eastAsia="宋体" w:cs="宋体"/>
          <w:color w:val="auto"/>
          <w:highlight w:val="none"/>
        </w:rPr>
      </w:pPr>
      <w:r>
        <w:rPr>
          <w:rFonts w:hint="eastAsia" w:ascii="宋体" w:hAnsi="宋体" w:eastAsia="宋体" w:cs="宋体"/>
          <w:color w:val="auto"/>
          <w:sz w:val="21"/>
          <w:szCs w:val="21"/>
          <w:highlight w:val="none"/>
        </w:rPr>
        <w:t>其他投标人的</w:t>
      </w:r>
      <w:r>
        <w:rPr>
          <w:rFonts w:hint="eastAsia" w:ascii="宋体" w:hAnsi="宋体" w:cs="宋体"/>
          <w:color w:val="auto"/>
          <w:sz w:val="21"/>
          <w:szCs w:val="21"/>
          <w:highlight w:val="none"/>
          <w:lang w:eastAsia="zh-CN"/>
        </w:rPr>
        <w:t>报价分</w:t>
      </w:r>
      <w:r>
        <w:rPr>
          <w:rFonts w:hint="eastAsia" w:ascii="宋体" w:hAnsi="宋体" w:eastAsia="宋体" w:cs="宋体"/>
          <w:color w:val="auto"/>
          <w:sz w:val="21"/>
          <w:szCs w:val="21"/>
          <w:highlight w:val="none"/>
        </w:rPr>
        <w:t>=（评标基准价/投标人投标报价）×</w:t>
      </w:r>
      <w:r>
        <w:rPr>
          <w:rFonts w:hint="eastAsia" w:ascii="宋体" w:hAnsi="宋体" w:cs="宋体"/>
          <w:color w:val="auto"/>
          <w:sz w:val="21"/>
          <w:szCs w:val="21"/>
          <w:highlight w:val="none"/>
          <w:lang w:val="en-US" w:eastAsia="zh-CN"/>
        </w:rPr>
        <w:t>30</w:t>
      </w:r>
      <w:r>
        <w:rPr>
          <w:rFonts w:hint="eastAsia" w:ascii="宋体" w:hAnsi="宋体" w:eastAsia="宋体" w:cs="宋体"/>
          <w:color w:val="auto"/>
          <w:sz w:val="21"/>
          <w:szCs w:val="21"/>
          <w:highlight w:val="none"/>
        </w:rPr>
        <w:t>%×100</w:t>
      </w:r>
    </w:p>
    <w:p>
      <w:pPr>
        <w:autoSpaceDE/>
        <w:autoSpaceDN/>
        <w:snapToGrid w:val="0"/>
        <w:spacing w:line="500" w:lineRule="exact"/>
        <w:ind w:firstLine="420" w:firstLineChars="200"/>
        <w:rPr>
          <w:rFonts w:hint="eastAsia" w:ascii="宋体" w:hAnsi="宋体" w:eastAsia="宋体" w:cs="宋体"/>
          <w:color w:val="auto"/>
          <w:sz w:val="21"/>
          <w:szCs w:val="21"/>
          <w:highlight w:val="none"/>
        </w:rPr>
      </w:pPr>
      <w:r>
        <w:rPr>
          <w:rFonts w:hint="eastAsia" w:hAnsi="宋体" w:cs="宋体"/>
          <w:color w:val="auto"/>
          <w:sz w:val="21"/>
          <w:szCs w:val="21"/>
          <w:highlight w:val="none"/>
          <w:lang w:val="en-US" w:eastAsia="zh-CN"/>
        </w:rPr>
        <w:t>报价</w:t>
      </w:r>
      <w:r>
        <w:rPr>
          <w:rFonts w:hint="eastAsia" w:ascii="宋体" w:hAnsi="宋体" w:eastAsia="宋体" w:cs="宋体"/>
          <w:color w:val="auto"/>
          <w:sz w:val="21"/>
          <w:szCs w:val="21"/>
          <w:highlight w:val="none"/>
        </w:rPr>
        <w:t>评审过程中，评标委员会认为投标人的报价明显低于其他通过符合性审查投标人的报价，有可能影响服务质量或者不能诚信履约的，应当要求其在评标现场合理的时间内提供书面说明，必要时提交相关证明材料；投标人不能证明其报价合理性的，评标委员会应当将其作为无效投标处理。在有效投标人数满足法定人数的前提下，评标委员会依次确定满足招标文件要求且投标</w:t>
      </w:r>
      <w:r>
        <w:rPr>
          <w:rFonts w:hint="eastAsia" w:hAnsi="宋体" w:cs="宋体"/>
          <w:color w:val="auto"/>
          <w:sz w:val="21"/>
          <w:szCs w:val="21"/>
          <w:highlight w:val="none"/>
          <w:lang w:val="en-US" w:eastAsia="zh-CN"/>
        </w:rPr>
        <w:t>价格</w:t>
      </w:r>
      <w:r>
        <w:rPr>
          <w:rFonts w:hint="eastAsia" w:ascii="宋体" w:hAnsi="宋体" w:eastAsia="宋体" w:cs="宋体"/>
          <w:color w:val="auto"/>
          <w:sz w:val="21"/>
          <w:szCs w:val="21"/>
          <w:highlight w:val="none"/>
        </w:rPr>
        <w:t>最低的有效投标报价为评标基准价。</w:t>
      </w:r>
    </w:p>
    <w:p>
      <w:pPr>
        <w:autoSpaceDE/>
        <w:autoSpaceDN/>
        <w:adjustRightInd/>
        <w:spacing w:line="500" w:lineRule="exact"/>
        <w:ind w:firstLine="422" w:firstLineChars="200"/>
        <w:jc w:val="both"/>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2.投标人的投标报价超过招标人设定的上限价（最高限价），按投标无效处理。</w:t>
      </w:r>
    </w:p>
    <w:p>
      <w:pPr>
        <w:numPr>
          <w:ilvl w:val="0"/>
          <w:numId w:val="2"/>
        </w:numPr>
        <w:autoSpaceDE/>
        <w:autoSpaceDN/>
        <w:adjustRightInd/>
        <w:snapToGrid w:val="0"/>
        <w:spacing w:line="500" w:lineRule="exact"/>
        <w:ind w:firstLine="422"/>
        <w:rPr>
          <w:rFonts w:hint="eastAsia" w:ascii="宋体" w:hAnsi="宋体" w:eastAsia="宋体" w:cs="宋体"/>
          <w:b/>
          <w:color w:val="auto"/>
          <w:sz w:val="21"/>
          <w:szCs w:val="21"/>
          <w:highlight w:val="none"/>
        </w:rPr>
      </w:pPr>
      <w:r>
        <w:rPr>
          <w:rFonts w:hint="eastAsia" w:hAnsi="宋体" w:cs="宋体"/>
          <w:b/>
          <w:color w:val="auto"/>
          <w:sz w:val="21"/>
          <w:szCs w:val="21"/>
          <w:highlight w:val="none"/>
          <w:lang w:eastAsia="zh-CN"/>
        </w:rPr>
        <w:t>商务技术</w:t>
      </w:r>
      <w:r>
        <w:rPr>
          <w:rFonts w:hint="eastAsia" w:ascii="宋体" w:hAnsi="宋体" w:eastAsia="宋体" w:cs="宋体"/>
          <w:b/>
          <w:color w:val="auto"/>
          <w:sz w:val="21"/>
          <w:szCs w:val="21"/>
          <w:highlight w:val="none"/>
        </w:rPr>
        <w:t>分（</w:t>
      </w:r>
      <w:r>
        <w:rPr>
          <w:rFonts w:hint="eastAsia" w:hAnsi="宋体" w:cs="宋体"/>
          <w:b/>
          <w:color w:val="auto"/>
          <w:sz w:val="21"/>
          <w:szCs w:val="21"/>
          <w:highlight w:val="none"/>
          <w:lang w:val="en-US" w:eastAsia="zh-CN"/>
        </w:rPr>
        <w:t>70</w:t>
      </w:r>
      <w:r>
        <w:rPr>
          <w:rFonts w:hint="eastAsia" w:ascii="宋体" w:hAnsi="宋体" w:eastAsia="宋体" w:cs="宋体"/>
          <w:b/>
          <w:color w:val="auto"/>
          <w:sz w:val="21"/>
          <w:szCs w:val="21"/>
          <w:highlight w:val="none"/>
        </w:rPr>
        <w:t>分）</w:t>
      </w:r>
    </w:p>
    <w:tbl>
      <w:tblPr>
        <w:tblStyle w:val="20"/>
        <w:tblW w:w="974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3"/>
        <w:gridCol w:w="1260"/>
        <w:gridCol w:w="7106"/>
        <w:gridCol w:w="7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673" w:type="dxa"/>
            <w:vAlign w:val="center"/>
          </w:tcPr>
          <w:p>
            <w:pPr>
              <w:tabs>
                <w:tab w:val="left" w:pos="203"/>
              </w:tabs>
              <w:snapToGrid w:val="0"/>
              <w:spacing w:before="0" w:beforeAutospacing="0" w:after="0" w:afterAutospacing="0" w:line="460" w:lineRule="exact"/>
              <w:ind w:left="0" w:firstLine="15" w:firstLineChars="7"/>
              <w:jc w:val="cente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序号</w:t>
            </w:r>
          </w:p>
        </w:tc>
        <w:tc>
          <w:tcPr>
            <w:tcW w:w="1260" w:type="dxa"/>
            <w:vAlign w:val="center"/>
          </w:tcPr>
          <w:p>
            <w:pPr>
              <w:tabs>
                <w:tab w:val="left" w:pos="203"/>
              </w:tabs>
              <w:snapToGrid w:val="0"/>
              <w:spacing w:before="0" w:beforeAutospacing="0" w:after="0" w:afterAutospacing="0" w:line="460" w:lineRule="exact"/>
              <w:ind w:left="0" w:firstLine="15" w:firstLineChars="7"/>
              <w:jc w:val="cente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评分内容</w:t>
            </w:r>
          </w:p>
        </w:tc>
        <w:tc>
          <w:tcPr>
            <w:tcW w:w="7106" w:type="dxa"/>
            <w:vAlign w:val="center"/>
          </w:tcPr>
          <w:p>
            <w:pPr>
              <w:tabs>
                <w:tab w:val="left" w:pos="203"/>
              </w:tabs>
              <w:snapToGrid w:val="0"/>
              <w:spacing w:before="0" w:beforeAutospacing="0" w:after="0" w:afterAutospacing="0" w:line="460" w:lineRule="exact"/>
              <w:ind w:left="0" w:firstLine="15" w:firstLineChars="7"/>
              <w:jc w:val="cente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评分标准</w:t>
            </w:r>
          </w:p>
        </w:tc>
        <w:tc>
          <w:tcPr>
            <w:tcW w:w="708" w:type="dxa"/>
            <w:vAlign w:val="center"/>
          </w:tcPr>
          <w:p>
            <w:pPr>
              <w:tabs>
                <w:tab w:val="left" w:pos="203"/>
              </w:tabs>
              <w:snapToGrid w:val="0"/>
              <w:spacing w:before="0" w:beforeAutospacing="0" w:after="0" w:afterAutospacing="0" w:line="460" w:lineRule="exact"/>
              <w:ind w:left="0" w:firstLine="15" w:firstLineChars="7"/>
              <w:jc w:val="cente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673" w:type="dxa"/>
            <w:vAlign w:val="center"/>
          </w:tcPr>
          <w:p>
            <w:pPr>
              <w:tabs>
                <w:tab w:val="left" w:pos="203"/>
              </w:tabs>
              <w:snapToGrid w:val="0"/>
              <w:spacing w:before="0" w:beforeAutospacing="0" w:after="0" w:afterAutospacing="0" w:line="460" w:lineRule="exact"/>
              <w:ind w:left="0" w:firstLine="14" w:firstLineChars="7"/>
              <w:jc w:val="center"/>
              <w:rPr>
                <w:rFonts w:hint="eastAsia" w:asciiTheme="minorEastAsia" w:hAnsiTheme="minorEastAsia" w:eastAsiaTheme="minorEastAsia" w:cstheme="minorEastAsia"/>
                <w:b/>
                <w:bCs/>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1</w:t>
            </w:r>
          </w:p>
        </w:tc>
        <w:tc>
          <w:tcPr>
            <w:tcW w:w="1260" w:type="dxa"/>
            <w:vAlign w:val="center"/>
          </w:tcPr>
          <w:p>
            <w:pPr>
              <w:snapToGrid w:val="0"/>
              <w:spacing w:line="460" w:lineRule="exact"/>
              <w:jc w:val="center"/>
              <w:rPr>
                <w:rFonts w:hint="eastAsia" w:asciiTheme="minorEastAsia" w:hAnsiTheme="minorEastAsia" w:eastAsiaTheme="minorEastAsia" w:cstheme="minorEastAsia"/>
                <w:b/>
                <w:color w:val="auto"/>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rPr>
              <w:t>政策分</w:t>
            </w:r>
          </w:p>
        </w:tc>
        <w:tc>
          <w:tcPr>
            <w:tcW w:w="7106" w:type="dxa"/>
            <w:vAlign w:val="center"/>
          </w:tcPr>
          <w:p>
            <w:pPr>
              <w:snapToGrid w:val="0"/>
              <w:spacing w:line="460" w:lineRule="exact"/>
              <w:ind w:right="0" w:rightChars="0"/>
              <w:rPr>
                <w:rFonts w:hint="eastAsia" w:asciiTheme="minorEastAsia" w:hAnsiTheme="minorEastAsia" w:eastAsiaTheme="minorEastAsia" w:cstheme="minorEastAsia"/>
                <w:b/>
                <w:color w:val="auto"/>
                <w:sz w:val="21"/>
                <w:szCs w:val="21"/>
                <w:highlight w:val="none"/>
                <w:lang w:val="en-US" w:eastAsia="zh-CN" w:bidi="ar-SA"/>
              </w:rPr>
            </w:pPr>
            <w:r>
              <w:rPr>
                <w:rFonts w:hint="eastAsia" w:hAnsi="宋体" w:cs="宋体"/>
                <w:color w:val="auto"/>
                <w:sz w:val="21"/>
                <w:szCs w:val="21"/>
                <w:highlight w:val="none"/>
              </w:rPr>
              <w:t>投标供应商符合《政府采购货物和服务招标投标管理办法》第五条规定，属“节约能源、保护环境、扶持不发达地区和少数民族地区等”政府采购政策扶持对象的（注：“促进中小企业发展”等政府采购政策评审时将在“价格分”中进行政策性价格扣除，此处不予以计分），提供相关证明材料和政策依据，每符合一项得0.5分，最高可得2分；未提供相关证明材料的不得分。（提供相关证明材料和政策依据备查）</w:t>
            </w:r>
          </w:p>
        </w:tc>
        <w:tc>
          <w:tcPr>
            <w:tcW w:w="708" w:type="dxa"/>
            <w:vAlign w:val="center"/>
          </w:tcPr>
          <w:p>
            <w:pPr>
              <w:snapToGrid w:val="0"/>
              <w:spacing w:line="460" w:lineRule="exact"/>
              <w:jc w:val="center"/>
              <w:rPr>
                <w:rFonts w:hint="eastAsia" w:asciiTheme="minorEastAsia" w:hAnsiTheme="minorEastAsia" w:eastAsiaTheme="minorEastAsia" w:cstheme="minorEastAsia"/>
                <w:b/>
                <w:color w:val="auto"/>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673" w:type="dxa"/>
            <w:vAlign w:val="center"/>
          </w:tcPr>
          <w:p>
            <w:pPr>
              <w:tabs>
                <w:tab w:val="left" w:pos="203"/>
              </w:tabs>
              <w:snapToGrid w:val="0"/>
              <w:spacing w:before="0" w:beforeAutospacing="0" w:after="0" w:afterAutospacing="0" w:line="460" w:lineRule="exact"/>
              <w:ind w:left="0" w:firstLine="14" w:firstLineChars="7"/>
              <w:jc w:val="center"/>
              <w:rPr>
                <w:rFonts w:hint="eastAsia" w:asciiTheme="minorEastAsia" w:hAnsiTheme="minorEastAsia" w:eastAsiaTheme="minorEastAsia" w:cstheme="minorEastAsia"/>
                <w:b w:val="0"/>
                <w:bCs w:val="0"/>
                <w:color w:val="auto"/>
                <w:sz w:val="21"/>
                <w:szCs w:val="21"/>
                <w:highlight w:val="none"/>
                <w:lang w:eastAsia="zh-CN"/>
              </w:rPr>
            </w:pPr>
            <w:r>
              <w:rPr>
                <w:rFonts w:hint="eastAsia" w:asciiTheme="minorEastAsia" w:hAnsiTheme="minorEastAsia" w:eastAsiaTheme="minorEastAsia" w:cstheme="minorEastAsia"/>
                <w:b w:val="0"/>
                <w:bCs w:val="0"/>
                <w:color w:val="auto"/>
                <w:sz w:val="21"/>
                <w:szCs w:val="21"/>
                <w:highlight w:val="none"/>
                <w:lang w:val="en-US" w:eastAsia="zh-CN"/>
              </w:rPr>
              <w:t>2</w:t>
            </w:r>
          </w:p>
        </w:tc>
        <w:tc>
          <w:tcPr>
            <w:tcW w:w="1260" w:type="dxa"/>
            <w:vAlign w:val="center"/>
          </w:tcPr>
          <w:p>
            <w:pPr>
              <w:tabs>
                <w:tab w:val="left" w:pos="203"/>
              </w:tabs>
              <w:snapToGrid w:val="0"/>
              <w:spacing w:before="0" w:beforeAutospacing="0" w:after="0" w:afterAutospacing="0" w:line="460" w:lineRule="exact"/>
              <w:ind w:left="0" w:firstLine="14" w:firstLineChars="7"/>
              <w:jc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rPr>
              <w:t>管理体系认证</w:t>
            </w:r>
          </w:p>
        </w:tc>
        <w:tc>
          <w:tcPr>
            <w:tcW w:w="7106" w:type="dxa"/>
            <w:vAlign w:val="center"/>
          </w:tcPr>
          <w:p>
            <w:pPr>
              <w:tabs>
                <w:tab w:val="left" w:pos="203"/>
              </w:tabs>
              <w:snapToGrid w:val="0"/>
              <w:spacing w:before="0" w:beforeAutospacing="0" w:after="0" w:afterAutospacing="0" w:line="460" w:lineRule="exact"/>
              <w:ind w:firstLine="0" w:firstLineChars="0"/>
              <w:jc w:val="both"/>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rPr>
              <w:t>投标人</w:t>
            </w:r>
            <w:r>
              <w:rPr>
                <w:rFonts w:hint="eastAsia" w:asciiTheme="minorEastAsia" w:hAnsiTheme="minorEastAsia" w:eastAsiaTheme="minorEastAsia" w:cstheme="minorEastAsia"/>
                <w:b w:val="0"/>
                <w:bCs w:val="0"/>
                <w:color w:val="auto"/>
                <w:sz w:val="21"/>
                <w:szCs w:val="21"/>
                <w:highlight w:val="none"/>
                <w:lang w:val="en-US" w:eastAsia="zh-CN"/>
              </w:rPr>
              <w:t>（或联合体牵头单位）</w:t>
            </w:r>
            <w:r>
              <w:rPr>
                <w:rFonts w:hint="eastAsia" w:asciiTheme="minorEastAsia" w:hAnsiTheme="minorEastAsia" w:eastAsiaTheme="minorEastAsia" w:cstheme="minorEastAsia"/>
                <w:b w:val="0"/>
                <w:bCs w:val="0"/>
                <w:color w:val="auto"/>
                <w:sz w:val="21"/>
                <w:szCs w:val="21"/>
                <w:highlight w:val="none"/>
              </w:rPr>
              <w:t>提供有效期内的ISO9001质量管理体系认证证书、ISO14001环境管理体系认证证书、ISO45001职业健康安全管理体系认证证书（或OHSAS18001职业健康安全管理体系认证证书），每提供一个得1分。共3分（提供证书复印件并加盖</w:t>
            </w:r>
            <w:r>
              <w:rPr>
                <w:rFonts w:hint="eastAsia" w:asciiTheme="minorEastAsia" w:hAnsiTheme="minorEastAsia" w:eastAsiaTheme="minorEastAsia" w:cstheme="minorEastAsia"/>
                <w:b w:val="0"/>
                <w:bCs w:val="0"/>
                <w:color w:val="auto"/>
                <w:sz w:val="21"/>
                <w:szCs w:val="21"/>
                <w:highlight w:val="none"/>
                <w:lang w:val="en-US" w:eastAsia="zh-CN"/>
              </w:rPr>
              <w:t>投标人</w:t>
            </w:r>
            <w:r>
              <w:rPr>
                <w:rFonts w:hint="eastAsia" w:asciiTheme="minorEastAsia" w:hAnsiTheme="minorEastAsia" w:eastAsiaTheme="minorEastAsia" w:cstheme="minorEastAsia"/>
                <w:b w:val="0"/>
                <w:bCs w:val="0"/>
                <w:color w:val="auto"/>
                <w:sz w:val="21"/>
                <w:szCs w:val="21"/>
                <w:highlight w:val="none"/>
              </w:rPr>
              <w:t>公章）。本项满分3分。</w:t>
            </w:r>
          </w:p>
        </w:tc>
        <w:tc>
          <w:tcPr>
            <w:tcW w:w="708" w:type="dxa"/>
            <w:vAlign w:val="center"/>
          </w:tcPr>
          <w:p>
            <w:pPr>
              <w:tabs>
                <w:tab w:val="left" w:pos="203"/>
              </w:tabs>
              <w:snapToGrid w:val="0"/>
              <w:spacing w:before="0" w:beforeAutospacing="0" w:after="0" w:afterAutospacing="0" w:line="460" w:lineRule="exact"/>
              <w:ind w:left="0" w:firstLine="14" w:firstLineChars="7"/>
              <w:jc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673" w:type="dxa"/>
            <w:vAlign w:val="center"/>
          </w:tcPr>
          <w:p>
            <w:pPr>
              <w:tabs>
                <w:tab w:val="left" w:pos="203"/>
              </w:tabs>
              <w:snapToGrid w:val="0"/>
              <w:spacing w:before="0" w:beforeAutospacing="0" w:after="0" w:afterAutospacing="0" w:line="460" w:lineRule="exact"/>
              <w:ind w:left="0" w:leftChars="0" w:firstLine="14" w:firstLineChars="7"/>
              <w:jc w:val="center"/>
              <w:rPr>
                <w:rFonts w:hint="eastAsia" w:asciiTheme="minorEastAsia" w:hAnsiTheme="minorEastAsia" w:eastAsiaTheme="minorEastAsia" w:cstheme="minorEastAsia"/>
                <w:b w:val="0"/>
                <w:bCs w:val="0"/>
                <w:color w:val="auto"/>
                <w:sz w:val="21"/>
                <w:szCs w:val="21"/>
                <w:highlight w:val="none"/>
                <w:lang w:val="en-US" w:eastAsia="zh-CN" w:bidi="ar-SA"/>
              </w:rPr>
            </w:pPr>
            <w:r>
              <w:rPr>
                <w:rFonts w:hint="eastAsia" w:asciiTheme="minorEastAsia" w:hAnsiTheme="minorEastAsia" w:eastAsiaTheme="minorEastAsia" w:cstheme="minorEastAsia"/>
                <w:b w:val="0"/>
                <w:bCs w:val="0"/>
                <w:color w:val="auto"/>
                <w:sz w:val="21"/>
                <w:szCs w:val="21"/>
                <w:highlight w:val="none"/>
                <w:lang w:val="en-US" w:eastAsia="zh-CN"/>
              </w:rPr>
              <w:t>3</w:t>
            </w:r>
          </w:p>
        </w:tc>
        <w:tc>
          <w:tcPr>
            <w:tcW w:w="1260" w:type="dxa"/>
            <w:vAlign w:val="center"/>
          </w:tcPr>
          <w:p>
            <w:pPr>
              <w:pStyle w:val="40"/>
              <w:snapToGrid w:val="0"/>
              <w:spacing w:line="460" w:lineRule="exact"/>
              <w:jc w:val="center"/>
              <w:rPr>
                <w:rFonts w:hint="eastAsia" w:ascii="宋体" w:hAnsi="宋体" w:eastAsia="宋体" w:cs="宋体"/>
                <w:b/>
                <w:color w:val="auto"/>
                <w:kern w:val="2"/>
                <w:sz w:val="21"/>
                <w:szCs w:val="21"/>
                <w:highlight w:val="none"/>
                <w:lang w:val="en-US" w:eastAsia="zh-CN" w:bidi="ar-SA"/>
              </w:rPr>
            </w:pPr>
            <w:r>
              <w:rPr>
                <w:rFonts w:hint="eastAsia" w:ascii="宋体" w:hAnsi="宋体" w:eastAsia="宋体" w:cs="宋体"/>
                <w:color w:val="auto"/>
                <w:szCs w:val="21"/>
                <w:highlight w:val="none"/>
              </w:rPr>
              <w:t>业绩</w:t>
            </w:r>
          </w:p>
        </w:tc>
        <w:tc>
          <w:tcPr>
            <w:tcW w:w="7106" w:type="dxa"/>
            <w:vAlign w:val="center"/>
          </w:tcPr>
          <w:p>
            <w:pPr>
              <w:pStyle w:val="40"/>
              <w:snapToGrid w:val="0"/>
              <w:spacing w:line="460" w:lineRule="exact"/>
              <w:rPr>
                <w:rFonts w:hint="eastAsia" w:ascii="宋体" w:hAnsi="宋体" w:eastAsia="宋体" w:cs="宋体"/>
                <w:b/>
                <w:color w:val="auto"/>
                <w:kern w:val="2"/>
                <w:sz w:val="21"/>
                <w:szCs w:val="21"/>
                <w:highlight w:val="none"/>
                <w:lang w:val="en-US" w:eastAsia="zh-CN" w:bidi="ar-SA"/>
              </w:rPr>
            </w:pPr>
            <w:r>
              <w:rPr>
                <w:rFonts w:hint="eastAsia" w:ascii="宋体" w:hAnsi="宋体" w:eastAsia="宋体" w:cs="宋体"/>
                <w:color w:val="auto"/>
                <w:szCs w:val="21"/>
                <w:highlight w:val="none"/>
                <w:lang w:val="en-US" w:eastAsia="zh-CN"/>
              </w:rPr>
              <w:t>投标人</w:t>
            </w:r>
            <w:r>
              <w:rPr>
                <w:rFonts w:hint="eastAsia" w:ascii="宋体" w:hAnsi="宋体" w:cs="宋体"/>
                <w:color w:val="auto"/>
                <w:szCs w:val="21"/>
                <w:highlight w:val="none"/>
                <w:lang w:val="en-US" w:eastAsia="zh-CN"/>
              </w:rPr>
              <w:t>（或联合体牵头单位）</w:t>
            </w:r>
            <w:r>
              <w:rPr>
                <w:rFonts w:hint="eastAsia" w:ascii="宋体" w:hAnsi="宋体" w:eastAsia="宋体" w:cs="宋体"/>
                <w:color w:val="auto"/>
                <w:szCs w:val="21"/>
                <w:highlight w:val="none"/>
              </w:rPr>
              <w:t>自20</w:t>
            </w:r>
            <w:r>
              <w:rPr>
                <w:rFonts w:hint="eastAsia" w:ascii="宋体" w:hAnsi="宋体" w:eastAsia="宋体" w:cs="宋体"/>
                <w:color w:val="auto"/>
                <w:szCs w:val="21"/>
                <w:highlight w:val="none"/>
                <w:lang w:val="en-US" w:eastAsia="zh-CN"/>
              </w:rPr>
              <w:t>20</w:t>
            </w:r>
            <w:r>
              <w:rPr>
                <w:rFonts w:hint="eastAsia" w:ascii="宋体" w:hAnsi="宋体" w:eastAsia="宋体" w:cs="宋体"/>
                <w:color w:val="auto"/>
                <w:szCs w:val="21"/>
                <w:highlight w:val="none"/>
              </w:rPr>
              <w:t>年1月1日</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以合同签订为准</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起，投标人具有污泥处理处置同类业绩的每个得</w:t>
            </w:r>
            <w:r>
              <w:rPr>
                <w:rFonts w:hint="eastAsia" w:ascii="宋体" w:hAnsi="宋体" w:eastAsia="宋体" w:cs="宋体"/>
                <w:color w:val="auto"/>
                <w:szCs w:val="21"/>
                <w:highlight w:val="none"/>
                <w:lang w:val="en-US" w:eastAsia="zh-CN"/>
              </w:rPr>
              <w:t>0.5</w:t>
            </w:r>
            <w:r>
              <w:rPr>
                <w:rFonts w:hint="eastAsia" w:ascii="宋体" w:hAnsi="宋体" w:eastAsia="宋体" w:cs="宋体"/>
                <w:color w:val="auto"/>
                <w:szCs w:val="21"/>
                <w:highlight w:val="none"/>
              </w:rPr>
              <w:t>分，最高得</w:t>
            </w: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分。（</w:t>
            </w:r>
            <w:r>
              <w:rPr>
                <w:rFonts w:hint="eastAsia" w:ascii="宋体" w:hAnsi="宋体" w:eastAsia="宋体" w:cs="宋体"/>
                <w:color w:val="auto"/>
                <w:sz w:val="21"/>
                <w:szCs w:val="21"/>
                <w:highlight w:val="none"/>
                <w:lang w:val="en-US" w:eastAsia="zh-CN"/>
              </w:rPr>
              <w:t>须提供合同复印件或扫描件，加盖投标人公章，否则不得分。是否属于同类业绩以评标专家根据合同内容判定的结果为准。</w:t>
            </w:r>
            <w:r>
              <w:rPr>
                <w:rFonts w:hint="eastAsia" w:ascii="宋体" w:hAnsi="宋体" w:eastAsia="宋体" w:cs="宋体"/>
                <w:color w:val="auto"/>
                <w:szCs w:val="21"/>
                <w:highlight w:val="none"/>
              </w:rPr>
              <w:t>）</w:t>
            </w:r>
          </w:p>
        </w:tc>
        <w:tc>
          <w:tcPr>
            <w:tcW w:w="708" w:type="dxa"/>
            <w:vAlign w:val="center"/>
          </w:tcPr>
          <w:p>
            <w:pPr>
              <w:snapToGrid w:val="0"/>
              <w:spacing w:line="460" w:lineRule="exact"/>
              <w:jc w:val="center"/>
              <w:rPr>
                <w:rFonts w:hint="eastAsia" w:ascii="宋体" w:hAnsi="宋体" w:eastAsia="宋体" w:cs="宋体"/>
                <w:b/>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7" w:hRule="atLeast"/>
        </w:trPr>
        <w:tc>
          <w:tcPr>
            <w:tcW w:w="673" w:type="dxa"/>
            <w:vAlign w:val="center"/>
          </w:tcPr>
          <w:p>
            <w:pPr>
              <w:tabs>
                <w:tab w:val="left" w:pos="203"/>
              </w:tabs>
              <w:snapToGrid w:val="0"/>
              <w:spacing w:before="0" w:beforeAutospacing="0" w:after="0" w:afterAutospacing="0" w:line="460" w:lineRule="exact"/>
              <w:ind w:left="0" w:leftChars="0" w:firstLine="14" w:firstLineChars="7"/>
              <w:jc w:val="center"/>
              <w:rPr>
                <w:rFonts w:hint="eastAsia" w:asciiTheme="minorEastAsia" w:hAnsiTheme="minorEastAsia" w:eastAsiaTheme="minorEastAsia" w:cstheme="minorEastAsia"/>
                <w:b w:val="0"/>
                <w:bCs w:val="0"/>
                <w:color w:val="auto"/>
                <w:sz w:val="21"/>
                <w:szCs w:val="21"/>
                <w:highlight w:val="none"/>
                <w:lang w:val="en-US" w:eastAsia="zh-CN" w:bidi="ar-SA"/>
              </w:rPr>
            </w:pPr>
            <w:r>
              <w:rPr>
                <w:rFonts w:hint="eastAsia" w:asciiTheme="minorEastAsia" w:hAnsiTheme="minorEastAsia" w:eastAsiaTheme="minorEastAsia" w:cstheme="minorEastAsia"/>
                <w:b w:val="0"/>
                <w:bCs w:val="0"/>
                <w:color w:val="auto"/>
                <w:sz w:val="21"/>
                <w:szCs w:val="21"/>
                <w:highlight w:val="none"/>
                <w:lang w:val="en-US" w:eastAsia="zh-CN"/>
              </w:rPr>
              <w:t>4</w:t>
            </w:r>
          </w:p>
        </w:tc>
        <w:tc>
          <w:tcPr>
            <w:tcW w:w="1260" w:type="dxa"/>
            <w:vMerge w:val="restart"/>
            <w:vAlign w:val="center"/>
          </w:tcPr>
          <w:p>
            <w:pPr>
              <w:tabs>
                <w:tab w:val="left" w:pos="203"/>
              </w:tabs>
              <w:snapToGrid w:val="0"/>
              <w:spacing w:before="0" w:beforeAutospacing="0" w:after="0" w:afterAutospacing="0" w:line="460" w:lineRule="exact"/>
              <w:ind w:left="0" w:firstLine="14" w:firstLineChars="7"/>
              <w:jc w:val="center"/>
              <w:rPr>
                <w:rFonts w:hint="eastAsia" w:asciiTheme="minorEastAsia" w:hAnsiTheme="minorEastAsia" w:eastAsiaTheme="minorEastAsia" w:cstheme="minorEastAsia"/>
                <w:b w:val="0"/>
                <w:bCs w:val="0"/>
                <w:strike/>
                <w:dstrike w:val="0"/>
                <w:color w:val="auto"/>
                <w:sz w:val="21"/>
                <w:szCs w:val="21"/>
                <w:highlight w:val="none"/>
                <w:lang w:eastAsia="zh-CN"/>
              </w:rPr>
            </w:pPr>
            <w:r>
              <w:rPr>
                <w:rFonts w:hint="eastAsia" w:asciiTheme="minorEastAsia" w:hAnsiTheme="minorEastAsia" w:eastAsiaTheme="minorEastAsia" w:cstheme="minorEastAsia"/>
                <w:b w:val="0"/>
                <w:bCs w:val="0"/>
                <w:color w:val="auto"/>
                <w:sz w:val="21"/>
                <w:szCs w:val="21"/>
                <w:highlight w:val="none"/>
                <w:lang w:val="en-US" w:eastAsia="zh-CN"/>
              </w:rPr>
              <w:t>污泥处置能力</w:t>
            </w:r>
          </w:p>
        </w:tc>
        <w:tc>
          <w:tcPr>
            <w:tcW w:w="7106" w:type="dxa"/>
            <w:vAlign w:val="center"/>
          </w:tcPr>
          <w:p>
            <w:pPr>
              <w:pStyle w:val="40"/>
              <w:snapToGrid w:val="0"/>
              <w:spacing w:line="460" w:lineRule="exact"/>
              <w:rPr>
                <w:rFonts w:hint="eastAsia" w:asciiTheme="minorEastAsia" w:hAnsiTheme="minorEastAsia" w:eastAsiaTheme="minorEastAsia" w:cstheme="minorEastAsia"/>
                <w:b w:val="0"/>
                <w:bCs/>
                <w:color w:val="auto"/>
                <w:kern w:val="2"/>
                <w:sz w:val="21"/>
                <w:szCs w:val="21"/>
                <w:highlight w:val="none"/>
                <w:lang w:val="en-US" w:eastAsia="zh-CN" w:bidi="ar-SA"/>
              </w:rPr>
            </w:pPr>
            <w:r>
              <w:rPr>
                <w:rFonts w:hint="eastAsia" w:asciiTheme="minorEastAsia" w:hAnsiTheme="minorEastAsia" w:eastAsiaTheme="minorEastAsia" w:cstheme="minorEastAsia"/>
                <w:color w:val="auto"/>
                <w:szCs w:val="21"/>
                <w:highlight w:val="none"/>
              </w:rPr>
              <w:t>污泥处置的设备设施:根据投标人设备设施最大负荷的污泥处理处置能力与本项目污泥日处理处置量的匹配性进行打分，最高得6分，有欠缺或不合理的，每处扣0.5分，扣完为止。污泥处置能力低于本项目最大日产量的不得分。</w:t>
            </w:r>
            <w:r>
              <w:rPr>
                <w:rFonts w:hint="eastAsia" w:asciiTheme="minorEastAsia" w:hAnsiTheme="minorEastAsia" w:eastAsiaTheme="minorEastAsia" w:cstheme="minorEastAsia"/>
                <w:color w:val="auto"/>
                <w:szCs w:val="21"/>
                <w:highlight w:val="none"/>
                <w:lang w:eastAsia="zh-CN"/>
              </w:rPr>
              <w:t>（</w:t>
            </w:r>
            <w:r>
              <w:rPr>
                <w:rFonts w:hint="eastAsia" w:asciiTheme="minorEastAsia" w:hAnsiTheme="minorEastAsia" w:eastAsiaTheme="minorEastAsia" w:cstheme="minorEastAsia"/>
                <w:color w:val="auto"/>
                <w:szCs w:val="21"/>
                <w:highlight w:val="none"/>
              </w:rPr>
              <w:t>需提供相关证明材料)</w:t>
            </w:r>
          </w:p>
        </w:tc>
        <w:tc>
          <w:tcPr>
            <w:tcW w:w="708" w:type="dxa"/>
            <w:vAlign w:val="center"/>
          </w:tcPr>
          <w:p>
            <w:pPr>
              <w:snapToGrid w:val="0"/>
              <w:spacing w:line="460" w:lineRule="exact"/>
              <w:jc w:val="center"/>
              <w:rPr>
                <w:rFonts w:hint="eastAsia" w:asciiTheme="minorEastAsia" w:hAnsiTheme="minorEastAsia" w:eastAsiaTheme="minorEastAsia" w:cstheme="minorEastAsia"/>
                <w:color w:val="auto"/>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0" w:hRule="atLeast"/>
        </w:trPr>
        <w:tc>
          <w:tcPr>
            <w:tcW w:w="673" w:type="dxa"/>
            <w:vAlign w:val="center"/>
          </w:tcPr>
          <w:p>
            <w:pPr>
              <w:tabs>
                <w:tab w:val="left" w:pos="203"/>
              </w:tabs>
              <w:snapToGrid w:val="0"/>
              <w:spacing w:before="0" w:beforeAutospacing="0" w:after="0" w:afterAutospacing="0" w:line="460" w:lineRule="exact"/>
              <w:ind w:left="0" w:leftChars="0" w:firstLine="14" w:firstLineChars="7"/>
              <w:jc w:val="center"/>
              <w:rPr>
                <w:rFonts w:hint="eastAsia" w:asciiTheme="minorEastAsia" w:hAnsiTheme="minorEastAsia" w:eastAsiaTheme="minorEastAsia" w:cstheme="minorEastAsia"/>
                <w:b w:val="0"/>
                <w:bCs w:val="0"/>
                <w:color w:val="auto"/>
                <w:sz w:val="21"/>
                <w:szCs w:val="21"/>
                <w:highlight w:val="none"/>
                <w:lang w:val="en-US" w:eastAsia="zh-CN" w:bidi="ar-SA"/>
              </w:rPr>
            </w:pPr>
            <w:r>
              <w:rPr>
                <w:rFonts w:hint="eastAsia" w:asciiTheme="minorEastAsia" w:hAnsiTheme="minorEastAsia" w:eastAsiaTheme="minorEastAsia" w:cstheme="minorEastAsia"/>
                <w:b w:val="0"/>
                <w:bCs w:val="0"/>
                <w:color w:val="auto"/>
                <w:sz w:val="21"/>
                <w:szCs w:val="21"/>
                <w:highlight w:val="none"/>
                <w:lang w:val="en-US" w:eastAsia="zh-CN"/>
              </w:rPr>
              <w:t>5</w:t>
            </w:r>
          </w:p>
        </w:tc>
        <w:tc>
          <w:tcPr>
            <w:tcW w:w="1260" w:type="dxa"/>
            <w:vMerge w:val="continue"/>
            <w:vAlign w:val="center"/>
          </w:tcPr>
          <w:p>
            <w:pPr>
              <w:tabs>
                <w:tab w:val="left" w:pos="203"/>
              </w:tabs>
              <w:snapToGrid w:val="0"/>
              <w:spacing w:before="0" w:beforeAutospacing="0" w:after="0" w:afterAutospacing="0" w:line="460" w:lineRule="exact"/>
              <w:ind w:left="0" w:firstLine="14" w:firstLineChars="7"/>
              <w:jc w:val="center"/>
              <w:rPr>
                <w:rFonts w:hint="eastAsia" w:asciiTheme="minorEastAsia" w:hAnsiTheme="minorEastAsia" w:eastAsiaTheme="minorEastAsia" w:cstheme="minorEastAsia"/>
                <w:b w:val="0"/>
                <w:bCs w:val="0"/>
                <w:color w:val="auto"/>
                <w:sz w:val="21"/>
                <w:szCs w:val="21"/>
                <w:highlight w:val="none"/>
                <w:lang w:val="en-US" w:eastAsia="zh-CN"/>
              </w:rPr>
            </w:pPr>
          </w:p>
        </w:tc>
        <w:tc>
          <w:tcPr>
            <w:tcW w:w="7106" w:type="dxa"/>
            <w:vAlign w:val="center"/>
          </w:tcPr>
          <w:p>
            <w:pPr>
              <w:widowControl/>
              <w:tabs>
                <w:tab w:val="left" w:pos="203"/>
              </w:tabs>
              <w:adjustRightInd/>
              <w:snapToGrid w:val="0"/>
              <w:spacing w:line="460" w:lineRule="exact"/>
              <w:ind w:firstLine="14" w:firstLineChars="7"/>
              <w:jc w:val="left"/>
              <w:rPr>
                <w:rFonts w:hint="eastAsia" w:asciiTheme="minorEastAsia" w:hAnsiTheme="minorEastAsia" w:eastAsiaTheme="minorEastAsia" w:cstheme="minorEastAsia"/>
                <w:color w:val="auto"/>
                <w:sz w:val="21"/>
                <w:szCs w:val="21"/>
                <w:highlight w:val="none"/>
                <w:lang w:val="en-US" w:eastAsia="zh-CN" w:bidi="ar"/>
              </w:rPr>
            </w:pPr>
            <w:r>
              <w:rPr>
                <w:rFonts w:hint="eastAsia" w:asciiTheme="minorEastAsia" w:hAnsiTheme="minorEastAsia" w:eastAsiaTheme="minorEastAsia" w:cstheme="minorEastAsia"/>
                <w:color w:val="auto"/>
                <w:sz w:val="21"/>
                <w:szCs w:val="21"/>
                <w:highlight w:val="none"/>
                <w:lang w:bidi="ar"/>
              </w:rPr>
              <w:t>根据污泥处置工艺先进性、处置效率快捷性、产品资源化程度进行打分，最高得6分，有欠缺或不合理的，每处扣0.5分，扣完为止。</w:t>
            </w:r>
          </w:p>
        </w:tc>
        <w:tc>
          <w:tcPr>
            <w:tcW w:w="708" w:type="dxa"/>
            <w:vAlign w:val="center"/>
          </w:tcPr>
          <w:p>
            <w:pPr>
              <w:tabs>
                <w:tab w:val="left" w:pos="203"/>
              </w:tabs>
              <w:snapToGrid w:val="0"/>
              <w:spacing w:before="0" w:beforeAutospacing="0" w:after="0" w:afterAutospacing="0" w:line="460" w:lineRule="exact"/>
              <w:ind w:left="0" w:leftChars="0" w:firstLine="14" w:firstLineChars="7"/>
              <w:jc w:val="center"/>
              <w:rPr>
                <w:rFonts w:hint="eastAsia" w:asciiTheme="minorEastAsia" w:hAnsiTheme="minorEastAsia" w:eastAsiaTheme="minorEastAsia" w:cstheme="minorEastAsia"/>
                <w:b w:val="0"/>
                <w:bCs w:val="0"/>
                <w:color w:val="auto"/>
                <w:sz w:val="21"/>
                <w:szCs w:val="21"/>
                <w:highlight w:val="none"/>
                <w:lang w:val="en-US" w:eastAsia="zh-CN" w:bidi="ar-SA"/>
              </w:rPr>
            </w:pPr>
            <w:r>
              <w:rPr>
                <w:rFonts w:hint="eastAsia" w:asciiTheme="minorEastAsia" w:hAnsiTheme="minorEastAsia" w:eastAsiaTheme="minorEastAsia" w:cstheme="minorEastAsia"/>
                <w:b w:val="0"/>
                <w:bCs w:val="0"/>
                <w:color w:val="auto"/>
                <w:sz w:val="21"/>
                <w:szCs w:val="21"/>
                <w:highlight w:val="none"/>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7" w:hRule="atLeast"/>
        </w:trPr>
        <w:tc>
          <w:tcPr>
            <w:tcW w:w="673" w:type="dxa"/>
            <w:vAlign w:val="center"/>
          </w:tcPr>
          <w:p>
            <w:pPr>
              <w:tabs>
                <w:tab w:val="left" w:pos="203"/>
              </w:tabs>
              <w:snapToGrid w:val="0"/>
              <w:spacing w:before="0" w:beforeAutospacing="0" w:after="0" w:afterAutospacing="0" w:line="460" w:lineRule="exact"/>
              <w:ind w:left="0" w:leftChars="0" w:firstLine="14" w:firstLineChars="7"/>
              <w:jc w:val="center"/>
              <w:rPr>
                <w:rFonts w:hint="eastAsia" w:asciiTheme="minorEastAsia" w:hAnsiTheme="minorEastAsia" w:eastAsiaTheme="minorEastAsia" w:cstheme="minorEastAsia"/>
                <w:b w:val="0"/>
                <w:bCs w:val="0"/>
                <w:color w:val="auto"/>
                <w:sz w:val="21"/>
                <w:szCs w:val="21"/>
                <w:highlight w:val="none"/>
                <w:lang w:val="en-US" w:eastAsia="zh-CN" w:bidi="ar-SA"/>
              </w:rPr>
            </w:pPr>
            <w:r>
              <w:rPr>
                <w:rFonts w:hint="eastAsia" w:asciiTheme="minorEastAsia" w:hAnsiTheme="minorEastAsia" w:eastAsiaTheme="minorEastAsia" w:cstheme="minorEastAsia"/>
                <w:b w:val="0"/>
                <w:bCs w:val="0"/>
                <w:color w:val="auto"/>
                <w:sz w:val="21"/>
                <w:szCs w:val="21"/>
                <w:highlight w:val="none"/>
                <w:lang w:val="en-US" w:eastAsia="zh-CN"/>
              </w:rPr>
              <w:t>6</w:t>
            </w:r>
          </w:p>
        </w:tc>
        <w:tc>
          <w:tcPr>
            <w:tcW w:w="1260" w:type="dxa"/>
            <w:vMerge w:val="continue"/>
            <w:vAlign w:val="center"/>
          </w:tcPr>
          <w:p>
            <w:pPr>
              <w:tabs>
                <w:tab w:val="left" w:pos="203"/>
              </w:tabs>
              <w:snapToGrid w:val="0"/>
              <w:spacing w:before="0" w:beforeAutospacing="0" w:after="0" w:afterAutospacing="0" w:line="460" w:lineRule="exact"/>
              <w:ind w:left="0" w:firstLine="14" w:firstLineChars="7"/>
              <w:jc w:val="center"/>
              <w:rPr>
                <w:rFonts w:hint="eastAsia" w:asciiTheme="minorEastAsia" w:hAnsiTheme="minorEastAsia" w:eastAsiaTheme="minorEastAsia" w:cstheme="minorEastAsia"/>
                <w:b w:val="0"/>
                <w:bCs w:val="0"/>
                <w:color w:val="auto"/>
                <w:sz w:val="21"/>
                <w:szCs w:val="21"/>
                <w:highlight w:val="none"/>
                <w:lang w:val="en-US" w:eastAsia="zh-CN"/>
              </w:rPr>
            </w:pPr>
          </w:p>
        </w:tc>
        <w:tc>
          <w:tcPr>
            <w:tcW w:w="7106" w:type="dxa"/>
            <w:vAlign w:val="center"/>
          </w:tcPr>
          <w:p>
            <w:pPr>
              <w:pStyle w:val="40"/>
              <w:snapToGrid w:val="0"/>
              <w:spacing w:line="460" w:lineRule="exact"/>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Cs w:val="21"/>
                <w:highlight w:val="none"/>
              </w:rPr>
              <w:t>综合评价: 在安全、环保和经济的前提下实现污泥的无害化处理处置和资源化利用且达到节能减排和实现循环经济的，最高得 5 分。</w:t>
            </w:r>
          </w:p>
        </w:tc>
        <w:tc>
          <w:tcPr>
            <w:tcW w:w="708" w:type="dxa"/>
            <w:vAlign w:val="center"/>
          </w:tcPr>
          <w:p>
            <w:pPr>
              <w:snapToGrid w:val="0"/>
              <w:spacing w:line="460" w:lineRule="exact"/>
              <w:jc w:val="center"/>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7" w:hRule="atLeast"/>
        </w:trPr>
        <w:tc>
          <w:tcPr>
            <w:tcW w:w="673" w:type="dxa"/>
            <w:vAlign w:val="center"/>
          </w:tcPr>
          <w:p>
            <w:pPr>
              <w:tabs>
                <w:tab w:val="left" w:pos="203"/>
              </w:tabs>
              <w:snapToGrid w:val="0"/>
              <w:spacing w:before="0" w:beforeAutospacing="0" w:after="0" w:afterAutospacing="0" w:line="460" w:lineRule="exact"/>
              <w:ind w:left="0" w:leftChars="0" w:firstLine="14" w:firstLineChars="7"/>
              <w:jc w:val="center"/>
              <w:rPr>
                <w:rFonts w:hint="eastAsia" w:asciiTheme="minorEastAsia" w:hAnsiTheme="minorEastAsia" w:eastAsiaTheme="minorEastAsia" w:cstheme="minorEastAsia"/>
                <w:b w:val="0"/>
                <w:bCs w:val="0"/>
                <w:color w:val="auto"/>
                <w:sz w:val="21"/>
                <w:szCs w:val="21"/>
                <w:highlight w:val="none"/>
                <w:lang w:val="en-US" w:eastAsia="zh-CN" w:bidi="ar-SA"/>
              </w:rPr>
            </w:pPr>
            <w:r>
              <w:rPr>
                <w:rFonts w:hint="eastAsia" w:asciiTheme="minorEastAsia" w:hAnsiTheme="minorEastAsia" w:eastAsiaTheme="minorEastAsia" w:cstheme="minorEastAsia"/>
                <w:b w:val="0"/>
                <w:bCs w:val="0"/>
                <w:color w:val="auto"/>
                <w:sz w:val="21"/>
                <w:szCs w:val="21"/>
                <w:highlight w:val="none"/>
                <w:lang w:val="en-US" w:eastAsia="zh-CN"/>
              </w:rPr>
              <w:t>7</w:t>
            </w:r>
          </w:p>
        </w:tc>
        <w:tc>
          <w:tcPr>
            <w:tcW w:w="1260" w:type="dxa"/>
            <w:vMerge w:val="continue"/>
            <w:vAlign w:val="center"/>
          </w:tcPr>
          <w:p>
            <w:pPr>
              <w:tabs>
                <w:tab w:val="left" w:pos="203"/>
              </w:tabs>
              <w:snapToGrid w:val="0"/>
              <w:spacing w:before="0" w:beforeAutospacing="0" w:after="0" w:afterAutospacing="0" w:line="460" w:lineRule="exact"/>
              <w:ind w:left="0" w:firstLine="14" w:firstLineChars="7"/>
              <w:jc w:val="center"/>
              <w:rPr>
                <w:rFonts w:hint="eastAsia" w:asciiTheme="minorEastAsia" w:hAnsiTheme="minorEastAsia" w:eastAsiaTheme="minorEastAsia" w:cstheme="minorEastAsia"/>
                <w:b w:val="0"/>
                <w:bCs w:val="0"/>
                <w:color w:val="auto"/>
                <w:sz w:val="21"/>
                <w:szCs w:val="21"/>
                <w:highlight w:val="none"/>
                <w:lang w:val="en-US" w:eastAsia="zh-CN"/>
              </w:rPr>
            </w:pPr>
          </w:p>
        </w:tc>
        <w:tc>
          <w:tcPr>
            <w:tcW w:w="7106" w:type="dxa"/>
            <w:vAlign w:val="center"/>
          </w:tcPr>
          <w:p>
            <w:pPr>
              <w:pStyle w:val="40"/>
              <w:snapToGrid w:val="0"/>
              <w:spacing w:line="460" w:lineRule="exact"/>
              <w:rPr>
                <w:rFonts w:hint="eastAsia" w:asciiTheme="minorEastAsia" w:hAnsiTheme="minorEastAsia" w:eastAsiaTheme="minorEastAsia" w:cstheme="minorEastAsia"/>
                <w:b w:val="0"/>
                <w:bCs w:val="0"/>
                <w:color w:val="auto"/>
                <w:kern w:val="2"/>
                <w:sz w:val="21"/>
                <w:szCs w:val="21"/>
                <w:highlight w:val="none"/>
                <w:lang w:val="en-US" w:eastAsia="zh-CN" w:bidi="ar-SA"/>
              </w:rPr>
            </w:pPr>
            <w:r>
              <w:rPr>
                <w:rFonts w:hint="eastAsia" w:asciiTheme="minorEastAsia" w:hAnsiTheme="minorEastAsia" w:eastAsiaTheme="minorEastAsia" w:cstheme="minorEastAsia"/>
                <w:b w:val="0"/>
                <w:bCs w:val="0"/>
                <w:color w:val="auto"/>
                <w:szCs w:val="21"/>
                <w:highlight w:val="none"/>
                <w:lang w:val="en-US" w:eastAsia="zh-CN"/>
              </w:rPr>
              <w:t>投标人的</w:t>
            </w:r>
            <w:r>
              <w:rPr>
                <w:rFonts w:hint="eastAsia" w:asciiTheme="minorEastAsia" w:hAnsiTheme="minorEastAsia" w:eastAsiaTheme="minorEastAsia" w:cstheme="minorEastAsia"/>
                <w:b w:val="0"/>
                <w:bCs w:val="0"/>
                <w:color w:val="auto"/>
                <w:szCs w:val="21"/>
                <w:highlight w:val="none"/>
              </w:rPr>
              <w:t>污泥处置管理</w:t>
            </w:r>
            <w:r>
              <w:rPr>
                <w:rFonts w:hint="eastAsia" w:asciiTheme="minorEastAsia" w:hAnsiTheme="minorEastAsia" w:eastAsiaTheme="minorEastAsia" w:cstheme="minorEastAsia"/>
                <w:b w:val="0"/>
                <w:bCs w:val="0"/>
                <w:color w:val="auto"/>
                <w:szCs w:val="21"/>
                <w:highlight w:val="none"/>
                <w:lang w:eastAsia="zh-CN"/>
              </w:rPr>
              <w:t>制度的完善程度，</w:t>
            </w:r>
            <w:r>
              <w:rPr>
                <w:rFonts w:hint="eastAsia" w:asciiTheme="minorEastAsia" w:hAnsiTheme="minorEastAsia" w:eastAsiaTheme="minorEastAsia" w:cstheme="minorEastAsia"/>
                <w:b w:val="0"/>
                <w:bCs w:val="0"/>
                <w:color w:val="auto"/>
                <w:szCs w:val="21"/>
                <w:highlight w:val="none"/>
              </w:rPr>
              <w:t>最高得</w:t>
            </w:r>
            <w:r>
              <w:rPr>
                <w:rFonts w:hint="eastAsia" w:asciiTheme="minorEastAsia" w:hAnsiTheme="minorEastAsia" w:eastAsiaTheme="minorEastAsia" w:cstheme="minorEastAsia"/>
                <w:b w:val="0"/>
                <w:bCs w:val="0"/>
                <w:color w:val="auto"/>
                <w:szCs w:val="21"/>
                <w:highlight w:val="none"/>
                <w:lang w:val="en-US" w:eastAsia="zh-CN"/>
              </w:rPr>
              <w:t>4</w:t>
            </w:r>
            <w:r>
              <w:rPr>
                <w:rFonts w:hint="eastAsia" w:asciiTheme="minorEastAsia" w:hAnsiTheme="minorEastAsia" w:eastAsiaTheme="minorEastAsia" w:cstheme="minorEastAsia"/>
                <w:b w:val="0"/>
                <w:bCs w:val="0"/>
                <w:color w:val="auto"/>
                <w:szCs w:val="21"/>
                <w:highlight w:val="none"/>
              </w:rPr>
              <w:t>分</w:t>
            </w:r>
            <w:r>
              <w:rPr>
                <w:rFonts w:hint="eastAsia" w:asciiTheme="minorEastAsia" w:hAnsiTheme="minorEastAsia" w:eastAsiaTheme="minorEastAsia" w:cstheme="minorEastAsia"/>
                <w:b w:val="0"/>
                <w:bCs w:val="0"/>
                <w:color w:val="auto"/>
                <w:sz w:val="21"/>
                <w:szCs w:val="21"/>
                <w:highlight w:val="none"/>
                <w:lang w:bidi="ar"/>
              </w:rPr>
              <w:t>，有欠缺或不合理的，每处扣0.5分，扣完为止。</w:t>
            </w:r>
          </w:p>
        </w:tc>
        <w:tc>
          <w:tcPr>
            <w:tcW w:w="708" w:type="dxa"/>
            <w:vAlign w:val="center"/>
          </w:tcPr>
          <w:p>
            <w:pPr>
              <w:snapToGrid w:val="0"/>
              <w:spacing w:line="460" w:lineRule="exact"/>
              <w:jc w:val="center"/>
              <w:rPr>
                <w:rFonts w:hint="eastAsia" w:asciiTheme="minorEastAsia" w:hAnsiTheme="minorEastAsia" w:eastAsiaTheme="minorEastAsia" w:cstheme="minorEastAsia"/>
                <w:color w:val="auto"/>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673" w:type="dxa"/>
            <w:vAlign w:val="center"/>
          </w:tcPr>
          <w:p>
            <w:pPr>
              <w:tabs>
                <w:tab w:val="left" w:pos="203"/>
              </w:tabs>
              <w:snapToGrid w:val="0"/>
              <w:spacing w:before="0" w:beforeAutospacing="0" w:after="0" w:afterAutospacing="0" w:line="460" w:lineRule="exact"/>
              <w:ind w:left="0" w:leftChars="0" w:firstLine="14" w:firstLineChars="7"/>
              <w:jc w:val="center"/>
              <w:rPr>
                <w:rFonts w:hint="eastAsia" w:asciiTheme="minorEastAsia" w:hAnsiTheme="minorEastAsia" w:eastAsiaTheme="minorEastAsia" w:cstheme="minorEastAsia"/>
                <w:b w:val="0"/>
                <w:bCs w:val="0"/>
                <w:color w:val="auto"/>
                <w:sz w:val="21"/>
                <w:szCs w:val="21"/>
                <w:highlight w:val="none"/>
                <w:lang w:val="en-US" w:eastAsia="zh-CN" w:bidi="ar-SA"/>
              </w:rPr>
            </w:pPr>
            <w:r>
              <w:rPr>
                <w:rFonts w:hint="eastAsia" w:asciiTheme="minorEastAsia" w:hAnsiTheme="minorEastAsia" w:eastAsiaTheme="minorEastAsia" w:cstheme="minorEastAsia"/>
                <w:b w:val="0"/>
                <w:bCs w:val="0"/>
                <w:color w:val="auto"/>
                <w:sz w:val="21"/>
                <w:szCs w:val="21"/>
                <w:highlight w:val="none"/>
                <w:lang w:val="en-US" w:eastAsia="zh-CN"/>
              </w:rPr>
              <w:t>8</w:t>
            </w:r>
          </w:p>
        </w:tc>
        <w:tc>
          <w:tcPr>
            <w:tcW w:w="1260" w:type="dxa"/>
            <w:vAlign w:val="center"/>
          </w:tcPr>
          <w:p>
            <w:pPr>
              <w:tabs>
                <w:tab w:val="left" w:pos="203"/>
              </w:tabs>
              <w:snapToGrid w:val="0"/>
              <w:spacing w:before="0" w:beforeAutospacing="0" w:after="0" w:afterAutospacing="0" w:line="460" w:lineRule="exact"/>
              <w:ind w:left="0" w:firstLine="14" w:firstLineChars="7"/>
              <w:jc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rPr>
              <w:t>技术人员配备</w:t>
            </w:r>
          </w:p>
        </w:tc>
        <w:tc>
          <w:tcPr>
            <w:tcW w:w="7106" w:type="dxa"/>
            <w:vAlign w:val="center"/>
          </w:tcPr>
          <w:p>
            <w:pPr>
              <w:adjustRightInd w:val="0"/>
              <w:snapToGrid w:val="0"/>
              <w:spacing w:line="460" w:lineRule="exact"/>
              <w:ind w:firstLine="0" w:firstLineChars="0"/>
              <w:jc w:val="both"/>
              <w:rPr>
                <w:rFonts w:hint="eastAsia" w:asciiTheme="minorEastAsia" w:hAnsiTheme="minorEastAsia" w:eastAsiaTheme="minorEastAsia" w:cstheme="minorEastAsia"/>
                <w:b w:val="0"/>
                <w:bCs w:val="0"/>
                <w:color w:val="auto"/>
                <w:sz w:val="21"/>
                <w:szCs w:val="21"/>
                <w:highlight w:val="none"/>
                <w:lang w:val="en-US"/>
              </w:rPr>
            </w:pPr>
            <w:r>
              <w:rPr>
                <w:rFonts w:hint="eastAsia" w:asciiTheme="minorEastAsia" w:hAnsiTheme="minorEastAsia" w:eastAsiaTheme="minorEastAsia" w:cstheme="minorEastAsia"/>
                <w:b w:val="0"/>
                <w:bCs w:val="0"/>
                <w:color w:val="auto"/>
                <w:sz w:val="21"/>
                <w:szCs w:val="21"/>
                <w:highlight w:val="none"/>
              </w:rPr>
              <w:t>针对本项目技术人员（包括技术负责人和关键岗位人员）的配备情况与技术能力情况进行打分</w:t>
            </w:r>
            <w:r>
              <w:rPr>
                <w:rFonts w:hint="eastAsia" w:asciiTheme="minorEastAsia" w:hAnsiTheme="minorEastAsia" w:eastAsiaTheme="minorEastAsia" w:cstheme="minorEastAsia"/>
                <w:b w:val="0"/>
                <w:bCs w:val="0"/>
                <w:color w:val="auto"/>
                <w:sz w:val="21"/>
                <w:szCs w:val="21"/>
                <w:highlight w:val="none"/>
                <w:lang w:eastAsia="zh-CN"/>
              </w:rPr>
              <w:t>，</w:t>
            </w:r>
            <w:r>
              <w:rPr>
                <w:rFonts w:hint="eastAsia" w:asciiTheme="minorEastAsia" w:hAnsiTheme="minorEastAsia" w:eastAsiaTheme="minorEastAsia" w:cstheme="minorEastAsia"/>
                <w:b w:val="0"/>
                <w:bCs w:val="0"/>
                <w:color w:val="auto"/>
                <w:sz w:val="21"/>
                <w:szCs w:val="21"/>
                <w:highlight w:val="none"/>
              </w:rPr>
              <w:t>人员配备人数多技术能力强的</w:t>
            </w:r>
            <w:r>
              <w:rPr>
                <w:rFonts w:hint="eastAsia" w:asciiTheme="minorEastAsia" w:hAnsiTheme="minorEastAsia" w:eastAsiaTheme="minorEastAsia" w:cstheme="minorEastAsia"/>
                <w:b w:val="0"/>
                <w:bCs w:val="0"/>
                <w:color w:val="auto"/>
                <w:sz w:val="21"/>
                <w:szCs w:val="21"/>
                <w:highlight w:val="none"/>
                <w:lang w:val="en-US" w:eastAsia="zh-CN"/>
              </w:rPr>
              <w:t>最高</w:t>
            </w:r>
            <w:r>
              <w:rPr>
                <w:rFonts w:hint="eastAsia" w:asciiTheme="minorEastAsia" w:hAnsiTheme="minorEastAsia" w:eastAsiaTheme="minorEastAsia" w:cstheme="minorEastAsia"/>
                <w:b w:val="0"/>
                <w:bCs w:val="0"/>
                <w:color w:val="auto"/>
                <w:sz w:val="21"/>
                <w:szCs w:val="21"/>
                <w:highlight w:val="none"/>
              </w:rPr>
              <w:t>得</w:t>
            </w:r>
            <w:r>
              <w:rPr>
                <w:rFonts w:hint="eastAsia" w:asciiTheme="minorEastAsia" w:hAnsiTheme="minorEastAsia" w:eastAsiaTheme="minorEastAsia" w:cstheme="minorEastAsia"/>
                <w:b w:val="0"/>
                <w:bCs w:val="0"/>
                <w:color w:val="auto"/>
                <w:sz w:val="21"/>
                <w:szCs w:val="21"/>
                <w:highlight w:val="none"/>
                <w:lang w:val="en-US" w:eastAsia="zh-CN"/>
              </w:rPr>
              <w:t>5</w:t>
            </w:r>
            <w:r>
              <w:rPr>
                <w:rFonts w:hint="eastAsia" w:asciiTheme="minorEastAsia" w:hAnsiTheme="minorEastAsia" w:eastAsiaTheme="minorEastAsia" w:cstheme="minorEastAsia"/>
                <w:b w:val="0"/>
                <w:bCs w:val="0"/>
                <w:color w:val="auto"/>
                <w:sz w:val="21"/>
                <w:szCs w:val="21"/>
                <w:highlight w:val="none"/>
              </w:rPr>
              <w:t>分。</w:t>
            </w:r>
            <w:r>
              <w:rPr>
                <w:rFonts w:hint="eastAsia" w:asciiTheme="minorEastAsia" w:hAnsiTheme="minorEastAsia" w:eastAsiaTheme="minorEastAsia" w:cstheme="minorEastAsia"/>
                <w:b w:val="0"/>
                <w:bCs w:val="0"/>
                <w:color w:val="auto"/>
                <w:sz w:val="21"/>
                <w:szCs w:val="21"/>
                <w:highlight w:val="none"/>
                <w:lang w:eastAsia="zh-CN"/>
              </w:rPr>
              <w:t>【</w:t>
            </w:r>
            <w:r>
              <w:rPr>
                <w:rFonts w:hint="eastAsia" w:asciiTheme="minorEastAsia" w:hAnsiTheme="minorEastAsia" w:eastAsiaTheme="minorEastAsia" w:cstheme="minorEastAsia"/>
                <w:b w:val="0"/>
                <w:bCs w:val="0"/>
                <w:color w:val="auto"/>
                <w:sz w:val="21"/>
                <w:szCs w:val="21"/>
                <w:highlight w:val="none"/>
              </w:rPr>
              <w:t>技术人员须提供在本单位近三个月（202</w:t>
            </w:r>
            <w:r>
              <w:rPr>
                <w:rFonts w:hint="eastAsia" w:asciiTheme="minorEastAsia" w:hAnsiTheme="minorEastAsia" w:eastAsiaTheme="minorEastAsia" w:cstheme="minorEastAsia"/>
                <w:b w:val="0"/>
                <w:bCs w:val="0"/>
                <w:color w:val="auto"/>
                <w:sz w:val="21"/>
                <w:szCs w:val="21"/>
                <w:highlight w:val="none"/>
                <w:lang w:val="en-US" w:eastAsia="zh-CN"/>
              </w:rPr>
              <w:t>3</w:t>
            </w:r>
            <w:r>
              <w:rPr>
                <w:rFonts w:hint="eastAsia" w:asciiTheme="minorEastAsia" w:hAnsiTheme="minorEastAsia" w:eastAsiaTheme="minorEastAsia" w:cstheme="minorEastAsia"/>
                <w:b w:val="0"/>
                <w:bCs w:val="0"/>
                <w:color w:val="auto"/>
                <w:sz w:val="21"/>
                <w:szCs w:val="21"/>
                <w:highlight w:val="none"/>
              </w:rPr>
              <w:t>年</w:t>
            </w:r>
            <w:r>
              <w:rPr>
                <w:rFonts w:hint="eastAsia" w:asciiTheme="minorEastAsia" w:hAnsiTheme="minorEastAsia" w:eastAsiaTheme="minorEastAsia" w:cstheme="minorEastAsia"/>
                <w:b w:val="0"/>
                <w:bCs w:val="0"/>
                <w:color w:val="auto"/>
                <w:sz w:val="21"/>
                <w:szCs w:val="21"/>
                <w:highlight w:val="none"/>
                <w:lang w:val="en-US" w:eastAsia="zh-CN"/>
              </w:rPr>
              <w:t>9</w:t>
            </w:r>
            <w:r>
              <w:rPr>
                <w:rFonts w:hint="eastAsia" w:asciiTheme="minorEastAsia" w:hAnsiTheme="minorEastAsia" w:eastAsiaTheme="minorEastAsia" w:cstheme="minorEastAsia"/>
                <w:b w:val="0"/>
                <w:bCs w:val="0"/>
                <w:color w:val="auto"/>
                <w:sz w:val="21"/>
                <w:szCs w:val="21"/>
                <w:highlight w:val="none"/>
              </w:rPr>
              <w:t>月、</w:t>
            </w:r>
            <w:r>
              <w:rPr>
                <w:rFonts w:hint="eastAsia" w:asciiTheme="minorEastAsia" w:hAnsiTheme="minorEastAsia" w:eastAsiaTheme="minorEastAsia" w:cstheme="minorEastAsia"/>
                <w:b w:val="0"/>
                <w:bCs w:val="0"/>
                <w:color w:val="auto"/>
                <w:sz w:val="21"/>
                <w:szCs w:val="21"/>
                <w:highlight w:val="none"/>
                <w:lang w:eastAsia="zh-CN"/>
              </w:rPr>
              <w:t>2023年</w:t>
            </w:r>
            <w:r>
              <w:rPr>
                <w:rFonts w:hint="eastAsia" w:asciiTheme="minorEastAsia" w:hAnsiTheme="minorEastAsia" w:eastAsiaTheme="minorEastAsia" w:cstheme="minorEastAsia"/>
                <w:b w:val="0"/>
                <w:bCs w:val="0"/>
                <w:color w:val="auto"/>
                <w:sz w:val="21"/>
                <w:szCs w:val="21"/>
                <w:highlight w:val="none"/>
                <w:lang w:val="en-US" w:eastAsia="zh-CN"/>
              </w:rPr>
              <w:t>10</w:t>
            </w:r>
            <w:r>
              <w:rPr>
                <w:rFonts w:hint="eastAsia" w:asciiTheme="minorEastAsia" w:hAnsiTheme="minorEastAsia" w:eastAsiaTheme="minorEastAsia" w:cstheme="minorEastAsia"/>
                <w:b w:val="0"/>
                <w:bCs w:val="0"/>
                <w:color w:val="auto"/>
                <w:sz w:val="21"/>
                <w:szCs w:val="21"/>
                <w:highlight w:val="none"/>
              </w:rPr>
              <w:t>月和</w:t>
            </w:r>
            <w:r>
              <w:rPr>
                <w:rFonts w:hint="eastAsia" w:asciiTheme="minorEastAsia" w:hAnsiTheme="minorEastAsia" w:eastAsiaTheme="minorEastAsia" w:cstheme="minorEastAsia"/>
                <w:b w:val="0"/>
                <w:bCs w:val="0"/>
                <w:color w:val="auto"/>
                <w:sz w:val="21"/>
                <w:szCs w:val="21"/>
                <w:highlight w:val="none"/>
                <w:lang w:eastAsia="zh-CN"/>
              </w:rPr>
              <w:t>2023年</w:t>
            </w:r>
            <w:r>
              <w:rPr>
                <w:rFonts w:hint="eastAsia" w:asciiTheme="minorEastAsia" w:hAnsiTheme="minorEastAsia" w:eastAsiaTheme="minorEastAsia" w:cstheme="minorEastAsia"/>
                <w:b w:val="0"/>
                <w:bCs w:val="0"/>
                <w:color w:val="auto"/>
                <w:sz w:val="21"/>
                <w:szCs w:val="21"/>
                <w:highlight w:val="none"/>
                <w:lang w:val="en-US" w:eastAsia="zh-CN"/>
              </w:rPr>
              <w:t>11</w:t>
            </w:r>
            <w:r>
              <w:rPr>
                <w:rFonts w:hint="eastAsia" w:asciiTheme="minorEastAsia" w:hAnsiTheme="minorEastAsia" w:eastAsiaTheme="minorEastAsia" w:cstheme="minorEastAsia"/>
                <w:b w:val="0"/>
                <w:bCs w:val="0"/>
                <w:color w:val="auto"/>
                <w:sz w:val="21"/>
                <w:szCs w:val="21"/>
                <w:highlight w:val="none"/>
              </w:rPr>
              <w:t>月）社保证明</w:t>
            </w:r>
            <w:r>
              <w:rPr>
                <w:rFonts w:hint="eastAsia" w:asciiTheme="minorEastAsia" w:hAnsiTheme="minorEastAsia" w:eastAsiaTheme="minorEastAsia" w:cstheme="minorEastAsia"/>
                <w:b w:val="0"/>
                <w:bCs w:val="0"/>
                <w:color w:val="auto"/>
                <w:sz w:val="21"/>
                <w:szCs w:val="21"/>
                <w:highlight w:val="none"/>
                <w:lang w:eastAsia="zh-CN"/>
              </w:rPr>
              <w:t>】。</w:t>
            </w:r>
            <w:bookmarkStart w:id="62" w:name="_GoBack"/>
            <w:bookmarkEnd w:id="62"/>
          </w:p>
        </w:tc>
        <w:tc>
          <w:tcPr>
            <w:tcW w:w="708" w:type="dxa"/>
            <w:vAlign w:val="center"/>
          </w:tcPr>
          <w:p>
            <w:pPr>
              <w:tabs>
                <w:tab w:val="left" w:pos="203"/>
              </w:tabs>
              <w:snapToGrid w:val="0"/>
              <w:spacing w:before="0" w:beforeAutospacing="0" w:after="0" w:afterAutospacing="0" w:line="460" w:lineRule="exact"/>
              <w:ind w:left="0" w:firstLine="14" w:firstLineChars="7"/>
              <w:jc w:val="center"/>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673" w:type="dxa"/>
            <w:vAlign w:val="center"/>
          </w:tcPr>
          <w:p>
            <w:pPr>
              <w:tabs>
                <w:tab w:val="left" w:pos="203"/>
              </w:tabs>
              <w:snapToGrid w:val="0"/>
              <w:spacing w:before="0" w:beforeAutospacing="0" w:after="0" w:afterAutospacing="0" w:line="460" w:lineRule="exact"/>
              <w:ind w:left="0" w:leftChars="0" w:firstLine="14" w:firstLineChars="7"/>
              <w:jc w:val="center"/>
              <w:rPr>
                <w:rFonts w:hint="eastAsia" w:asciiTheme="minorEastAsia" w:hAnsiTheme="minorEastAsia" w:eastAsiaTheme="minorEastAsia" w:cstheme="minorEastAsia"/>
                <w:b w:val="0"/>
                <w:bCs w:val="0"/>
                <w:color w:val="auto"/>
                <w:sz w:val="21"/>
                <w:szCs w:val="21"/>
                <w:highlight w:val="none"/>
                <w:lang w:val="en-US" w:eastAsia="zh-CN" w:bidi="ar-SA"/>
              </w:rPr>
            </w:pPr>
            <w:r>
              <w:rPr>
                <w:rFonts w:hint="eastAsia" w:asciiTheme="minorEastAsia" w:hAnsiTheme="minorEastAsia" w:eastAsiaTheme="minorEastAsia" w:cstheme="minorEastAsia"/>
                <w:b w:val="0"/>
                <w:bCs w:val="0"/>
                <w:color w:val="auto"/>
                <w:sz w:val="21"/>
                <w:szCs w:val="21"/>
                <w:highlight w:val="none"/>
                <w:lang w:val="en-US" w:eastAsia="zh-CN"/>
              </w:rPr>
              <w:t>9</w:t>
            </w:r>
          </w:p>
        </w:tc>
        <w:tc>
          <w:tcPr>
            <w:tcW w:w="1260" w:type="dxa"/>
            <w:vMerge w:val="restart"/>
            <w:vAlign w:val="center"/>
          </w:tcPr>
          <w:p>
            <w:pPr>
              <w:tabs>
                <w:tab w:val="left" w:pos="203"/>
              </w:tabs>
              <w:snapToGrid w:val="0"/>
              <w:spacing w:before="0" w:beforeAutospacing="0" w:after="0" w:afterAutospacing="0" w:line="460" w:lineRule="exact"/>
              <w:ind w:left="0" w:firstLine="14" w:firstLineChars="7"/>
              <w:jc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rPr>
              <w:t>项目实施方案</w:t>
            </w:r>
          </w:p>
        </w:tc>
        <w:tc>
          <w:tcPr>
            <w:tcW w:w="7106" w:type="dxa"/>
            <w:vAlign w:val="top"/>
          </w:tcPr>
          <w:p>
            <w:pPr>
              <w:pStyle w:val="40"/>
              <w:snapToGrid w:val="0"/>
              <w:spacing w:line="460" w:lineRule="exact"/>
              <w:jc w:val="left"/>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color w:val="auto"/>
                <w:szCs w:val="21"/>
                <w:highlight w:val="none"/>
                <w:lang w:eastAsia="zh-CN"/>
              </w:rPr>
              <w:t>根据</w:t>
            </w:r>
            <w:r>
              <w:rPr>
                <w:rFonts w:hint="eastAsia" w:asciiTheme="minorEastAsia" w:hAnsiTheme="minorEastAsia" w:eastAsiaTheme="minorEastAsia" w:cstheme="minorEastAsia"/>
                <w:color w:val="auto"/>
                <w:szCs w:val="21"/>
                <w:highlight w:val="none"/>
                <w:lang w:val="en-US" w:eastAsia="zh-CN"/>
              </w:rPr>
              <w:t>投标人</w:t>
            </w:r>
            <w:r>
              <w:rPr>
                <w:rFonts w:hint="eastAsia" w:asciiTheme="minorEastAsia" w:hAnsiTheme="minorEastAsia" w:eastAsiaTheme="minorEastAsia" w:cstheme="minorEastAsia"/>
                <w:color w:val="auto"/>
                <w:szCs w:val="21"/>
                <w:highlight w:val="none"/>
              </w:rPr>
              <w:t>对项目</w:t>
            </w:r>
            <w:r>
              <w:rPr>
                <w:rFonts w:hint="eastAsia" w:asciiTheme="minorEastAsia" w:hAnsiTheme="minorEastAsia" w:eastAsiaTheme="minorEastAsia" w:cstheme="minorEastAsia"/>
                <w:color w:val="auto"/>
                <w:szCs w:val="21"/>
                <w:highlight w:val="none"/>
                <w:lang w:eastAsia="zh-CN"/>
              </w:rPr>
              <w:t>采购需求的理解、</w:t>
            </w:r>
            <w:r>
              <w:rPr>
                <w:rFonts w:hint="eastAsia" w:asciiTheme="minorEastAsia" w:hAnsiTheme="minorEastAsia" w:eastAsiaTheme="minorEastAsia" w:cstheme="minorEastAsia"/>
                <w:color w:val="auto"/>
                <w:szCs w:val="21"/>
                <w:highlight w:val="none"/>
              </w:rPr>
              <w:t>服务范围</w:t>
            </w:r>
            <w:r>
              <w:rPr>
                <w:rFonts w:hint="eastAsia" w:asciiTheme="minorEastAsia" w:hAnsiTheme="minorEastAsia" w:eastAsiaTheme="minorEastAsia" w:cstheme="minorEastAsia"/>
                <w:color w:val="auto"/>
                <w:szCs w:val="21"/>
                <w:highlight w:val="none"/>
                <w:lang w:eastAsia="zh-CN"/>
              </w:rPr>
              <w:t>、服务</w:t>
            </w:r>
            <w:r>
              <w:rPr>
                <w:rFonts w:hint="eastAsia" w:asciiTheme="minorEastAsia" w:hAnsiTheme="minorEastAsia" w:eastAsiaTheme="minorEastAsia" w:cstheme="minorEastAsia"/>
                <w:color w:val="auto"/>
                <w:szCs w:val="21"/>
                <w:highlight w:val="none"/>
              </w:rPr>
              <w:t>内容</w:t>
            </w:r>
            <w:r>
              <w:rPr>
                <w:rFonts w:hint="eastAsia" w:asciiTheme="minorEastAsia" w:hAnsiTheme="minorEastAsia" w:eastAsiaTheme="minorEastAsia" w:cstheme="minorEastAsia"/>
                <w:color w:val="auto"/>
                <w:szCs w:val="21"/>
                <w:highlight w:val="none"/>
                <w:lang w:eastAsia="zh-CN"/>
              </w:rPr>
              <w:t>、工作</w:t>
            </w:r>
            <w:r>
              <w:rPr>
                <w:rFonts w:hint="eastAsia" w:asciiTheme="minorEastAsia" w:hAnsiTheme="minorEastAsia" w:eastAsiaTheme="minorEastAsia" w:cstheme="minorEastAsia"/>
                <w:color w:val="auto"/>
                <w:szCs w:val="21"/>
                <w:highlight w:val="none"/>
              </w:rPr>
              <w:t>目标</w:t>
            </w:r>
            <w:r>
              <w:rPr>
                <w:rFonts w:hint="eastAsia" w:asciiTheme="minorEastAsia" w:hAnsiTheme="minorEastAsia" w:eastAsiaTheme="minorEastAsia" w:cstheme="minorEastAsia"/>
                <w:color w:val="auto"/>
                <w:szCs w:val="21"/>
                <w:highlight w:val="none"/>
                <w:lang w:eastAsia="zh-CN"/>
              </w:rPr>
              <w:t>进行打分</w:t>
            </w:r>
            <w:r>
              <w:rPr>
                <w:rFonts w:hint="eastAsia" w:asciiTheme="minorEastAsia" w:hAnsiTheme="minorEastAsia" w:eastAsiaTheme="minorEastAsia" w:cstheme="minorEastAsia"/>
                <w:color w:val="auto"/>
                <w:szCs w:val="21"/>
                <w:highlight w:val="none"/>
              </w:rPr>
              <w:t>，本项目最高得</w:t>
            </w:r>
            <w:r>
              <w:rPr>
                <w:rFonts w:hint="eastAsia" w:asciiTheme="minorEastAsia" w:hAnsiTheme="minorEastAsia" w:eastAsiaTheme="minorEastAsia" w:cstheme="minorEastAsia"/>
                <w:color w:val="auto"/>
                <w:szCs w:val="21"/>
                <w:highlight w:val="none"/>
                <w:lang w:val="en-US" w:eastAsia="zh-CN"/>
              </w:rPr>
              <w:t>5</w:t>
            </w:r>
            <w:r>
              <w:rPr>
                <w:rFonts w:hint="eastAsia" w:asciiTheme="minorEastAsia" w:hAnsiTheme="minorEastAsia" w:eastAsiaTheme="minorEastAsia" w:cstheme="minorEastAsia"/>
                <w:color w:val="auto"/>
                <w:szCs w:val="21"/>
                <w:highlight w:val="none"/>
              </w:rPr>
              <w:t>分，有欠缺或不合理或缺漏的每处扣</w:t>
            </w:r>
            <w:r>
              <w:rPr>
                <w:rFonts w:hint="eastAsia" w:asciiTheme="minorEastAsia" w:hAnsiTheme="minorEastAsia" w:eastAsiaTheme="minorEastAsia" w:cstheme="minorEastAsia"/>
                <w:color w:val="auto"/>
                <w:szCs w:val="21"/>
                <w:highlight w:val="none"/>
                <w:lang w:val="en-US" w:eastAsia="zh-CN"/>
              </w:rPr>
              <w:t>0.5</w:t>
            </w:r>
            <w:r>
              <w:rPr>
                <w:rFonts w:hint="eastAsia" w:asciiTheme="minorEastAsia" w:hAnsiTheme="minorEastAsia" w:eastAsiaTheme="minorEastAsia" w:cstheme="minorEastAsia"/>
                <w:color w:val="auto"/>
                <w:szCs w:val="21"/>
                <w:highlight w:val="none"/>
              </w:rPr>
              <w:t>分，扣完为止。</w:t>
            </w:r>
          </w:p>
        </w:tc>
        <w:tc>
          <w:tcPr>
            <w:tcW w:w="708" w:type="dxa"/>
            <w:vAlign w:val="center"/>
          </w:tcPr>
          <w:p>
            <w:pPr>
              <w:snapToGrid w:val="0"/>
              <w:spacing w:line="460" w:lineRule="exact"/>
              <w:jc w:val="center"/>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673" w:type="dxa"/>
            <w:vAlign w:val="center"/>
          </w:tcPr>
          <w:p>
            <w:pPr>
              <w:tabs>
                <w:tab w:val="left" w:pos="203"/>
              </w:tabs>
              <w:snapToGrid w:val="0"/>
              <w:spacing w:before="0" w:beforeAutospacing="0" w:after="0" w:afterAutospacing="0" w:line="460" w:lineRule="exact"/>
              <w:ind w:left="0" w:leftChars="0" w:firstLine="14" w:firstLineChars="7"/>
              <w:jc w:val="center"/>
              <w:rPr>
                <w:rFonts w:hint="eastAsia" w:asciiTheme="minorEastAsia" w:hAnsiTheme="minorEastAsia" w:eastAsiaTheme="minorEastAsia" w:cstheme="minorEastAsia"/>
                <w:b w:val="0"/>
                <w:bCs w:val="0"/>
                <w:color w:val="auto"/>
                <w:sz w:val="21"/>
                <w:szCs w:val="21"/>
                <w:highlight w:val="none"/>
                <w:lang w:val="en-US" w:eastAsia="zh-CN" w:bidi="ar-SA"/>
              </w:rPr>
            </w:pPr>
            <w:r>
              <w:rPr>
                <w:rFonts w:hint="eastAsia" w:asciiTheme="minorEastAsia" w:hAnsiTheme="minorEastAsia" w:eastAsiaTheme="minorEastAsia" w:cstheme="minorEastAsia"/>
                <w:b w:val="0"/>
                <w:bCs w:val="0"/>
                <w:color w:val="auto"/>
                <w:sz w:val="21"/>
                <w:szCs w:val="21"/>
                <w:highlight w:val="none"/>
                <w:lang w:val="en-US" w:eastAsia="zh-CN"/>
              </w:rPr>
              <w:t>10</w:t>
            </w:r>
          </w:p>
        </w:tc>
        <w:tc>
          <w:tcPr>
            <w:tcW w:w="1260" w:type="dxa"/>
            <w:vMerge w:val="continue"/>
            <w:vAlign w:val="center"/>
          </w:tcPr>
          <w:p>
            <w:pPr>
              <w:tabs>
                <w:tab w:val="left" w:pos="203"/>
              </w:tabs>
              <w:snapToGrid w:val="0"/>
              <w:spacing w:before="0" w:beforeAutospacing="0" w:after="0" w:afterAutospacing="0" w:line="460" w:lineRule="exact"/>
              <w:ind w:left="0" w:firstLine="14" w:firstLineChars="7"/>
              <w:jc w:val="center"/>
              <w:rPr>
                <w:rFonts w:hint="eastAsia" w:asciiTheme="minorEastAsia" w:hAnsiTheme="minorEastAsia" w:eastAsiaTheme="minorEastAsia" w:cstheme="minorEastAsia"/>
                <w:b w:val="0"/>
                <w:bCs w:val="0"/>
                <w:color w:val="auto"/>
                <w:sz w:val="21"/>
                <w:szCs w:val="21"/>
                <w:highlight w:val="none"/>
              </w:rPr>
            </w:pPr>
          </w:p>
        </w:tc>
        <w:tc>
          <w:tcPr>
            <w:tcW w:w="7106" w:type="dxa"/>
            <w:vAlign w:val="top"/>
          </w:tcPr>
          <w:p>
            <w:pPr>
              <w:pStyle w:val="40"/>
              <w:snapToGrid w:val="0"/>
              <w:spacing w:line="460" w:lineRule="exact"/>
              <w:jc w:val="left"/>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color w:val="auto"/>
                <w:szCs w:val="21"/>
                <w:highlight w:val="none"/>
                <w:lang w:val="en-US" w:eastAsia="zh-CN"/>
              </w:rPr>
              <w:t>投标人</w:t>
            </w:r>
            <w:r>
              <w:rPr>
                <w:rFonts w:hint="eastAsia" w:asciiTheme="minorEastAsia" w:hAnsiTheme="minorEastAsia" w:eastAsiaTheme="minorEastAsia" w:cstheme="minorEastAsia"/>
                <w:color w:val="auto"/>
                <w:szCs w:val="21"/>
                <w:highlight w:val="none"/>
                <w:lang w:eastAsia="zh-CN"/>
              </w:rPr>
              <w:t>为保证满足采购单位所要求的处理量，</w:t>
            </w:r>
            <w:r>
              <w:rPr>
                <w:rFonts w:hint="eastAsia" w:asciiTheme="minorEastAsia" w:hAnsiTheme="minorEastAsia" w:eastAsiaTheme="minorEastAsia" w:cstheme="minorEastAsia"/>
                <w:color w:val="auto"/>
                <w:szCs w:val="21"/>
                <w:highlight w:val="none"/>
              </w:rPr>
              <w:t>针对</w:t>
            </w:r>
            <w:r>
              <w:rPr>
                <w:rFonts w:hint="eastAsia" w:asciiTheme="minorEastAsia" w:hAnsiTheme="minorEastAsia" w:eastAsiaTheme="minorEastAsia" w:cstheme="minorEastAsia"/>
                <w:color w:val="auto"/>
                <w:szCs w:val="21"/>
                <w:highlight w:val="none"/>
                <w:lang w:eastAsia="zh-CN"/>
              </w:rPr>
              <w:t>本</w:t>
            </w:r>
            <w:r>
              <w:rPr>
                <w:rFonts w:hint="eastAsia" w:asciiTheme="minorEastAsia" w:hAnsiTheme="minorEastAsia" w:eastAsiaTheme="minorEastAsia" w:cstheme="minorEastAsia"/>
                <w:color w:val="auto"/>
                <w:szCs w:val="21"/>
                <w:highlight w:val="none"/>
              </w:rPr>
              <w:t>项目</w:t>
            </w:r>
            <w:r>
              <w:rPr>
                <w:rFonts w:hint="eastAsia" w:asciiTheme="minorEastAsia" w:hAnsiTheme="minorEastAsia" w:eastAsiaTheme="minorEastAsia" w:cstheme="minorEastAsia"/>
                <w:color w:val="auto"/>
                <w:szCs w:val="21"/>
                <w:highlight w:val="none"/>
                <w:lang w:eastAsia="zh-CN"/>
              </w:rPr>
              <w:t>提供的运行维护设备方案、设备运行维护</w:t>
            </w:r>
            <w:r>
              <w:rPr>
                <w:rFonts w:hint="eastAsia" w:asciiTheme="minorEastAsia" w:hAnsiTheme="minorEastAsia" w:eastAsiaTheme="minorEastAsia" w:cstheme="minorEastAsia"/>
                <w:color w:val="auto"/>
                <w:szCs w:val="21"/>
                <w:highlight w:val="none"/>
              </w:rPr>
              <w:t>工作内容</w:t>
            </w:r>
            <w:r>
              <w:rPr>
                <w:rFonts w:hint="eastAsia" w:asciiTheme="minorEastAsia" w:hAnsiTheme="minorEastAsia" w:eastAsiaTheme="minorEastAsia" w:cstheme="minorEastAsia"/>
                <w:color w:val="auto"/>
                <w:szCs w:val="21"/>
                <w:highlight w:val="none"/>
                <w:lang w:eastAsia="zh-CN"/>
              </w:rPr>
              <w:t>的</w:t>
            </w:r>
            <w:r>
              <w:rPr>
                <w:rFonts w:hint="eastAsia" w:asciiTheme="minorEastAsia" w:hAnsiTheme="minorEastAsia" w:eastAsiaTheme="minorEastAsia" w:cstheme="minorEastAsia"/>
                <w:color w:val="auto"/>
                <w:szCs w:val="21"/>
                <w:highlight w:val="none"/>
              </w:rPr>
              <w:t>细分及考核</w:t>
            </w:r>
            <w:r>
              <w:rPr>
                <w:rFonts w:hint="eastAsia" w:asciiTheme="minorEastAsia" w:hAnsiTheme="minorEastAsia" w:eastAsiaTheme="minorEastAsia" w:cstheme="minorEastAsia"/>
                <w:color w:val="auto"/>
                <w:szCs w:val="21"/>
                <w:highlight w:val="none"/>
                <w:lang w:eastAsia="zh-CN"/>
              </w:rPr>
              <w:t>，方案内容</w:t>
            </w:r>
            <w:r>
              <w:rPr>
                <w:rFonts w:hint="eastAsia" w:asciiTheme="minorEastAsia" w:hAnsiTheme="minorEastAsia" w:eastAsiaTheme="minorEastAsia" w:cstheme="minorEastAsia"/>
                <w:color w:val="auto"/>
                <w:szCs w:val="21"/>
                <w:highlight w:val="none"/>
              </w:rPr>
              <w:t>详实</w:t>
            </w:r>
            <w:r>
              <w:rPr>
                <w:rFonts w:hint="eastAsia" w:asciiTheme="minorEastAsia" w:hAnsiTheme="minorEastAsia" w:eastAsiaTheme="minorEastAsia" w:cstheme="minorEastAsia"/>
                <w:color w:val="auto"/>
                <w:szCs w:val="21"/>
                <w:highlight w:val="none"/>
                <w:lang w:eastAsia="zh-CN"/>
              </w:rPr>
              <w:t>、</w:t>
            </w:r>
            <w:r>
              <w:rPr>
                <w:rFonts w:hint="eastAsia" w:asciiTheme="minorEastAsia" w:hAnsiTheme="minorEastAsia" w:eastAsiaTheme="minorEastAsia" w:cstheme="minorEastAsia"/>
                <w:color w:val="auto"/>
                <w:szCs w:val="21"/>
                <w:highlight w:val="none"/>
              </w:rPr>
              <w:t>有针对性</w:t>
            </w:r>
            <w:r>
              <w:rPr>
                <w:rFonts w:hint="eastAsia" w:asciiTheme="minorEastAsia" w:hAnsiTheme="minorEastAsia" w:eastAsiaTheme="minorEastAsia" w:cstheme="minorEastAsia"/>
                <w:color w:val="auto"/>
                <w:szCs w:val="21"/>
                <w:highlight w:val="none"/>
                <w:lang w:eastAsia="zh-CN"/>
              </w:rPr>
              <w:t>、</w:t>
            </w:r>
            <w:r>
              <w:rPr>
                <w:rFonts w:hint="eastAsia" w:asciiTheme="minorEastAsia" w:hAnsiTheme="minorEastAsia" w:eastAsiaTheme="minorEastAsia" w:cstheme="minorEastAsia"/>
                <w:color w:val="auto"/>
                <w:szCs w:val="21"/>
                <w:highlight w:val="none"/>
              </w:rPr>
              <w:t>内容完整</w:t>
            </w:r>
            <w:r>
              <w:rPr>
                <w:rFonts w:hint="eastAsia" w:asciiTheme="minorEastAsia" w:hAnsiTheme="minorEastAsia" w:eastAsiaTheme="minorEastAsia" w:cstheme="minorEastAsia"/>
                <w:color w:val="auto"/>
                <w:szCs w:val="21"/>
                <w:highlight w:val="none"/>
                <w:lang w:eastAsia="zh-CN"/>
              </w:rPr>
              <w:t>的，</w:t>
            </w:r>
            <w:r>
              <w:rPr>
                <w:rFonts w:hint="eastAsia" w:asciiTheme="minorEastAsia" w:hAnsiTheme="minorEastAsia" w:eastAsiaTheme="minorEastAsia" w:cstheme="minorEastAsia"/>
                <w:color w:val="auto"/>
                <w:szCs w:val="21"/>
                <w:highlight w:val="none"/>
              </w:rPr>
              <w:t>本项目最高得</w:t>
            </w:r>
            <w:r>
              <w:rPr>
                <w:rFonts w:hint="eastAsia" w:asciiTheme="minorEastAsia" w:hAnsiTheme="minorEastAsia" w:eastAsiaTheme="minorEastAsia" w:cstheme="minorEastAsia"/>
                <w:color w:val="auto"/>
                <w:szCs w:val="21"/>
                <w:highlight w:val="none"/>
                <w:lang w:val="en-US" w:eastAsia="zh-CN"/>
              </w:rPr>
              <w:t>7</w:t>
            </w:r>
            <w:r>
              <w:rPr>
                <w:rFonts w:hint="eastAsia" w:asciiTheme="minorEastAsia" w:hAnsiTheme="minorEastAsia" w:eastAsiaTheme="minorEastAsia" w:cstheme="minorEastAsia"/>
                <w:color w:val="auto"/>
                <w:szCs w:val="21"/>
                <w:highlight w:val="none"/>
              </w:rPr>
              <w:t>分，有欠缺或不合理或缺漏的每处扣</w:t>
            </w:r>
            <w:r>
              <w:rPr>
                <w:rFonts w:hint="eastAsia" w:asciiTheme="minorEastAsia" w:hAnsiTheme="minorEastAsia" w:eastAsiaTheme="minorEastAsia" w:cstheme="minorEastAsia"/>
                <w:color w:val="auto"/>
                <w:szCs w:val="21"/>
                <w:highlight w:val="none"/>
                <w:lang w:val="en-US" w:eastAsia="zh-CN"/>
              </w:rPr>
              <w:t>0.5</w:t>
            </w:r>
            <w:r>
              <w:rPr>
                <w:rFonts w:hint="eastAsia" w:asciiTheme="minorEastAsia" w:hAnsiTheme="minorEastAsia" w:eastAsiaTheme="minorEastAsia" w:cstheme="minorEastAsia"/>
                <w:color w:val="auto"/>
                <w:szCs w:val="21"/>
                <w:highlight w:val="none"/>
              </w:rPr>
              <w:t>分，扣完为止。</w:t>
            </w:r>
          </w:p>
        </w:tc>
        <w:tc>
          <w:tcPr>
            <w:tcW w:w="708" w:type="dxa"/>
            <w:vAlign w:val="center"/>
          </w:tcPr>
          <w:p>
            <w:pPr>
              <w:snapToGrid w:val="0"/>
              <w:spacing w:line="460" w:lineRule="exact"/>
              <w:jc w:val="center"/>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673" w:type="dxa"/>
            <w:vAlign w:val="center"/>
          </w:tcPr>
          <w:p>
            <w:pPr>
              <w:tabs>
                <w:tab w:val="left" w:pos="203"/>
              </w:tabs>
              <w:snapToGrid w:val="0"/>
              <w:spacing w:before="0" w:beforeAutospacing="0" w:after="0" w:afterAutospacing="0" w:line="460" w:lineRule="exact"/>
              <w:ind w:left="0" w:leftChars="0" w:firstLine="14" w:firstLineChars="7"/>
              <w:jc w:val="center"/>
              <w:rPr>
                <w:rFonts w:hint="eastAsia" w:asciiTheme="minorEastAsia" w:hAnsiTheme="minorEastAsia" w:eastAsiaTheme="minorEastAsia" w:cstheme="minorEastAsia"/>
                <w:color w:val="auto"/>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lang w:val="en-US" w:eastAsia="zh-CN"/>
              </w:rPr>
              <w:t>11</w:t>
            </w:r>
          </w:p>
        </w:tc>
        <w:tc>
          <w:tcPr>
            <w:tcW w:w="1260" w:type="dxa"/>
            <w:vMerge w:val="continue"/>
            <w:vAlign w:val="center"/>
          </w:tcPr>
          <w:p>
            <w:pPr>
              <w:tabs>
                <w:tab w:val="left" w:pos="203"/>
              </w:tabs>
              <w:snapToGrid w:val="0"/>
              <w:spacing w:before="0" w:beforeAutospacing="0" w:after="0" w:afterAutospacing="0" w:line="460" w:lineRule="exact"/>
              <w:ind w:left="0" w:firstLine="14" w:firstLineChars="7"/>
              <w:jc w:val="center"/>
              <w:rPr>
                <w:rFonts w:hint="eastAsia" w:asciiTheme="minorEastAsia" w:hAnsiTheme="minorEastAsia" w:eastAsiaTheme="minorEastAsia" w:cstheme="minorEastAsia"/>
                <w:b w:val="0"/>
                <w:bCs w:val="0"/>
                <w:color w:val="auto"/>
                <w:sz w:val="21"/>
                <w:szCs w:val="21"/>
                <w:highlight w:val="none"/>
              </w:rPr>
            </w:pPr>
          </w:p>
        </w:tc>
        <w:tc>
          <w:tcPr>
            <w:tcW w:w="7106" w:type="dxa"/>
            <w:vAlign w:val="top"/>
          </w:tcPr>
          <w:p>
            <w:pPr>
              <w:pStyle w:val="40"/>
              <w:snapToGrid w:val="0"/>
              <w:spacing w:line="460" w:lineRule="exact"/>
              <w:jc w:val="left"/>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color w:val="auto"/>
                <w:szCs w:val="21"/>
                <w:highlight w:val="none"/>
                <w:lang w:val="en-US" w:eastAsia="zh-CN"/>
              </w:rPr>
              <w:t>为减少污泥运输过程中二次污染的风险及降低运输成本，根据投标人</w:t>
            </w:r>
            <w:r>
              <w:rPr>
                <w:rFonts w:hint="eastAsia" w:asciiTheme="minorEastAsia" w:hAnsiTheme="minorEastAsia" w:eastAsiaTheme="minorEastAsia" w:cstheme="minorEastAsia"/>
                <w:color w:val="auto"/>
                <w:szCs w:val="21"/>
                <w:highlight w:val="none"/>
                <w:lang w:eastAsia="zh-CN"/>
              </w:rPr>
              <w:t>针对本项目污泥运输过程中的</w:t>
            </w:r>
            <w:r>
              <w:rPr>
                <w:rFonts w:hint="eastAsia" w:asciiTheme="minorEastAsia" w:hAnsiTheme="minorEastAsia" w:eastAsiaTheme="minorEastAsia" w:cstheme="minorEastAsia"/>
                <w:color w:val="auto"/>
                <w:szCs w:val="21"/>
                <w:highlight w:val="none"/>
                <w:lang w:val="en-US" w:eastAsia="zh-CN"/>
              </w:rPr>
              <w:t>污染风险分析、</w:t>
            </w:r>
            <w:r>
              <w:rPr>
                <w:rFonts w:hint="eastAsia" w:asciiTheme="minorEastAsia" w:hAnsiTheme="minorEastAsia" w:eastAsiaTheme="minorEastAsia" w:cstheme="minorEastAsia"/>
                <w:color w:val="auto"/>
                <w:szCs w:val="21"/>
                <w:highlight w:val="none"/>
                <w:lang w:eastAsia="zh-CN"/>
              </w:rPr>
              <w:t>安全防范措施</w:t>
            </w:r>
            <w:r>
              <w:rPr>
                <w:rFonts w:hint="eastAsia" w:asciiTheme="minorEastAsia" w:hAnsiTheme="minorEastAsia" w:eastAsiaTheme="minorEastAsia" w:cstheme="minorEastAsia"/>
                <w:color w:val="auto"/>
                <w:szCs w:val="21"/>
                <w:highlight w:val="none"/>
                <w:lang w:val="en-US" w:eastAsia="zh-CN"/>
              </w:rPr>
              <w:t>及降低运输成本方案进行打分</w:t>
            </w:r>
            <w:r>
              <w:rPr>
                <w:rFonts w:hint="eastAsia" w:asciiTheme="minorEastAsia" w:hAnsiTheme="minorEastAsia" w:eastAsiaTheme="minorEastAsia" w:cstheme="minorEastAsia"/>
                <w:color w:val="auto"/>
                <w:szCs w:val="21"/>
                <w:highlight w:val="none"/>
              </w:rPr>
              <w:t>，本项目最高得</w:t>
            </w:r>
            <w:r>
              <w:rPr>
                <w:rFonts w:hint="eastAsia" w:asciiTheme="minorEastAsia" w:hAnsiTheme="minorEastAsia" w:eastAsiaTheme="minorEastAsia" w:cstheme="minorEastAsia"/>
                <w:color w:val="auto"/>
                <w:szCs w:val="21"/>
                <w:highlight w:val="none"/>
                <w:lang w:val="en-US" w:eastAsia="zh-CN"/>
              </w:rPr>
              <w:t>8</w:t>
            </w:r>
            <w:r>
              <w:rPr>
                <w:rFonts w:hint="eastAsia" w:asciiTheme="minorEastAsia" w:hAnsiTheme="minorEastAsia" w:eastAsiaTheme="minorEastAsia" w:cstheme="minorEastAsia"/>
                <w:color w:val="auto"/>
                <w:szCs w:val="21"/>
                <w:highlight w:val="none"/>
              </w:rPr>
              <w:t>分，有欠缺或不合理或缺漏的每处扣</w:t>
            </w:r>
            <w:r>
              <w:rPr>
                <w:rFonts w:hint="eastAsia" w:asciiTheme="minorEastAsia" w:hAnsiTheme="minorEastAsia" w:eastAsiaTheme="minorEastAsia" w:cstheme="minorEastAsia"/>
                <w:color w:val="auto"/>
                <w:szCs w:val="21"/>
                <w:highlight w:val="none"/>
                <w:lang w:val="en-US" w:eastAsia="zh-CN"/>
              </w:rPr>
              <w:t>0.5</w:t>
            </w:r>
            <w:r>
              <w:rPr>
                <w:rFonts w:hint="eastAsia" w:asciiTheme="minorEastAsia" w:hAnsiTheme="minorEastAsia" w:eastAsiaTheme="minorEastAsia" w:cstheme="minorEastAsia"/>
                <w:color w:val="auto"/>
                <w:szCs w:val="21"/>
                <w:highlight w:val="none"/>
              </w:rPr>
              <w:t>分，扣完为止。</w:t>
            </w:r>
          </w:p>
        </w:tc>
        <w:tc>
          <w:tcPr>
            <w:tcW w:w="708" w:type="dxa"/>
            <w:vAlign w:val="center"/>
          </w:tcPr>
          <w:p>
            <w:pPr>
              <w:snapToGrid w:val="0"/>
              <w:spacing w:line="460" w:lineRule="exact"/>
              <w:jc w:val="center"/>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673" w:type="dxa"/>
            <w:vAlign w:val="center"/>
          </w:tcPr>
          <w:p>
            <w:pPr>
              <w:tabs>
                <w:tab w:val="left" w:pos="203"/>
              </w:tabs>
              <w:snapToGrid w:val="0"/>
              <w:spacing w:before="0" w:beforeAutospacing="0" w:after="0" w:afterAutospacing="0" w:line="460" w:lineRule="exact"/>
              <w:ind w:left="0" w:leftChars="0" w:firstLine="14" w:firstLineChars="7"/>
              <w:jc w:val="center"/>
              <w:rPr>
                <w:rFonts w:hint="eastAsia" w:asciiTheme="minorEastAsia" w:hAnsiTheme="minorEastAsia" w:eastAsiaTheme="minorEastAsia" w:cstheme="minorEastAsia"/>
                <w:color w:val="auto"/>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lang w:val="en-US" w:eastAsia="zh-CN"/>
              </w:rPr>
              <w:t>12</w:t>
            </w:r>
          </w:p>
        </w:tc>
        <w:tc>
          <w:tcPr>
            <w:tcW w:w="1260" w:type="dxa"/>
            <w:vMerge w:val="restart"/>
            <w:vAlign w:val="center"/>
          </w:tcPr>
          <w:p>
            <w:pPr>
              <w:tabs>
                <w:tab w:val="left" w:pos="203"/>
              </w:tabs>
              <w:snapToGrid w:val="0"/>
              <w:spacing w:before="0" w:beforeAutospacing="0" w:after="0" w:afterAutospacing="0" w:line="460" w:lineRule="exact"/>
              <w:ind w:left="0" w:firstLine="14" w:firstLineChars="7"/>
              <w:jc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rPr>
              <w:t>应急预案</w:t>
            </w:r>
          </w:p>
        </w:tc>
        <w:tc>
          <w:tcPr>
            <w:tcW w:w="7106" w:type="dxa"/>
            <w:vAlign w:val="center"/>
          </w:tcPr>
          <w:p>
            <w:pPr>
              <w:pStyle w:val="40"/>
              <w:snapToGrid w:val="0"/>
              <w:spacing w:line="460" w:lineRule="exact"/>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zCs w:val="21"/>
                <w:highlight w:val="none"/>
              </w:rPr>
              <w:t>1</w:t>
            </w:r>
            <w:r>
              <w:rPr>
                <w:rFonts w:hint="eastAsia" w:asciiTheme="minorEastAsia" w:hAnsiTheme="minorEastAsia" w:eastAsiaTheme="minorEastAsia" w:cstheme="minorEastAsia"/>
                <w:color w:val="auto"/>
                <w:szCs w:val="21"/>
                <w:highlight w:val="none"/>
                <w:lang w:val="en-US" w:eastAsia="zh-CN"/>
              </w:rPr>
              <w:t>.</w:t>
            </w:r>
            <w:r>
              <w:rPr>
                <w:rFonts w:hint="eastAsia" w:asciiTheme="minorEastAsia" w:hAnsiTheme="minorEastAsia" w:eastAsiaTheme="minorEastAsia" w:cstheme="minorEastAsia"/>
                <w:color w:val="auto"/>
                <w:szCs w:val="21"/>
                <w:highlight w:val="none"/>
                <w:lang w:eastAsia="zh-CN"/>
              </w:rPr>
              <w:t>投标人根据自身经验对本项目实施过程中可能出现的紧急情况及不可预见性工作进行分析，分析合理且具有对应解决措施的，最高得</w:t>
            </w:r>
            <w:r>
              <w:rPr>
                <w:rFonts w:hint="eastAsia" w:asciiTheme="minorEastAsia" w:hAnsiTheme="minorEastAsia" w:eastAsiaTheme="minorEastAsia" w:cstheme="minorEastAsia"/>
                <w:color w:val="auto"/>
                <w:szCs w:val="21"/>
                <w:highlight w:val="none"/>
                <w:lang w:val="en-US" w:eastAsia="zh-CN"/>
              </w:rPr>
              <w:t>4分。</w:t>
            </w:r>
          </w:p>
        </w:tc>
        <w:tc>
          <w:tcPr>
            <w:tcW w:w="708" w:type="dxa"/>
            <w:vAlign w:val="center"/>
          </w:tcPr>
          <w:p>
            <w:pPr>
              <w:snapToGrid w:val="0"/>
              <w:spacing w:line="460" w:lineRule="exact"/>
              <w:jc w:val="center"/>
              <w:rPr>
                <w:rFonts w:hint="eastAsia" w:asciiTheme="minorEastAsia" w:hAnsiTheme="minorEastAsia" w:eastAsiaTheme="minorEastAsia" w:cstheme="minorEastAsia"/>
                <w:color w:val="auto"/>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673" w:type="dxa"/>
            <w:vAlign w:val="center"/>
          </w:tcPr>
          <w:p>
            <w:pPr>
              <w:tabs>
                <w:tab w:val="left" w:pos="203"/>
              </w:tabs>
              <w:snapToGrid w:val="0"/>
              <w:spacing w:before="0" w:beforeAutospacing="0" w:after="0" w:afterAutospacing="0" w:line="460" w:lineRule="exact"/>
              <w:ind w:left="0" w:leftChars="0" w:firstLine="14" w:firstLineChars="7"/>
              <w:jc w:val="center"/>
              <w:rPr>
                <w:rFonts w:hint="eastAsia" w:asciiTheme="minorEastAsia" w:hAnsiTheme="minorEastAsia" w:eastAsiaTheme="minorEastAsia" w:cstheme="minorEastAsia"/>
                <w:color w:val="auto"/>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lang w:val="en-US" w:eastAsia="zh-CN"/>
              </w:rPr>
              <w:t>13</w:t>
            </w:r>
          </w:p>
        </w:tc>
        <w:tc>
          <w:tcPr>
            <w:tcW w:w="1260" w:type="dxa"/>
            <w:vMerge w:val="continue"/>
            <w:vAlign w:val="center"/>
          </w:tcPr>
          <w:p>
            <w:pPr>
              <w:tabs>
                <w:tab w:val="left" w:pos="203"/>
              </w:tabs>
              <w:snapToGrid w:val="0"/>
              <w:spacing w:before="0" w:beforeAutospacing="0" w:after="0" w:afterAutospacing="0" w:line="460" w:lineRule="exact"/>
              <w:ind w:left="0" w:firstLine="14" w:firstLineChars="7"/>
              <w:jc w:val="center"/>
              <w:rPr>
                <w:rFonts w:hint="eastAsia" w:asciiTheme="minorEastAsia" w:hAnsiTheme="minorEastAsia" w:eastAsiaTheme="minorEastAsia" w:cstheme="minorEastAsia"/>
                <w:b w:val="0"/>
                <w:bCs w:val="0"/>
                <w:color w:val="auto"/>
                <w:sz w:val="21"/>
                <w:szCs w:val="21"/>
                <w:highlight w:val="none"/>
              </w:rPr>
            </w:pPr>
          </w:p>
        </w:tc>
        <w:tc>
          <w:tcPr>
            <w:tcW w:w="7106" w:type="dxa"/>
            <w:vAlign w:val="center"/>
          </w:tcPr>
          <w:p>
            <w:pPr>
              <w:pStyle w:val="40"/>
              <w:snapToGrid w:val="0"/>
              <w:spacing w:line="46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w:t>
            </w:r>
            <w:r>
              <w:rPr>
                <w:rFonts w:hint="eastAsia" w:asciiTheme="minorEastAsia" w:hAnsiTheme="minorEastAsia" w:eastAsiaTheme="minorEastAsia" w:cstheme="minorEastAsia"/>
                <w:color w:val="auto"/>
                <w:szCs w:val="21"/>
                <w:highlight w:val="none"/>
                <w:lang w:val="en-US" w:eastAsia="zh-CN"/>
              </w:rPr>
              <w:t>.</w:t>
            </w:r>
            <w:r>
              <w:rPr>
                <w:rFonts w:hint="eastAsia" w:asciiTheme="minorEastAsia" w:hAnsiTheme="minorEastAsia" w:eastAsiaTheme="minorEastAsia" w:cstheme="minorEastAsia"/>
                <w:color w:val="auto"/>
                <w:szCs w:val="21"/>
                <w:highlight w:val="none"/>
              </w:rPr>
              <w:t>应急处置预案</w:t>
            </w:r>
            <w:r>
              <w:rPr>
                <w:rFonts w:hint="eastAsia" w:asciiTheme="minorEastAsia" w:hAnsiTheme="minorEastAsia" w:eastAsiaTheme="minorEastAsia" w:cstheme="minorEastAsia"/>
                <w:color w:val="auto"/>
                <w:szCs w:val="21"/>
                <w:highlight w:val="none"/>
              </w:rPr>
              <w:br w:type="textWrapping"/>
            </w:r>
            <w:r>
              <w:rPr>
                <w:rFonts w:hint="eastAsia" w:asciiTheme="minorEastAsia" w:hAnsiTheme="minorEastAsia" w:eastAsiaTheme="minorEastAsia" w:cstheme="minorEastAsia"/>
                <w:color w:val="auto"/>
                <w:szCs w:val="21"/>
                <w:highlight w:val="none"/>
                <w:lang w:eastAsia="zh-CN"/>
              </w:rPr>
              <w:t>（</w:t>
            </w:r>
            <w:r>
              <w:rPr>
                <w:rFonts w:hint="eastAsia" w:asciiTheme="minorEastAsia" w:hAnsiTheme="minorEastAsia" w:eastAsiaTheme="minorEastAsia" w:cstheme="minorEastAsia"/>
                <w:color w:val="auto"/>
                <w:szCs w:val="21"/>
                <w:highlight w:val="none"/>
                <w:lang w:val="en-US" w:eastAsia="zh-CN"/>
              </w:rPr>
              <w:t>1</w:t>
            </w:r>
            <w:r>
              <w:rPr>
                <w:rFonts w:hint="eastAsia" w:asciiTheme="minorEastAsia" w:hAnsiTheme="minorEastAsia" w:eastAsiaTheme="minorEastAsia" w:cstheme="minorEastAsia"/>
                <w:color w:val="auto"/>
                <w:szCs w:val="21"/>
                <w:highlight w:val="none"/>
                <w:lang w:eastAsia="zh-CN"/>
              </w:rPr>
              <w:t>）针对污泥处置过程中紧急情况（</w:t>
            </w:r>
            <w:r>
              <w:rPr>
                <w:rFonts w:hint="eastAsia" w:asciiTheme="minorEastAsia" w:hAnsiTheme="minorEastAsia" w:eastAsiaTheme="minorEastAsia" w:cstheme="minorEastAsia"/>
                <w:color w:val="auto"/>
                <w:szCs w:val="21"/>
                <w:highlight w:val="none"/>
              </w:rPr>
              <w:t>包括火灾、突然停电等突发事件</w:t>
            </w:r>
            <w:r>
              <w:rPr>
                <w:rFonts w:hint="eastAsia" w:asciiTheme="minorEastAsia" w:hAnsiTheme="minorEastAsia" w:eastAsiaTheme="minorEastAsia" w:cstheme="minorEastAsia"/>
                <w:color w:val="auto"/>
                <w:szCs w:val="21"/>
                <w:highlight w:val="none"/>
                <w:lang w:eastAsia="zh-CN"/>
              </w:rPr>
              <w:t>，</w:t>
            </w:r>
            <w:r>
              <w:rPr>
                <w:rFonts w:hint="eastAsia" w:asciiTheme="minorEastAsia" w:hAnsiTheme="minorEastAsia" w:eastAsiaTheme="minorEastAsia" w:cstheme="minorEastAsia"/>
                <w:color w:val="auto"/>
                <w:szCs w:val="21"/>
                <w:highlight w:val="none"/>
              </w:rPr>
              <w:t>政策变动</w:t>
            </w:r>
            <w:r>
              <w:rPr>
                <w:rFonts w:hint="eastAsia" w:asciiTheme="minorEastAsia" w:hAnsiTheme="minorEastAsia" w:eastAsiaTheme="minorEastAsia" w:cstheme="minorEastAsia"/>
                <w:color w:val="auto"/>
                <w:szCs w:val="21"/>
                <w:highlight w:val="none"/>
                <w:lang w:eastAsia="zh-CN"/>
              </w:rPr>
              <w:t>、</w:t>
            </w:r>
            <w:r>
              <w:rPr>
                <w:rFonts w:hint="eastAsia" w:asciiTheme="minorEastAsia" w:hAnsiTheme="minorEastAsia" w:eastAsiaTheme="minorEastAsia" w:cstheme="minorEastAsia"/>
                <w:b w:val="0"/>
                <w:bCs w:val="0"/>
                <w:color w:val="auto"/>
                <w:sz w:val="21"/>
                <w:szCs w:val="21"/>
                <w:highlight w:val="none"/>
                <w:lang w:val="en-US" w:eastAsia="zh-CN"/>
              </w:rPr>
              <w:t>节假日时如何正常接纳（处置）污泥等</w:t>
            </w:r>
            <w:r>
              <w:rPr>
                <w:rFonts w:hint="eastAsia" w:asciiTheme="minorEastAsia" w:hAnsiTheme="minorEastAsia" w:eastAsiaTheme="minorEastAsia" w:cstheme="minorEastAsia"/>
                <w:color w:val="auto"/>
                <w:szCs w:val="21"/>
                <w:highlight w:val="none"/>
              </w:rPr>
              <w:t>）</w:t>
            </w:r>
            <w:r>
              <w:rPr>
                <w:rFonts w:hint="eastAsia" w:asciiTheme="minorEastAsia" w:hAnsiTheme="minorEastAsia" w:eastAsiaTheme="minorEastAsia" w:cstheme="minorEastAsia"/>
                <w:color w:val="auto"/>
                <w:szCs w:val="21"/>
                <w:highlight w:val="none"/>
                <w:lang w:eastAsia="zh-CN"/>
              </w:rPr>
              <w:t>的应对措施进行打分，措施合理、及时有效的</w:t>
            </w:r>
            <w:r>
              <w:rPr>
                <w:rFonts w:hint="eastAsia" w:asciiTheme="minorEastAsia" w:hAnsiTheme="minorEastAsia" w:eastAsiaTheme="minorEastAsia" w:cstheme="minorEastAsia"/>
                <w:color w:val="auto"/>
                <w:szCs w:val="21"/>
                <w:highlight w:val="none"/>
              </w:rPr>
              <w:t>最高得</w:t>
            </w:r>
            <w:r>
              <w:rPr>
                <w:rFonts w:hint="eastAsia" w:asciiTheme="minorEastAsia" w:hAnsiTheme="minorEastAsia" w:eastAsiaTheme="minorEastAsia" w:cstheme="minorEastAsia"/>
                <w:color w:val="auto"/>
                <w:szCs w:val="21"/>
                <w:highlight w:val="none"/>
                <w:lang w:val="en-US" w:eastAsia="zh-CN"/>
              </w:rPr>
              <w:t>4</w:t>
            </w:r>
            <w:r>
              <w:rPr>
                <w:rFonts w:hint="eastAsia" w:asciiTheme="minorEastAsia" w:hAnsiTheme="minorEastAsia" w:eastAsiaTheme="minorEastAsia" w:cstheme="minorEastAsia"/>
                <w:color w:val="auto"/>
                <w:szCs w:val="21"/>
                <w:highlight w:val="none"/>
              </w:rPr>
              <w:t>分</w:t>
            </w:r>
            <w:r>
              <w:rPr>
                <w:rFonts w:hint="eastAsia" w:asciiTheme="minorEastAsia" w:hAnsiTheme="minorEastAsia" w:eastAsiaTheme="minorEastAsia" w:cstheme="minorEastAsia"/>
                <w:color w:val="auto"/>
                <w:szCs w:val="21"/>
                <w:highlight w:val="none"/>
                <w:lang w:eastAsia="zh-CN"/>
              </w:rPr>
              <w:t>；</w:t>
            </w:r>
          </w:p>
          <w:p>
            <w:pPr>
              <w:pStyle w:val="40"/>
              <w:snapToGrid w:val="0"/>
              <w:spacing w:line="460" w:lineRule="exact"/>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zCs w:val="21"/>
                <w:highlight w:val="none"/>
                <w:lang w:val="en-US" w:eastAsia="zh-CN"/>
              </w:rPr>
              <w:t>（2）针对污泥处置设施及废气处理设备故障、维修、保养等可能造成工期延误的应急处理措施进行打分，措施合理、及时有效的最高得4分。</w:t>
            </w:r>
          </w:p>
        </w:tc>
        <w:tc>
          <w:tcPr>
            <w:tcW w:w="708" w:type="dxa"/>
            <w:vAlign w:val="center"/>
          </w:tcPr>
          <w:p>
            <w:pPr>
              <w:snapToGrid w:val="0"/>
              <w:spacing w:line="460" w:lineRule="exact"/>
              <w:jc w:val="center"/>
              <w:rPr>
                <w:rFonts w:hint="eastAsia" w:asciiTheme="minorEastAsia" w:hAnsiTheme="minorEastAsia" w:eastAsiaTheme="minorEastAsia" w:cstheme="minorEastAsia"/>
                <w:color w:val="auto"/>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lang w:val="en-US" w:eastAsia="zh-CN"/>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673" w:type="dxa"/>
            <w:vAlign w:val="center"/>
          </w:tcPr>
          <w:p>
            <w:pPr>
              <w:tabs>
                <w:tab w:val="left" w:pos="203"/>
              </w:tabs>
              <w:snapToGrid w:val="0"/>
              <w:spacing w:before="0" w:beforeAutospacing="0" w:after="0" w:afterAutospacing="0" w:line="460" w:lineRule="exact"/>
              <w:ind w:left="0" w:firstLine="14" w:firstLineChars="7"/>
              <w:jc w:val="center"/>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14</w:t>
            </w:r>
          </w:p>
        </w:tc>
        <w:tc>
          <w:tcPr>
            <w:tcW w:w="1260" w:type="dxa"/>
            <w:vMerge w:val="continue"/>
            <w:vAlign w:val="center"/>
          </w:tcPr>
          <w:p>
            <w:pPr>
              <w:tabs>
                <w:tab w:val="left" w:pos="203"/>
              </w:tabs>
              <w:snapToGrid w:val="0"/>
              <w:spacing w:before="0" w:beforeAutospacing="0" w:after="0" w:afterAutospacing="0" w:line="460" w:lineRule="exact"/>
              <w:ind w:left="0" w:firstLine="14" w:firstLineChars="7"/>
              <w:jc w:val="center"/>
              <w:rPr>
                <w:rFonts w:hint="eastAsia" w:asciiTheme="minorEastAsia" w:hAnsiTheme="minorEastAsia" w:eastAsiaTheme="minorEastAsia" w:cstheme="minorEastAsia"/>
                <w:b w:val="0"/>
                <w:bCs w:val="0"/>
                <w:color w:val="auto"/>
                <w:sz w:val="21"/>
                <w:szCs w:val="21"/>
                <w:highlight w:val="none"/>
              </w:rPr>
            </w:pPr>
          </w:p>
        </w:tc>
        <w:tc>
          <w:tcPr>
            <w:tcW w:w="7106" w:type="dxa"/>
            <w:vAlign w:val="center"/>
          </w:tcPr>
          <w:p>
            <w:pPr>
              <w:pStyle w:val="40"/>
              <w:snapToGrid w:val="0"/>
              <w:spacing w:line="460" w:lineRule="exact"/>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zCs w:val="21"/>
                <w:highlight w:val="none"/>
                <w:lang w:val="en-US" w:eastAsia="zh-CN"/>
              </w:rPr>
              <w:t>3.</w:t>
            </w:r>
            <w:r>
              <w:rPr>
                <w:rFonts w:hint="eastAsia" w:asciiTheme="minorEastAsia" w:hAnsiTheme="minorEastAsia" w:eastAsiaTheme="minorEastAsia" w:cstheme="minorEastAsia"/>
                <w:color w:val="auto"/>
                <w:szCs w:val="21"/>
                <w:highlight w:val="none"/>
              </w:rPr>
              <w:t>投标人</w:t>
            </w:r>
            <w:r>
              <w:rPr>
                <w:rFonts w:hint="eastAsia" w:ascii="宋体" w:hAnsi="宋体" w:cs="宋体"/>
                <w:color w:val="auto"/>
                <w:szCs w:val="21"/>
                <w:highlight w:val="none"/>
                <w:lang w:val="en-US" w:eastAsia="zh-CN"/>
              </w:rPr>
              <w:t>（或联合体牵头单位）</w:t>
            </w:r>
            <w:r>
              <w:rPr>
                <w:rFonts w:hint="eastAsia" w:asciiTheme="minorEastAsia" w:hAnsiTheme="minorEastAsia" w:eastAsiaTheme="minorEastAsia" w:cstheme="minorEastAsia"/>
                <w:color w:val="auto"/>
                <w:szCs w:val="21"/>
                <w:highlight w:val="none"/>
              </w:rPr>
              <w:t>的应急预案通过环保部门备案的，得</w:t>
            </w:r>
            <w:r>
              <w:rPr>
                <w:rFonts w:hint="eastAsia" w:asciiTheme="minorEastAsia" w:hAnsiTheme="minorEastAsia" w:eastAsiaTheme="minorEastAsia" w:cstheme="minorEastAsia"/>
                <w:color w:val="auto"/>
                <w:szCs w:val="21"/>
                <w:highlight w:val="none"/>
                <w:lang w:val="en-US" w:eastAsia="zh-CN"/>
              </w:rPr>
              <w:t>4</w:t>
            </w:r>
            <w:r>
              <w:rPr>
                <w:rFonts w:hint="eastAsia" w:asciiTheme="minorEastAsia" w:hAnsiTheme="minorEastAsia" w:eastAsiaTheme="minorEastAsia" w:cstheme="minorEastAsia"/>
                <w:color w:val="auto"/>
                <w:szCs w:val="21"/>
                <w:highlight w:val="none"/>
              </w:rPr>
              <w:t>分。</w:t>
            </w:r>
          </w:p>
        </w:tc>
        <w:tc>
          <w:tcPr>
            <w:tcW w:w="708" w:type="dxa"/>
            <w:vAlign w:val="center"/>
          </w:tcPr>
          <w:p>
            <w:pPr>
              <w:snapToGrid w:val="0"/>
              <w:spacing w:line="460" w:lineRule="exact"/>
              <w:jc w:val="center"/>
              <w:rPr>
                <w:rFonts w:hint="eastAsia" w:asciiTheme="minorEastAsia" w:hAnsiTheme="minorEastAsia" w:eastAsiaTheme="minorEastAsia" w:cstheme="minorEastAsia"/>
                <w:color w:val="auto"/>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673" w:type="dxa"/>
            <w:vAlign w:val="center"/>
          </w:tcPr>
          <w:p>
            <w:pPr>
              <w:tabs>
                <w:tab w:val="left" w:pos="203"/>
              </w:tabs>
              <w:snapToGrid w:val="0"/>
              <w:spacing w:before="0" w:beforeAutospacing="0" w:after="0" w:afterAutospacing="0" w:line="460" w:lineRule="exact"/>
              <w:ind w:left="0" w:firstLine="14" w:firstLineChars="7"/>
              <w:jc w:val="center"/>
              <w:rPr>
                <w:rFonts w:hint="eastAsia" w:asciiTheme="minorEastAsia" w:hAnsiTheme="minorEastAsia" w:eastAsiaTheme="minorEastAsia" w:cstheme="minorEastAsia"/>
                <w:b w:val="0"/>
                <w:bCs w:val="0"/>
                <w:color w:val="auto"/>
                <w:sz w:val="21"/>
                <w:szCs w:val="21"/>
                <w:highlight w:val="none"/>
              </w:rPr>
            </w:pPr>
          </w:p>
        </w:tc>
        <w:tc>
          <w:tcPr>
            <w:tcW w:w="1260" w:type="dxa"/>
            <w:vAlign w:val="center"/>
          </w:tcPr>
          <w:p>
            <w:pPr>
              <w:tabs>
                <w:tab w:val="left" w:pos="203"/>
              </w:tabs>
              <w:snapToGrid w:val="0"/>
              <w:spacing w:before="0" w:beforeAutospacing="0" w:after="0" w:afterAutospacing="0" w:line="460" w:lineRule="exact"/>
              <w:ind w:left="0" w:firstLine="14" w:firstLineChars="7"/>
              <w:jc w:val="center"/>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合计</w:t>
            </w:r>
          </w:p>
        </w:tc>
        <w:tc>
          <w:tcPr>
            <w:tcW w:w="7106" w:type="dxa"/>
            <w:vAlign w:val="center"/>
          </w:tcPr>
          <w:p>
            <w:pPr>
              <w:adjustRightInd w:val="0"/>
              <w:snapToGrid w:val="0"/>
              <w:spacing w:line="460" w:lineRule="exact"/>
              <w:ind w:firstLine="0" w:firstLineChars="0"/>
              <w:jc w:val="both"/>
              <w:rPr>
                <w:rFonts w:hint="eastAsia" w:asciiTheme="minorEastAsia" w:hAnsiTheme="minorEastAsia" w:eastAsiaTheme="minorEastAsia" w:cstheme="minorEastAsia"/>
                <w:b w:val="0"/>
                <w:bCs w:val="0"/>
                <w:color w:val="auto"/>
                <w:sz w:val="21"/>
                <w:szCs w:val="21"/>
                <w:highlight w:val="none"/>
              </w:rPr>
            </w:pPr>
          </w:p>
        </w:tc>
        <w:tc>
          <w:tcPr>
            <w:tcW w:w="708" w:type="dxa"/>
            <w:vAlign w:val="center"/>
          </w:tcPr>
          <w:p>
            <w:pPr>
              <w:tabs>
                <w:tab w:val="left" w:pos="203"/>
              </w:tabs>
              <w:snapToGrid w:val="0"/>
              <w:spacing w:before="0" w:beforeAutospacing="0" w:after="0" w:afterAutospacing="0" w:line="460" w:lineRule="exact"/>
              <w:ind w:left="0" w:firstLine="14" w:firstLineChars="7"/>
              <w:jc w:val="center"/>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70</w:t>
            </w:r>
          </w:p>
        </w:tc>
      </w:tr>
    </w:tbl>
    <w:p>
      <w:pPr>
        <w:keepNext w:val="0"/>
        <w:keepLines w:val="0"/>
        <w:pageBreakBefore w:val="0"/>
        <w:widowControl w:val="0"/>
        <w:kinsoku/>
        <w:wordWrap/>
        <w:overflowPunct/>
        <w:topLinePunct w:val="0"/>
        <w:autoSpaceDE/>
        <w:autoSpaceDN/>
        <w:bidi w:val="0"/>
        <w:adjustRightInd w:val="0"/>
        <w:snapToGrid w:val="0"/>
        <w:spacing w:line="500" w:lineRule="exact"/>
        <w:ind w:firstLine="422" w:firstLineChars="200"/>
        <w:jc w:val="left"/>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（三）</w:t>
      </w:r>
      <w:r>
        <w:rPr>
          <w:rFonts w:hint="eastAsia" w:hAnsi="宋体" w:cs="宋体"/>
          <w:b/>
          <w:color w:val="auto"/>
          <w:sz w:val="21"/>
          <w:szCs w:val="21"/>
          <w:highlight w:val="none"/>
          <w:lang w:eastAsia="zh-CN"/>
        </w:rPr>
        <w:t>商务技术</w:t>
      </w:r>
      <w:r>
        <w:rPr>
          <w:rFonts w:hint="eastAsia" w:ascii="宋体" w:hAnsi="宋体" w:eastAsia="宋体" w:cs="宋体"/>
          <w:b/>
          <w:color w:val="auto"/>
          <w:sz w:val="21"/>
          <w:szCs w:val="21"/>
          <w:highlight w:val="none"/>
        </w:rPr>
        <w:t>分的计算</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jc w:val="left"/>
        <w:textAlignment w:val="auto"/>
        <w:rPr>
          <w:rFonts w:hint="eastAsia" w:ascii="宋体" w:hAnsi="宋体" w:eastAsia="宋体" w:cs="宋体"/>
          <w:color w:val="auto"/>
          <w:sz w:val="21"/>
          <w:szCs w:val="21"/>
          <w:highlight w:val="none"/>
        </w:rPr>
      </w:pPr>
      <w:r>
        <w:rPr>
          <w:rFonts w:hint="eastAsia" w:hAnsi="宋体" w:cs="宋体"/>
          <w:color w:val="auto"/>
          <w:sz w:val="21"/>
          <w:szCs w:val="21"/>
          <w:highlight w:val="none"/>
          <w:lang w:eastAsia="zh-CN"/>
        </w:rPr>
        <w:t>商务技术</w:t>
      </w:r>
      <w:r>
        <w:rPr>
          <w:rFonts w:hint="eastAsia" w:ascii="宋体" w:hAnsi="宋体" w:eastAsia="宋体" w:cs="宋体"/>
          <w:color w:val="auto"/>
          <w:sz w:val="21"/>
          <w:szCs w:val="21"/>
          <w:highlight w:val="none"/>
        </w:rPr>
        <w:t>分按照评标委员会成员的独立评分结果汇总数后的算术平均分计算，计算公式为：</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jc w:val="left"/>
        <w:textAlignment w:val="auto"/>
        <w:rPr>
          <w:rFonts w:hint="eastAsia" w:ascii="宋体" w:hAnsi="宋体" w:eastAsia="宋体" w:cs="宋体"/>
          <w:color w:val="auto"/>
          <w:sz w:val="21"/>
          <w:szCs w:val="21"/>
          <w:highlight w:val="none"/>
        </w:rPr>
      </w:pPr>
      <w:r>
        <w:rPr>
          <w:rFonts w:hint="eastAsia" w:hAnsi="宋体" w:cs="宋体"/>
          <w:color w:val="auto"/>
          <w:sz w:val="21"/>
          <w:szCs w:val="21"/>
          <w:highlight w:val="none"/>
          <w:lang w:eastAsia="zh-CN"/>
        </w:rPr>
        <w:t>商务技术</w:t>
      </w:r>
      <w:r>
        <w:rPr>
          <w:rFonts w:hint="eastAsia" w:ascii="宋体" w:hAnsi="宋体" w:eastAsia="宋体" w:cs="宋体"/>
          <w:color w:val="auto"/>
          <w:sz w:val="21"/>
          <w:szCs w:val="21"/>
          <w:highlight w:val="none"/>
        </w:rPr>
        <w:t>分=（评标委员会所有成员评分合计数）/（评标委员会组成人员数）</w:t>
      </w:r>
    </w:p>
    <w:p>
      <w:pPr>
        <w:keepNext w:val="0"/>
        <w:keepLines w:val="0"/>
        <w:pageBreakBefore w:val="0"/>
        <w:widowControl w:val="0"/>
        <w:kinsoku/>
        <w:wordWrap/>
        <w:overflowPunct/>
        <w:topLinePunct w:val="0"/>
        <w:autoSpaceDE/>
        <w:autoSpaceDN/>
        <w:bidi w:val="0"/>
        <w:adjustRightInd w:val="0"/>
        <w:snapToGrid w:val="0"/>
        <w:spacing w:line="500" w:lineRule="exact"/>
        <w:ind w:firstLine="422" w:firstLineChars="200"/>
        <w:jc w:val="left"/>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（四）定标原则</w:t>
      </w:r>
    </w:p>
    <w:p>
      <w:pPr>
        <w:keepNext w:val="0"/>
        <w:keepLines w:val="0"/>
        <w:pageBreakBefore w:val="0"/>
        <w:widowControl w:val="0"/>
        <w:tabs>
          <w:tab w:val="left" w:pos="0"/>
        </w:tabs>
        <w:kinsoku/>
        <w:wordWrap/>
        <w:overflowPunct/>
        <w:topLinePunct w:val="0"/>
        <w:bidi w:val="0"/>
        <w:adjustRightInd w:val="0"/>
        <w:snapToGrid w:val="0"/>
        <w:spacing w:line="500" w:lineRule="exact"/>
        <w:ind w:firstLine="420" w:firstLineChars="200"/>
        <w:jc w:val="left"/>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1.严格按照招标文件规定“综合评分法，得分最高者中标”的原则定标，法律法规或国家政策（包括上文“二、评标定标时对政府采购政策的落实要求”）另有规定的从其规定。</w:t>
      </w:r>
    </w:p>
    <w:p>
      <w:pPr>
        <w:keepNext w:val="0"/>
        <w:keepLines w:val="0"/>
        <w:pageBreakBefore w:val="0"/>
        <w:widowControl w:val="0"/>
        <w:tabs>
          <w:tab w:val="left" w:pos="0"/>
        </w:tabs>
        <w:kinsoku/>
        <w:wordWrap/>
        <w:overflowPunct/>
        <w:topLinePunct w:val="0"/>
        <w:bidi w:val="0"/>
        <w:adjustRightInd w:val="0"/>
        <w:snapToGrid w:val="0"/>
        <w:spacing w:line="500" w:lineRule="exact"/>
        <w:ind w:firstLine="420" w:firstLineChars="200"/>
        <w:jc w:val="left"/>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2.经预中标结果公示期满无异议，中标候选人即成为中标人。</w:t>
      </w:r>
    </w:p>
    <w:p>
      <w:pPr>
        <w:keepNext w:val="0"/>
        <w:keepLines w:val="0"/>
        <w:pageBreakBefore w:val="0"/>
        <w:widowControl w:val="0"/>
        <w:kinsoku/>
        <w:wordWrap/>
        <w:overflowPunct/>
        <w:topLinePunct w:val="0"/>
        <w:autoSpaceDE/>
        <w:autoSpaceDN/>
        <w:bidi w:val="0"/>
        <w:adjustRightInd w:val="0"/>
        <w:snapToGrid w:val="0"/>
        <w:spacing w:line="500" w:lineRule="exact"/>
        <w:ind w:firstLine="422" w:firstLineChars="200"/>
        <w:jc w:val="left"/>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（五）保密及其他注意事项</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jc w:val="left"/>
        <w:textAlignment w:val="auto"/>
        <w:rPr>
          <w:rFonts w:hint="eastAsia" w:ascii="宋体" w:hAnsi="宋体" w:eastAsia="宋体" w:cs="宋体"/>
          <w:b/>
          <w:color w:val="auto"/>
          <w:sz w:val="21"/>
          <w:szCs w:val="21"/>
          <w:highlight w:val="none"/>
        </w:rPr>
      </w:pPr>
      <w:r>
        <w:rPr>
          <w:rFonts w:hint="eastAsia" w:ascii="宋体" w:hAnsi="宋体" w:eastAsia="宋体" w:cs="宋体"/>
          <w:bCs/>
          <w:color w:val="auto"/>
          <w:sz w:val="21"/>
          <w:szCs w:val="21"/>
          <w:highlight w:val="none"/>
        </w:rPr>
        <w:t>1.评标是招标过程中的重要环节，评标工作在评委会成员内独立进行。评标委员会将遵照评标原则，公正、公平、客观地对待所有投标人。</w:t>
      </w:r>
    </w:p>
    <w:p>
      <w:pPr>
        <w:keepNext w:val="0"/>
        <w:keepLines w:val="0"/>
        <w:pageBreakBefore w:val="0"/>
        <w:widowControl w:val="0"/>
        <w:tabs>
          <w:tab w:val="left" w:pos="0"/>
        </w:tabs>
        <w:kinsoku/>
        <w:wordWrap/>
        <w:overflowPunct/>
        <w:topLinePunct w:val="0"/>
        <w:bidi w:val="0"/>
        <w:adjustRightInd w:val="0"/>
        <w:snapToGrid w:val="0"/>
        <w:spacing w:line="500" w:lineRule="exact"/>
        <w:ind w:firstLine="420" w:firstLineChars="200"/>
        <w:jc w:val="left"/>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2.在开标、评标期间，投标人不得向评委询问评标情况，不得进行旨在影响评标结果的活动。</w:t>
      </w:r>
    </w:p>
    <w:p>
      <w:pPr>
        <w:keepNext w:val="0"/>
        <w:keepLines w:val="0"/>
        <w:pageBreakBefore w:val="0"/>
        <w:widowControl w:val="0"/>
        <w:tabs>
          <w:tab w:val="left" w:pos="0"/>
        </w:tabs>
        <w:kinsoku/>
        <w:wordWrap/>
        <w:overflowPunct/>
        <w:topLinePunct w:val="0"/>
        <w:bidi w:val="0"/>
        <w:adjustRightInd w:val="0"/>
        <w:snapToGrid w:val="0"/>
        <w:spacing w:line="500" w:lineRule="exact"/>
        <w:ind w:firstLine="420" w:firstLineChars="200"/>
        <w:jc w:val="left"/>
        <w:textAlignment w:val="auto"/>
        <w:rPr>
          <w:rFonts w:hint="eastAsia" w:ascii="宋体" w:hAnsi="宋体" w:eastAsia="宋体" w:cs="宋体"/>
          <w:b/>
          <w:color w:val="auto"/>
          <w:kern w:val="2"/>
          <w:sz w:val="28"/>
          <w:szCs w:val="28"/>
          <w:highlight w:val="none"/>
        </w:rPr>
      </w:pPr>
      <w:r>
        <w:rPr>
          <w:rFonts w:hint="eastAsia" w:ascii="宋体" w:hAnsi="宋体" w:eastAsia="宋体" w:cs="宋体"/>
          <w:bCs/>
          <w:color w:val="auto"/>
          <w:sz w:val="21"/>
          <w:szCs w:val="21"/>
          <w:highlight w:val="none"/>
        </w:rPr>
        <w:t>3.为保证定标的公正性，在评标过程中，评委不得与投标人私下交换意见。在招标工作结束后与评标工作有接触的任何人，不得将评标情况外泄。</w:t>
      </w:r>
    </w:p>
    <w:p>
      <w:pPr>
        <w:autoSpaceDE/>
        <w:autoSpaceDN/>
        <w:adjustRightInd/>
        <w:jc w:val="center"/>
        <w:outlineLvl w:val="0"/>
        <w:rPr>
          <w:rFonts w:hint="eastAsia" w:ascii="宋体" w:hAnsi="宋体" w:eastAsia="宋体" w:cs="宋体"/>
          <w:color w:val="auto"/>
          <w:sz w:val="30"/>
          <w:szCs w:val="30"/>
          <w:highlight w:val="none"/>
        </w:rPr>
      </w:pPr>
      <w:r>
        <w:rPr>
          <w:rFonts w:hint="eastAsia" w:ascii="宋体" w:hAnsi="宋体" w:eastAsia="宋体" w:cs="宋体"/>
          <w:b/>
          <w:color w:val="auto"/>
          <w:kern w:val="2"/>
          <w:sz w:val="28"/>
          <w:szCs w:val="28"/>
          <w:highlight w:val="none"/>
        </w:rPr>
        <w:br w:type="page"/>
      </w:r>
      <w:bookmarkStart w:id="48" w:name="_Toc9744"/>
      <w:r>
        <w:rPr>
          <w:rFonts w:hint="eastAsia" w:ascii="宋体" w:hAnsi="宋体" w:eastAsia="宋体" w:cs="宋体"/>
          <w:b/>
          <w:bCs/>
          <w:color w:val="auto"/>
          <w:sz w:val="30"/>
          <w:szCs w:val="30"/>
          <w:highlight w:val="none"/>
        </w:rPr>
        <w:t>第五章  合同文本</w:t>
      </w:r>
      <w:bookmarkEnd w:id="48"/>
    </w:p>
    <w:p>
      <w:pPr>
        <w:keepNext/>
        <w:spacing w:beforeLines="0" w:afterLines="0" w:line="500" w:lineRule="exact"/>
        <w:jc w:val="center"/>
        <w:rPr>
          <w:rFonts w:hint="eastAsia" w:ascii="宋体" w:hAnsi="宋体" w:eastAsia="宋体" w:cs="宋体"/>
          <w:color w:val="auto"/>
          <w:sz w:val="21"/>
          <w:szCs w:val="21"/>
          <w:highlight w:val="none"/>
        </w:rPr>
      </w:pPr>
      <w:bookmarkStart w:id="49" w:name="_Toc12701"/>
      <w:bookmarkStart w:id="50" w:name="_Toc17629"/>
      <w:bookmarkStart w:id="51" w:name="_Toc5953"/>
      <w:bookmarkStart w:id="52" w:name="_Toc31765"/>
      <w:r>
        <w:rPr>
          <w:rFonts w:hint="eastAsia" w:ascii="宋体" w:hAnsi="宋体" w:eastAsia="宋体" w:cs="宋体"/>
          <w:b/>
          <w:bCs/>
          <w:color w:val="auto"/>
          <w:kern w:val="2"/>
          <w:sz w:val="24"/>
          <w:szCs w:val="24"/>
          <w:highlight w:val="none"/>
        </w:rPr>
        <w:t>（以甲、乙双方签订的正式合同为准</w:t>
      </w:r>
      <w:r>
        <w:rPr>
          <w:rFonts w:hint="eastAsia" w:ascii="宋体" w:hAnsi="宋体" w:eastAsia="宋体" w:cs="宋体"/>
          <w:color w:val="auto"/>
          <w:kern w:val="2"/>
          <w:sz w:val="24"/>
          <w:szCs w:val="24"/>
          <w:highlight w:val="none"/>
        </w:rPr>
        <w:t>）</w:t>
      </w:r>
    </w:p>
    <w:p>
      <w:pPr>
        <w:autoSpaceDE/>
        <w:autoSpaceDN/>
        <w:adjustRightInd/>
        <w:spacing w:beforeLines="0" w:afterLines="0" w:line="500" w:lineRule="exact"/>
        <w:ind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甲方：（采购人）</w:t>
      </w:r>
    </w:p>
    <w:p>
      <w:pPr>
        <w:autoSpaceDE/>
        <w:autoSpaceDN/>
        <w:adjustRightInd/>
        <w:spacing w:beforeLines="0" w:afterLines="0" w:line="500" w:lineRule="exact"/>
        <w:ind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乙方：（中标人）</w:t>
      </w:r>
    </w:p>
    <w:p>
      <w:pPr>
        <w:spacing w:beforeLines="0" w:afterLines="0" w:line="500" w:lineRule="exact"/>
        <w:ind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根据《中华人民共和国政府采购法》等有关法律法规之规定，甲乙双方按照</w:t>
      </w:r>
      <w:r>
        <w:rPr>
          <w:rFonts w:hint="eastAsia" w:hAnsi="宋体" w:eastAsia="宋体" w:cs="宋体"/>
          <w:b w:val="0"/>
          <w:bCs w:val="0"/>
          <w:color w:val="auto"/>
          <w:sz w:val="21"/>
          <w:szCs w:val="21"/>
          <w:highlight w:val="none"/>
          <w:lang w:eastAsia="zh-CN"/>
        </w:rPr>
        <w:t>金华市婺城区住房和城乡建设局</w:t>
      </w:r>
      <w:r>
        <w:rPr>
          <w:rFonts w:hint="eastAsia" w:ascii="宋体" w:hAnsi="宋体" w:eastAsia="宋体" w:cs="宋体"/>
          <w:b w:val="0"/>
          <w:bCs w:val="0"/>
          <w:color w:val="auto"/>
          <w:sz w:val="21"/>
          <w:szCs w:val="21"/>
          <w:highlight w:val="none"/>
          <w:lang w:eastAsia="zh-CN"/>
        </w:rPr>
        <w:t>关于污水处理厂污泥处置服务项目</w:t>
      </w:r>
      <w:r>
        <w:rPr>
          <w:rFonts w:hint="eastAsia" w:ascii="宋体" w:hAnsi="宋体" w:eastAsia="宋体" w:cs="宋体"/>
          <w:color w:val="auto"/>
          <w:sz w:val="21"/>
          <w:szCs w:val="21"/>
          <w:highlight w:val="none"/>
        </w:rPr>
        <w:t>（项目编号：</w:t>
      </w:r>
      <w:r>
        <w:rPr>
          <w:rFonts w:hint="eastAsia" w:ascii="宋体" w:hAnsi="宋体" w:eastAsia="宋体" w:cs="宋体"/>
          <w:b/>
          <w:color w:val="auto"/>
          <w:sz w:val="21"/>
          <w:szCs w:val="21"/>
          <w:highlight w:val="none"/>
        </w:rPr>
        <w:t xml:space="preserve">   </w:t>
      </w:r>
      <w:r>
        <w:rPr>
          <w:rFonts w:hint="eastAsia" w:ascii="宋体" w:hAnsi="宋体" w:eastAsia="宋体" w:cs="宋体"/>
          <w:color w:val="auto"/>
          <w:sz w:val="21"/>
          <w:szCs w:val="21"/>
          <w:highlight w:val="none"/>
        </w:rPr>
        <w:t>）采购的结果，签订本合同。</w:t>
      </w:r>
    </w:p>
    <w:p>
      <w:pPr>
        <w:snapToGrid w:val="0"/>
        <w:spacing w:beforeLines="0" w:afterLines="0" w:line="500" w:lineRule="exact"/>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一、项目概况</w:t>
      </w:r>
    </w:p>
    <w:p>
      <w:pPr>
        <w:snapToGrid w:val="0"/>
        <w:spacing w:beforeLines="0" w:afterLines="0"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服务内容：</w:t>
      </w:r>
    </w:p>
    <w:p>
      <w:pPr>
        <w:snapToGrid w:val="0"/>
        <w:spacing w:beforeLines="0" w:afterLines="0"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服务地点：甲方指定或认可地点。</w:t>
      </w:r>
    </w:p>
    <w:p>
      <w:pPr>
        <w:snapToGrid w:val="0"/>
        <w:spacing w:beforeLines="0" w:afterLines="0"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服务期限：</w:t>
      </w:r>
      <w:r>
        <w:rPr>
          <w:rFonts w:hint="eastAsia" w:ascii="宋体" w:hAnsi="宋体" w:eastAsia="宋体" w:cs="宋体"/>
          <w:bCs/>
          <w:color w:val="auto"/>
          <w:sz w:val="21"/>
          <w:szCs w:val="21"/>
          <w:highlight w:val="none"/>
        </w:rPr>
        <w:t>自合同签订之日起一年。合同的服务期满后，经甲方</w:t>
      </w:r>
      <w:r>
        <w:rPr>
          <w:rFonts w:hint="eastAsia" w:hAnsi="宋体" w:eastAsia="宋体" w:cs="宋体"/>
          <w:bCs/>
          <w:color w:val="auto"/>
          <w:sz w:val="21"/>
          <w:szCs w:val="21"/>
          <w:highlight w:val="none"/>
          <w:lang w:val="en-US" w:eastAsia="zh-CN"/>
        </w:rPr>
        <w:t>同意后</w:t>
      </w:r>
      <w:r>
        <w:rPr>
          <w:rFonts w:hint="eastAsia" w:ascii="宋体" w:hAnsi="宋体" w:eastAsia="宋体" w:cs="宋体"/>
          <w:bCs/>
          <w:color w:val="auto"/>
          <w:sz w:val="21"/>
          <w:szCs w:val="21"/>
          <w:highlight w:val="none"/>
        </w:rPr>
        <w:t>，双方可协议续签合同（甲方也有权重新组织采购），可续签一年。</w:t>
      </w:r>
    </w:p>
    <w:p>
      <w:pPr>
        <w:snapToGrid w:val="0"/>
        <w:spacing w:beforeLines="0" w:afterLines="0" w:line="500" w:lineRule="exact"/>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二、合同金额及结算方式</w:t>
      </w:r>
    </w:p>
    <w:p>
      <w:pPr>
        <w:snapToGrid w:val="0"/>
        <w:spacing w:beforeLines="0" w:afterLines="0"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1.本项目采用固定单价合同。</w:t>
      </w:r>
    </w:p>
    <w:p>
      <w:pPr>
        <w:snapToGrid w:val="0"/>
        <w:spacing w:beforeLines="0" w:afterLines="0"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2.本合同金额为（人民币）：大写：    元/吨（小写</w:t>
      </w:r>
      <w:r>
        <w:rPr>
          <w:rFonts w:hint="eastAsia" w:ascii="宋体" w:hAnsi="宋体" w:eastAsia="宋体" w:cs="宋体"/>
          <w:color w:val="auto"/>
          <w:sz w:val="21"/>
          <w:szCs w:val="21"/>
          <w:highlight w:val="none"/>
          <w:lang w:eastAsia="zh-CN"/>
        </w:rPr>
        <w:t xml:space="preserve">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元/吨），按实结算。</w:t>
      </w:r>
    </w:p>
    <w:p>
      <w:pPr>
        <w:snapToGrid w:val="0"/>
        <w:spacing w:beforeLines="0" w:afterLines="0"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3.本项目服务期间内，乙方承诺的中标单价不因市场因素和政策因素变动而调整。</w:t>
      </w:r>
    </w:p>
    <w:p>
      <w:pPr>
        <w:snapToGrid w:val="0"/>
        <w:spacing w:beforeLines="0" w:afterLines="0"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4.结算方式：</w:t>
      </w:r>
    </w:p>
    <w:p>
      <w:pPr>
        <w:snapToGrid w:val="0"/>
        <w:spacing w:beforeLines="0" w:afterLines="0"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（1）按实结算，每月结算一次，乙方将上一月度完成处置的污泥数量提交甲方确认，结算金额为：中标单价×经确认的当月实际处置污泥数量。</w:t>
      </w:r>
    </w:p>
    <w:p>
      <w:pPr>
        <w:snapToGrid w:val="0"/>
        <w:spacing w:beforeLines="0" w:afterLines="0"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（2）经双方确认无误后，乙方应在3个工作日内向甲方提供符合国家规定的发票，甲方收到乙方出具的发票后，于10个工作日内支付。</w:t>
      </w:r>
    </w:p>
    <w:p>
      <w:pPr>
        <w:snapToGrid w:val="0"/>
        <w:spacing w:beforeLines="0" w:afterLines="0"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注：污泥计量按甲乙双方确认的地磅为准，结算依据为双方授权代表签署的污泥转移联单数量为准。</w:t>
      </w:r>
    </w:p>
    <w:p>
      <w:pPr>
        <w:snapToGrid w:val="0"/>
        <w:spacing w:beforeLines="0" w:afterLines="0" w:line="500" w:lineRule="exact"/>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三、服务要求：</w:t>
      </w:r>
      <w:r>
        <w:rPr>
          <w:rFonts w:hint="eastAsia" w:ascii="宋体" w:hAnsi="宋体" w:eastAsia="宋体" w:cs="宋体"/>
          <w:color w:val="auto"/>
          <w:sz w:val="21"/>
          <w:szCs w:val="21"/>
          <w:highlight w:val="none"/>
          <w:u w:val="single"/>
        </w:rPr>
        <w:t>详见公开招标采购文件</w:t>
      </w:r>
    </w:p>
    <w:p>
      <w:pPr>
        <w:snapToGrid w:val="0"/>
        <w:spacing w:beforeLines="0" w:afterLines="0" w:line="500" w:lineRule="exact"/>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四、技术资料</w:t>
      </w:r>
    </w:p>
    <w:p>
      <w:pPr>
        <w:snapToGrid w:val="0"/>
        <w:spacing w:beforeLines="0" w:afterLines="0"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1.乙方应按招标文件规定的时间向甲方提供有关技术资料。</w:t>
      </w:r>
    </w:p>
    <w:p>
      <w:pPr>
        <w:snapToGrid w:val="0"/>
        <w:spacing w:beforeLines="0" w:afterLines="0"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napToGrid w:val="0"/>
        <w:spacing w:beforeLines="0" w:afterLines="0" w:line="500" w:lineRule="exact"/>
        <w:ind w:firstLine="422" w:firstLineChars="200"/>
        <w:rPr>
          <w:rFonts w:hint="eastAsia" w:hAnsi="宋体" w:cs="宋体"/>
          <w:b/>
          <w:bCs/>
          <w:color w:val="auto"/>
          <w:sz w:val="21"/>
          <w:szCs w:val="21"/>
          <w:highlight w:val="none"/>
        </w:rPr>
      </w:pPr>
      <w:r>
        <w:rPr>
          <w:rFonts w:hint="eastAsia" w:hAnsi="宋体" w:cs="宋体"/>
          <w:b/>
          <w:bCs/>
          <w:color w:val="auto"/>
          <w:sz w:val="21"/>
          <w:szCs w:val="21"/>
          <w:highlight w:val="none"/>
        </w:rPr>
        <w:t>五、履约保证金：</w:t>
      </w:r>
    </w:p>
    <w:p>
      <w:pPr>
        <w:snapToGrid w:val="0"/>
        <w:spacing w:beforeLines="0" w:afterLines="0" w:line="500" w:lineRule="exact"/>
        <w:ind w:firstLine="422" w:firstLineChars="200"/>
        <w:rPr>
          <w:rFonts w:hint="eastAsia" w:ascii="宋体" w:hAnsi="宋体" w:eastAsia="宋体" w:cs="宋体"/>
          <w:b/>
          <w:bCs/>
          <w:color w:val="auto"/>
          <w:sz w:val="21"/>
          <w:szCs w:val="21"/>
          <w:highlight w:val="none"/>
        </w:rPr>
      </w:pPr>
      <w:r>
        <w:rPr>
          <w:rFonts w:hint="eastAsia" w:hAnsi="宋体" w:eastAsia="宋体" w:cs="宋体"/>
          <w:b/>
          <w:bCs/>
          <w:color w:val="auto"/>
          <w:sz w:val="21"/>
          <w:szCs w:val="21"/>
          <w:highlight w:val="none"/>
          <w:lang w:eastAsia="zh-CN"/>
        </w:rPr>
        <w:t>六</w:t>
      </w:r>
      <w:r>
        <w:rPr>
          <w:rFonts w:hint="eastAsia" w:ascii="宋体" w:hAnsi="宋体" w:eastAsia="宋体" w:cs="宋体"/>
          <w:b/>
          <w:bCs/>
          <w:color w:val="auto"/>
          <w:sz w:val="21"/>
          <w:szCs w:val="21"/>
          <w:highlight w:val="none"/>
        </w:rPr>
        <w:t>、转包或分包</w:t>
      </w:r>
    </w:p>
    <w:p>
      <w:pPr>
        <w:snapToGrid w:val="0"/>
        <w:spacing w:beforeLines="0" w:afterLines="0"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1.本合同范围的服务，应由乙方直接供应，不得转让他人供应；</w:t>
      </w:r>
    </w:p>
    <w:p>
      <w:pPr>
        <w:snapToGrid w:val="0"/>
        <w:spacing w:beforeLines="0" w:afterLines="0"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2.本项目允许分包，但分包的主体须采购人审核并书面同意</w:t>
      </w:r>
      <w:r>
        <w:rPr>
          <w:rFonts w:hint="eastAsia" w:hAnsi="宋体" w:cs="宋体"/>
          <w:color w:val="auto"/>
          <w:sz w:val="21"/>
          <w:szCs w:val="21"/>
          <w:highlight w:val="none"/>
          <w:lang w:eastAsia="zh-CN"/>
        </w:rPr>
        <w:t>，</w:t>
      </w:r>
      <w:r>
        <w:rPr>
          <w:rFonts w:hint="eastAsia" w:hAnsi="宋体" w:cs="宋体"/>
          <w:color w:val="auto"/>
          <w:sz w:val="21"/>
          <w:szCs w:val="21"/>
          <w:highlight w:val="none"/>
          <w:lang w:val="en-US" w:eastAsia="zh-CN"/>
        </w:rPr>
        <w:t>否则，</w:t>
      </w:r>
      <w:r>
        <w:rPr>
          <w:rFonts w:hint="eastAsia" w:ascii="宋体" w:hAnsi="宋体" w:eastAsia="宋体" w:cs="宋体"/>
          <w:color w:val="auto"/>
          <w:sz w:val="21"/>
          <w:szCs w:val="21"/>
          <w:highlight w:val="none"/>
        </w:rPr>
        <w:t>乙方不得将本合同范围的服务全部或部分分包给他人</w:t>
      </w:r>
      <w:r>
        <w:rPr>
          <w:rFonts w:hint="eastAsia" w:hAnsi="宋体" w:eastAsia="宋体" w:cs="宋体"/>
          <w:color w:val="auto"/>
          <w:sz w:val="21"/>
          <w:szCs w:val="21"/>
          <w:highlight w:val="none"/>
          <w:lang w:eastAsia="zh-CN"/>
        </w:rPr>
        <w:t>供应</w:t>
      </w:r>
      <w:r>
        <w:rPr>
          <w:rFonts w:hint="eastAsia" w:ascii="宋体" w:hAnsi="宋体" w:eastAsia="宋体" w:cs="宋体"/>
          <w:color w:val="auto"/>
          <w:sz w:val="21"/>
          <w:szCs w:val="21"/>
          <w:highlight w:val="none"/>
        </w:rPr>
        <w:t>。在分包时，应当在分包协议中载明分包承担主体、分包工作内容，分包承担主体应当具备相应资质条件（如有要求）且不得再次分包。政府采购合同采用分包履行的，中标供应商就采购项目和分包项目向采购人负责，分包供应商就分包项目承担责任。</w:t>
      </w:r>
    </w:p>
    <w:p>
      <w:pPr>
        <w:snapToGrid w:val="0"/>
        <w:spacing w:beforeLines="0" w:afterLines="0"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3.如有转让和未经甲方同意的分包行为，甲方有权解除合同，</w:t>
      </w:r>
      <w:r>
        <w:rPr>
          <w:rFonts w:hint="eastAsia" w:hAnsi="宋体" w:cs="宋体"/>
          <w:color w:val="auto"/>
          <w:sz w:val="21"/>
          <w:szCs w:val="21"/>
          <w:highlight w:val="none"/>
        </w:rPr>
        <w:t>没收履约保证金</w:t>
      </w:r>
      <w:r>
        <w:rPr>
          <w:rFonts w:hint="eastAsia" w:ascii="宋体" w:hAnsi="宋体" w:eastAsia="宋体" w:cs="宋体"/>
          <w:color w:val="auto"/>
          <w:sz w:val="21"/>
          <w:szCs w:val="21"/>
          <w:highlight w:val="none"/>
        </w:rPr>
        <w:t>追究乙方的违约责任。</w:t>
      </w:r>
    </w:p>
    <w:p>
      <w:pPr>
        <w:snapToGrid w:val="0"/>
        <w:spacing w:beforeLines="0" w:afterLines="0" w:line="500" w:lineRule="exact"/>
        <w:ind w:firstLine="422" w:firstLineChars="200"/>
        <w:rPr>
          <w:rFonts w:hint="eastAsia" w:ascii="宋体" w:hAnsi="宋体" w:eastAsia="宋体" w:cs="宋体"/>
          <w:b/>
          <w:bCs/>
          <w:color w:val="auto"/>
          <w:sz w:val="21"/>
          <w:szCs w:val="21"/>
          <w:highlight w:val="none"/>
        </w:rPr>
      </w:pPr>
      <w:r>
        <w:rPr>
          <w:rFonts w:hint="eastAsia" w:hAnsi="宋体" w:eastAsia="宋体" w:cs="宋体"/>
          <w:b/>
          <w:bCs/>
          <w:color w:val="auto"/>
          <w:sz w:val="21"/>
          <w:szCs w:val="21"/>
          <w:highlight w:val="none"/>
          <w:lang w:eastAsia="zh-CN"/>
        </w:rPr>
        <w:t>七</w:t>
      </w:r>
      <w:r>
        <w:rPr>
          <w:rFonts w:hint="eastAsia" w:ascii="宋体" w:hAnsi="宋体" w:eastAsia="宋体" w:cs="宋体"/>
          <w:b/>
          <w:bCs/>
          <w:color w:val="auto"/>
          <w:sz w:val="21"/>
          <w:szCs w:val="21"/>
          <w:highlight w:val="none"/>
        </w:rPr>
        <w:t>、甲方权利和义务</w:t>
      </w:r>
    </w:p>
    <w:p>
      <w:pPr>
        <w:snapToGrid w:val="0"/>
        <w:spacing w:beforeLines="0" w:afterLines="0"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1.甲方应做好工艺控制工作，保证污泥含水率≤80%，不含危险废物的固体废物。甲方污泥量有较大变化时，应及时通知乙方，以便乙方作出合理安排。</w:t>
      </w:r>
    </w:p>
    <w:p>
      <w:pPr>
        <w:snapToGrid w:val="0"/>
        <w:spacing w:beforeLines="0" w:afterLines="0"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2.甲方应积极配合乙方对每月的污泥重量进行核对。</w:t>
      </w:r>
    </w:p>
    <w:p>
      <w:pPr>
        <w:snapToGrid w:val="0"/>
        <w:spacing w:beforeLines="0" w:afterLines="0"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3.乙方的地磅应按时检测，确保有效周期内计量准确。</w:t>
      </w:r>
    </w:p>
    <w:p>
      <w:pPr>
        <w:snapToGrid w:val="0"/>
        <w:spacing w:beforeLines="0" w:afterLines="0" w:line="500" w:lineRule="exact"/>
        <w:ind w:firstLine="422" w:firstLineChars="200"/>
        <w:rPr>
          <w:rFonts w:hint="eastAsia" w:ascii="宋体" w:hAnsi="宋体" w:eastAsia="宋体" w:cs="宋体"/>
          <w:b/>
          <w:bCs/>
          <w:color w:val="auto"/>
          <w:sz w:val="21"/>
          <w:szCs w:val="21"/>
          <w:highlight w:val="none"/>
        </w:rPr>
      </w:pPr>
      <w:r>
        <w:rPr>
          <w:rFonts w:hint="eastAsia" w:hAnsi="宋体" w:eastAsia="宋体" w:cs="宋体"/>
          <w:b/>
          <w:bCs/>
          <w:color w:val="auto"/>
          <w:sz w:val="21"/>
          <w:szCs w:val="21"/>
          <w:highlight w:val="none"/>
          <w:lang w:eastAsia="zh-CN"/>
        </w:rPr>
        <w:t>八</w:t>
      </w:r>
      <w:r>
        <w:rPr>
          <w:rFonts w:hint="eastAsia" w:ascii="宋体" w:hAnsi="宋体" w:eastAsia="宋体" w:cs="宋体"/>
          <w:b/>
          <w:bCs/>
          <w:color w:val="auto"/>
          <w:sz w:val="21"/>
          <w:szCs w:val="21"/>
          <w:highlight w:val="none"/>
        </w:rPr>
        <w:t>、乙方权利和义务</w:t>
      </w:r>
    </w:p>
    <w:p>
      <w:pPr>
        <w:snapToGrid w:val="0"/>
        <w:spacing w:beforeLines="0" w:afterLines="0"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乙方应严格按照《中国环境保护法》、《中华人民共和国固体废物污染环境防治法》、《金华市人民政府办公室关于印发&lt;金华市清废行动实施方案&gt;的通知》金政办发〔2019〕17号及国家、地方等相关法律法规、规范标准对污水处理厂污水处理工艺中所产生的污泥进行处置，并确保污泥的处置为安全处置，且符合相关规定和环保要求。乙方对处置过程和处置结果负责并承担一切法律责任。</w:t>
      </w:r>
    </w:p>
    <w:p>
      <w:pPr>
        <w:snapToGrid w:val="0"/>
        <w:spacing w:beforeLines="0" w:afterLines="0"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乙方在贮存、利用、处置污泥时，必须采取防扬散、防流失、防渗漏或者其他防止污染环境的措施；不得擅自倾倒、堆放、丢弃、遗撒固体废物。禁止向江河、湖泊、运河、渠道、水库及其最高水位线以下的滩地和岸坡等法律、法规规定禁止倾倒、堆放废弃物的地点倾倒、堆放污泥。</w:t>
      </w:r>
    </w:p>
    <w:p>
      <w:pPr>
        <w:snapToGrid w:val="0"/>
        <w:spacing w:beforeLines="0" w:afterLines="0"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r>
        <w:rPr>
          <w:rFonts w:hint="eastAsia"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未经甲方同意，乙方不得单方面将污泥转移至第三方处置，或在服务期间单方面拒绝接收甲方的污泥（环保局等政府部门规定的除外），否则由此造成的损失和责任均由乙方承担。</w:t>
      </w:r>
    </w:p>
    <w:p>
      <w:pPr>
        <w:snapToGrid w:val="0"/>
        <w:spacing w:beforeLines="0" w:afterLines="0"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r>
        <w:rPr>
          <w:rFonts w:hint="eastAsia"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乙方应保证优先处置采购方的污泥，及时接纳采购方的污泥；如果乙方因设备检修等原因不能接纳甲方的污泥时，应提前通知甲方，否则由此造成的损失和责任均由乙方承担。</w:t>
      </w:r>
    </w:p>
    <w:p>
      <w:pPr>
        <w:snapToGrid w:val="0"/>
        <w:spacing w:beforeLines="0" w:afterLines="0"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r>
        <w:rPr>
          <w:rFonts w:hint="eastAsia"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乙方应根据相关规定，配合采购人做好填写《浙江省污泥利用处置转移联单》的工作；且乙方还须建立污泥处置的档案资料，包括种类、产生量、流向、贮存、处置等有关内容。</w:t>
      </w:r>
    </w:p>
    <w:p>
      <w:pPr>
        <w:snapToGrid w:val="0"/>
        <w:spacing w:beforeLines="0" w:afterLines="0"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w:t>
      </w:r>
      <w:r>
        <w:rPr>
          <w:rFonts w:hint="eastAsia"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污泥计量按双方的地磅为准，结算依据为双方授权代表签署的污泥转移联单数量为准。</w:t>
      </w:r>
    </w:p>
    <w:p>
      <w:pPr>
        <w:snapToGrid w:val="0"/>
        <w:spacing w:beforeLines="0" w:afterLines="0"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w:t>
      </w:r>
      <w:r>
        <w:rPr>
          <w:rFonts w:hint="eastAsia"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lang w:eastAsia="zh-CN"/>
        </w:rPr>
        <w:t>若超过3天未能完成污水处理厂的污泥处理，则按超出天数（含完成当天，不足1天按整天计）扣罚1万元/天，并承担由此造成的后果。特殊情况可向甲方申报，经甲方同意后，可适当延长处理解决时间。</w:t>
      </w:r>
    </w:p>
    <w:p>
      <w:pPr>
        <w:snapToGrid w:val="0"/>
        <w:spacing w:beforeLines="0" w:afterLines="0"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w:t>
      </w:r>
      <w:r>
        <w:rPr>
          <w:rFonts w:hint="eastAsia"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乙方必须重视安全生产工作，确保全年不出安全生产责任事故。如发生安全生产责任事故或交通事故，由乙方承担一切责任及损失。</w:t>
      </w:r>
    </w:p>
    <w:p>
      <w:pPr>
        <w:snapToGrid w:val="0"/>
        <w:spacing w:beforeLines="0" w:afterLines="0"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w:t>
      </w:r>
      <w:r>
        <w:rPr>
          <w:rFonts w:hint="eastAsia"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乙方须接受甲方对项目实施过程中的监督管理。</w:t>
      </w:r>
    </w:p>
    <w:p>
      <w:pPr>
        <w:snapToGrid w:val="0"/>
        <w:spacing w:beforeLines="0" w:afterLines="0"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w:t>
      </w:r>
      <w:r>
        <w:rPr>
          <w:rFonts w:hint="eastAsia"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乙方有责任及时报告在污泥处理处置过程中所发生的事件，包括但不限于任何可能造成各方行政责任及经济损失、任何第三方的投诉和索赔的所有事件。</w:t>
      </w:r>
    </w:p>
    <w:p>
      <w:pPr>
        <w:snapToGrid w:val="0"/>
        <w:spacing w:beforeLines="0" w:afterLines="0"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w:t>
      </w:r>
      <w:r>
        <w:rPr>
          <w:rFonts w:hint="eastAsia"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乙方须接受甲方及其上级主管部门随时对乙方的污泥减量干化和处理处置情况的检查。</w:t>
      </w:r>
    </w:p>
    <w:p>
      <w:pPr>
        <w:snapToGrid w:val="0"/>
        <w:spacing w:beforeLines="0" w:afterLines="0" w:line="500" w:lineRule="exact"/>
        <w:ind w:firstLine="420" w:firstLineChars="200"/>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rPr>
        <w:t>12</w:t>
      </w:r>
      <w:r>
        <w:rPr>
          <w:rFonts w:hint="eastAsia"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甲方有权对乙方的违规操作行为(包括但不限于偷倒、乱倒)保留追究责任的权利。</w:t>
      </w:r>
    </w:p>
    <w:p>
      <w:pPr>
        <w:spacing w:line="500" w:lineRule="exact"/>
        <w:ind w:firstLine="420" w:firstLineChars="200"/>
        <w:rPr>
          <w:rFonts w:hint="default" w:hAnsi="宋体" w:cs="宋体"/>
          <w:b w:val="0"/>
          <w:color w:val="auto"/>
          <w:sz w:val="21"/>
          <w:szCs w:val="21"/>
          <w:highlight w:val="none"/>
          <w:lang w:val="en-US" w:eastAsia="zh-CN"/>
        </w:rPr>
      </w:pPr>
      <w:r>
        <w:rPr>
          <w:rFonts w:hint="eastAsia" w:hAnsi="宋体" w:cs="宋体"/>
          <w:b w:val="0"/>
          <w:color w:val="auto"/>
          <w:sz w:val="21"/>
          <w:szCs w:val="21"/>
          <w:highlight w:val="none"/>
          <w:lang w:val="en-US" w:eastAsia="zh-CN"/>
        </w:rPr>
        <w:t>13.在乙方的污泥处置设施、废气处理设备等配套设备设施出现故障、维修、保养或停机检修等影响乙方开展污泥处置的情形时，乙方须及时采取应急保障措施，保障甲方运至乙方场地的污泥及时处理完毕；否则，甲方有权采取相应措施以保障污泥处置的“稳定化、无害化、资源化”，涉及的相关费用由乙方承担，甲方有权扣除全额履约保证金，并单方面无条件解除合同。</w:t>
      </w:r>
    </w:p>
    <w:p>
      <w:pPr>
        <w:snapToGrid w:val="0"/>
        <w:spacing w:beforeLines="0" w:afterLines="0" w:line="500" w:lineRule="exact"/>
        <w:ind w:firstLine="422" w:firstLineChars="200"/>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val="en-US" w:eastAsia="zh-CN"/>
        </w:rPr>
        <w:t>九</w:t>
      </w:r>
      <w:r>
        <w:rPr>
          <w:rFonts w:hint="eastAsia" w:ascii="宋体" w:hAnsi="宋体" w:eastAsia="宋体" w:cs="宋体"/>
          <w:b/>
          <w:bCs/>
          <w:color w:val="auto"/>
          <w:sz w:val="21"/>
          <w:szCs w:val="21"/>
          <w:highlight w:val="none"/>
        </w:rPr>
        <w:t>、违约责任</w:t>
      </w:r>
    </w:p>
    <w:p>
      <w:pPr>
        <w:snapToGrid w:val="0"/>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在污泥处置服务期间，如</w:t>
      </w:r>
      <w:r>
        <w:rPr>
          <w:rFonts w:hint="eastAsia" w:ascii="宋体" w:hAnsi="宋体" w:eastAsia="宋体" w:cs="宋体"/>
          <w:color w:val="auto"/>
          <w:sz w:val="21"/>
          <w:szCs w:val="21"/>
          <w:highlight w:val="none"/>
          <w:lang w:val="en-US" w:eastAsia="zh-CN"/>
        </w:rPr>
        <w:t>乙方</w:t>
      </w:r>
      <w:r>
        <w:rPr>
          <w:rFonts w:hint="eastAsia" w:ascii="宋体" w:hAnsi="宋体" w:eastAsia="宋体" w:cs="宋体"/>
          <w:color w:val="auto"/>
          <w:sz w:val="21"/>
          <w:szCs w:val="21"/>
          <w:highlight w:val="none"/>
        </w:rPr>
        <w:t>出现以下违约情形之一者，经查实后，</w:t>
      </w:r>
      <w:r>
        <w:rPr>
          <w:rFonts w:hint="eastAsia" w:ascii="宋体" w:hAnsi="宋体" w:eastAsia="宋体" w:cs="宋体"/>
          <w:color w:val="auto"/>
          <w:sz w:val="21"/>
          <w:szCs w:val="21"/>
          <w:highlight w:val="none"/>
          <w:lang w:val="en-US" w:eastAsia="zh-CN"/>
        </w:rPr>
        <w:t>甲方</w:t>
      </w:r>
      <w:r>
        <w:rPr>
          <w:rFonts w:hint="eastAsia" w:ascii="宋体" w:hAnsi="宋体" w:eastAsia="宋体" w:cs="宋体"/>
          <w:color w:val="auto"/>
          <w:sz w:val="21"/>
          <w:szCs w:val="21"/>
          <w:highlight w:val="none"/>
        </w:rPr>
        <w:t>有权根据事态的严重性采取下列处置措施，并保留继续向</w:t>
      </w:r>
      <w:r>
        <w:rPr>
          <w:rFonts w:hint="eastAsia" w:ascii="宋体" w:hAnsi="宋体" w:eastAsia="宋体" w:cs="宋体"/>
          <w:color w:val="auto"/>
          <w:sz w:val="21"/>
          <w:szCs w:val="21"/>
          <w:highlight w:val="none"/>
          <w:lang w:val="en-US" w:eastAsia="zh-CN"/>
        </w:rPr>
        <w:t>乙方</w:t>
      </w:r>
      <w:r>
        <w:rPr>
          <w:rFonts w:hint="eastAsia" w:ascii="宋体" w:hAnsi="宋体" w:eastAsia="宋体" w:cs="宋体"/>
          <w:color w:val="auto"/>
          <w:sz w:val="21"/>
          <w:szCs w:val="21"/>
          <w:highlight w:val="none"/>
        </w:rPr>
        <w:t>追偿经济损失的权利，</w:t>
      </w:r>
      <w:r>
        <w:rPr>
          <w:rFonts w:hint="eastAsia" w:ascii="宋体" w:hAnsi="宋体" w:eastAsia="宋体" w:cs="宋体"/>
          <w:color w:val="auto"/>
          <w:sz w:val="21"/>
          <w:szCs w:val="21"/>
          <w:highlight w:val="none"/>
          <w:lang w:val="en-US" w:eastAsia="zh-CN"/>
        </w:rPr>
        <w:t>且</w:t>
      </w:r>
      <w:r>
        <w:rPr>
          <w:rFonts w:hint="eastAsia" w:ascii="宋体" w:hAnsi="宋体" w:eastAsia="宋体" w:cs="宋体"/>
          <w:color w:val="auto"/>
          <w:sz w:val="21"/>
          <w:szCs w:val="21"/>
          <w:highlight w:val="none"/>
        </w:rPr>
        <w:t>由</w:t>
      </w:r>
      <w:r>
        <w:rPr>
          <w:rFonts w:hint="eastAsia" w:ascii="宋体" w:hAnsi="宋体" w:eastAsia="宋体" w:cs="宋体"/>
          <w:color w:val="auto"/>
          <w:sz w:val="21"/>
          <w:szCs w:val="21"/>
          <w:highlight w:val="none"/>
          <w:lang w:val="en-US" w:eastAsia="zh-CN"/>
        </w:rPr>
        <w:t>乙方</w:t>
      </w:r>
      <w:r>
        <w:rPr>
          <w:rFonts w:hint="eastAsia" w:ascii="宋体" w:hAnsi="宋体" w:eastAsia="宋体" w:cs="宋体"/>
          <w:color w:val="auto"/>
          <w:sz w:val="21"/>
          <w:szCs w:val="21"/>
          <w:highlight w:val="none"/>
        </w:rPr>
        <w:t>承担一切法律责任。</w:t>
      </w:r>
    </w:p>
    <w:p>
      <w:pPr>
        <w:snapToGrid w:val="0"/>
        <w:spacing w:line="500" w:lineRule="exact"/>
        <w:ind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lang w:eastAsia="zh-CN"/>
        </w:rPr>
        <w:t>未经双方协商一致，</w:t>
      </w:r>
      <w:r>
        <w:rPr>
          <w:rFonts w:hint="eastAsia" w:ascii="宋体" w:hAnsi="宋体" w:eastAsia="宋体" w:cs="宋体"/>
          <w:color w:val="auto"/>
          <w:sz w:val="21"/>
          <w:szCs w:val="21"/>
          <w:highlight w:val="none"/>
          <w:lang w:val="en-US" w:eastAsia="zh-CN"/>
        </w:rPr>
        <w:t>乙方</w:t>
      </w:r>
      <w:r>
        <w:rPr>
          <w:rFonts w:hint="eastAsia" w:ascii="宋体" w:hAnsi="宋体" w:eastAsia="宋体" w:cs="宋体"/>
          <w:color w:val="auto"/>
          <w:sz w:val="21"/>
          <w:szCs w:val="21"/>
          <w:highlight w:val="none"/>
          <w:lang w:eastAsia="zh-CN"/>
        </w:rPr>
        <w:t>拒收</w:t>
      </w:r>
      <w:r>
        <w:rPr>
          <w:rFonts w:hint="eastAsia" w:ascii="宋体" w:hAnsi="宋体" w:eastAsia="宋体" w:cs="宋体"/>
          <w:color w:val="auto"/>
          <w:sz w:val="21"/>
          <w:szCs w:val="21"/>
          <w:highlight w:val="none"/>
          <w:lang w:val="en-US" w:eastAsia="zh-CN"/>
        </w:rPr>
        <w:t>业主的</w:t>
      </w:r>
      <w:r>
        <w:rPr>
          <w:rFonts w:hint="eastAsia" w:ascii="宋体" w:hAnsi="宋体" w:eastAsia="宋体" w:cs="宋体"/>
          <w:color w:val="auto"/>
          <w:sz w:val="21"/>
          <w:szCs w:val="21"/>
          <w:highlight w:val="none"/>
          <w:lang w:eastAsia="zh-CN"/>
        </w:rPr>
        <w:t>污泥的，</w:t>
      </w:r>
      <w:r>
        <w:rPr>
          <w:rFonts w:hint="eastAsia" w:ascii="宋体" w:hAnsi="宋体" w:eastAsia="宋体" w:cs="宋体"/>
          <w:color w:val="auto"/>
          <w:sz w:val="21"/>
          <w:szCs w:val="21"/>
          <w:highlight w:val="none"/>
          <w:lang w:val="en-US" w:eastAsia="zh-CN"/>
        </w:rPr>
        <w:t>甲方有权</w:t>
      </w:r>
      <w:r>
        <w:rPr>
          <w:rFonts w:hint="eastAsia" w:ascii="宋体" w:hAnsi="宋体" w:eastAsia="宋体" w:cs="宋体"/>
          <w:color w:val="auto"/>
          <w:sz w:val="21"/>
          <w:szCs w:val="21"/>
          <w:highlight w:val="none"/>
        </w:rPr>
        <w:t>每次扣除</w:t>
      </w:r>
      <w:r>
        <w:rPr>
          <w:rFonts w:hint="eastAsia" w:ascii="宋体" w:hAnsi="宋体" w:eastAsia="宋体" w:cs="宋体"/>
          <w:color w:val="auto"/>
          <w:sz w:val="21"/>
          <w:szCs w:val="21"/>
          <w:highlight w:val="none"/>
          <w:lang w:val="en-US" w:eastAsia="zh-CN"/>
        </w:rPr>
        <w:t>乙方</w:t>
      </w:r>
      <w:r>
        <w:rPr>
          <w:rFonts w:hint="eastAsia" w:ascii="宋体" w:hAnsi="宋体" w:eastAsia="宋体" w:cs="宋体"/>
          <w:color w:val="auto"/>
          <w:sz w:val="21"/>
          <w:szCs w:val="21"/>
          <w:highlight w:val="none"/>
        </w:rPr>
        <w:t>履约保证金</w:t>
      </w:r>
      <w:r>
        <w:rPr>
          <w:rFonts w:hint="eastAsia" w:ascii="宋体" w:hAnsi="宋体" w:eastAsia="宋体" w:cs="宋体"/>
          <w:color w:val="auto"/>
          <w:sz w:val="21"/>
          <w:szCs w:val="21"/>
          <w:highlight w:val="none"/>
          <w:lang w:val="en-US" w:eastAsia="zh-CN"/>
        </w:rPr>
        <w:t>20000元，乙方在一周内补齐履约保证金。</w:t>
      </w:r>
    </w:p>
    <w:p>
      <w:pPr>
        <w:snapToGrid w:val="0"/>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2.乙方</w:t>
      </w:r>
      <w:r>
        <w:rPr>
          <w:rFonts w:hint="eastAsia" w:ascii="宋体" w:hAnsi="宋体" w:eastAsia="宋体" w:cs="宋体"/>
          <w:color w:val="auto"/>
          <w:sz w:val="21"/>
          <w:szCs w:val="21"/>
          <w:highlight w:val="none"/>
        </w:rPr>
        <w:t>违反《固废法》等法律法规，情节严重，影响</w:t>
      </w:r>
      <w:r>
        <w:rPr>
          <w:rFonts w:hint="eastAsia" w:ascii="宋体" w:hAnsi="宋体" w:eastAsia="宋体" w:cs="宋体"/>
          <w:color w:val="auto"/>
          <w:sz w:val="21"/>
          <w:szCs w:val="21"/>
          <w:highlight w:val="none"/>
          <w:lang w:val="en-US" w:eastAsia="zh-CN"/>
        </w:rPr>
        <w:t>甲方</w:t>
      </w:r>
      <w:r>
        <w:rPr>
          <w:rFonts w:hint="eastAsia" w:ascii="宋体" w:hAnsi="宋体" w:eastAsia="宋体" w:cs="宋体"/>
          <w:color w:val="auto"/>
          <w:sz w:val="21"/>
          <w:szCs w:val="21"/>
          <w:highlight w:val="none"/>
        </w:rPr>
        <w:t>生产安全及声誉，</w:t>
      </w:r>
      <w:r>
        <w:rPr>
          <w:rFonts w:hint="eastAsia" w:ascii="宋体" w:hAnsi="宋体" w:eastAsia="宋体" w:cs="宋体"/>
          <w:color w:val="auto"/>
          <w:sz w:val="21"/>
          <w:szCs w:val="21"/>
          <w:highlight w:val="none"/>
          <w:lang w:val="en-US" w:eastAsia="zh-CN"/>
        </w:rPr>
        <w:t>甲方</w:t>
      </w:r>
      <w:r>
        <w:rPr>
          <w:rFonts w:hint="eastAsia" w:ascii="宋体" w:hAnsi="宋体" w:eastAsia="宋体" w:cs="宋体"/>
          <w:color w:val="auto"/>
          <w:sz w:val="21"/>
          <w:szCs w:val="21"/>
          <w:highlight w:val="none"/>
        </w:rPr>
        <w:t>扣除</w:t>
      </w:r>
      <w:r>
        <w:rPr>
          <w:rFonts w:hint="eastAsia" w:ascii="宋体" w:hAnsi="宋体" w:eastAsia="宋体" w:cs="宋体"/>
          <w:color w:val="auto"/>
          <w:sz w:val="21"/>
          <w:szCs w:val="21"/>
          <w:highlight w:val="none"/>
          <w:lang w:val="en-US" w:eastAsia="zh-CN"/>
        </w:rPr>
        <w:t>乙方</w:t>
      </w:r>
      <w:r>
        <w:rPr>
          <w:rFonts w:hint="eastAsia" w:ascii="宋体" w:hAnsi="宋体" w:eastAsia="宋体" w:cs="宋体"/>
          <w:color w:val="auto"/>
          <w:sz w:val="21"/>
          <w:szCs w:val="21"/>
          <w:highlight w:val="none"/>
        </w:rPr>
        <w:t>全部履约保证金，解除合同。</w:t>
      </w:r>
    </w:p>
    <w:p>
      <w:pPr>
        <w:snapToGrid w:val="0"/>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拒绝</w:t>
      </w:r>
      <w:r>
        <w:rPr>
          <w:rFonts w:hint="eastAsia" w:ascii="宋体" w:hAnsi="宋体" w:eastAsia="宋体" w:cs="宋体"/>
          <w:color w:val="auto"/>
          <w:sz w:val="21"/>
          <w:szCs w:val="21"/>
          <w:highlight w:val="none"/>
          <w:lang w:val="en-US" w:eastAsia="zh-CN"/>
        </w:rPr>
        <w:t>甲方</w:t>
      </w:r>
      <w:r>
        <w:rPr>
          <w:rFonts w:hint="eastAsia" w:ascii="宋体" w:hAnsi="宋体" w:eastAsia="宋体" w:cs="宋体"/>
          <w:color w:val="auto"/>
          <w:sz w:val="21"/>
          <w:szCs w:val="21"/>
          <w:highlight w:val="none"/>
        </w:rPr>
        <w:t>的监督</w:t>
      </w:r>
      <w:r>
        <w:rPr>
          <w:rFonts w:hint="eastAsia" w:ascii="宋体" w:hAnsi="宋体" w:eastAsia="宋体" w:cs="宋体"/>
          <w:color w:val="auto"/>
          <w:sz w:val="21"/>
          <w:szCs w:val="21"/>
          <w:highlight w:val="none"/>
          <w:lang w:eastAsia="zh-CN"/>
        </w:rPr>
        <w:t>和</w:t>
      </w:r>
      <w:r>
        <w:rPr>
          <w:rFonts w:hint="eastAsia" w:ascii="宋体" w:hAnsi="宋体" w:eastAsia="宋体" w:cs="宋体"/>
          <w:color w:val="auto"/>
          <w:sz w:val="21"/>
          <w:szCs w:val="21"/>
          <w:highlight w:val="none"/>
        </w:rPr>
        <w:t>整改</w:t>
      </w:r>
      <w:r>
        <w:rPr>
          <w:rFonts w:hint="eastAsia" w:ascii="宋体" w:hAnsi="宋体" w:eastAsia="宋体" w:cs="宋体"/>
          <w:color w:val="auto"/>
          <w:sz w:val="21"/>
          <w:szCs w:val="21"/>
          <w:highlight w:val="none"/>
          <w:lang w:eastAsia="zh-CN"/>
        </w:rPr>
        <w:t>要求</w:t>
      </w:r>
      <w:r>
        <w:rPr>
          <w:rFonts w:hint="eastAsia" w:ascii="宋体" w:hAnsi="宋体" w:eastAsia="宋体" w:cs="宋体"/>
          <w:color w:val="auto"/>
          <w:sz w:val="21"/>
          <w:szCs w:val="21"/>
          <w:highlight w:val="none"/>
        </w:rPr>
        <w:t>的，</w:t>
      </w:r>
      <w:r>
        <w:rPr>
          <w:rFonts w:hint="eastAsia" w:ascii="宋体" w:hAnsi="宋体" w:eastAsia="宋体" w:cs="宋体"/>
          <w:color w:val="auto"/>
          <w:sz w:val="21"/>
          <w:szCs w:val="21"/>
          <w:highlight w:val="none"/>
          <w:lang w:val="en-US" w:eastAsia="zh-CN"/>
        </w:rPr>
        <w:t>甲方有权</w:t>
      </w:r>
      <w:r>
        <w:rPr>
          <w:rFonts w:hint="eastAsia" w:ascii="宋体" w:hAnsi="宋体" w:eastAsia="宋体" w:cs="宋体"/>
          <w:color w:val="auto"/>
          <w:sz w:val="21"/>
          <w:szCs w:val="21"/>
          <w:highlight w:val="none"/>
        </w:rPr>
        <w:t>扣除</w:t>
      </w:r>
      <w:r>
        <w:rPr>
          <w:rFonts w:hint="eastAsia" w:ascii="宋体" w:hAnsi="宋体" w:eastAsia="宋体" w:cs="宋体"/>
          <w:color w:val="auto"/>
          <w:sz w:val="21"/>
          <w:szCs w:val="21"/>
          <w:highlight w:val="none"/>
          <w:lang w:val="en-US" w:eastAsia="zh-CN"/>
        </w:rPr>
        <w:t>乙方</w:t>
      </w:r>
      <w:r>
        <w:rPr>
          <w:rFonts w:hint="eastAsia" w:ascii="宋体" w:hAnsi="宋体" w:eastAsia="宋体" w:cs="宋体"/>
          <w:color w:val="auto"/>
          <w:sz w:val="21"/>
          <w:szCs w:val="21"/>
          <w:highlight w:val="none"/>
        </w:rPr>
        <w:t>履约保证金</w:t>
      </w:r>
      <w:r>
        <w:rPr>
          <w:rFonts w:hint="eastAsia" w:ascii="宋体" w:hAnsi="宋体" w:eastAsia="宋体" w:cs="宋体"/>
          <w:color w:val="auto"/>
          <w:sz w:val="21"/>
          <w:szCs w:val="21"/>
          <w:highlight w:val="none"/>
          <w:lang w:val="en-US" w:eastAsia="zh-CN"/>
        </w:rPr>
        <w:t>5000元/次，乙方在一周内补齐履约保证金</w:t>
      </w:r>
      <w:r>
        <w:rPr>
          <w:rFonts w:hint="eastAsia" w:ascii="宋体" w:hAnsi="宋体" w:eastAsia="宋体" w:cs="宋体"/>
          <w:color w:val="auto"/>
          <w:sz w:val="21"/>
          <w:szCs w:val="21"/>
          <w:highlight w:val="none"/>
        </w:rPr>
        <w:t>。</w:t>
      </w:r>
    </w:p>
    <w:p>
      <w:pPr>
        <w:snapToGrid w:val="0"/>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擅自将污泥处置业务转包、分包给第三方经营或收取双方约定以外服务费用的，</w:t>
      </w:r>
      <w:r>
        <w:rPr>
          <w:rFonts w:hint="eastAsia" w:ascii="宋体" w:hAnsi="宋体" w:eastAsia="宋体" w:cs="宋体"/>
          <w:color w:val="auto"/>
          <w:sz w:val="21"/>
          <w:szCs w:val="21"/>
          <w:highlight w:val="none"/>
          <w:lang w:val="en-US" w:eastAsia="zh-CN"/>
        </w:rPr>
        <w:t>甲方</w:t>
      </w:r>
      <w:r>
        <w:rPr>
          <w:rFonts w:hint="eastAsia" w:ascii="宋体" w:hAnsi="宋体" w:eastAsia="宋体" w:cs="宋体"/>
          <w:color w:val="auto"/>
          <w:sz w:val="21"/>
          <w:szCs w:val="21"/>
          <w:highlight w:val="none"/>
        </w:rPr>
        <w:t>扣除</w:t>
      </w:r>
      <w:r>
        <w:rPr>
          <w:rFonts w:hint="eastAsia" w:ascii="宋体" w:hAnsi="宋体" w:eastAsia="宋体" w:cs="宋体"/>
          <w:color w:val="auto"/>
          <w:sz w:val="21"/>
          <w:szCs w:val="21"/>
          <w:highlight w:val="none"/>
          <w:lang w:val="en-US" w:eastAsia="zh-CN"/>
        </w:rPr>
        <w:t>乙方</w:t>
      </w:r>
      <w:r>
        <w:rPr>
          <w:rFonts w:hint="eastAsia" w:ascii="宋体" w:hAnsi="宋体" w:eastAsia="宋体" w:cs="宋体"/>
          <w:color w:val="auto"/>
          <w:sz w:val="21"/>
          <w:szCs w:val="21"/>
          <w:highlight w:val="none"/>
        </w:rPr>
        <w:t xml:space="preserve">全部履约保证金，解除合同。 </w:t>
      </w:r>
    </w:p>
    <w:p>
      <w:pPr>
        <w:snapToGrid w:val="0"/>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造成安全事故、环保事故且影响恶劣的，</w:t>
      </w:r>
      <w:r>
        <w:rPr>
          <w:rFonts w:hint="eastAsia" w:ascii="宋体" w:hAnsi="宋体" w:eastAsia="宋体" w:cs="宋体"/>
          <w:color w:val="auto"/>
          <w:sz w:val="21"/>
          <w:szCs w:val="21"/>
          <w:highlight w:val="none"/>
          <w:lang w:val="en-US" w:eastAsia="zh-CN"/>
        </w:rPr>
        <w:t>甲方</w:t>
      </w:r>
      <w:r>
        <w:rPr>
          <w:rFonts w:hint="eastAsia" w:ascii="宋体" w:hAnsi="宋体" w:eastAsia="宋体" w:cs="宋体"/>
          <w:color w:val="auto"/>
          <w:sz w:val="21"/>
          <w:szCs w:val="21"/>
          <w:highlight w:val="none"/>
        </w:rPr>
        <w:t>扣除</w:t>
      </w:r>
      <w:r>
        <w:rPr>
          <w:rFonts w:hint="eastAsia" w:ascii="宋体" w:hAnsi="宋体" w:eastAsia="宋体" w:cs="宋体"/>
          <w:color w:val="auto"/>
          <w:sz w:val="21"/>
          <w:szCs w:val="21"/>
          <w:highlight w:val="none"/>
          <w:lang w:val="en-US" w:eastAsia="zh-CN"/>
        </w:rPr>
        <w:t>乙方</w:t>
      </w:r>
      <w:r>
        <w:rPr>
          <w:rFonts w:hint="eastAsia" w:ascii="宋体" w:hAnsi="宋体" w:eastAsia="宋体" w:cs="宋体"/>
          <w:color w:val="auto"/>
          <w:sz w:val="21"/>
          <w:szCs w:val="21"/>
          <w:highlight w:val="none"/>
        </w:rPr>
        <w:t xml:space="preserve">全部履约保证金，解除合同。 </w:t>
      </w:r>
    </w:p>
    <w:p>
      <w:pPr>
        <w:spacing w:line="500" w:lineRule="exact"/>
        <w:ind w:firstLine="420" w:firstLineChars="200"/>
        <w:rPr>
          <w:rFonts w:hint="default" w:hAnsi="宋体" w:cs="宋体"/>
          <w:b w:val="0"/>
          <w:color w:val="auto"/>
          <w:sz w:val="21"/>
          <w:szCs w:val="21"/>
          <w:highlight w:val="none"/>
          <w:lang w:val="en-US" w:eastAsia="zh-CN"/>
        </w:rPr>
      </w:pPr>
      <w:r>
        <w:rPr>
          <w:rFonts w:hint="eastAsia" w:hAnsi="宋体" w:cs="宋体"/>
          <w:b w:val="0"/>
          <w:color w:val="auto"/>
          <w:sz w:val="21"/>
          <w:szCs w:val="21"/>
          <w:highlight w:val="none"/>
          <w:lang w:val="en-US" w:eastAsia="zh-CN"/>
        </w:rPr>
        <w:t>6.在乙方的污泥处置设施、废气处理设备等配套设备设施出现故障、维修、保养或停机检修等影响乙方开展污泥处置的情形时，乙方未及时采取应急保障措施的，甲方有权采取相应措施以保障污泥处置的“稳定化、无害化、资源化”，涉及的相关费用由乙方承担，且甲方有权扣除全额履约保证金，并单方面无条件解除合同。</w:t>
      </w:r>
    </w:p>
    <w:p>
      <w:pPr>
        <w:snapToGrid w:val="0"/>
        <w:spacing w:line="500" w:lineRule="exact"/>
        <w:ind w:firstLine="420" w:firstLineChars="200"/>
        <w:rPr>
          <w:rFonts w:hint="eastAsia" w:ascii="宋体" w:hAnsi="宋体" w:eastAsia="宋体" w:cs="宋体"/>
          <w:color w:val="auto"/>
          <w:sz w:val="21"/>
          <w:szCs w:val="21"/>
          <w:highlight w:val="none"/>
        </w:rPr>
      </w:pPr>
      <w:r>
        <w:rPr>
          <w:rFonts w:hint="eastAsia" w:hAnsi="宋体" w:cs="宋体"/>
          <w:color w:val="auto"/>
          <w:sz w:val="21"/>
          <w:szCs w:val="21"/>
          <w:highlight w:val="none"/>
          <w:lang w:val="en-US" w:eastAsia="zh-CN"/>
        </w:rPr>
        <w:t>7</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其它严重违约行为，</w:t>
      </w:r>
      <w:r>
        <w:rPr>
          <w:rFonts w:hint="eastAsia" w:ascii="宋体" w:hAnsi="宋体" w:eastAsia="宋体" w:cs="宋体"/>
          <w:color w:val="auto"/>
          <w:sz w:val="21"/>
          <w:szCs w:val="21"/>
          <w:highlight w:val="none"/>
          <w:lang w:val="en-US" w:eastAsia="zh-CN"/>
        </w:rPr>
        <w:t>甲方</w:t>
      </w:r>
      <w:r>
        <w:rPr>
          <w:rFonts w:hint="eastAsia" w:ascii="宋体" w:hAnsi="宋体" w:eastAsia="宋体" w:cs="宋体"/>
          <w:color w:val="auto"/>
          <w:sz w:val="21"/>
          <w:szCs w:val="21"/>
          <w:highlight w:val="none"/>
        </w:rPr>
        <w:t>扣除</w:t>
      </w:r>
      <w:r>
        <w:rPr>
          <w:rFonts w:hint="eastAsia" w:ascii="宋体" w:hAnsi="宋体" w:eastAsia="宋体" w:cs="宋体"/>
          <w:color w:val="auto"/>
          <w:sz w:val="21"/>
          <w:szCs w:val="21"/>
          <w:highlight w:val="none"/>
          <w:lang w:val="en-US" w:eastAsia="zh-CN"/>
        </w:rPr>
        <w:t>乙方</w:t>
      </w:r>
      <w:r>
        <w:rPr>
          <w:rFonts w:hint="eastAsia" w:ascii="宋体" w:hAnsi="宋体" w:eastAsia="宋体" w:cs="宋体"/>
          <w:color w:val="auto"/>
          <w:sz w:val="21"/>
          <w:szCs w:val="21"/>
          <w:highlight w:val="none"/>
        </w:rPr>
        <w:t>履约保证金</w:t>
      </w:r>
      <w:r>
        <w:rPr>
          <w:rFonts w:hint="eastAsia" w:ascii="宋体" w:hAnsi="宋体" w:eastAsia="宋体" w:cs="宋体"/>
          <w:color w:val="auto"/>
          <w:sz w:val="21"/>
          <w:szCs w:val="21"/>
          <w:highlight w:val="none"/>
          <w:lang w:val="en-US" w:eastAsia="zh-CN"/>
        </w:rPr>
        <w:t>5000元/次，乙方在一周内补足</w:t>
      </w:r>
      <w:r>
        <w:rPr>
          <w:rFonts w:hint="eastAsia" w:ascii="宋体" w:hAnsi="宋体" w:eastAsia="宋体" w:cs="宋体"/>
          <w:color w:val="auto"/>
          <w:sz w:val="21"/>
          <w:szCs w:val="21"/>
          <w:highlight w:val="none"/>
        </w:rPr>
        <w:t>；超过4次时，</w:t>
      </w:r>
      <w:r>
        <w:rPr>
          <w:rFonts w:hint="eastAsia" w:ascii="宋体" w:hAnsi="宋体" w:eastAsia="宋体" w:cs="宋体"/>
          <w:color w:val="auto"/>
          <w:sz w:val="21"/>
          <w:szCs w:val="21"/>
          <w:highlight w:val="none"/>
          <w:lang w:val="en-US" w:eastAsia="zh-CN"/>
        </w:rPr>
        <w:t>甲方</w:t>
      </w:r>
      <w:r>
        <w:rPr>
          <w:rFonts w:hint="eastAsia" w:ascii="宋体" w:hAnsi="宋体" w:eastAsia="宋体" w:cs="宋体"/>
          <w:color w:val="auto"/>
          <w:sz w:val="21"/>
          <w:szCs w:val="21"/>
          <w:highlight w:val="none"/>
        </w:rPr>
        <w:t xml:space="preserve">扣除全部履约保证金，解除合同。 </w:t>
      </w:r>
    </w:p>
    <w:p>
      <w:pPr>
        <w:snapToGrid w:val="0"/>
        <w:spacing w:beforeLines="0" w:afterLines="0" w:line="500" w:lineRule="exact"/>
        <w:ind w:firstLine="422" w:firstLineChars="200"/>
        <w:rPr>
          <w:rFonts w:hint="eastAsia" w:ascii="宋体" w:hAnsi="宋体" w:eastAsia="宋体" w:cs="宋体"/>
          <w:b/>
          <w:bCs/>
          <w:color w:val="auto"/>
          <w:sz w:val="21"/>
          <w:szCs w:val="21"/>
          <w:highlight w:val="none"/>
        </w:rPr>
      </w:pPr>
      <w:r>
        <w:rPr>
          <w:rFonts w:hint="eastAsia" w:hAnsi="宋体" w:cs="宋体"/>
          <w:b/>
          <w:bCs/>
          <w:color w:val="auto"/>
          <w:sz w:val="21"/>
          <w:szCs w:val="21"/>
          <w:highlight w:val="none"/>
          <w:lang w:val="en-US" w:eastAsia="zh-CN"/>
        </w:rPr>
        <w:t>十</w:t>
      </w:r>
      <w:r>
        <w:rPr>
          <w:rFonts w:hint="eastAsia" w:ascii="宋体" w:hAnsi="宋体" w:eastAsia="宋体" w:cs="宋体"/>
          <w:b/>
          <w:bCs/>
          <w:color w:val="auto"/>
          <w:sz w:val="21"/>
          <w:szCs w:val="21"/>
          <w:highlight w:val="none"/>
        </w:rPr>
        <w:t>、不可抗力事件处理</w:t>
      </w:r>
    </w:p>
    <w:p>
      <w:pPr>
        <w:snapToGrid w:val="0"/>
        <w:spacing w:beforeLines="0" w:afterLines="0"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不可抗力，是指本合同双方不能合理控制、不可预见或即使预见亦无法避免的事件，该事件妨碍、影响或延误任何一方根据本合同履行其全部或部分义务。该事件包括但不限于：自然原因，例如：地震、火灾、严重的传染性疾病等；国家机关政府行为之原因，例如：法律、政策、行政指令。</w:t>
      </w:r>
    </w:p>
    <w:p>
      <w:pPr>
        <w:snapToGrid w:val="0"/>
        <w:spacing w:beforeLines="0" w:afterLines="0"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遭受不可抗力事件的一方可暂行中止履行本合同项下的义务直至不可抗力事件的影响消除为止，并且无需为此而承担违约责任；但应尽最大努力克服该事件，减轻其负面影响。</w:t>
      </w:r>
    </w:p>
    <w:p>
      <w:pPr>
        <w:snapToGrid w:val="0"/>
        <w:spacing w:beforeLines="0" w:afterLines="0"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r>
        <w:rPr>
          <w:rFonts w:hint="eastAsia"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 xml:space="preserve">在本合同履行中，一旦本合同一方或双方遭受不可抗力，则不可抗力发生方须在尽可能短的时间内通知对方。如果不可抗力的发生，不会造成不可抗力发生方对本合同的根本违约，则另一方应该在履约时间上给与对方适当的宽限。如果不可抗力的发生，造成了不可抗力发生方无法履行本合同，则本合同终止。 </w:t>
      </w:r>
    </w:p>
    <w:p>
      <w:pPr>
        <w:snapToGrid w:val="0"/>
        <w:spacing w:beforeLines="0" w:afterLines="0" w:line="500" w:lineRule="exact"/>
        <w:ind w:firstLine="422" w:firstLineChars="200"/>
        <w:rPr>
          <w:rFonts w:hint="eastAsia" w:ascii="宋体" w:hAnsi="宋体" w:eastAsia="宋体" w:cs="宋体"/>
          <w:b/>
          <w:color w:val="auto"/>
          <w:sz w:val="21"/>
          <w:szCs w:val="21"/>
          <w:highlight w:val="none"/>
        </w:rPr>
      </w:pPr>
      <w:r>
        <w:rPr>
          <w:rFonts w:hint="eastAsia" w:hAnsi="宋体" w:eastAsia="宋体" w:cs="宋体"/>
          <w:b/>
          <w:color w:val="auto"/>
          <w:sz w:val="21"/>
          <w:szCs w:val="21"/>
          <w:highlight w:val="none"/>
          <w:lang w:eastAsia="zh-CN"/>
        </w:rPr>
        <w:t>十</w:t>
      </w:r>
      <w:r>
        <w:rPr>
          <w:rFonts w:hint="eastAsia" w:hAnsi="宋体" w:cs="宋体"/>
          <w:b/>
          <w:color w:val="auto"/>
          <w:sz w:val="21"/>
          <w:szCs w:val="21"/>
          <w:highlight w:val="none"/>
          <w:lang w:val="en-US" w:eastAsia="zh-CN"/>
        </w:rPr>
        <w:t>一</w:t>
      </w:r>
      <w:r>
        <w:rPr>
          <w:rFonts w:hint="eastAsia" w:ascii="宋体" w:hAnsi="宋体" w:eastAsia="宋体" w:cs="宋体"/>
          <w:b/>
          <w:color w:val="auto"/>
          <w:sz w:val="21"/>
          <w:szCs w:val="21"/>
          <w:highlight w:val="none"/>
        </w:rPr>
        <w:t>、合同的修改与终止</w:t>
      </w:r>
    </w:p>
    <w:p>
      <w:pPr>
        <w:snapToGrid w:val="0"/>
        <w:spacing w:beforeLines="0" w:afterLines="0"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w:t>
      </w:r>
      <w:r>
        <w:rPr>
          <w:rFonts w:hint="eastAsia"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经甲、乙双方一致同意后可修改本合同。</w:t>
      </w:r>
    </w:p>
    <w:p>
      <w:pPr>
        <w:snapToGrid w:val="0"/>
        <w:spacing w:beforeLines="0" w:afterLines="0" w:line="500" w:lineRule="exact"/>
        <w:ind w:firstLine="420" w:firstLineChars="200"/>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2</w:t>
      </w:r>
      <w:r>
        <w:rPr>
          <w:rFonts w:hint="eastAsia"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任何一方如因发生不可抗拒事件而丧失履行合同能力，本合同可自行终止。</w:t>
      </w:r>
    </w:p>
    <w:p>
      <w:pPr>
        <w:snapToGrid w:val="0"/>
        <w:spacing w:beforeLines="0" w:afterLines="0" w:line="500" w:lineRule="exact"/>
        <w:ind w:firstLine="422" w:firstLineChars="200"/>
        <w:jc w:val="both"/>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十</w:t>
      </w:r>
      <w:r>
        <w:rPr>
          <w:rFonts w:hint="eastAsia" w:hAnsi="宋体" w:cs="宋体"/>
          <w:b/>
          <w:bCs/>
          <w:color w:val="auto"/>
          <w:sz w:val="21"/>
          <w:szCs w:val="21"/>
          <w:highlight w:val="none"/>
          <w:lang w:val="en-US" w:eastAsia="zh-CN"/>
        </w:rPr>
        <w:t>二</w:t>
      </w:r>
      <w:r>
        <w:rPr>
          <w:rFonts w:hint="eastAsia" w:ascii="宋体" w:hAnsi="宋体" w:eastAsia="宋体" w:cs="宋体"/>
          <w:b/>
          <w:bCs/>
          <w:color w:val="auto"/>
          <w:sz w:val="21"/>
          <w:szCs w:val="21"/>
          <w:highlight w:val="none"/>
        </w:rPr>
        <w:t>、诉讼</w:t>
      </w:r>
    </w:p>
    <w:p>
      <w:pPr>
        <w:snapToGrid w:val="0"/>
        <w:spacing w:beforeLines="0" w:afterLines="0" w:line="500" w:lineRule="exact"/>
        <w:ind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双方在执行合同中所发生的一切争议，应通过协商解决。如协商不成，可向合同签订地法院起诉。</w:t>
      </w:r>
    </w:p>
    <w:p>
      <w:pPr>
        <w:snapToGrid w:val="0"/>
        <w:spacing w:beforeLines="0" w:afterLines="0" w:line="500" w:lineRule="exact"/>
        <w:ind w:firstLine="422" w:firstLineChars="200"/>
        <w:jc w:val="both"/>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十</w:t>
      </w:r>
      <w:r>
        <w:rPr>
          <w:rFonts w:hint="eastAsia" w:hAnsi="宋体" w:cs="宋体"/>
          <w:b/>
          <w:bCs/>
          <w:color w:val="auto"/>
          <w:sz w:val="21"/>
          <w:szCs w:val="21"/>
          <w:highlight w:val="none"/>
          <w:lang w:val="en-US" w:eastAsia="zh-CN"/>
        </w:rPr>
        <w:t>三</w:t>
      </w:r>
      <w:r>
        <w:rPr>
          <w:rFonts w:hint="eastAsia" w:ascii="宋体" w:hAnsi="宋体" w:eastAsia="宋体" w:cs="宋体"/>
          <w:b/>
          <w:bCs/>
          <w:color w:val="auto"/>
          <w:sz w:val="21"/>
          <w:szCs w:val="21"/>
          <w:highlight w:val="none"/>
        </w:rPr>
        <w:t>、合同生效及其它</w:t>
      </w:r>
    </w:p>
    <w:p>
      <w:pPr>
        <w:autoSpaceDE/>
        <w:autoSpaceDN/>
        <w:adjustRightInd/>
        <w:spacing w:beforeLines="0" w:afterLines="0" w:line="500" w:lineRule="exact"/>
        <w:ind w:firstLine="420" w:firstLineChars="200"/>
        <w:jc w:val="both"/>
        <w:textAlignment w:val="auto"/>
        <w:rPr>
          <w:rFonts w:hint="eastAsia" w:ascii="宋体" w:hAnsi="宋体" w:eastAsia="宋体" w:cs="宋体"/>
          <w:bCs/>
          <w:color w:val="auto"/>
          <w:sz w:val="21"/>
          <w:szCs w:val="21"/>
          <w:highlight w:val="none"/>
        </w:rPr>
      </w:pPr>
      <w:r>
        <w:rPr>
          <w:rFonts w:hint="eastAsia"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.未经对方书面许可，任何一方不得向第三方提供或透露本合同的内容及与对方业务有关的资料和信息，法律另有规定的除外。但甲方向其关联公司透露前述内容的，不受此限。</w:t>
      </w:r>
    </w:p>
    <w:p>
      <w:pPr>
        <w:spacing w:beforeLines="0" w:afterLines="0" w:line="500" w:lineRule="exact"/>
        <w:ind w:firstLine="420" w:firstLineChars="200"/>
        <w:rPr>
          <w:rFonts w:hint="eastAsia" w:ascii="宋体" w:hAnsi="宋体" w:eastAsia="宋体" w:cs="宋体"/>
          <w:color w:val="auto"/>
          <w:sz w:val="21"/>
          <w:szCs w:val="21"/>
          <w:highlight w:val="none"/>
        </w:rPr>
      </w:pPr>
      <w:r>
        <w:rPr>
          <w:rFonts w:hint="eastAsia"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.本合同经甲乙双方签字盖章后生效。本合同未尽事宜按《中华人民共和国民法典》的有关规定，经合同双方共同协商，可作出补充规定，补充规定与本合同同具法律效力。</w:t>
      </w:r>
    </w:p>
    <w:p>
      <w:pPr>
        <w:snapToGrid w:val="0"/>
        <w:spacing w:beforeLines="0" w:afterLines="0" w:line="500" w:lineRule="exact"/>
        <w:ind w:firstLine="420" w:firstLineChars="200"/>
        <w:jc w:val="both"/>
        <w:rPr>
          <w:rFonts w:hint="eastAsia" w:ascii="宋体" w:hAnsi="宋体" w:eastAsia="宋体" w:cs="宋体"/>
          <w:bCs/>
          <w:color w:val="auto"/>
          <w:sz w:val="21"/>
          <w:szCs w:val="21"/>
          <w:highlight w:val="none"/>
        </w:rPr>
      </w:pPr>
      <w:r>
        <w:rPr>
          <w:rFonts w:hint="eastAsia" w:hAnsi="宋体" w:eastAsia="宋体" w:cs="宋体"/>
          <w:bCs/>
          <w:color w:val="auto"/>
          <w:sz w:val="21"/>
          <w:szCs w:val="21"/>
          <w:highlight w:val="none"/>
          <w:lang w:val="en-US" w:eastAsia="zh-CN"/>
        </w:rPr>
        <w:t>3</w:t>
      </w:r>
      <w:r>
        <w:rPr>
          <w:rFonts w:hint="eastAsia" w:ascii="宋体" w:hAnsi="宋体" w:eastAsia="宋体" w:cs="宋体"/>
          <w:bCs/>
          <w:color w:val="auto"/>
          <w:sz w:val="21"/>
          <w:szCs w:val="21"/>
          <w:highlight w:val="none"/>
        </w:rPr>
        <w:t>.</w:t>
      </w:r>
      <w:r>
        <w:rPr>
          <w:rFonts w:hint="eastAsia" w:ascii="宋体" w:hAnsi="宋体" w:eastAsia="宋体" w:cs="宋体"/>
          <w:color w:val="auto"/>
          <w:sz w:val="21"/>
          <w:szCs w:val="21"/>
          <w:highlight w:val="none"/>
        </w:rPr>
        <w:t>本合同正本一式陆份，具有同等法律效力，甲乙双方各执二份；采购代理机构二份。</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1"/>
        <w:gridCol w:w="4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651" w:type="dxa"/>
            <w:noWrap w:val="0"/>
            <w:vAlign w:val="top"/>
          </w:tcPr>
          <w:p>
            <w:pPr>
              <w:snapToGrid w:val="0"/>
              <w:spacing w:beforeLines="0" w:afterLines="0" w:line="500" w:lineRule="exac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甲（采购）方</w:t>
            </w:r>
          </w:p>
          <w:p>
            <w:pPr>
              <w:snapToGrid w:val="0"/>
              <w:spacing w:beforeLines="0" w:afterLines="0" w:line="500" w:lineRule="exac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单位名称（章）：</w:t>
            </w:r>
          </w:p>
          <w:p>
            <w:pPr>
              <w:snapToGrid w:val="0"/>
              <w:spacing w:beforeLines="0" w:afterLines="0" w:line="500" w:lineRule="exac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单位地址：</w:t>
            </w:r>
          </w:p>
          <w:p>
            <w:pPr>
              <w:snapToGrid w:val="0"/>
              <w:spacing w:beforeLines="0" w:afterLines="0" w:line="500" w:lineRule="exac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法定代表人：</w:t>
            </w:r>
          </w:p>
          <w:p>
            <w:pPr>
              <w:snapToGrid w:val="0"/>
              <w:spacing w:beforeLines="0" w:afterLines="0" w:line="500" w:lineRule="exac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委托代理人：</w:t>
            </w:r>
          </w:p>
          <w:p>
            <w:pPr>
              <w:snapToGrid w:val="0"/>
              <w:spacing w:beforeLines="0" w:afterLines="0" w:line="500" w:lineRule="exac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电 话：</w:t>
            </w:r>
          </w:p>
          <w:p>
            <w:pPr>
              <w:snapToGrid w:val="0"/>
              <w:spacing w:beforeLines="0" w:afterLines="0" w:line="500" w:lineRule="exac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开户银行：</w:t>
            </w:r>
          </w:p>
          <w:p>
            <w:pPr>
              <w:snapToGrid w:val="0"/>
              <w:spacing w:beforeLines="0" w:afterLines="0" w:line="500" w:lineRule="exact"/>
              <w:rPr>
                <w:rFonts w:hint="eastAsia" w:ascii="宋体" w:hAnsi="宋体" w:eastAsia="宋体" w:cs="宋体"/>
                <w:bCs/>
                <w:color w:val="auto"/>
                <w:sz w:val="21"/>
                <w:szCs w:val="21"/>
                <w:highlight w:val="none"/>
              </w:rPr>
            </w:pPr>
            <w:r>
              <w:rPr>
                <w:rFonts w:hint="eastAsia" w:hAnsi="宋体" w:cs="宋体"/>
                <w:bCs/>
                <w:color w:val="auto"/>
                <w:sz w:val="21"/>
                <w:szCs w:val="21"/>
                <w:highlight w:val="none"/>
                <w:lang w:eastAsia="zh-CN"/>
              </w:rPr>
              <w:t>账</w:t>
            </w:r>
            <w:r>
              <w:rPr>
                <w:rFonts w:hint="eastAsia" w:ascii="宋体" w:hAnsi="宋体" w:eastAsia="宋体" w:cs="宋体"/>
                <w:bCs/>
                <w:color w:val="auto"/>
                <w:sz w:val="21"/>
                <w:szCs w:val="21"/>
                <w:highlight w:val="none"/>
              </w:rPr>
              <w:t xml:space="preserve"> 号：</w:t>
            </w:r>
          </w:p>
          <w:p>
            <w:pPr>
              <w:snapToGrid w:val="0"/>
              <w:spacing w:beforeLines="0" w:afterLines="0" w:line="500" w:lineRule="exac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邮政编码：</w:t>
            </w:r>
          </w:p>
        </w:tc>
        <w:tc>
          <w:tcPr>
            <w:tcW w:w="4120" w:type="dxa"/>
            <w:noWrap w:val="0"/>
            <w:vAlign w:val="top"/>
          </w:tcPr>
          <w:p>
            <w:pPr>
              <w:snapToGrid w:val="0"/>
              <w:spacing w:beforeLines="0" w:afterLines="0" w:line="500" w:lineRule="exac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乙（供货）方</w:t>
            </w:r>
          </w:p>
          <w:p>
            <w:pPr>
              <w:snapToGrid w:val="0"/>
              <w:spacing w:beforeLines="0" w:afterLines="0" w:line="500" w:lineRule="exac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单位名称（章）：</w:t>
            </w:r>
          </w:p>
          <w:p>
            <w:pPr>
              <w:snapToGrid w:val="0"/>
              <w:spacing w:beforeLines="0" w:afterLines="0" w:line="500" w:lineRule="exac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单位地址：</w:t>
            </w:r>
          </w:p>
          <w:p>
            <w:pPr>
              <w:snapToGrid w:val="0"/>
              <w:spacing w:beforeLines="0" w:afterLines="0" w:line="500" w:lineRule="exac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法定代表人：</w:t>
            </w:r>
          </w:p>
          <w:p>
            <w:pPr>
              <w:snapToGrid w:val="0"/>
              <w:spacing w:beforeLines="0" w:afterLines="0" w:line="500" w:lineRule="exac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委托代理人：</w:t>
            </w:r>
          </w:p>
          <w:p>
            <w:pPr>
              <w:snapToGrid w:val="0"/>
              <w:spacing w:beforeLines="0" w:afterLines="0" w:line="500" w:lineRule="exac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电 话：</w:t>
            </w:r>
          </w:p>
          <w:p>
            <w:pPr>
              <w:snapToGrid w:val="0"/>
              <w:spacing w:beforeLines="0" w:afterLines="0" w:line="500" w:lineRule="exac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开户银行：</w:t>
            </w:r>
          </w:p>
          <w:p>
            <w:pPr>
              <w:snapToGrid w:val="0"/>
              <w:spacing w:beforeLines="0" w:afterLines="0" w:line="500" w:lineRule="exact"/>
              <w:rPr>
                <w:rFonts w:hint="eastAsia" w:ascii="宋体" w:hAnsi="宋体" w:eastAsia="宋体" w:cs="宋体"/>
                <w:bCs/>
                <w:color w:val="auto"/>
                <w:sz w:val="21"/>
                <w:szCs w:val="21"/>
                <w:highlight w:val="none"/>
              </w:rPr>
            </w:pPr>
            <w:r>
              <w:rPr>
                <w:rFonts w:hint="eastAsia" w:hAnsi="宋体" w:cs="宋体"/>
                <w:bCs/>
                <w:color w:val="auto"/>
                <w:sz w:val="21"/>
                <w:szCs w:val="21"/>
                <w:highlight w:val="none"/>
                <w:lang w:eastAsia="zh-CN"/>
              </w:rPr>
              <w:t>账</w:t>
            </w:r>
            <w:r>
              <w:rPr>
                <w:rFonts w:hint="eastAsia" w:ascii="宋体" w:hAnsi="宋体" w:eastAsia="宋体" w:cs="宋体"/>
                <w:bCs/>
                <w:color w:val="auto"/>
                <w:sz w:val="21"/>
                <w:szCs w:val="21"/>
                <w:highlight w:val="none"/>
              </w:rPr>
              <w:t xml:space="preserve"> 号：</w:t>
            </w:r>
          </w:p>
          <w:p>
            <w:pPr>
              <w:snapToGrid w:val="0"/>
              <w:spacing w:beforeLines="0" w:afterLines="0" w:line="500" w:lineRule="exac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邮政编码：</w:t>
            </w:r>
          </w:p>
        </w:tc>
      </w:tr>
    </w:tbl>
    <w:p>
      <w:pPr>
        <w:autoSpaceDE/>
        <w:autoSpaceDN/>
        <w:adjustRightInd/>
        <w:snapToGrid w:val="0"/>
        <w:spacing w:beforeLines="0" w:afterLines="0" w:line="500" w:lineRule="exact"/>
        <w:ind w:firstLine="420" w:firstLineChars="20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采购代理机构意见:</w:t>
      </w:r>
    </w:p>
    <w:p>
      <w:pPr>
        <w:pStyle w:val="13"/>
        <w:snapToGrid w:val="0"/>
        <w:spacing w:before="0" w:beforeLines="0" w:after="0" w:afterLines="0" w:line="500" w:lineRule="exact"/>
        <w:rPr>
          <w:rFonts w:hint="eastAsia" w:ascii="宋体" w:hAnsi="宋体" w:eastAsia="宋体" w:cs="宋体"/>
          <w:color w:val="auto"/>
          <w:kern w:val="2"/>
          <w:sz w:val="21"/>
          <w:highlight w:val="none"/>
        </w:rPr>
      </w:pPr>
      <w:r>
        <w:rPr>
          <w:rFonts w:hint="eastAsia" w:ascii="宋体" w:hAnsi="宋体" w:eastAsia="宋体" w:cs="宋体"/>
          <w:b/>
          <w:color w:val="auto"/>
          <w:sz w:val="21"/>
          <w:szCs w:val="21"/>
          <w:highlight w:val="none"/>
        </w:rPr>
        <w:t>注：此合同样本仅作参考，采购人、供应商可根据采购项目的实际情况进行</w:t>
      </w:r>
      <w:r>
        <w:rPr>
          <w:rFonts w:hint="eastAsia" w:ascii="宋体" w:hAnsi="宋体" w:eastAsia="宋体" w:cs="宋体"/>
          <w:b/>
          <w:color w:val="auto"/>
          <w:sz w:val="21"/>
          <w:szCs w:val="21"/>
          <w:highlight w:val="none"/>
          <w:lang w:val="en-US" w:eastAsia="zh-CN"/>
        </w:rPr>
        <w:t>修改。</w:t>
      </w:r>
    </w:p>
    <w:p>
      <w:pPr>
        <w:snapToGrid w:val="0"/>
        <w:spacing w:before="0" w:beforeLines="0" w:after="0" w:afterLines="0" w:line="500" w:lineRule="exact"/>
        <w:rPr>
          <w:rFonts w:hint="eastAsia" w:ascii="宋体" w:hAnsi="宋体" w:eastAsia="宋体" w:cs="宋体"/>
          <w:color w:val="auto"/>
          <w:kern w:val="0"/>
          <w:sz w:val="21"/>
          <w:szCs w:val="21"/>
          <w:highlight w:val="none"/>
        </w:rPr>
      </w:pPr>
    </w:p>
    <w:p>
      <w:pPr>
        <w:pStyle w:val="4"/>
        <w:spacing w:line="360" w:lineRule="auto"/>
        <w:jc w:val="center"/>
        <w:rPr>
          <w:rFonts w:hint="eastAsia" w:ascii="宋体" w:hAnsi="宋体" w:eastAsia="宋体" w:cs="宋体"/>
          <w:color w:val="auto"/>
          <w:sz w:val="30"/>
          <w:szCs w:val="30"/>
          <w:highlight w:val="none"/>
        </w:rPr>
      </w:pPr>
      <w:r>
        <w:rPr>
          <w:rFonts w:hint="eastAsia" w:ascii="宋体" w:hAnsi="宋体" w:eastAsia="宋体" w:cs="宋体"/>
          <w:color w:val="auto"/>
          <w:szCs w:val="21"/>
          <w:highlight w:val="none"/>
        </w:rPr>
        <w:br w:type="page"/>
      </w:r>
      <w:bookmarkEnd w:id="49"/>
      <w:bookmarkEnd w:id="50"/>
      <w:bookmarkEnd w:id="51"/>
      <w:bookmarkEnd w:id="52"/>
      <w:bookmarkStart w:id="53" w:name="_Toc2707"/>
      <w:r>
        <w:rPr>
          <w:rFonts w:hint="eastAsia" w:ascii="宋体" w:hAnsi="宋体" w:eastAsia="宋体" w:cs="宋体"/>
          <w:color w:val="auto"/>
          <w:sz w:val="30"/>
          <w:szCs w:val="30"/>
          <w:highlight w:val="none"/>
        </w:rPr>
        <w:t>第六章　投标文件格式</w:t>
      </w:r>
      <w:bookmarkEnd w:id="53"/>
    </w:p>
    <w:p>
      <w:pPr>
        <w:snapToGrid w:val="0"/>
        <w:spacing w:before="317" w:beforeLines="50" w:after="50"/>
        <w:jc w:val="center"/>
        <w:rPr>
          <w:rFonts w:hint="eastAsia" w:ascii="宋体" w:hAnsi="宋体" w:eastAsia="宋体" w:cs="宋体"/>
          <w:color w:val="auto"/>
          <w:sz w:val="24"/>
          <w:highlight w:val="none"/>
        </w:rPr>
      </w:pPr>
      <w:bookmarkStart w:id="54" w:name="_Toc351559947"/>
      <w:r>
        <w:rPr>
          <w:rFonts w:hint="eastAsia" w:ascii="宋体" w:hAnsi="宋体" w:eastAsia="宋体" w:cs="宋体"/>
          <w:color w:val="auto"/>
          <w:sz w:val="24"/>
          <w:highlight w:val="none"/>
        </w:rPr>
        <w:t>一、投标文件外层包装封面格式</w:t>
      </w:r>
      <w:bookmarkEnd w:id="54"/>
    </w:p>
    <w:p>
      <w:pPr>
        <w:snapToGrid w:val="0"/>
        <w:spacing w:before="317" w:beforeLines="50" w:after="50"/>
        <w:ind w:firstLine="600" w:firstLineChars="250"/>
        <w:rPr>
          <w:rFonts w:hint="eastAsia" w:ascii="宋体" w:hAnsi="宋体" w:eastAsia="宋体" w:cs="宋体"/>
          <w:color w:val="auto"/>
          <w:sz w:val="24"/>
          <w:highlight w:val="none"/>
        </w:rPr>
      </w:pPr>
    </w:p>
    <w:p>
      <w:pPr>
        <w:snapToGrid w:val="0"/>
        <w:spacing w:before="317" w:beforeLines="50" w:after="50"/>
        <w:ind w:firstLine="600" w:firstLineChars="250"/>
        <w:rPr>
          <w:rFonts w:hint="eastAsia" w:ascii="宋体" w:hAnsi="宋体" w:eastAsia="宋体" w:cs="宋体"/>
          <w:color w:val="auto"/>
          <w:sz w:val="24"/>
          <w:highlight w:val="none"/>
        </w:rPr>
      </w:pPr>
    </w:p>
    <w:p>
      <w:pPr>
        <w:snapToGrid w:val="0"/>
        <w:spacing w:before="317" w:beforeLines="50" w:after="50"/>
        <w:ind w:firstLine="600" w:firstLineChars="2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所有投标文件的外包装封面格式：（可选用）</w:t>
      </w:r>
    </w:p>
    <w:p>
      <w:pPr>
        <w:snapToGrid w:val="0"/>
        <w:spacing w:before="317" w:beforeLines="50" w:after="50"/>
        <w:rPr>
          <w:rFonts w:hint="eastAsia" w:ascii="宋体" w:hAnsi="宋体" w:eastAsia="宋体" w:cs="宋体"/>
          <w:color w:val="auto"/>
          <w:sz w:val="24"/>
          <w:szCs w:val="24"/>
          <w:highlight w:val="none"/>
        </w:rPr>
      </w:pPr>
    </w:p>
    <w:p>
      <w:pPr>
        <w:snapToGrid w:val="0"/>
        <w:spacing w:before="317" w:beforeLines="50" w:after="50"/>
        <w:jc w:val="center"/>
        <w:rPr>
          <w:rFonts w:hint="eastAsia" w:ascii="宋体" w:hAnsi="宋体" w:eastAsia="宋体" w:cs="宋体"/>
          <w:color w:val="auto"/>
          <w:sz w:val="24"/>
          <w:szCs w:val="24"/>
          <w:highlight w:val="none"/>
        </w:rPr>
      </w:pPr>
    </w:p>
    <w:p>
      <w:pPr>
        <w:snapToGrid w:val="0"/>
        <w:spacing w:before="317" w:beforeLines="50" w:after="50"/>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投标文件</w:t>
      </w:r>
    </w:p>
    <w:p>
      <w:pPr>
        <w:snapToGrid w:val="0"/>
        <w:spacing w:before="317" w:beforeLines="50" w:after="50"/>
        <w:rPr>
          <w:rFonts w:hint="eastAsia" w:ascii="宋体" w:hAnsi="宋体" w:eastAsia="宋体" w:cs="宋体"/>
          <w:color w:val="auto"/>
          <w:sz w:val="24"/>
          <w:szCs w:val="24"/>
          <w:highlight w:val="none"/>
        </w:rPr>
      </w:pP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项目名称： </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项目编号：</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投标文件名称：资格文件、商务技术文件、报价文件</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w:t>
      </w:r>
      <w:r>
        <w:rPr>
          <w:rFonts w:hint="eastAsia" w:hAnsi="宋体" w:cs="宋体"/>
          <w:color w:val="auto"/>
          <w:sz w:val="24"/>
          <w:szCs w:val="24"/>
          <w:highlight w:val="none"/>
          <w:lang w:eastAsia="zh-CN"/>
        </w:rPr>
        <w:t>（</w:t>
      </w:r>
      <w:r>
        <w:rPr>
          <w:rFonts w:hint="eastAsia" w:hAnsi="宋体" w:cs="宋体"/>
          <w:color w:val="auto"/>
          <w:sz w:val="24"/>
          <w:szCs w:val="24"/>
          <w:highlight w:val="none"/>
          <w:lang w:val="en-US" w:eastAsia="zh-CN"/>
        </w:rPr>
        <w:t>公章</w:t>
      </w:r>
      <w:r>
        <w:rPr>
          <w:rFonts w:hint="eastAsia" w:hAnsi="宋体" w:cs="宋体"/>
          <w:color w:val="auto"/>
          <w:sz w:val="24"/>
          <w:szCs w:val="24"/>
          <w:highlight w:val="none"/>
          <w:lang w:eastAsia="zh-CN"/>
        </w:rPr>
        <w:t>）</w:t>
      </w:r>
      <w:r>
        <w:rPr>
          <w:rFonts w:hint="eastAsia" w:ascii="宋体" w:hAnsi="宋体" w:eastAsia="宋体" w:cs="宋体"/>
          <w:color w:val="auto"/>
          <w:sz w:val="24"/>
          <w:szCs w:val="24"/>
          <w:highlight w:val="none"/>
        </w:rPr>
        <w:t>名称：</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投标人地址：</w:t>
      </w:r>
    </w:p>
    <w:p>
      <w:pPr>
        <w:snapToGrid w:val="0"/>
        <w:spacing w:before="317" w:beforeLines="50" w:after="50"/>
        <w:ind w:firstLine="4080" w:firstLineChars="1700"/>
        <w:rPr>
          <w:rFonts w:hint="eastAsia" w:ascii="宋体" w:hAnsi="宋体" w:eastAsia="宋体" w:cs="宋体"/>
          <w:color w:val="auto"/>
          <w:sz w:val="24"/>
          <w:szCs w:val="24"/>
          <w:highlight w:val="none"/>
        </w:rPr>
      </w:pPr>
    </w:p>
    <w:p>
      <w:pPr>
        <w:snapToGrid w:val="0"/>
        <w:spacing w:before="317" w:beforeLines="50" w:after="50"/>
        <w:ind w:firstLine="645"/>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年 月 日</w:t>
      </w:r>
    </w:p>
    <w:p>
      <w:pPr>
        <w:widowControl/>
        <w:snapToGrid w:val="0"/>
        <w:spacing w:before="120" w:after="50"/>
        <w:rPr>
          <w:rFonts w:hint="eastAsia" w:ascii="宋体" w:hAnsi="宋体" w:eastAsia="宋体" w:cs="宋体"/>
          <w:color w:val="auto"/>
          <w:sz w:val="21"/>
          <w:szCs w:val="21"/>
          <w:highlight w:val="none"/>
        </w:rPr>
      </w:pPr>
    </w:p>
    <w:p>
      <w:pPr>
        <w:snapToGrid w:val="0"/>
        <w:spacing w:before="50" w:after="50"/>
        <w:ind w:firstLine="480" w:firstLineChars="200"/>
        <w:rPr>
          <w:rFonts w:hint="eastAsia" w:hAnsi="宋体" w:cs="宋体"/>
          <w:color w:val="auto"/>
          <w:sz w:val="24"/>
          <w:szCs w:val="24"/>
          <w:highlight w:val="none"/>
        </w:rPr>
      </w:pPr>
    </w:p>
    <w:p>
      <w:pPr>
        <w:pStyle w:val="2"/>
        <w:rPr>
          <w:rFonts w:hint="eastAsia" w:hAnsi="宋体" w:cs="宋体"/>
          <w:color w:val="auto"/>
          <w:sz w:val="24"/>
          <w:szCs w:val="24"/>
          <w:highlight w:val="none"/>
        </w:rPr>
      </w:pPr>
    </w:p>
    <w:p>
      <w:pPr>
        <w:pStyle w:val="3"/>
        <w:rPr>
          <w:rFonts w:hint="eastAsia" w:hAnsi="宋体" w:cs="宋体"/>
          <w:color w:val="auto"/>
          <w:sz w:val="24"/>
          <w:szCs w:val="24"/>
          <w:highlight w:val="none"/>
        </w:rPr>
      </w:pPr>
    </w:p>
    <w:p>
      <w:pPr>
        <w:pStyle w:val="2"/>
        <w:rPr>
          <w:rFonts w:hint="eastAsia"/>
          <w:color w:val="auto"/>
          <w:highlight w:val="none"/>
        </w:rPr>
      </w:pPr>
    </w:p>
    <w:p>
      <w:pPr>
        <w:snapToGrid w:val="0"/>
        <w:spacing w:before="50" w:after="50"/>
        <w:ind w:firstLine="480" w:firstLineChars="200"/>
        <w:rPr>
          <w:rFonts w:hint="eastAsia" w:hAnsi="宋体" w:cs="宋体"/>
          <w:color w:val="auto"/>
          <w:sz w:val="24"/>
          <w:szCs w:val="24"/>
          <w:highlight w:val="none"/>
        </w:rPr>
      </w:pPr>
    </w:p>
    <w:p>
      <w:pPr>
        <w:snapToGrid w:val="0"/>
        <w:spacing w:before="50" w:after="50"/>
        <w:ind w:firstLine="480" w:firstLineChars="200"/>
        <w:rPr>
          <w:rFonts w:hint="eastAsia" w:hAnsi="宋体" w:cs="宋体"/>
          <w:color w:val="auto"/>
          <w:sz w:val="24"/>
          <w:highlight w:val="none"/>
        </w:rPr>
      </w:pPr>
      <w:r>
        <w:rPr>
          <w:rFonts w:hint="eastAsia" w:hAnsi="宋体" w:cs="宋体"/>
          <w:color w:val="auto"/>
          <w:sz w:val="24"/>
          <w:szCs w:val="24"/>
          <w:highlight w:val="none"/>
        </w:rPr>
        <w:t>注：若为联合体</w:t>
      </w:r>
      <w:r>
        <w:rPr>
          <w:rFonts w:hint="eastAsia" w:hAnsi="宋体" w:cs="宋体"/>
          <w:color w:val="auto"/>
          <w:sz w:val="24"/>
          <w:szCs w:val="24"/>
          <w:highlight w:val="none"/>
          <w:lang w:eastAsia="zh-CN"/>
        </w:rPr>
        <w:t>投标人</w:t>
      </w:r>
      <w:r>
        <w:rPr>
          <w:rFonts w:hint="eastAsia" w:hAnsi="宋体" w:cs="宋体"/>
          <w:color w:val="auto"/>
          <w:sz w:val="24"/>
          <w:szCs w:val="24"/>
          <w:highlight w:val="none"/>
        </w:rPr>
        <w:t>，由联合体</w:t>
      </w:r>
      <w:r>
        <w:rPr>
          <w:rFonts w:hint="eastAsia" w:hAnsi="宋体" w:cs="宋体"/>
          <w:color w:val="auto"/>
          <w:sz w:val="24"/>
          <w:szCs w:val="24"/>
          <w:highlight w:val="none"/>
          <w:lang w:eastAsia="zh-CN"/>
        </w:rPr>
        <w:t>投标人</w:t>
      </w:r>
      <w:r>
        <w:rPr>
          <w:rFonts w:hint="eastAsia" w:hAnsi="宋体" w:cs="宋体"/>
          <w:color w:val="auto"/>
          <w:sz w:val="24"/>
          <w:szCs w:val="24"/>
          <w:highlight w:val="none"/>
        </w:rPr>
        <w:t>牵头人签字、盖章</w:t>
      </w:r>
      <w:r>
        <w:rPr>
          <w:rFonts w:hint="eastAsia" w:hAnsi="宋体" w:cs="宋体"/>
          <w:color w:val="auto"/>
          <w:sz w:val="24"/>
          <w:szCs w:val="24"/>
          <w:highlight w:val="none"/>
          <w:lang w:eastAsia="zh-CN"/>
        </w:rPr>
        <w:t>。</w:t>
      </w:r>
    </w:p>
    <w:p>
      <w:pPr>
        <w:widowControl/>
        <w:snapToGrid w:val="0"/>
        <w:spacing w:before="120" w:after="50"/>
        <w:rPr>
          <w:rFonts w:hint="eastAsia" w:ascii="宋体" w:hAnsi="宋体" w:eastAsia="宋体" w:cs="宋体"/>
          <w:b/>
          <w:color w:val="auto"/>
          <w:sz w:val="21"/>
          <w:highlight w:val="none"/>
        </w:rPr>
      </w:pPr>
      <w:r>
        <w:rPr>
          <w:rFonts w:hint="eastAsia" w:ascii="宋体" w:hAnsi="宋体" w:eastAsia="宋体" w:cs="宋体"/>
          <w:color w:val="auto"/>
          <w:sz w:val="21"/>
          <w:szCs w:val="21"/>
          <w:highlight w:val="none"/>
        </w:rPr>
        <w:br w:type="page"/>
      </w:r>
      <w:r>
        <w:rPr>
          <w:rFonts w:hint="eastAsia" w:ascii="宋体" w:hAnsi="宋体" w:eastAsia="宋体" w:cs="宋体"/>
          <w:b/>
          <w:color w:val="auto"/>
          <w:sz w:val="24"/>
          <w:highlight w:val="none"/>
        </w:rPr>
        <w:t>（一）资格文件</w:t>
      </w:r>
    </w:p>
    <w:p>
      <w:pPr>
        <w:autoSpaceDE/>
        <w:autoSpaceDN/>
        <w:adjustRightInd/>
        <w:spacing w:line="460" w:lineRule="exact"/>
        <w:ind w:firstLine="482" w:firstLineChars="200"/>
        <w:jc w:val="both"/>
        <w:rPr>
          <w:rFonts w:hint="eastAsia" w:ascii="宋体" w:hAnsi="宋体" w:eastAsia="宋体" w:cs="宋体"/>
          <w:color w:val="auto"/>
          <w:sz w:val="21"/>
          <w:szCs w:val="21"/>
          <w:highlight w:val="none"/>
        </w:rPr>
      </w:pPr>
      <w:r>
        <w:rPr>
          <w:rFonts w:hint="eastAsia" w:ascii="宋体" w:hAnsi="宋体" w:eastAsia="宋体" w:cs="宋体"/>
          <w:b/>
          <w:color w:val="auto"/>
          <w:sz w:val="24"/>
          <w:highlight w:val="none"/>
        </w:rPr>
        <w:t xml:space="preserve"> 资格文件目录</w:t>
      </w:r>
    </w:p>
    <w:p>
      <w:pPr>
        <w:autoSpaceDE/>
        <w:autoSpaceDN/>
        <w:adjustRightInd/>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（1）投标人（包括投标联合体各方）有效期内的营业执照副本扫描件或复印件；</w:t>
      </w:r>
    </w:p>
    <w:p>
      <w:pPr>
        <w:widowControl/>
        <w:autoSpaceDE/>
        <w:autoSpaceDN/>
        <w:adjustRightInd/>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（2）符合参加政府采购活动应当具备的一般条件的承诺函（格式见附件）；</w:t>
      </w:r>
    </w:p>
    <w:p>
      <w:pPr>
        <w:widowControl/>
        <w:autoSpaceDE/>
        <w:autoSpaceDN/>
        <w:adjustRightInd/>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（3）落实政府采购政策需满足的资格要求（格式见附件）；</w:t>
      </w:r>
    </w:p>
    <w:p>
      <w:pPr>
        <w:widowControl/>
        <w:autoSpaceDE/>
        <w:autoSpaceDN/>
        <w:adjustRightInd/>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（4）本项目的特定资格要求（格式见附件）；</w:t>
      </w:r>
    </w:p>
    <w:p>
      <w:pPr>
        <w:autoSpaceDE/>
        <w:autoSpaceDN/>
        <w:snapToGrid w:val="0"/>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（5）联合协议（联合体投标人须提供，格式见附件）、分包意向协议（项目分包时须提供，格式见附件）（如有）。</w:t>
      </w:r>
    </w:p>
    <w:p>
      <w:pPr>
        <w:autoSpaceDE/>
        <w:autoSpaceDN/>
        <w:adjustRightInd/>
        <w:snapToGrid w:val="0"/>
        <w:spacing w:line="500" w:lineRule="exact"/>
        <w:ind w:firstLine="420" w:firstLineChars="200"/>
        <w:rPr>
          <w:rFonts w:hint="eastAsia" w:ascii="宋体" w:hAnsi="宋体" w:eastAsia="宋体" w:cs="宋体"/>
          <w:color w:val="auto"/>
          <w:sz w:val="21"/>
          <w:szCs w:val="21"/>
          <w:highlight w:val="none"/>
        </w:rPr>
      </w:pPr>
    </w:p>
    <w:p>
      <w:pPr>
        <w:autoSpaceDE/>
        <w:autoSpaceDN/>
        <w:adjustRightInd/>
        <w:spacing w:line="500" w:lineRule="exact"/>
        <w:ind w:firstLine="480" w:firstLineChars="200"/>
        <w:jc w:val="center"/>
        <w:rPr>
          <w:rFonts w:hint="eastAsia" w:ascii="宋体" w:hAnsi="宋体" w:eastAsia="宋体" w:cs="宋体"/>
          <w:bCs/>
          <w:color w:val="auto"/>
          <w:sz w:val="21"/>
          <w:szCs w:val="21"/>
          <w:highlight w:val="none"/>
        </w:rPr>
      </w:pPr>
      <w:r>
        <w:rPr>
          <w:rFonts w:hint="eastAsia" w:ascii="宋体" w:hAnsi="宋体" w:eastAsia="宋体" w:cs="宋体"/>
          <w:color w:val="auto"/>
          <w:sz w:val="24"/>
          <w:szCs w:val="24"/>
          <w:highlight w:val="none"/>
        </w:rPr>
        <w:br w:type="page"/>
      </w:r>
      <w:bookmarkStart w:id="55" w:name="_Toc31016"/>
      <w:r>
        <w:rPr>
          <w:rFonts w:hint="eastAsia" w:ascii="宋体" w:hAnsi="宋体" w:eastAsia="宋体" w:cs="宋体"/>
          <w:bCs/>
          <w:color w:val="auto"/>
          <w:sz w:val="21"/>
          <w:szCs w:val="21"/>
          <w:highlight w:val="none"/>
        </w:rPr>
        <w:t>1.投标人（包括投标联合体各方）有效期内的营业执照副本扫描件或复印件；</w:t>
      </w:r>
      <w:bookmarkEnd w:id="55"/>
    </w:p>
    <w:p>
      <w:pPr>
        <w:spacing w:line="500" w:lineRule="exact"/>
        <w:ind w:firstLine="480"/>
        <w:jc w:val="center"/>
        <w:rPr>
          <w:rFonts w:hint="eastAsia" w:ascii="宋体" w:hAnsi="宋体" w:eastAsia="宋体" w:cs="宋体"/>
          <w:b/>
          <w:color w:val="auto"/>
          <w:sz w:val="21"/>
          <w:szCs w:val="21"/>
          <w:highlight w:val="none"/>
        </w:rPr>
      </w:pPr>
    </w:p>
    <w:p>
      <w:pPr>
        <w:snapToGrid w:val="0"/>
        <w:spacing w:line="360" w:lineRule="auto"/>
        <w:ind w:right="480"/>
        <w:jc w:val="center"/>
        <w:rPr>
          <w:rFonts w:hint="eastAsia" w:ascii="宋体" w:hAnsi="宋体" w:eastAsia="宋体" w:cs="宋体"/>
          <w:b/>
          <w:color w:val="auto"/>
          <w:sz w:val="21"/>
          <w:szCs w:val="21"/>
          <w:highlight w:val="none"/>
        </w:rPr>
      </w:pPr>
    </w:p>
    <w:p>
      <w:pPr>
        <w:snapToGrid w:val="0"/>
        <w:spacing w:line="360" w:lineRule="auto"/>
        <w:ind w:right="480"/>
        <w:jc w:val="center"/>
        <w:rPr>
          <w:rFonts w:hint="eastAsia" w:ascii="宋体" w:hAnsi="宋体" w:eastAsia="宋体" w:cs="宋体"/>
          <w:b/>
          <w:color w:val="auto"/>
          <w:sz w:val="21"/>
          <w:szCs w:val="21"/>
          <w:highlight w:val="none"/>
        </w:rPr>
      </w:pPr>
    </w:p>
    <w:p>
      <w:pPr>
        <w:snapToGrid w:val="0"/>
        <w:spacing w:line="360" w:lineRule="auto"/>
        <w:ind w:right="48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2.符合参加政府采购活动应当具备的一般条件的承诺函</w:t>
      </w:r>
    </w:p>
    <w:p>
      <w:pPr>
        <w:snapToGrid w:val="0"/>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（招标人）、（采购代理机构）：</w:t>
      </w:r>
    </w:p>
    <w:p>
      <w:pPr>
        <w:snapToGrid w:val="0"/>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我方（含联合体各方）参与（项目名称）【招标编号：（采购编号）】政府采购活动，郑重承诺：</w:t>
      </w:r>
    </w:p>
    <w:p>
      <w:pPr>
        <w:snapToGrid w:val="0"/>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（一）具备《中华人民共和国政府采购法》第二十二条第一款规定的条件：</w:t>
      </w:r>
    </w:p>
    <w:p>
      <w:pPr>
        <w:snapToGrid w:val="0"/>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1.具有独立承担民事责任的能力；</w:t>
      </w:r>
    </w:p>
    <w:p>
      <w:pPr>
        <w:snapToGrid w:val="0"/>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2.具有良好的商业信誉和健全的财务会计制度； </w:t>
      </w:r>
    </w:p>
    <w:p>
      <w:pPr>
        <w:snapToGrid w:val="0"/>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3.具有履行合同所必需的设备和专业技术能力；</w:t>
      </w:r>
    </w:p>
    <w:p>
      <w:pPr>
        <w:snapToGrid w:val="0"/>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4.有依法缴纳税收和社会保障资金的良好记录；</w:t>
      </w:r>
    </w:p>
    <w:p>
      <w:pPr>
        <w:snapToGrid w:val="0"/>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5.参加政府采购活动前三年内，在经营活动中没有重大违法记录；</w:t>
      </w:r>
    </w:p>
    <w:p>
      <w:pPr>
        <w:snapToGrid w:val="0"/>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6.具有法律、行政法规规定的其他条件。</w:t>
      </w:r>
    </w:p>
    <w:p>
      <w:pPr>
        <w:snapToGrid w:val="0"/>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（二）未被信用中国</w:t>
      </w:r>
      <w:r>
        <w:rPr>
          <w:rFonts w:hint="eastAsia" w:hAnsi="宋体" w:cs="宋体"/>
          <w:color w:val="auto"/>
          <w:sz w:val="21"/>
          <w:szCs w:val="21"/>
          <w:highlight w:val="none"/>
          <w:lang w:eastAsia="zh-CN"/>
        </w:rPr>
        <w:t>（</w:t>
      </w:r>
      <w:r>
        <w:rPr>
          <w:rFonts w:hint="eastAsia" w:ascii="宋体" w:hAnsi="宋体" w:eastAsia="宋体" w:cs="宋体"/>
          <w:color w:val="auto"/>
          <w:sz w:val="21"/>
          <w:szCs w:val="21"/>
          <w:highlight w:val="none"/>
        </w:rPr>
        <w:t>www.creditchina.gov.cn)、中国政府采购网（www.ccgp.gov.cn）列入失信被执行人、重大税收违法案件当事人名单、政府采购严重违法失信行为记录名单。</w:t>
      </w:r>
    </w:p>
    <w:p>
      <w:pPr>
        <w:snapToGrid w:val="0"/>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（三）不存在以下情况：</w:t>
      </w:r>
    </w:p>
    <w:p>
      <w:pPr>
        <w:snapToGrid w:val="0"/>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1.单位负责人为同一人或者存在直接控股、管理关系的不同供应商参加同一合同项下的政府采购活动的；</w:t>
      </w:r>
    </w:p>
    <w:p>
      <w:pPr>
        <w:snapToGrid w:val="0"/>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2.为采购项目提供整体设计、规范编制或者项目管理、监理、检测等服务后再参加该采购项目的其他采购活动的。</w:t>
      </w:r>
    </w:p>
    <w:p>
      <w:pPr>
        <w:snapToGrid w:val="0"/>
        <w:spacing w:line="500" w:lineRule="exact"/>
        <w:ind w:firstLine="2940" w:firstLineChars="1400"/>
        <w:rPr>
          <w:rFonts w:hint="eastAsia" w:ascii="宋体" w:hAnsi="宋体" w:eastAsia="宋体" w:cs="宋体"/>
          <w:color w:val="auto"/>
          <w:sz w:val="21"/>
          <w:szCs w:val="21"/>
          <w:highlight w:val="none"/>
          <w:lang w:val="zh-CN"/>
        </w:rPr>
      </w:pPr>
    </w:p>
    <w:p>
      <w:pPr>
        <w:snapToGrid w:val="0"/>
        <w:spacing w:line="500" w:lineRule="exact"/>
        <w:ind w:firstLine="2940" w:firstLineChars="14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zh-CN"/>
        </w:rPr>
        <w:t>投标人名称</w:t>
      </w:r>
      <w:r>
        <w:rPr>
          <w:rFonts w:hint="eastAsia" w:ascii="宋体" w:hAnsi="宋体" w:eastAsia="宋体" w:cs="宋体"/>
          <w:color w:val="auto"/>
          <w:sz w:val="21"/>
          <w:szCs w:val="21"/>
          <w:highlight w:val="none"/>
        </w:rPr>
        <w:t>（盖章）</w:t>
      </w:r>
      <w:r>
        <w:rPr>
          <w:rFonts w:hint="eastAsia" w:ascii="宋体" w:hAnsi="宋体" w:eastAsia="宋体" w:cs="宋体"/>
          <w:color w:val="auto"/>
          <w:sz w:val="21"/>
          <w:szCs w:val="21"/>
          <w:highlight w:val="none"/>
          <w:lang w:val="zh-CN"/>
        </w:rPr>
        <w:t>：</w:t>
      </w:r>
    </w:p>
    <w:p>
      <w:pPr>
        <w:snapToGrid w:val="0"/>
        <w:spacing w:line="50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zh-CN"/>
        </w:rPr>
        <w:t xml:space="preserve">                        </w:t>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zh-CN"/>
        </w:rPr>
        <w:t>日期</w:t>
      </w:r>
      <w:r>
        <w:rPr>
          <w:rFonts w:hint="eastAsia" w:ascii="宋体" w:hAnsi="宋体" w:eastAsia="宋体" w:cs="宋体"/>
          <w:color w:val="auto"/>
          <w:sz w:val="21"/>
          <w:szCs w:val="21"/>
          <w:highlight w:val="none"/>
        </w:rPr>
        <w:t xml:space="preserve">：  年  </w:t>
      </w:r>
      <w:r>
        <w:rPr>
          <w:rFonts w:hint="eastAsia" w:ascii="宋体" w:hAnsi="宋体" w:eastAsia="宋体" w:cs="宋体"/>
          <w:color w:val="auto"/>
          <w:sz w:val="21"/>
          <w:szCs w:val="21"/>
          <w:highlight w:val="none"/>
          <w:lang w:val="zh-CN"/>
        </w:rPr>
        <w:t>月</w:t>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zh-CN"/>
        </w:rPr>
        <w:t>日</w:t>
      </w:r>
    </w:p>
    <w:p>
      <w:pPr>
        <w:rPr>
          <w:rFonts w:hint="eastAsia" w:ascii="宋体" w:hAnsi="宋体" w:eastAsia="宋体" w:cs="宋体"/>
          <w:color w:val="auto"/>
          <w:sz w:val="21"/>
          <w:szCs w:val="21"/>
          <w:highlight w:val="none"/>
        </w:rPr>
      </w:pPr>
    </w:p>
    <w:p>
      <w:pPr>
        <w:spacing w:line="500" w:lineRule="exact"/>
        <w:rPr>
          <w:rFonts w:hint="eastAsia" w:ascii="宋体" w:hAnsi="宋体" w:eastAsia="宋体" w:cs="宋体"/>
          <w:b/>
          <w:color w:val="auto"/>
          <w:sz w:val="21"/>
          <w:szCs w:val="21"/>
          <w:highlight w:val="none"/>
        </w:rPr>
      </w:pPr>
    </w:p>
    <w:p>
      <w:pPr>
        <w:snapToGrid w:val="0"/>
        <w:spacing w:before="50" w:after="50"/>
        <w:ind w:firstLine="480" w:firstLineChars="200"/>
        <w:rPr>
          <w:rFonts w:hint="eastAsia" w:hAnsi="宋体" w:cs="宋体"/>
          <w:color w:val="auto"/>
          <w:sz w:val="24"/>
          <w:highlight w:val="none"/>
        </w:rPr>
      </w:pPr>
      <w:r>
        <w:rPr>
          <w:rFonts w:hint="eastAsia" w:hAnsi="宋体" w:cs="宋体"/>
          <w:color w:val="auto"/>
          <w:sz w:val="24"/>
          <w:szCs w:val="24"/>
          <w:highlight w:val="none"/>
        </w:rPr>
        <w:t>注：若为联合体</w:t>
      </w:r>
      <w:r>
        <w:rPr>
          <w:rFonts w:hint="eastAsia" w:hAnsi="宋体" w:cs="宋体"/>
          <w:color w:val="auto"/>
          <w:sz w:val="24"/>
          <w:szCs w:val="24"/>
          <w:highlight w:val="none"/>
          <w:lang w:eastAsia="zh-CN"/>
        </w:rPr>
        <w:t>投标人</w:t>
      </w:r>
      <w:r>
        <w:rPr>
          <w:rFonts w:hint="eastAsia" w:hAnsi="宋体" w:cs="宋体"/>
          <w:color w:val="auto"/>
          <w:sz w:val="24"/>
          <w:szCs w:val="24"/>
          <w:highlight w:val="none"/>
        </w:rPr>
        <w:t>，由联合体</w:t>
      </w:r>
      <w:r>
        <w:rPr>
          <w:rFonts w:hint="eastAsia" w:hAnsi="宋体" w:cs="宋体"/>
          <w:color w:val="auto"/>
          <w:sz w:val="24"/>
          <w:szCs w:val="24"/>
          <w:highlight w:val="none"/>
          <w:lang w:eastAsia="zh-CN"/>
        </w:rPr>
        <w:t>投标人</w:t>
      </w:r>
      <w:r>
        <w:rPr>
          <w:rFonts w:hint="eastAsia" w:hAnsi="宋体" w:cs="宋体"/>
          <w:color w:val="auto"/>
          <w:sz w:val="24"/>
          <w:szCs w:val="24"/>
          <w:highlight w:val="none"/>
        </w:rPr>
        <w:t>牵头人签字、盖章</w:t>
      </w:r>
      <w:r>
        <w:rPr>
          <w:rFonts w:hint="eastAsia" w:hAnsi="宋体" w:cs="宋体"/>
          <w:color w:val="auto"/>
          <w:sz w:val="24"/>
          <w:szCs w:val="24"/>
          <w:highlight w:val="none"/>
          <w:lang w:eastAsia="zh-CN"/>
        </w:rPr>
        <w:t>。</w:t>
      </w:r>
    </w:p>
    <w:p>
      <w:pPr>
        <w:snapToGrid w:val="0"/>
        <w:spacing w:line="360" w:lineRule="auto"/>
        <w:ind w:right="480"/>
        <w:jc w:val="center"/>
        <w:rPr>
          <w:rFonts w:hint="eastAsia" w:ascii="宋体" w:hAnsi="宋体" w:eastAsia="宋体" w:cs="宋体"/>
          <w:b/>
          <w:color w:val="auto"/>
          <w:sz w:val="21"/>
          <w:szCs w:val="21"/>
          <w:highlight w:val="none"/>
        </w:rPr>
      </w:pPr>
    </w:p>
    <w:p>
      <w:pPr>
        <w:snapToGrid w:val="0"/>
        <w:spacing w:line="360" w:lineRule="auto"/>
        <w:ind w:right="48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br w:type="page"/>
      </w:r>
      <w:r>
        <w:rPr>
          <w:rFonts w:hint="eastAsia" w:ascii="宋体" w:hAnsi="宋体" w:eastAsia="宋体" w:cs="宋体"/>
          <w:b/>
          <w:color w:val="auto"/>
          <w:sz w:val="21"/>
          <w:szCs w:val="21"/>
          <w:highlight w:val="none"/>
        </w:rPr>
        <w:t>3.落实政府采购政策需满足的资格要求</w:t>
      </w:r>
    </w:p>
    <w:p>
      <w:pPr>
        <w:spacing w:line="500" w:lineRule="exact"/>
        <w:rPr>
          <w:rFonts w:hint="eastAsia" w:ascii="宋体" w:hAnsi="宋体" w:eastAsia="宋体" w:cs="宋体"/>
          <w:b/>
          <w:color w:val="auto"/>
          <w:sz w:val="21"/>
          <w:szCs w:val="21"/>
          <w:highlight w:val="none"/>
        </w:rPr>
      </w:pPr>
      <w:r>
        <w:rPr>
          <w:rFonts w:hint="eastAsia" w:ascii="宋体" w:hAnsi="宋体" w:eastAsia="宋体" w:cs="宋体"/>
          <w:b/>
          <w:bCs/>
          <w:color w:val="auto"/>
          <w:sz w:val="21"/>
          <w:szCs w:val="21"/>
          <w:highlight w:val="none"/>
        </w:rPr>
        <w:t>本项目专门面向中小企业（包括符合中小企业划分标准的个体工商户）采购，具体要求请详见《政府采购促进中小企业发展管理办法》（财库〔2020〕46号）、《国务院关于印发扎实稳住经济一揽子政策措施的通知》及《浙江省财政厅关于进一步发挥政府采购政策功能全力推动经济稳进提质的通知》等相关规定。此外，监狱企业、残疾人福利性单位在本项目采购活动中视同中小企业</w:t>
      </w:r>
      <w:r>
        <w:rPr>
          <w:rFonts w:hint="eastAsia" w:ascii="宋体" w:hAnsi="宋体" w:eastAsia="宋体" w:cs="宋体"/>
          <w:color w:val="auto"/>
          <w:sz w:val="21"/>
          <w:szCs w:val="21"/>
          <w:highlight w:val="none"/>
        </w:rPr>
        <w:t>。</w:t>
      </w:r>
    </w:p>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（1）中小企业声明函（工程、服务）</w:t>
      </w:r>
    </w:p>
    <w:p>
      <w:pPr>
        <w:pStyle w:val="19"/>
        <w:spacing w:after="0" w:line="500" w:lineRule="exact"/>
        <w:ind w:left="0"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本公司（联合体）郑重声明，根据《政府采购促进中小企业发展管理办法》（财库﹝2020﹞46 号）的规定，本公司（联合体）参加</w:t>
      </w:r>
      <w:r>
        <w:rPr>
          <w:rFonts w:hint="eastAsia" w:ascii="宋体" w:hAnsi="宋体" w:cs="宋体"/>
          <w:color w:val="auto"/>
          <w:sz w:val="21"/>
          <w:szCs w:val="21"/>
          <w:highlight w:val="none"/>
          <w:u w:val="single"/>
          <w:lang w:eastAsia="zh-CN"/>
        </w:rPr>
        <w:t>金华市婺城区住房和城乡建设局</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的</w:t>
      </w:r>
      <w:r>
        <w:rPr>
          <w:rFonts w:hint="eastAsia" w:ascii="宋体" w:hAnsi="宋体" w:cs="宋体"/>
          <w:color w:val="auto"/>
          <w:sz w:val="21"/>
          <w:szCs w:val="21"/>
          <w:highlight w:val="none"/>
          <w:u w:val="single"/>
          <w:lang w:eastAsia="zh-CN"/>
        </w:rPr>
        <w:t>金华市婺城区住房和城乡建设局关于污水处理厂污泥处置服务项目</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采购活动，工程的施工单位全部为符合政策要求的中小企业（或者：服务全部由符合政策要求的中小企业承接）。相关企业（含联合体中的中小企业、签订分包意向协议的中小企业）的具体情况如下： </w:t>
      </w:r>
    </w:p>
    <w:p>
      <w:pPr>
        <w:pStyle w:val="19"/>
        <w:spacing w:after="0" w:line="500" w:lineRule="exact"/>
        <w:ind w:left="0"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cs="宋体"/>
          <w:color w:val="auto"/>
          <w:sz w:val="21"/>
          <w:szCs w:val="21"/>
          <w:highlight w:val="none"/>
          <w:u w:val="single"/>
          <w:lang w:eastAsia="zh-CN"/>
        </w:rPr>
        <w:t>金华市婺城区住房和城乡建设局关于污水处理厂污泥处置服务项目</w:t>
      </w:r>
      <w:r>
        <w:rPr>
          <w:rFonts w:hint="eastAsia" w:ascii="宋体" w:hAnsi="宋体" w:eastAsia="宋体" w:cs="宋体"/>
          <w:color w:val="auto"/>
          <w:sz w:val="21"/>
          <w:szCs w:val="21"/>
          <w:highlight w:val="none"/>
        </w:rPr>
        <w:t>，属于</w:t>
      </w:r>
      <w:r>
        <w:rPr>
          <w:rFonts w:hint="eastAsia" w:ascii="宋体" w:hAnsi="宋体" w:cs="宋体"/>
          <w:color w:val="auto"/>
          <w:sz w:val="21"/>
          <w:szCs w:val="21"/>
          <w:highlight w:val="none"/>
          <w:u w:val="single"/>
          <w:lang w:val="en-US" w:eastAsia="zh-CN"/>
        </w:rPr>
        <w:t xml:space="preserve"> 其他未列明行业 </w:t>
      </w:r>
      <w:r>
        <w:rPr>
          <w:rFonts w:hint="eastAsia" w:ascii="宋体" w:hAnsi="宋体" w:eastAsia="宋体" w:cs="宋体"/>
          <w:color w:val="auto"/>
          <w:sz w:val="21"/>
          <w:szCs w:val="21"/>
          <w:highlight w:val="none"/>
        </w:rPr>
        <w:t>； 承建（承接）企业为</w:t>
      </w:r>
      <w:r>
        <w:rPr>
          <w:rFonts w:hint="eastAsia" w:ascii="宋体" w:hAnsi="宋体" w:eastAsia="宋体" w:cs="宋体"/>
          <w:color w:val="auto"/>
          <w:sz w:val="21"/>
          <w:szCs w:val="21"/>
          <w:highlight w:val="none"/>
          <w:u w:val="single"/>
        </w:rPr>
        <w:t>（企业名称）</w:t>
      </w:r>
      <w:r>
        <w:rPr>
          <w:rFonts w:hint="eastAsia" w:ascii="宋体" w:hAnsi="宋体" w:eastAsia="宋体" w:cs="宋体"/>
          <w:color w:val="auto"/>
          <w:sz w:val="21"/>
          <w:szCs w:val="21"/>
          <w:highlight w:val="none"/>
        </w:rPr>
        <w:t>，从业人员</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人，营业收入为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万元，资产总额为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万元①，属于</w:t>
      </w:r>
      <w:r>
        <w:rPr>
          <w:rFonts w:hint="eastAsia" w:ascii="宋体" w:hAnsi="宋体" w:eastAsia="宋体" w:cs="宋体"/>
          <w:color w:val="auto"/>
          <w:sz w:val="21"/>
          <w:szCs w:val="21"/>
          <w:highlight w:val="none"/>
          <w:u w:val="single"/>
        </w:rPr>
        <w:t>（中型企业、小型企业、微型企业）</w:t>
      </w:r>
      <w:r>
        <w:rPr>
          <w:rFonts w:hint="eastAsia" w:ascii="宋体" w:hAnsi="宋体" w:eastAsia="宋体" w:cs="宋体"/>
          <w:color w:val="auto"/>
          <w:sz w:val="21"/>
          <w:szCs w:val="21"/>
          <w:highlight w:val="none"/>
        </w:rPr>
        <w:t xml:space="preserve">； </w:t>
      </w:r>
    </w:p>
    <w:p>
      <w:pPr>
        <w:pStyle w:val="19"/>
        <w:spacing w:after="0" w:line="500" w:lineRule="exact"/>
        <w:ind w:left="0" w:leftChars="0"/>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u w:val="single"/>
          <w:lang w:eastAsia="zh-CN"/>
        </w:rPr>
        <w:t>金华市婺城区住房和城乡建设局关于污水处理厂污泥处置服务项目</w:t>
      </w:r>
      <w:r>
        <w:rPr>
          <w:rFonts w:hint="eastAsia" w:ascii="宋体" w:hAnsi="宋体" w:eastAsia="宋体" w:cs="宋体"/>
          <w:color w:val="auto"/>
          <w:sz w:val="21"/>
          <w:szCs w:val="21"/>
          <w:highlight w:val="none"/>
        </w:rPr>
        <w:t>，属于</w:t>
      </w:r>
      <w:r>
        <w:rPr>
          <w:rFonts w:hint="eastAsia" w:ascii="宋体" w:hAnsi="宋体" w:cs="宋体"/>
          <w:color w:val="auto"/>
          <w:sz w:val="21"/>
          <w:szCs w:val="21"/>
          <w:highlight w:val="none"/>
          <w:u w:val="single"/>
          <w:lang w:val="en-US" w:eastAsia="zh-CN"/>
        </w:rPr>
        <w:t xml:space="preserve"> 其他未列明行业 </w:t>
      </w:r>
      <w:r>
        <w:rPr>
          <w:rFonts w:hint="eastAsia" w:ascii="宋体" w:hAnsi="宋体" w:eastAsia="宋体" w:cs="宋体"/>
          <w:color w:val="auto"/>
          <w:sz w:val="21"/>
          <w:szCs w:val="21"/>
          <w:highlight w:val="none"/>
        </w:rPr>
        <w:t>； 承建（承接）企业为</w:t>
      </w:r>
      <w:r>
        <w:rPr>
          <w:rFonts w:hint="eastAsia" w:ascii="宋体" w:hAnsi="宋体" w:eastAsia="宋体" w:cs="宋体"/>
          <w:color w:val="auto"/>
          <w:sz w:val="21"/>
          <w:szCs w:val="21"/>
          <w:highlight w:val="none"/>
          <w:u w:val="single"/>
        </w:rPr>
        <w:t>（企业名称）</w:t>
      </w:r>
      <w:r>
        <w:rPr>
          <w:rFonts w:hint="eastAsia" w:ascii="宋体" w:hAnsi="宋体" w:eastAsia="宋体" w:cs="宋体"/>
          <w:color w:val="auto"/>
          <w:sz w:val="21"/>
          <w:szCs w:val="21"/>
          <w:highlight w:val="none"/>
        </w:rPr>
        <w:t>，从业人员</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人，营业收入为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万元，资产总额为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万元①，属于</w:t>
      </w:r>
      <w:r>
        <w:rPr>
          <w:rFonts w:hint="eastAsia" w:ascii="宋体" w:hAnsi="宋体" w:eastAsia="宋体" w:cs="宋体"/>
          <w:color w:val="auto"/>
          <w:sz w:val="21"/>
          <w:szCs w:val="21"/>
          <w:highlight w:val="none"/>
          <w:u w:val="single"/>
        </w:rPr>
        <w:t>（中型企业、小型企业、微型企业）</w:t>
      </w:r>
      <w:r>
        <w:rPr>
          <w:rFonts w:hint="eastAsia" w:ascii="宋体" w:hAnsi="宋体" w:eastAsia="宋体" w:cs="宋体"/>
          <w:color w:val="auto"/>
          <w:sz w:val="21"/>
          <w:szCs w:val="21"/>
          <w:highlight w:val="none"/>
        </w:rPr>
        <w:t xml:space="preserve">； </w:t>
      </w:r>
    </w:p>
    <w:p>
      <w:pPr>
        <w:pStyle w:val="19"/>
        <w:spacing w:after="0" w:line="500" w:lineRule="exact"/>
        <w:ind w:left="0"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p>
    <w:p>
      <w:pPr>
        <w:pStyle w:val="19"/>
        <w:spacing w:after="0" w:line="500" w:lineRule="exact"/>
        <w:ind w:left="0"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以上企业，不属于大企业的分支机构，不存在控股股东为大企业的情形，也不存在与大企业的负责人为同一人的情形。 </w:t>
      </w:r>
    </w:p>
    <w:p>
      <w:pPr>
        <w:pStyle w:val="19"/>
        <w:spacing w:after="0" w:line="500" w:lineRule="exact"/>
        <w:ind w:left="0"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本企业对上述声明内容的真实性负责。如有虚假，将依法承担相应责任。 </w:t>
      </w:r>
    </w:p>
    <w:p>
      <w:pPr>
        <w:pStyle w:val="19"/>
        <w:spacing w:line="500" w:lineRule="exact"/>
        <w:ind w:left="0" w:leftChars="0"/>
        <w:rPr>
          <w:rFonts w:hint="eastAsia" w:ascii="宋体" w:hAnsi="宋体" w:eastAsia="宋体" w:cs="宋体"/>
          <w:color w:val="auto"/>
          <w:sz w:val="21"/>
          <w:szCs w:val="21"/>
          <w:highlight w:val="none"/>
        </w:rPr>
      </w:pPr>
    </w:p>
    <w:p>
      <w:pPr>
        <w:pStyle w:val="19"/>
        <w:spacing w:line="500" w:lineRule="exact"/>
        <w:ind w:left="0"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企业名称（盖章）： </w:t>
      </w:r>
    </w:p>
    <w:p>
      <w:pPr>
        <w:pStyle w:val="19"/>
        <w:spacing w:line="500" w:lineRule="exact"/>
        <w:ind w:left="0"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日 期： </w:t>
      </w:r>
    </w:p>
    <w:p>
      <w:pPr>
        <w:pStyle w:val="19"/>
        <w:spacing w:line="500" w:lineRule="exact"/>
        <w:ind w:left="0" w:leftChars="0" w:firstLine="0"/>
        <w:rPr>
          <w:rFonts w:hint="eastAsia" w:ascii="宋体" w:hAnsi="宋体" w:eastAsia="宋体" w:cs="宋体"/>
          <w:color w:val="auto"/>
          <w:kern w:val="0"/>
          <w:sz w:val="21"/>
          <w:szCs w:val="21"/>
          <w:highlight w:val="none"/>
        </w:rPr>
      </w:pPr>
      <w:r>
        <w:rPr>
          <w:rFonts w:hint="eastAsia" w:ascii="宋体" w:hAnsi="宋体" w:eastAsia="宋体" w:cs="宋体"/>
          <w:b/>
          <w:color w:val="auto"/>
          <w:sz w:val="21"/>
          <w:szCs w:val="21"/>
          <w:highlight w:val="none"/>
        </w:rPr>
        <w:t>填报说明：</w:t>
      </w:r>
      <w:r>
        <w:rPr>
          <w:rFonts w:hint="eastAsia" w:ascii="宋体" w:hAnsi="宋体" w:eastAsia="宋体" w:cs="宋体"/>
          <w:color w:val="auto"/>
          <w:kern w:val="0"/>
          <w:sz w:val="21"/>
          <w:szCs w:val="21"/>
          <w:highlight w:val="none"/>
        </w:rPr>
        <w:t>①本声明函中“从业人员”“营业收入”“资产总额”填报上一年度数据，无上一年度数据的新成立企业可不填报。</w:t>
      </w:r>
    </w:p>
    <w:p>
      <w:pPr>
        <w:pStyle w:val="19"/>
        <w:spacing w:line="500" w:lineRule="exact"/>
        <w:ind w:left="0" w:leftChars="0" w:firstLine="0"/>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rPr>
        <w:t>②</w:t>
      </w:r>
      <w:r>
        <w:rPr>
          <w:rFonts w:hint="eastAsia" w:ascii="宋体" w:hAnsi="宋体" w:eastAsia="宋体" w:cs="宋体"/>
          <w:color w:val="auto"/>
          <w:sz w:val="21"/>
          <w:szCs w:val="21"/>
          <w:highlight w:val="none"/>
        </w:rPr>
        <w:t>本项目采购标的对应的中小企业划分标准所属行业为《中小企业划型标准规定》（工信部联企业〔2011〕300号）中的“</w:t>
      </w:r>
      <w:r>
        <w:rPr>
          <w:rFonts w:hint="eastAsia" w:ascii="宋体" w:hAnsi="宋体" w:cs="宋体"/>
          <w:color w:val="auto"/>
          <w:sz w:val="21"/>
          <w:szCs w:val="21"/>
          <w:highlight w:val="none"/>
          <w:lang w:eastAsia="zh-CN"/>
        </w:rPr>
        <w:t>其他未列明行业</w:t>
      </w: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eastAsia="zh-CN"/>
        </w:rPr>
        <w:t>其他未列明行业</w:t>
      </w:r>
      <w:r>
        <w:rPr>
          <w:rFonts w:hint="eastAsia" w:ascii="宋体" w:hAnsi="宋体" w:eastAsia="宋体" w:cs="宋体"/>
          <w:color w:val="auto"/>
          <w:sz w:val="21"/>
          <w:szCs w:val="21"/>
          <w:highlight w:val="none"/>
        </w:rPr>
        <w:t>”</w:t>
      </w:r>
      <w:r>
        <w:rPr>
          <w:rFonts w:hint="eastAsia" w:ascii="宋体" w:hAnsi="宋体" w:eastAsia="宋体" w:cs="宋体"/>
          <w:color w:val="auto"/>
          <w:kern w:val="0"/>
          <w:sz w:val="21"/>
          <w:szCs w:val="21"/>
          <w:highlight w:val="none"/>
        </w:rPr>
        <w:t>划型</w:t>
      </w:r>
      <w:r>
        <w:rPr>
          <w:rFonts w:hint="eastAsia" w:ascii="宋体" w:hAnsi="宋体" w:eastAsia="宋体" w:cs="宋体"/>
          <w:color w:val="auto"/>
          <w:sz w:val="21"/>
          <w:szCs w:val="21"/>
          <w:highlight w:val="none"/>
        </w:rPr>
        <w:t>标准为：从业人员300人以下的为中小微型企业。其中，从业人员100人及以上的为中型企业；从业人员10人及以上的为小型企业；从业人员10人以下的为微型企业。</w:t>
      </w:r>
    </w:p>
    <w:p>
      <w:pPr>
        <w:pStyle w:val="19"/>
        <w:spacing w:after="0" w:line="500" w:lineRule="exact"/>
        <w:ind w:left="0" w:leftChars="0" w:firstLine="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③</w:t>
      </w:r>
      <w:r>
        <w:rPr>
          <w:rFonts w:hint="eastAsia" w:ascii="宋体" w:hAnsi="宋体" w:eastAsia="宋体" w:cs="宋体"/>
          <w:color w:val="auto"/>
          <w:kern w:val="0"/>
          <w:sz w:val="21"/>
          <w:szCs w:val="21"/>
          <w:highlight w:val="none"/>
        </w:rPr>
        <w:t>投标人应当按照《政府采购促进中小企业发展管理办法》规定和《中小企业划型标准规定》（工信部联企业〔2011〕300号），如实填写并提交《中小企业声明函》，对其声明内容的真实性负责，声明函内容不实的，属于提供虚假材料谋取中标、成交</w:t>
      </w:r>
      <w:r>
        <w:rPr>
          <w:rFonts w:hint="eastAsia" w:ascii="宋体" w:hAnsi="宋体" w:cs="宋体"/>
          <w:color w:val="auto"/>
          <w:kern w:val="0"/>
          <w:sz w:val="21"/>
          <w:szCs w:val="21"/>
          <w:highlight w:val="none"/>
          <w:lang w:val="en-US" w:eastAsia="zh-CN"/>
        </w:rPr>
        <w:t>的</w:t>
      </w:r>
      <w:r>
        <w:rPr>
          <w:rFonts w:hint="eastAsia" w:ascii="宋体" w:hAnsi="宋体" w:eastAsia="宋体" w:cs="宋体"/>
          <w:color w:val="auto"/>
          <w:kern w:val="0"/>
          <w:sz w:val="21"/>
          <w:szCs w:val="21"/>
          <w:highlight w:val="none"/>
        </w:rPr>
        <w:t>，</w:t>
      </w:r>
      <w:r>
        <w:rPr>
          <w:rFonts w:hint="eastAsia" w:ascii="宋体" w:hAnsi="宋体" w:eastAsia="宋体" w:cs="宋体"/>
          <w:color w:val="auto"/>
          <w:sz w:val="21"/>
          <w:szCs w:val="21"/>
          <w:highlight w:val="none"/>
        </w:rPr>
        <w:t>将依法承担相应责任</w:t>
      </w:r>
      <w:r>
        <w:rPr>
          <w:rFonts w:hint="eastAsia" w:ascii="宋体" w:hAnsi="宋体" w:cs="宋体"/>
          <w:color w:val="auto"/>
          <w:sz w:val="21"/>
          <w:szCs w:val="21"/>
          <w:highlight w:val="none"/>
          <w:lang w:eastAsia="zh-CN"/>
        </w:rPr>
        <w:t>。</w:t>
      </w:r>
    </w:p>
    <w:p>
      <w:pPr>
        <w:spacing w:line="500" w:lineRule="exact"/>
        <w:jc w:val="center"/>
        <w:rPr>
          <w:rFonts w:hint="eastAsia" w:ascii="宋体" w:hAnsi="宋体" w:eastAsia="宋体" w:cs="宋体"/>
          <w:color w:val="auto"/>
          <w:sz w:val="21"/>
          <w:szCs w:val="21"/>
          <w:highlight w:val="none"/>
        </w:rPr>
      </w:pPr>
    </w:p>
    <w:p>
      <w:pPr>
        <w:spacing w:line="5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（2）残疾人福利性单位声明函</w:t>
      </w:r>
    </w:p>
    <w:p>
      <w:pPr>
        <w:pStyle w:val="34"/>
        <w:spacing w:line="500" w:lineRule="exact"/>
        <w:ind w:firstLine="420" w:firstLineChars="200"/>
        <w:rPr>
          <w:rFonts w:ascii="宋体" w:hAnsi="宋体" w:eastAsia="宋体" w:cs="宋体"/>
          <w:color w:val="auto"/>
          <w:szCs w:val="21"/>
          <w:highlight w:val="none"/>
        </w:rPr>
      </w:pPr>
      <w:r>
        <w:rPr>
          <w:rFonts w:ascii="宋体" w:hAnsi="宋体" w:eastAsia="宋体" w:cs="宋体"/>
          <w:color w:val="auto"/>
          <w:szCs w:val="21"/>
          <w:highlight w:val="none"/>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pStyle w:val="34"/>
        <w:spacing w:line="500" w:lineRule="exact"/>
        <w:ind w:firstLine="600"/>
        <w:rPr>
          <w:rFonts w:ascii="宋体" w:hAnsi="宋体" w:eastAsia="宋体" w:cs="宋体"/>
          <w:color w:val="auto"/>
          <w:szCs w:val="21"/>
          <w:highlight w:val="none"/>
        </w:rPr>
      </w:pPr>
      <w:r>
        <w:rPr>
          <w:rFonts w:ascii="宋体" w:hAnsi="宋体" w:eastAsia="宋体" w:cs="宋体"/>
          <w:color w:val="auto"/>
          <w:szCs w:val="21"/>
          <w:highlight w:val="none"/>
        </w:rPr>
        <w:t>本单位对上述声明的真实性负责。如有虚假，将依法承担相应责任。</w:t>
      </w:r>
    </w:p>
    <w:p>
      <w:pPr>
        <w:pStyle w:val="34"/>
        <w:spacing w:line="500" w:lineRule="exact"/>
        <w:rPr>
          <w:rFonts w:ascii="宋体" w:hAnsi="宋体" w:eastAsia="宋体" w:cs="宋体"/>
          <w:color w:val="auto"/>
          <w:spacing w:val="6"/>
          <w:szCs w:val="21"/>
          <w:highlight w:val="none"/>
        </w:rPr>
      </w:pPr>
    </w:p>
    <w:p>
      <w:pPr>
        <w:pStyle w:val="34"/>
        <w:spacing w:line="500" w:lineRule="exact"/>
        <w:ind w:firstLine="600"/>
        <w:jc w:val="center"/>
        <w:rPr>
          <w:rFonts w:ascii="宋体" w:hAnsi="宋体" w:eastAsia="宋体" w:cs="宋体"/>
          <w:color w:val="auto"/>
          <w:szCs w:val="21"/>
          <w:highlight w:val="none"/>
        </w:rPr>
      </w:pPr>
      <w:r>
        <w:rPr>
          <w:rFonts w:ascii="宋体" w:hAnsi="宋体" w:eastAsia="宋体" w:cs="宋体"/>
          <w:color w:val="auto"/>
          <w:spacing w:val="6"/>
          <w:szCs w:val="21"/>
          <w:highlight w:val="none"/>
        </w:rPr>
        <w:t xml:space="preserve">               </w:t>
      </w:r>
      <w:r>
        <w:rPr>
          <w:rFonts w:ascii="宋体" w:hAnsi="宋体" w:eastAsia="宋体" w:cs="宋体"/>
          <w:color w:val="auto"/>
          <w:szCs w:val="21"/>
          <w:highlight w:val="none"/>
        </w:rPr>
        <w:t>单位名称（盖章）：</w:t>
      </w:r>
    </w:p>
    <w:p>
      <w:pPr>
        <w:pStyle w:val="34"/>
        <w:spacing w:line="500" w:lineRule="exact"/>
        <w:ind w:firstLine="600"/>
        <w:jc w:val="center"/>
        <w:rPr>
          <w:rFonts w:ascii="宋体" w:hAnsi="宋体" w:eastAsia="宋体" w:cs="宋体"/>
          <w:color w:val="auto"/>
          <w:szCs w:val="21"/>
          <w:highlight w:val="none"/>
        </w:rPr>
      </w:pPr>
      <w:r>
        <w:rPr>
          <w:rFonts w:ascii="宋体" w:hAnsi="宋体" w:eastAsia="宋体" w:cs="宋体"/>
          <w:color w:val="auto"/>
          <w:szCs w:val="21"/>
          <w:highlight w:val="none"/>
        </w:rPr>
        <w:t xml:space="preserve">       日  期：</w:t>
      </w:r>
    </w:p>
    <w:p>
      <w:pPr>
        <w:pStyle w:val="34"/>
        <w:spacing w:line="500" w:lineRule="exact"/>
        <w:ind w:firstLine="600"/>
        <w:jc w:val="center"/>
        <w:rPr>
          <w:rFonts w:ascii="宋体" w:hAnsi="宋体" w:eastAsia="宋体" w:cs="宋体"/>
          <w:color w:val="auto"/>
          <w:szCs w:val="21"/>
          <w:highlight w:val="none"/>
        </w:rPr>
      </w:pPr>
    </w:p>
    <w:p>
      <w:pPr>
        <w:spacing w:line="5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（3）监狱企业证明文件</w:t>
      </w:r>
    </w:p>
    <w:p>
      <w:pPr>
        <w:pStyle w:val="34"/>
        <w:spacing w:line="500" w:lineRule="exact"/>
        <w:ind w:firstLine="420" w:firstLineChars="200"/>
        <w:rPr>
          <w:rFonts w:ascii="宋体" w:hAnsi="宋体" w:eastAsia="宋体" w:cs="宋体"/>
          <w:color w:val="auto"/>
          <w:szCs w:val="21"/>
          <w:highlight w:val="none"/>
        </w:rPr>
      </w:pPr>
      <w:r>
        <w:rPr>
          <w:rFonts w:ascii="宋体" w:hAnsi="宋体" w:eastAsia="宋体" w:cs="宋体"/>
          <w:color w:val="auto"/>
          <w:szCs w:val="21"/>
          <w:highlight w:val="none"/>
        </w:rPr>
        <w:t>监狱企业参加政府采购活动时，应当提供由省级以上监狱管理局、戒毒管理局（含新疆生产建设兵团）出具的属于监狱企业的证明文件。</w:t>
      </w:r>
    </w:p>
    <w:p>
      <w:pPr>
        <w:tabs>
          <w:tab w:val="left" w:pos="1485"/>
        </w:tabs>
        <w:spacing w:line="500" w:lineRule="exact"/>
        <w:rPr>
          <w:rFonts w:hint="eastAsia" w:ascii="宋体" w:hAnsi="宋体" w:eastAsia="宋体" w:cs="宋体"/>
          <w:color w:val="auto"/>
          <w:sz w:val="21"/>
          <w:szCs w:val="21"/>
          <w:highlight w:val="none"/>
        </w:rPr>
      </w:pPr>
    </w:p>
    <w:p>
      <w:pPr>
        <w:widowControl/>
        <w:spacing w:line="500" w:lineRule="exact"/>
        <w:ind w:firstLine="422" w:firstLineChars="20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4.本项目的特定资格要求</w:t>
      </w:r>
    </w:p>
    <w:p>
      <w:pPr>
        <w:spacing w:line="500" w:lineRule="exact"/>
        <w:ind w:firstLine="420" w:firstLineChars="20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（根据招标公告本项目的特定资格要求提供相应的材料未要求的</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u w:val="none"/>
        </w:rPr>
        <w:t>未要求的，无需提供，填“无”）</w:t>
      </w:r>
    </w:p>
    <w:p>
      <w:pPr>
        <w:autoSpaceDE/>
        <w:autoSpaceDN/>
        <w:snapToGrid w:val="0"/>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br w:type="page"/>
      </w:r>
      <w:r>
        <w:rPr>
          <w:rFonts w:hint="eastAsia" w:ascii="宋体" w:hAnsi="宋体" w:eastAsia="宋体" w:cs="宋体"/>
          <w:b/>
          <w:bCs/>
          <w:color w:val="auto"/>
          <w:sz w:val="21"/>
          <w:szCs w:val="21"/>
          <w:highlight w:val="none"/>
        </w:rPr>
        <w:t>5.联合协议（联合体投标人须提供，格式见附件）、分包意向协议（项目实施时投标人将进行分包的须提供，格式见附件）。（如有）</w:t>
      </w:r>
    </w:p>
    <w:p>
      <w:pPr>
        <w:snapToGrid w:val="0"/>
        <w:ind w:firstLine="480" w:firstLineChars="200"/>
        <w:rPr>
          <w:rFonts w:hint="eastAsia" w:ascii="宋体" w:hAnsi="宋体" w:eastAsia="宋体" w:cs="宋体"/>
          <w:color w:val="auto"/>
          <w:sz w:val="24"/>
          <w:highlight w:val="none"/>
        </w:rPr>
      </w:pPr>
    </w:p>
    <w:p>
      <w:pPr>
        <w:jc w:val="center"/>
        <w:rPr>
          <w:rFonts w:hint="eastAsia" w:ascii="宋体" w:hAnsi="宋体" w:eastAsia="宋体" w:cs="宋体"/>
          <w:b/>
          <w:color w:val="auto"/>
          <w:kern w:val="1"/>
          <w:sz w:val="24"/>
          <w:szCs w:val="24"/>
          <w:highlight w:val="none"/>
          <w:lang w:val="zh-TW" w:eastAsia="zh-TW"/>
        </w:rPr>
      </w:pPr>
      <w:r>
        <w:rPr>
          <w:rFonts w:hint="eastAsia" w:ascii="宋体" w:hAnsi="宋体" w:eastAsia="宋体" w:cs="宋体"/>
          <w:b/>
          <w:color w:val="auto"/>
          <w:kern w:val="1"/>
          <w:sz w:val="24"/>
          <w:szCs w:val="24"/>
          <w:highlight w:val="none"/>
        </w:rPr>
        <w:t>（1）</w:t>
      </w:r>
      <w:r>
        <w:rPr>
          <w:rFonts w:hint="eastAsia" w:ascii="宋体" w:hAnsi="宋体" w:eastAsia="宋体" w:cs="宋体"/>
          <w:b/>
          <w:color w:val="auto"/>
          <w:kern w:val="1"/>
          <w:sz w:val="24"/>
          <w:szCs w:val="24"/>
          <w:highlight w:val="none"/>
          <w:lang w:val="zh-TW" w:eastAsia="zh-TW"/>
        </w:rPr>
        <w:t>联合体协议</w:t>
      </w:r>
    </w:p>
    <w:p>
      <w:pPr>
        <w:pStyle w:val="35"/>
        <w:snapToGrid w:val="0"/>
        <w:spacing w:before="0" w:beforeAutospacing="0" w:after="0" w:afterAutospacing="0" w:line="500" w:lineRule="exact"/>
        <w:ind w:firstLine="420" w:firstLineChars="20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（联合体投标适用）</w:t>
      </w:r>
    </w:p>
    <w:p>
      <w:pPr>
        <w:snapToGrid w:val="0"/>
        <w:spacing w:line="500" w:lineRule="exact"/>
        <w:ind w:firstLine="420"/>
        <w:rPr>
          <w:rFonts w:hint="eastAsia" w:ascii="宋体" w:hAnsi="宋体" w:eastAsia="宋体" w:cs="宋体"/>
          <w:color w:val="auto"/>
          <w:kern w:val="1"/>
          <w:sz w:val="21"/>
          <w:szCs w:val="21"/>
          <w:highlight w:val="none"/>
        </w:rPr>
      </w:pPr>
      <w:r>
        <w:rPr>
          <w:rFonts w:hint="eastAsia" w:ascii="宋体" w:hAnsi="宋体" w:eastAsia="宋体" w:cs="宋体"/>
          <w:color w:val="auto"/>
          <w:kern w:val="1"/>
          <w:sz w:val="21"/>
          <w:szCs w:val="21"/>
          <w:highlight w:val="none"/>
        </w:rPr>
        <w:t>牵头方公司名称：</w:t>
      </w:r>
    </w:p>
    <w:p>
      <w:pPr>
        <w:snapToGrid w:val="0"/>
        <w:spacing w:line="500" w:lineRule="exact"/>
        <w:ind w:firstLine="420"/>
        <w:rPr>
          <w:rFonts w:hint="eastAsia" w:ascii="宋体" w:hAnsi="宋体" w:eastAsia="宋体" w:cs="宋体"/>
          <w:color w:val="auto"/>
          <w:kern w:val="1"/>
          <w:sz w:val="21"/>
          <w:szCs w:val="21"/>
          <w:highlight w:val="none"/>
        </w:rPr>
      </w:pPr>
      <w:r>
        <w:rPr>
          <w:rFonts w:hint="eastAsia" w:ascii="宋体" w:hAnsi="宋体" w:eastAsia="宋体" w:cs="宋体"/>
          <w:color w:val="auto"/>
          <w:kern w:val="1"/>
          <w:sz w:val="21"/>
          <w:szCs w:val="21"/>
          <w:highlight w:val="none"/>
        </w:rPr>
        <w:t>法定代表人：</w:t>
      </w:r>
    </w:p>
    <w:p>
      <w:pPr>
        <w:snapToGrid w:val="0"/>
        <w:spacing w:line="500" w:lineRule="exact"/>
        <w:ind w:firstLine="420"/>
        <w:rPr>
          <w:rFonts w:hint="eastAsia" w:ascii="宋体" w:hAnsi="宋体" w:eastAsia="宋体" w:cs="宋体"/>
          <w:color w:val="auto"/>
          <w:kern w:val="1"/>
          <w:sz w:val="21"/>
          <w:szCs w:val="21"/>
          <w:highlight w:val="none"/>
        </w:rPr>
      </w:pPr>
      <w:r>
        <w:rPr>
          <w:rFonts w:hint="eastAsia" w:ascii="宋体" w:hAnsi="宋体" w:eastAsia="宋体" w:cs="宋体"/>
          <w:color w:val="auto"/>
          <w:kern w:val="1"/>
          <w:sz w:val="21"/>
          <w:szCs w:val="21"/>
          <w:highlight w:val="none"/>
        </w:rPr>
        <w:t>住所地：</w:t>
      </w:r>
    </w:p>
    <w:p>
      <w:pPr>
        <w:snapToGrid w:val="0"/>
        <w:spacing w:line="500" w:lineRule="exact"/>
        <w:ind w:firstLine="420"/>
        <w:rPr>
          <w:rFonts w:hint="eastAsia" w:ascii="宋体" w:hAnsi="宋体" w:eastAsia="宋体" w:cs="宋体"/>
          <w:color w:val="auto"/>
          <w:kern w:val="1"/>
          <w:sz w:val="21"/>
          <w:szCs w:val="21"/>
          <w:highlight w:val="none"/>
        </w:rPr>
      </w:pPr>
      <w:r>
        <w:rPr>
          <w:rFonts w:hint="eastAsia" w:ascii="宋体" w:hAnsi="宋体" w:eastAsia="宋体" w:cs="宋体"/>
          <w:color w:val="auto"/>
          <w:kern w:val="1"/>
          <w:sz w:val="21"/>
          <w:szCs w:val="21"/>
          <w:highlight w:val="none"/>
        </w:rPr>
        <w:t>成员方公司名称：</w:t>
      </w:r>
    </w:p>
    <w:p>
      <w:pPr>
        <w:snapToGrid w:val="0"/>
        <w:spacing w:line="500" w:lineRule="exact"/>
        <w:ind w:firstLine="420"/>
        <w:rPr>
          <w:rFonts w:hint="eastAsia" w:ascii="宋体" w:hAnsi="宋体" w:eastAsia="宋体" w:cs="宋体"/>
          <w:color w:val="auto"/>
          <w:kern w:val="1"/>
          <w:sz w:val="21"/>
          <w:szCs w:val="21"/>
          <w:highlight w:val="none"/>
        </w:rPr>
      </w:pPr>
      <w:r>
        <w:rPr>
          <w:rFonts w:hint="eastAsia" w:ascii="宋体" w:hAnsi="宋体" w:eastAsia="宋体" w:cs="宋体"/>
          <w:color w:val="auto"/>
          <w:kern w:val="1"/>
          <w:sz w:val="21"/>
          <w:szCs w:val="21"/>
          <w:highlight w:val="none"/>
        </w:rPr>
        <w:t>法定代表人：</w:t>
      </w:r>
    </w:p>
    <w:p>
      <w:pPr>
        <w:snapToGrid w:val="0"/>
        <w:spacing w:line="500" w:lineRule="exact"/>
        <w:ind w:firstLine="420"/>
        <w:rPr>
          <w:rFonts w:hint="eastAsia" w:ascii="宋体" w:hAnsi="宋体" w:eastAsia="宋体" w:cs="宋体"/>
          <w:color w:val="auto"/>
          <w:kern w:val="1"/>
          <w:sz w:val="21"/>
          <w:szCs w:val="21"/>
          <w:highlight w:val="none"/>
        </w:rPr>
      </w:pPr>
      <w:r>
        <w:rPr>
          <w:rFonts w:hint="eastAsia" w:ascii="宋体" w:hAnsi="宋体" w:eastAsia="宋体" w:cs="宋体"/>
          <w:color w:val="auto"/>
          <w:kern w:val="1"/>
          <w:sz w:val="21"/>
          <w:szCs w:val="21"/>
          <w:highlight w:val="none"/>
        </w:rPr>
        <w:t>住所地：</w:t>
      </w:r>
    </w:p>
    <w:p>
      <w:pPr>
        <w:snapToGrid w:val="0"/>
        <w:spacing w:line="500" w:lineRule="exact"/>
        <w:ind w:firstLine="420"/>
        <w:rPr>
          <w:rFonts w:hint="eastAsia" w:ascii="宋体" w:hAnsi="宋体" w:eastAsia="宋体" w:cs="宋体"/>
          <w:color w:val="auto"/>
          <w:kern w:val="1"/>
          <w:sz w:val="21"/>
          <w:szCs w:val="21"/>
          <w:highlight w:val="none"/>
        </w:rPr>
      </w:pPr>
      <w:r>
        <w:rPr>
          <w:rFonts w:hint="eastAsia" w:ascii="宋体" w:hAnsi="宋体" w:eastAsia="宋体" w:cs="宋体"/>
          <w:color w:val="auto"/>
          <w:kern w:val="1"/>
          <w:sz w:val="21"/>
          <w:szCs w:val="21"/>
          <w:highlight w:val="none"/>
        </w:rPr>
        <w:t>鉴于上述各成员公司经过友好协商，自愿组成</w:t>
      </w:r>
      <w:r>
        <w:rPr>
          <w:rFonts w:hint="eastAsia" w:ascii="宋体" w:hAnsi="宋体" w:eastAsia="宋体" w:cs="宋体"/>
          <w:color w:val="auto"/>
          <w:kern w:val="1"/>
          <w:sz w:val="21"/>
          <w:szCs w:val="21"/>
          <w:highlight w:val="none"/>
          <w:u w:val="single"/>
        </w:rPr>
        <w:t xml:space="preserve">        （</w:t>
      </w:r>
      <w:r>
        <w:rPr>
          <w:rFonts w:hint="eastAsia" w:ascii="宋体" w:hAnsi="宋体" w:eastAsia="宋体" w:cs="宋体"/>
          <w:color w:val="auto"/>
          <w:kern w:val="1"/>
          <w:sz w:val="21"/>
          <w:szCs w:val="21"/>
          <w:highlight w:val="none"/>
        </w:rPr>
        <w:t>联合体名称）联合体，共同参加</w:t>
      </w:r>
      <w:r>
        <w:rPr>
          <w:rFonts w:hint="eastAsia" w:ascii="宋体" w:hAnsi="宋体" w:eastAsia="宋体" w:cs="宋体"/>
          <w:color w:val="auto"/>
          <w:kern w:val="1"/>
          <w:sz w:val="21"/>
          <w:szCs w:val="21"/>
          <w:highlight w:val="none"/>
          <w:u w:val="single"/>
        </w:rPr>
        <w:t xml:space="preserve">          （项目名称）</w:t>
      </w:r>
      <w:r>
        <w:rPr>
          <w:rFonts w:hint="eastAsia" w:ascii="宋体" w:hAnsi="宋体" w:eastAsia="宋体" w:cs="宋体"/>
          <w:color w:val="auto"/>
          <w:kern w:val="1"/>
          <w:sz w:val="21"/>
          <w:szCs w:val="21"/>
          <w:highlight w:val="none"/>
        </w:rPr>
        <w:t>及</w:t>
      </w:r>
      <w:r>
        <w:rPr>
          <w:rFonts w:hint="eastAsia" w:ascii="宋体" w:hAnsi="宋体" w:eastAsia="宋体" w:cs="宋体"/>
          <w:color w:val="auto"/>
          <w:kern w:val="1"/>
          <w:sz w:val="21"/>
          <w:szCs w:val="21"/>
          <w:highlight w:val="none"/>
          <w:u w:val="single"/>
        </w:rPr>
        <w:t xml:space="preserve">（采购编号）      </w:t>
      </w:r>
      <w:r>
        <w:rPr>
          <w:rFonts w:hint="eastAsia" w:ascii="宋体" w:hAnsi="宋体" w:eastAsia="宋体" w:cs="宋体"/>
          <w:color w:val="auto"/>
          <w:kern w:val="1"/>
          <w:sz w:val="21"/>
          <w:szCs w:val="21"/>
          <w:highlight w:val="none"/>
        </w:rPr>
        <w:t>的投标活动。现就联合体申请及投标事宜订立如下协议：</w:t>
      </w:r>
    </w:p>
    <w:p>
      <w:pPr>
        <w:snapToGrid w:val="0"/>
        <w:spacing w:line="500" w:lineRule="exact"/>
        <w:ind w:firstLine="420"/>
        <w:rPr>
          <w:rFonts w:hint="eastAsia" w:ascii="宋体" w:hAnsi="宋体" w:eastAsia="宋体" w:cs="宋体"/>
          <w:color w:val="auto"/>
          <w:kern w:val="1"/>
          <w:sz w:val="21"/>
          <w:szCs w:val="21"/>
          <w:highlight w:val="none"/>
        </w:rPr>
      </w:pPr>
      <w:r>
        <w:rPr>
          <w:rFonts w:hint="eastAsia" w:ascii="宋体" w:hAnsi="宋体" w:eastAsia="宋体" w:cs="宋体"/>
          <w:color w:val="auto"/>
          <w:kern w:val="1"/>
          <w:sz w:val="21"/>
          <w:szCs w:val="21"/>
          <w:highlight w:val="none"/>
        </w:rPr>
        <w:t>1.由</w:t>
      </w:r>
      <w:r>
        <w:rPr>
          <w:rFonts w:hint="eastAsia" w:ascii="宋体" w:hAnsi="宋体" w:eastAsia="宋体" w:cs="宋体"/>
          <w:color w:val="auto"/>
          <w:kern w:val="1"/>
          <w:sz w:val="21"/>
          <w:szCs w:val="21"/>
          <w:highlight w:val="none"/>
          <w:u w:val="single"/>
        </w:rPr>
        <w:t xml:space="preserve">     </w:t>
      </w:r>
      <w:r>
        <w:rPr>
          <w:rFonts w:hint="eastAsia" w:ascii="宋体" w:hAnsi="宋体" w:eastAsia="宋体" w:cs="宋体"/>
          <w:color w:val="auto"/>
          <w:kern w:val="1"/>
          <w:sz w:val="21"/>
          <w:szCs w:val="21"/>
          <w:highlight w:val="none"/>
        </w:rPr>
        <w:t>作为牵头公司负责联合体在本项目的投标活动。联合体各方及其法定代表人授权委托其授权代表参加本项目的招投标活动。</w:t>
      </w:r>
    </w:p>
    <w:p>
      <w:pPr>
        <w:snapToGrid w:val="0"/>
        <w:spacing w:line="500" w:lineRule="exact"/>
        <w:ind w:firstLine="420"/>
        <w:rPr>
          <w:rFonts w:hint="eastAsia" w:ascii="宋体" w:hAnsi="宋体" w:eastAsia="宋体" w:cs="宋体"/>
          <w:color w:val="auto"/>
          <w:kern w:val="1"/>
          <w:sz w:val="21"/>
          <w:szCs w:val="21"/>
          <w:highlight w:val="none"/>
        </w:rPr>
      </w:pPr>
      <w:r>
        <w:rPr>
          <w:rFonts w:hint="eastAsia" w:ascii="宋体" w:hAnsi="宋体" w:eastAsia="宋体" w:cs="宋体"/>
          <w:color w:val="auto"/>
          <w:kern w:val="1"/>
          <w:sz w:val="21"/>
          <w:szCs w:val="21"/>
          <w:highlight w:val="none"/>
        </w:rPr>
        <w:t>2.牵头公司代表联合体全体成员负责联合体在项目中的一切投标活动，包括但不限于提交组织编制投标文件、提交投标文件、提交澄清文件以及处理与项目投标相关的一切必要的事宜。投标人与招标人之间的来往函件将通过牵头公司收寄。</w:t>
      </w:r>
    </w:p>
    <w:p>
      <w:pPr>
        <w:snapToGrid w:val="0"/>
        <w:spacing w:line="500" w:lineRule="exact"/>
        <w:ind w:firstLine="420"/>
        <w:rPr>
          <w:rFonts w:hint="eastAsia" w:ascii="宋体" w:hAnsi="宋体" w:eastAsia="宋体" w:cs="宋体"/>
          <w:color w:val="auto"/>
          <w:kern w:val="1"/>
          <w:sz w:val="21"/>
          <w:szCs w:val="21"/>
          <w:highlight w:val="none"/>
        </w:rPr>
      </w:pPr>
      <w:r>
        <w:rPr>
          <w:rFonts w:hint="eastAsia" w:ascii="宋体" w:hAnsi="宋体" w:eastAsia="宋体" w:cs="宋体"/>
          <w:color w:val="auto"/>
          <w:kern w:val="1"/>
          <w:sz w:val="21"/>
          <w:szCs w:val="21"/>
          <w:highlight w:val="none"/>
        </w:rPr>
        <w:t>3.牵头公司做出的关于</w:t>
      </w:r>
      <w:r>
        <w:rPr>
          <w:rFonts w:hint="eastAsia" w:ascii="宋体" w:hAnsi="宋体" w:eastAsia="宋体" w:cs="宋体"/>
          <w:color w:val="auto"/>
          <w:kern w:val="1"/>
          <w:sz w:val="21"/>
          <w:szCs w:val="21"/>
          <w:highlight w:val="none"/>
          <w:u w:val="single"/>
        </w:rPr>
        <w:t xml:space="preserve">           （</w:t>
      </w:r>
      <w:r>
        <w:rPr>
          <w:rFonts w:hint="eastAsia" w:ascii="宋体" w:hAnsi="宋体" w:eastAsia="宋体" w:cs="宋体"/>
          <w:color w:val="auto"/>
          <w:kern w:val="1"/>
          <w:sz w:val="21"/>
          <w:szCs w:val="21"/>
          <w:highlight w:val="none"/>
        </w:rPr>
        <w:t>项目名称）相关的行为对联合体全体成员均具有法律效力。联合体成员各方对牵头公司在投标活动中及中标后履约的一切行为承担连带责任。</w:t>
      </w:r>
    </w:p>
    <w:p>
      <w:pPr>
        <w:snapToGrid w:val="0"/>
        <w:spacing w:line="500" w:lineRule="exact"/>
        <w:ind w:firstLine="420"/>
        <w:rPr>
          <w:rFonts w:hint="eastAsia" w:ascii="宋体" w:hAnsi="宋体" w:eastAsia="宋体" w:cs="宋体"/>
          <w:color w:val="auto"/>
          <w:kern w:val="1"/>
          <w:sz w:val="21"/>
          <w:szCs w:val="21"/>
          <w:highlight w:val="none"/>
        </w:rPr>
      </w:pPr>
      <w:r>
        <w:rPr>
          <w:rFonts w:hint="eastAsia" w:ascii="宋体" w:hAnsi="宋体" w:eastAsia="宋体" w:cs="宋体"/>
          <w:color w:val="auto"/>
          <w:kern w:val="1"/>
          <w:sz w:val="21"/>
          <w:szCs w:val="21"/>
          <w:highlight w:val="none"/>
        </w:rPr>
        <w:t>4.联合体各方均同意授权联合体牵头方员工</w:t>
      </w:r>
      <w:r>
        <w:rPr>
          <w:rFonts w:hint="eastAsia" w:ascii="宋体" w:hAnsi="宋体" w:eastAsia="宋体" w:cs="宋体"/>
          <w:color w:val="auto"/>
          <w:kern w:val="1"/>
          <w:sz w:val="21"/>
          <w:szCs w:val="21"/>
          <w:highlight w:val="none"/>
          <w:u w:val="single"/>
        </w:rPr>
        <w:t xml:space="preserve">        </w:t>
      </w:r>
      <w:r>
        <w:rPr>
          <w:rFonts w:hint="eastAsia" w:ascii="宋体" w:hAnsi="宋体" w:eastAsia="宋体" w:cs="宋体"/>
          <w:color w:val="auto"/>
          <w:kern w:val="1"/>
          <w:sz w:val="21"/>
          <w:szCs w:val="21"/>
          <w:highlight w:val="none"/>
        </w:rPr>
        <w:t>（姓名、职务）作为联合体参与本项目投标活动的授权代表。</w:t>
      </w:r>
    </w:p>
    <w:p>
      <w:pPr>
        <w:snapToGrid w:val="0"/>
        <w:spacing w:line="500" w:lineRule="exact"/>
        <w:ind w:firstLine="420"/>
        <w:rPr>
          <w:rFonts w:hint="eastAsia" w:ascii="宋体" w:hAnsi="宋体" w:eastAsia="宋体" w:cs="宋体"/>
          <w:color w:val="auto"/>
          <w:kern w:val="1"/>
          <w:sz w:val="21"/>
          <w:szCs w:val="21"/>
          <w:highlight w:val="none"/>
        </w:rPr>
      </w:pPr>
      <w:r>
        <w:rPr>
          <w:rFonts w:hint="eastAsia" w:ascii="宋体" w:hAnsi="宋体" w:eastAsia="宋体" w:cs="宋体"/>
          <w:color w:val="auto"/>
          <w:kern w:val="1"/>
          <w:sz w:val="21"/>
          <w:szCs w:val="21"/>
          <w:highlight w:val="none"/>
        </w:rPr>
        <w:t>5.联合体成员各方在本项目中的工作职责、权利与义务如下：（需列述）</w:t>
      </w:r>
    </w:p>
    <w:p>
      <w:pPr>
        <w:snapToGrid w:val="0"/>
        <w:spacing w:line="500" w:lineRule="exact"/>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5.1</w:t>
      </w:r>
      <w:r>
        <w:rPr>
          <w:rFonts w:hint="eastAsia" w:ascii="宋体" w:hAnsi="宋体" w:eastAsia="宋体" w:cs="宋体"/>
          <w:b/>
          <w:color w:val="auto"/>
          <w:sz w:val="21"/>
          <w:szCs w:val="21"/>
          <w:highlight w:val="none"/>
          <w:u w:val="single"/>
        </w:rPr>
        <w:t xml:space="preserve">          </w:t>
      </w:r>
      <w:r>
        <w:rPr>
          <w:rFonts w:hint="eastAsia" w:ascii="宋体" w:hAnsi="宋体" w:eastAsia="宋体" w:cs="宋体"/>
          <w:b/>
          <w:color w:val="auto"/>
          <w:sz w:val="21"/>
          <w:szCs w:val="21"/>
          <w:highlight w:val="none"/>
        </w:rPr>
        <w:t>作为联合体牵头方，负责</w:t>
      </w:r>
      <w:r>
        <w:rPr>
          <w:rFonts w:hint="eastAsia" w:ascii="宋体" w:hAnsi="宋体" w:eastAsia="宋体" w:cs="宋体"/>
          <w:color w:val="auto"/>
          <w:kern w:val="1"/>
          <w:sz w:val="21"/>
          <w:szCs w:val="21"/>
          <w:highlight w:val="none"/>
          <w:u w:val="single"/>
        </w:rPr>
        <w:t xml:space="preserve">       </w:t>
      </w:r>
      <w:r>
        <w:rPr>
          <w:rFonts w:hint="eastAsia" w:ascii="宋体" w:hAnsi="宋体" w:eastAsia="宋体" w:cs="宋体"/>
          <w:b/>
          <w:color w:val="auto"/>
          <w:sz w:val="21"/>
          <w:szCs w:val="21"/>
          <w:highlight w:val="none"/>
        </w:rPr>
        <w:t>。</w:t>
      </w:r>
    </w:p>
    <w:p>
      <w:pPr>
        <w:snapToGrid w:val="0"/>
        <w:spacing w:line="500" w:lineRule="exact"/>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5.2</w:t>
      </w:r>
      <w:r>
        <w:rPr>
          <w:rFonts w:hint="eastAsia" w:ascii="宋体" w:hAnsi="宋体" w:eastAsia="宋体" w:cs="宋体"/>
          <w:b/>
          <w:color w:val="auto"/>
          <w:sz w:val="21"/>
          <w:szCs w:val="21"/>
          <w:highlight w:val="none"/>
          <w:u w:val="single"/>
        </w:rPr>
        <w:t xml:space="preserve">          </w:t>
      </w:r>
      <w:r>
        <w:rPr>
          <w:rFonts w:hint="eastAsia" w:ascii="宋体" w:hAnsi="宋体" w:eastAsia="宋体" w:cs="宋体"/>
          <w:b/>
          <w:color w:val="auto"/>
          <w:sz w:val="21"/>
          <w:szCs w:val="21"/>
          <w:highlight w:val="none"/>
        </w:rPr>
        <w:t>作为联合体成员方，负责</w:t>
      </w:r>
      <w:r>
        <w:rPr>
          <w:rFonts w:hint="eastAsia" w:ascii="宋体" w:hAnsi="宋体" w:eastAsia="宋体" w:cs="宋体"/>
          <w:color w:val="auto"/>
          <w:kern w:val="1"/>
          <w:sz w:val="21"/>
          <w:szCs w:val="21"/>
          <w:highlight w:val="none"/>
          <w:u w:val="single"/>
        </w:rPr>
        <w:t xml:space="preserve">       </w:t>
      </w:r>
      <w:r>
        <w:rPr>
          <w:rFonts w:hint="eastAsia" w:ascii="宋体" w:hAnsi="宋体" w:eastAsia="宋体" w:cs="宋体"/>
          <w:b/>
          <w:color w:val="auto"/>
          <w:sz w:val="21"/>
          <w:szCs w:val="21"/>
          <w:highlight w:val="none"/>
        </w:rPr>
        <w:t>。</w:t>
      </w:r>
    </w:p>
    <w:p>
      <w:pPr>
        <w:snapToGrid w:val="0"/>
        <w:spacing w:line="500" w:lineRule="exact"/>
        <w:ind w:firstLine="420"/>
        <w:rPr>
          <w:rFonts w:hAnsi="宋体" w:cs="宋体"/>
          <w:color w:val="auto"/>
          <w:kern w:val="1"/>
          <w:sz w:val="21"/>
          <w:szCs w:val="21"/>
          <w:highlight w:val="none"/>
        </w:rPr>
      </w:pPr>
      <w:r>
        <w:rPr>
          <w:rFonts w:hint="eastAsia" w:hAnsi="宋体" w:cs="宋体"/>
          <w:color w:val="auto"/>
          <w:kern w:val="1"/>
          <w:sz w:val="21"/>
          <w:szCs w:val="21"/>
          <w:highlight w:val="none"/>
        </w:rPr>
        <w:t>6</w:t>
      </w:r>
      <w:r>
        <w:rPr>
          <w:rFonts w:hint="eastAsia" w:hAnsi="宋体" w:cs="宋体"/>
          <w:color w:val="auto"/>
          <w:kern w:val="1"/>
          <w:sz w:val="21"/>
          <w:szCs w:val="21"/>
          <w:highlight w:val="none"/>
          <w:lang w:eastAsia="zh-CN"/>
        </w:rPr>
        <w:t>.</w:t>
      </w:r>
      <w:r>
        <w:rPr>
          <w:rFonts w:hint="eastAsia" w:hAnsi="宋体" w:cs="宋体"/>
          <w:color w:val="auto"/>
          <w:kern w:val="1"/>
          <w:sz w:val="21"/>
          <w:szCs w:val="21"/>
          <w:highlight w:val="none"/>
          <w:lang w:val="en-US" w:eastAsia="zh-CN"/>
        </w:rPr>
        <w:t>关于</w:t>
      </w:r>
      <w:r>
        <w:rPr>
          <w:rFonts w:hint="eastAsia" w:hAnsi="宋体" w:eastAsia="宋体" w:cs="宋体"/>
          <w:color w:val="auto"/>
          <w:kern w:val="0"/>
          <w:sz w:val="21"/>
          <w:szCs w:val="21"/>
          <w:highlight w:val="none"/>
          <w:lang w:val="en-US" w:eastAsia="zh-CN" w:bidi="ar"/>
        </w:rPr>
        <w:t>联合体内</w:t>
      </w:r>
      <w:r>
        <w:rPr>
          <w:rFonts w:hint="eastAsia" w:ascii="宋体" w:hAnsi="宋体" w:eastAsia="宋体" w:cs="宋体"/>
          <w:i w:val="0"/>
          <w:iCs w:val="0"/>
          <w:caps w:val="0"/>
          <w:color w:val="auto"/>
          <w:spacing w:val="0"/>
          <w:sz w:val="21"/>
          <w:szCs w:val="21"/>
          <w:highlight w:val="none"/>
          <w:shd w:val="clear" w:color="auto" w:fill="auto"/>
          <w:lang w:bidi="ar"/>
        </w:rPr>
        <w:t>小</w:t>
      </w:r>
      <w:r>
        <w:rPr>
          <w:rFonts w:hint="eastAsia" w:hAnsi="宋体" w:eastAsia="宋体" w:cs="宋体"/>
          <w:i w:val="0"/>
          <w:iCs w:val="0"/>
          <w:caps w:val="0"/>
          <w:color w:val="auto"/>
          <w:spacing w:val="0"/>
          <w:sz w:val="21"/>
          <w:szCs w:val="21"/>
          <w:highlight w:val="none"/>
          <w:shd w:val="clear" w:color="auto" w:fill="auto"/>
          <w:lang w:val="en-US" w:eastAsia="zh-CN" w:bidi="ar"/>
        </w:rPr>
        <w:t>微</w:t>
      </w:r>
      <w:r>
        <w:rPr>
          <w:rFonts w:hint="eastAsia" w:ascii="宋体" w:hAnsi="宋体" w:eastAsia="宋体" w:cs="宋体"/>
          <w:i w:val="0"/>
          <w:iCs w:val="0"/>
          <w:caps w:val="0"/>
          <w:color w:val="auto"/>
          <w:spacing w:val="0"/>
          <w:sz w:val="21"/>
          <w:szCs w:val="21"/>
          <w:highlight w:val="none"/>
          <w:shd w:val="clear" w:color="auto" w:fill="auto"/>
          <w:lang w:bidi="ar"/>
        </w:rPr>
        <w:t>企业</w:t>
      </w:r>
      <w:r>
        <w:rPr>
          <w:rFonts w:hint="eastAsia" w:hAnsi="宋体" w:eastAsia="宋体" w:cs="宋体"/>
          <w:i w:val="0"/>
          <w:iCs w:val="0"/>
          <w:caps w:val="0"/>
          <w:color w:val="auto"/>
          <w:spacing w:val="0"/>
          <w:sz w:val="21"/>
          <w:szCs w:val="21"/>
          <w:highlight w:val="none"/>
          <w:shd w:val="clear" w:color="auto" w:fill="auto"/>
          <w:lang w:val="en-US" w:eastAsia="zh-CN" w:bidi="ar"/>
        </w:rPr>
        <w:t>合同份额</w:t>
      </w:r>
      <w:r>
        <w:rPr>
          <w:rFonts w:hint="eastAsia" w:hAnsi="宋体" w:eastAsia="宋体" w:cs="宋体"/>
          <w:color w:val="auto"/>
          <w:kern w:val="1"/>
          <w:sz w:val="21"/>
          <w:szCs w:val="21"/>
          <w:highlight w:val="none"/>
          <w:lang w:val="en-US" w:eastAsia="zh-CN"/>
        </w:rPr>
        <w:t>的承诺与声明</w:t>
      </w:r>
      <w:r>
        <w:rPr>
          <w:rFonts w:hint="eastAsia" w:hAnsi="宋体" w:cs="宋体"/>
          <w:color w:val="auto"/>
          <w:kern w:val="1"/>
          <w:sz w:val="21"/>
          <w:szCs w:val="21"/>
          <w:highlight w:val="none"/>
        </w:rPr>
        <w:t>：</w:t>
      </w:r>
    </w:p>
    <w:p>
      <w:pPr>
        <w:snapToGrid w:val="0"/>
        <w:spacing w:line="460" w:lineRule="atLeast"/>
        <w:ind w:left="207" w:leftChars="61" w:firstLine="210" w:firstLineChars="100"/>
        <w:rPr>
          <w:rFonts w:hAnsi="宋体" w:cs="宋体"/>
          <w:b/>
          <w:bCs/>
          <w:color w:val="auto"/>
          <w:spacing w:val="14"/>
          <w:sz w:val="21"/>
          <w:szCs w:val="21"/>
          <w:highlight w:val="none"/>
        </w:rPr>
      </w:pPr>
      <w:r>
        <w:rPr>
          <w:rFonts w:hint="eastAsia" w:hAnsi="宋体" w:cs="宋体"/>
          <w:color w:val="auto"/>
          <w:kern w:val="1"/>
          <w:sz w:val="21"/>
          <w:szCs w:val="21"/>
          <w:highlight w:val="none"/>
        </w:rPr>
        <w:t>6.1</w:t>
      </w:r>
      <w:r>
        <w:rPr>
          <w:rFonts w:hint="eastAsia" w:hAnsi="宋体" w:cs="宋体"/>
          <w:color w:val="auto"/>
          <w:kern w:val="1"/>
          <w:sz w:val="21"/>
          <w:szCs w:val="21"/>
          <w:highlight w:val="none"/>
          <w:lang w:val="en-US" w:eastAsia="zh-CN"/>
        </w:rPr>
        <w:t>联合体中的</w:t>
      </w:r>
      <w:r>
        <w:rPr>
          <w:rFonts w:hint="eastAsia" w:ascii="宋体" w:hAnsi="宋体" w:eastAsia="宋体" w:cs="宋体"/>
          <w:i w:val="0"/>
          <w:iCs w:val="0"/>
          <w:caps w:val="0"/>
          <w:color w:val="auto"/>
          <w:spacing w:val="0"/>
          <w:sz w:val="21"/>
          <w:szCs w:val="21"/>
          <w:highlight w:val="none"/>
          <w:shd w:val="clear" w:color="auto" w:fill="auto"/>
          <w:lang w:bidi="ar"/>
        </w:rPr>
        <w:t>小</w:t>
      </w:r>
      <w:r>
        <w:rPr>
          <w:rFonts w:hint="eastAsia" w:hAnsi="宋体" w:eastAsia="宋体" w:cs="宋体"/>
          <w:i w:val="0"/>
          <w:iCs w:val="0"/>
          <w:caps w:val="0"/>
          <w:color w:val="auto"/>
          <w:spacing w:val="0"/>
          <w:sz w:val="21"/>
          <w:szCs w:val="21"/>
          <w:highlight w:val="none"/>
          <w:shd w:val="clear" w:color="auto" w:fill="auto"/>
          <w:lang w:val="en-US" w:eastAsia="zh-CN" w:bidi="ar"/>
        </w:rPr>
        <w:t>微</w:t>
      </w:r>
      <w:r>
        <w:rPr>
          <w:rFonts w:hint="eastAsia" w:hAnsi="宋体" w:cs="宋体"/>
          <w:color w:val="auto"/>
          <w:kern w:val="1"/>
          <w:sz w:val="21"/>
          <w:szCs w:val="21"/>
          <w:highlight w:val="none"/>
          <w:lang w:val="en-US" w:eastAsia="zh-CN"/>
        </w:rPr>
        <w:t>企业是</w:t>
      </w:r>
      <w:r>
        <w:rPr>
          <w:rFonts w:hint="eastAsia" w:hAnsi="宋体" w:cs="宋体"/>
          <w:color w:val="auto"/>
          <w:kern w:val="1"/>
          <w:sz w:val="21"/>
          <w:szCs w:val="21"/>
          <w:highlight w:val="none"/>
          <w:u w:val="single"/>
          <w:lang w:val="en-US" w:eastAsia="zh-CN"/>
        </w:rPr>
        <w:t>（供应商名称）</w:t>
      </w:r>
      <w:r>
        <w:rPr>
          <w:rFonts w:hint="eastAsia" w:hAnsi="宋体" w:cs="宋体"/>
          <w:b w:val="0"/>
          <w:bCs w:val="0"/>
          <w:color w:val="auto"/>
          <w:spacing w:val="0"/>
          <w:kern w:val="1"/>
          <w:sz w:val="21"/>
          <w:szCs w:val="21"/>
          <w:highlight w:val="none"/>
          <w:u w:val="single"/>
        </w:rPr>
        <w:t xml:space="preserve"> </w:t>
      </w:r>
      <w:r>
        <w:rPr>
          <w:rFonts w:hint="eastAsia" w:hAnsi="宋体" w:cs="宋体"/>
          <w:b w:val="0"/>
          <w:bCs w:val="0"/>
          <w:color w:val="auto"/>
          <w:spacing w:val="0"/>
          <w:kern w:val="1"/>
          <w:sz w:val="21"/>
          <w:szCs w:val="21"/>
          <w:highlight w:val="none"/>
          <w:u w:val="single"/>
          <w:lang w:val="en-US" w:eastAsia="zh-CN"/>
        </w:rPr>
        <w:t xml:space="preserve">           </w:t>
      </w:r>
      <w:r>
        <w:rPr>
          <w:rFonts w:hint="eastAsia" w:hAnsi="宋体" w:cs="宋体"/>
          <w:b w:val="0"/>
          <w:bCs w:val="0"/>
          <w:color w:val="auto"/>
          <w:spacing w:val="0"/>
          <w:kern w:val="1"/>
          <w:sz w:val="21"/>
          <w:szCs w:val="21"/>
          <w:highlight w:val="none"/>
          <w:u w:val="single"/>
        </w:rPr>
        <w:t xml:space="preserve">   </w:t>
      </w:r>
      <w:r>
        <w:rPr>
          <w:rFonts w:hint="eastAsia" w:ascii="楷体" w:hAnsi="楷体" w:eastAsia="楷体" w:cs="楷体"/>
          <w:b w:val="0"/>
          <w:bCs w:val="0"/>
          <w:color w:val="auto"/>
          <w:spacing w:val="0"/>
          <w:kern w:val="1"/>
          <w:sz w:val="21"/>
          <w:szCs w:val="21"/>
          <w:highlight w:val="none"/>
          <w:lang w:val="en-US" w:eastAsia="zh-CN"/>
        </w:rPr>
        <w:t>(请将</w:t>
      </w:r>
      <w:r>
        <w:rPr>
          <w:rFonts w:hint="eastAsia" w:ascii="楷体" w:hAnsi="楷体" w:eastAsia="楷体" w:cs="楷体"/>
          <w:color w:val="auto"/>
          <w:kern w:val="1"/>
          <w:sz w:val="21"/>
          <w:szCs w:val="21"/>
          <w:highlight w:val="none"/>
          <w:lang w:val="en-US" w:eastAsia="zh-CN"/>
        </w:rPr>
        <w:t>小微企业的</w:t>
      </w:r>
      <w:r>
        <w:rPr>
          <w:rFonts w:hint="eastAsia" w:ascii="楷体" w:hAnsi="楷体" w:eastAsia="楷体" w:cs="楷体"/>
          <w:b w:val="0"/>
          <w:bCs w:val="0"/>
          <w:color w:val="auto"/>
          <w:spacing w:val="0"/>
          <w:kern w:val="1"/>
          <w:sz w:val="21"/>
          <w:szCs w:val="21"/>
          <w:highlight w:val="none"/>
          <w:lang w:val="en-US" w:eastAsia="zh-CN"/>
        </w:rPr>
        <w:t>《中小企业声明函》附后）</w:t>
      </w:r>
      <w:r>
        <w:rPr>
          <w:rFonts w:hint="eastAsia" w:hAnsi="宋体" w:cs="宋体"/>
          <w:b w:val="0"/>
          <w:bCs w:val="0"/>
          <w:color w:val="auto"/>
          <w:spacing w:val="0"/>
          <w:kern w:val="1"/>
          <w:sz w:val="21"/>
          <w:szCs w:val="21"/>
          <w:highlight w:val="none"/>
        </w:rPr>
        <w:t>，</w:t>
      </w:r>
      <w:r>
        <w:rPr>
          <w:rFonts w:hint="eastAsia" w:hAnsi="宋体" w:cs="宋体"/>
          <w:b w:val="0"/>
          <w:bCs w:val="0"/>
          <w:color w:val="auto"/>
          <w:spacing w:val="0"/>
          <w:kern w:val="1"/>
          <w:sz w:val="21"/>
          <w:szCs w:val="21"/>
          <w:highlight w:val="none"/>
          <w:lang w:val="en-US" w:eastAsia="zh-CN"/>
        </w:rPr>
        <w:t>各</w:t>
      </w:r>
      <w:r>
        <w:rPr>
          <w:rFonts w:hint="eastAsia" w:ascii="宋体" w:hAnsi="宋体" w:eastAsia="宋体" w:cs="宋体"/>
          <w:i w:val="0"/>
          <w:iCs w:val="0"/>
          <w:caps w:val="0"/>
          <w:color w:val="auto"/>
          <w:spacing w:val="0"/>
          <w:sz w:val="21"/>
          <w:szCs w:val="21"/>
          <w:highlight w:val="none"/>
          <w:shd w:val="clear" w:color="auto" w:fill="auto"/>
          <w:lang w:bidi="ar"/>
        </w:rPr>
        <w:t>小</w:t>
      </w:r>
      <w:r>
        <w:rPr>
          <w:rFonts w:hint="eastAsia" w:hAnsi="宋体" w:eastAsia="宋体" w:cs="宋体"/>
          <w:i w:val="0"/>
          <w:iCs w:val="0"/>
          <w:caps w:val="0"/>
          <w:color w:val="auto"/>
          <w:spacing w:val="0"/>
          <w:sz w:val="21"/>
          <w:szCs w:val="21"/>
          <w:highlight w:val="none"/>
          <w:shd w:val="clear" w:color="auto" w:fill="auto"/>
          <w:lang w:val="en-US" w:eastAsia="zh-CN" w:bidi="ar"/>
        </w:rPr>
        <w:t>微</w:t>
      </w:r>
      <w:r>
        <w:rPr>
          <w:rFonts w:hint="eastAsia" w:hAnsi="宋体" w:cs="宋体"/>
          <w:color w:val="auto"/>
          <w:kern w:val="1"/>
          <w:sz w:val="21"/>
          <w:szCs w:val="21"/>
          <w:highlight w:val="none"/>
          <w:lang w:val="en-US" w:eastAsia="zh-CN"/>
        </w:rPr>
        <w:t>企业</w:t>
      </w:r>
      <w:r>
        <w:rPr>
          <w:rFonts w:hint="eastAsia" w:hAnsi="宋体" w:cs="宋体"/>
          <w:b w:val="0"/>
          <w:bCs w:val="0"/>
          <w:color w:val="auto"/>
          <w:spacing w:val="0"/>
          <w:kern w:val="1"/>
          <w:sz w:val="21"/>
          <w:szCs w:val="21"/>
          <w:highlight w:val="none"/>
          <w:lang w:val="en-US" w:eastAsia="zh-CN"/>
        </w:rPr>
        <w:t>之间及各</w:t>
      </w:r>
      <w:r>
        <w:rPr>
          <w:rFonts w:hint="eastAsia" w:ascii="宋体" w:hAnsi="宋体" w:eastAsia="宋体" w:cs="宋体"/>
          <w:i w:val="0"/>
          <w:iCs w:val="0"/>
          <w:caps w:val="0"/>
          <w:color w:val="auto"/>
          <w:spacing w:val="0"/>
          <w:sz w:val="21"/>
          <w:szCs w:val="21"/>
          <w:highlight w:val="none"/>
          <w:shd w:val="clear" w:color="auto" w:fill="auto"/>
          <w:lang w:bidi="ar"/>
        </w:rPr>
        <w:t>小</w:t>
      </w:r>
      <w:r>
        <w:rPr>
          <w:rFonts w:hint="eastAsia" w:hAnsi="宋体" w:eastAsia="宋体" w:cs="宋体"/>
          <w:i w:val="0"/>
          <w:iCs w:val="0"/>
          <w:caps w:val="0"/>
          <w:color w:val="auto"/>
          <w:spacing w:val="0"/>
          <w:sz w:val="21"/>
          <w:szCs w:val="21"/>
          <w:highlight w:val="none"/>
          <w:shd w:val="clear" w:color="auto" w:fill="auto"/>
          <w:lang w:val="en-US" w:eastAsia="zh-CN" w:bidi="ar"/>
        </w:rPr>
        <w:t>微</w:t>
      </w:r>
      <w:r>
        <w:rPr>
          <w:rFonts w:hint="eastAsia" w:hAnsi="宋体" w:cs="宋体"/>
          <w:color w:val="auto"/>
          <w:kern w:val="1"/>
          <w:sz w:val="21"/>
          <w:szCs w:val="21"/>
          <w:highlight w:val="none"/>
          <w:lang w:val="en-US" w:eastAsia="zh-CN"/>
        </w:rPr>
        <w:t>企业</w:t>
      </w:r>
      <w:r>
        <w:rPr>
          <w:rFonts w:hint="eastAsia" w:hAnsi="宋体" w:cs="宋体"/>
          <w:color w:val="auto"/>
          <w:sz w:val="21"/>
          <w:szCs w:val="21"/>
          <w:highlight w:val="none"/>
        </w:rPr>
        <w:t>与联合体内其他企业之间</w:t>
      </w:r>
      <w:r>
        <w:rPr>
          <w:rFonts w:hint="eastAsia" w:hAnsi="宋体" w:cs="宋体"/>
          <w:color w:val="auto"/>
          <w:sz w:val="21"/>
          <w:szCs w:val="21"/>
          <w:highlight w:val="none"/>
          <w:lang w:val="en-US" w:eastAsia="zh-CN"/>
        </w:rPr>
        <w:t>均不</w:t>
      </w:r>
      <w:r>
        <w:rPr>
          <w:rFonts w:hint="eastAsia" w:hAnsi="宋体" w:cs="宋体"/>
          <w:color w:val="auto"/>
          <w:sz w:val="21"/>
          <w:szCs w:val="21"/>
          <w:highlight w:val="none"/>
        </w:rPr>
        <w:t>存在直接控股、管理关系</w:t>
      </w:r>
      <w:r>
        <w:rPr>
          <w:rFonts w:hint="eastAsia" w:hAnsi="宋体" w:cs="宋体"/>
          <w:color w:val="auto"/>
          <w:sz w:val="21"/>
          <w:szCs w:val="21"/>
          <w:highlight w:val="none"/>
          <w:lang w:eastAsia="zh-CN"/>
        </w:rPr>
        <w:t>。</w:t>
      </w:r>
    </w:p>
    <w:p>
      <w:pPr>
        <w:snapToGrid w:val="0"/>
        <w:spacing w:line="500" w:lineRule="exact"/>
        <w:ind w:firstLine="420"/>
        <w:rPr>
          <w:rFonts w:hint="default" w:ascii="Arial" w:hAnsi="Arial" w:eastAsia="宋体" w:cs="Arial"/>
          <w:color w:val="auto"/>
          <w:sz w:val="21"/>
          <w:szCs w:val="21"/>
          <w:highlight w:val="none"/>
          <w:lang w:val="en-US" w:eastAsia="zh-CN"/>
        </w:rPr>
      </w:pPr>
      <w:r>
        <w:rPr>
          <w:rFonts w:hint="eastAsia" w:hAnsi="宋体" w:cs="宋体"/>
          <w:color w:val="auto"/>
          <w:kern w:val="1"/>
          <w:sz w:val="21"/>
          <w:szCs w:val="21"/>
          <w:highlight w:val="none"/>
        </w:rPr>
        <w:t>6.2</w:t>
      </w:r>
      <w:r>
        <w:rPr>
          <w:rFonts w:hint="eastAsia" w:hAnsi="宋体" w:cs="宋体"/>
          <w:color w:val="auto"/>
          <w:kern w:val="1"/>
          <w:sz w:val="21"/>
          <w:szCs w:val="21"/>
          <w:highlight w:val="none"/>
          <w:u w:val="single"/>
        </w:rPr>
        <w:t xml:space="preserve"> </w:t>
      </w:r>
      <w:r>
        <w:rPr>
          <w:rFonts w:hint="eastAsia" w:hAnsi="宋体" w:cs="宋体"/>
          <w:color w:val="auto"/>
          <w:kern w:val="1"/>
          <w:sz w:val="21"/>
          <w:szCs w:val="21"/>
          <w:highlight w:val="none"/>
          <w:u w:val="single"/>
          <w:lang w:val="en-US" w:eastAsia="zh-CN"/>
        </w:rPr>
        <w:t>上述</w:t>
      </w:r>
      <w:r>
        <w:rPr>
          <w:rFonts w:hint="eastAsia" w:ascii="宋体" w:hAnsi="宋体" w:eastAsia="宋体" w:cs="宋体"/>
          <w:i w:val="0"/>
          <w:iCs w:val="0"/>
          <w:caps w:val="0"/>
          <w:color w:val="auto"/>
          <w:spacing w:val="0"/>
          <w:sz w:val="21"/>
          <w:szCs w:val="21"/>
          <w:highlight w:val="none"/>
          <w:shd w:val="clear" w:color="auto" w:fill="auto"/>
          <w:lang w:bidi="ar"/>
        </w:rPr>
        <w:t>小</w:t>
      </w:r>
      <w:r>
        <w:rPr>
          <w:rFonts w:hint="eastAsia" w:hAnsi="宋体" w:eastAsia="宋体" w:cs="宋体"/>
          <w:i w:val="0"/>
          <w:iCs w:val="0"/>
          <w:caps w:val="0"/>
          <w:color w:val="auto"/>
          <w:spacing w:val="0"/>
          <w:sz w:val="21"/>
          <w:szCs w:val="21"/>
          <w:highlight w:val="none"/>
          <w:shd w:val="clear" w:color="auto" w:fill="auto"/>
          <w:lang w:val="en-US" w:eastAsia="zh-CN" w:bidi="ar"/>
        </w:rPr>
        <w:t>微</w:t>
      </w:r>
      <w:r>
        <w:rPr>
          <w:rFonts w:hint="eastAsia" w:hAnsi="宋体" w:cs="宋体"/>
          <w:color w:val="auto"/>
          <w:kern w:val="1"/>
          <w:sz w:val="21"/>
          <w:szCs w:val="21"/>
          <w:highlight w:val="none"/>
          <w:lang w:val="en-US" w:eastAsia="zh-CN"/>
        </w:rPr>
        <w:t>企业</w:t>
      </w:r>
      <w:r>
        <w:rPr>
          <w:rFonts w:hint="eastAsia" w:hAnsi="宋体" w:cs="宋体"/>
          <w:color w:val="auto"/>
          <w:kern w:val="1"/>
          <w:sz w:val="21"/>
          <w:szCs w:val="21"/>
          <w:highlight w:val="none"/>
          <w:u w:val="none"/>
          <w:lang w:val="en-US" w:eastAsia="zh-CN"/>
        </w:rPr>
        <w:t>中：（1）供应商</w:t>
      </w:r>
      <w:r>
        <w:rPr>
          <w:rFonts w:hint="eastAsia" w:hAnsi="宋体" w:cs="宋体"/>
          <w:color w:val="auto"/>
          <w:kern w:val="1"/>
          <w:sz w:val="21"/>
          <w:szCs w:val="21"/>
          <w:highlight w:val="none"/>
          <w:u w:val="single"/>
          <w:lang w:val="en-US" w:eastAsia="zh-CN"/>
        </w:rPr>
        <w:t>（供应商名称）</w:t>
      </w:r>
      <w:r>
        <w:rPr>
          <w:rFonts w:hint="eastAsia" w:hAnsi="宋体" w:cs="宋体"/>
          <w:b w:val="0"/>
          <w:bCs w:val="0"/>
          <w:color w:val="auto"/>
          <w:spacing w:val="0"/>
          <w:kern w:val="1"/>
          <w:sz w:val="21"/>
          <w:szCs w:val="21"/>
          <w:highlight w:val="none"/>
          <w:u w:val="single"/>
        </w:rPr>
        <w:t xml:space="preserve"> </w:t>
      </w:r>
      <w:r>
        <w:rPr>
          <w:rFonts w:hint="eastAsia" w:hAnsi="宋体" w:cs="宋体"/>
          <w:b w:val="0"/>
          <w:bCs w:val="0"/>
          <w:color w:val="auto"/>
          <w:spacing w:val="0"/>
          <w:kern w:val="1"/>
          <w:sz w:val="21"/>
          <w:szCs w:val="21"/>
          <w:highlight w:val="none"/>
          <w:u w:val="single"/>
          <w:lang w:val="en-US" w:eastAsia="zh-CN"/>
        </w:rPr>
        <w:t xml:space="preserve">            </w:t>
      </w:r>
      <w:r>
        <w:rPr>
          <w:rFonts w:hint="eastAsia" w:hAnsi="宋体" w:cs="宋体"/>
          <w:b w:val="0"/>
          <w:bCs w:val="0"/>
          <w:color w:val="auto"/>
          <w:spacing w:val="0"/>
          <w:kern w:val="1"/>
          <w:sz w:val="21"/>
          <w:szCs w:val="21"/>
          <w:highlight w:val="none"/>
          <w:u w:val="single"/>
        </w:rPr>
        <w:t xml:space="preserve">  </w:t>
      </w:r>
      <w:r>
        <w:rPr>
          <w:rFonts w:hint="eastAsia" w:hAnsi="宋体" w:cs="宋体"/>
          <w:color w:val="auto"/>
          <w:sz w:val="21"/>
          <w:szCs w:val="21"/>
          <w:highlight w:val="none"/>
        </w:rPr>
        <w:t>承担的工作和相应的责任</w:t>
      </w:r>
      <w:r>
        <w:rPr>
          <w:rFonts w:hint="eastAsia" w:hAnsi="宋体" w:cs="宋体"/>
          <w:color w:val="auto"/>
          <w:sz w:val="21"/>
          <w:szCs w:val="21"/>
          <w:highlight w:val="none"/>
          <w:lang w:val="en-US" w:eastAsia="zh-CN"/>
        </w:rPr>
        <w:t>是</w:t>
      </w:r>
      <w:r>
        <w:rPr>
          <w:rFonts w:hint="eastAsia" w:hAnsi="宋体" w:cs="宋体"/>
          <w:color w:val="auto"/>
          <w:sz w:val="21"/>
          <w:szCs w:val="21"/>
          <w:highlight w:val="none"/>
          <w:u w:val="single"/>
          <w:lang w:val="en-US" w:eastAsia="zh-CN"/>
        </w:rPr>
        <w:t xml:space="preserve">           ，其</w:t>
      </w:r>
      <w:r>
        <w:rPr>
          <w:rFonts w:hint="eastAsia" w:hAnsi="宋体" w:cs="宋体"/>
          <w:color w:val="auto"/>
          <w:sz w:val="21"/>
          <w:szCs w:val="21"/>
          <w:highlight w:val="none"/>
        </w:rPr>
        <w:t>协议合同</w:t>
      </w:r>
      <w:r>
        <w:rPr>
          <w:rFonts w:hint="eastAsia" w:hAnsi="宋体" w:cs="宋体"/>
          <w:color w:val="auto"/>
          <w:sz w:val="21"/>
          <w:szCs w:val="21"/>
          <w:highlight w:val="none"/>
          <w:lang w:val="en-US" w:eastAsia="zh-CN"/>
        </w:rPr>
        <w:t>份额</w:t>
      </w:r>
      <w:r>
        <w:rPr>
          <w:rFonts w:hint="eastAsia" w:hAnsi="宋体" w:cs="宋体"/>
          <w:color w:val="auto"/>
          <w:sz w:val="21"/>
          <w:szCs w:val="21"/>
          <w:highlight w:val="none"/>
        </w:rPr>
        <w:t>占</w:t>
      </w:r>
      <w:r>
        <w:rPr>
          <w:rFonts w:hint="eastAsia" w:hAnsi="宋体" w:eastAsia="宋体" w:cs="宋体"/>
          <w:color w:val="auto"/>
          <w:sz w:val="21"/>
          <w:szCs w:val="21"/>
          <w:highlight w:val="none"/>
          <w:lang w:eastAsia="zh-CN"/>
        </w:rPr>
        <w:t>本项目</w:t>
      </w:r>
      <w:r>
        <w:rPr>
          <w:rFonts w:hint="eastAsia" w:hAnsi="宋体" w:eastAsia="宋体" w:cs="宋体"/>
          <w:color w:val="auto"/>
          <w:sz w:val="21"/>
          <w:szCs w:val="21"/>
          <w:highlight w:val="none"/>
          <w:lang w:val="en-US" w:eastAsia="zh-CN"/>
        </w:rPr>
        <w:t>投标</w:t>
      </w:r>
      <w:r>
        <w:rPr>
          <w:rFonts w:hint="eastAsia" w:hAnsi="宋体" w:eastAsia="宋体" w:cs="宋体"/>
          <w:color w:val="auto"/>
          <w:sz w:val="21"/>
          <w:szCs w:val="21"/>
          <w:highlight w:val="none"/>
        </w:rPr>
        <w:t>总</w:t>
      </w:r>
      <w:r>
        <w:rPr>
          <w:rFonts w:hint="eastAsia" w:hAnsi="宋体" w:eastAsia="宋体" w:cs="宋体"/>
          <w:color w:val="auto"/>
          <w:sz w:val="21"/>
          <w:szCs w:val="21"/>
          <w:highlight w:val="none"/>
          <w:lang w:val="en-US" w:eastAsia="zh-CN"/>
        </w:rPr>
        <w:t>金</w:t>
      </w:r>
      <w:r>
        <w:rPr>
          <w:rFonts w:hint="eastAsia" w:hAnsi="宋体" w:eastAsia="宋体" w:cs="宋体"/>
          <w:color w:val="auto"/>
          <w:sz w:val="21"/>
          <w:szCs w:val="21"/>
          <w:highlight w:val="none"/>
        </w:rPr>
        <w:t>额</w:t>
      </w:r>
      <w:r>
        <w:rPr>
          <w:rFonts w:hint="eastAsia" w:hAnsi="宋体" w:eastAsia="宋体" w:cs="宋体"/>
          <w:color w:val="auto"/>
          <w:sz w:val="21"/>
          <w:szCs w:val="21"/>
          <w:highlight w:val="none"/>
          <w:lang w:eastAsia="zh-CN"/>
        </w:rPr>
        <w:t>（</w:t>
      </w:r>
      <w:r>
        <w:rPr>
          <w:rFonts w:hint="eastAsia" w:hAnsi="宋体" w:eastAsia="宋体" w:cs="宋体"/>
          <w:color w:val="auto"/>
          <w:sz w:val="21"/>
          <w:szCs w:val="21"/>
          <w:highlight w:val="none"/>
          <w:lang w:val="en-US" w:eastAsia="zh-CN"/>
        </w:rPr>
        <w:t>合同总金额</w:t>
      </w:r>
      <w:r>
        <w:rPr>
          <w:rFonts w:hint="eastAsia" w:hAnsi="宋体" w:eastAsia="宋体" w:cs="宋体"/>
          <w:color w:val="auto"/>
          <w:sz w:val="21"/>
          <w:szCs w:val="21"/>
          <w:highlight w:val="none"/>
          <w:lang w:eastAsia="zh-CN"/>
        </w:rPr>
        <w:t>）</w:t>
      </w:r>
      <w:r>
        <w:rPr>
          <w:rFonts w:hint="eastAsia" w:hAnsi="宋体" w:eastAsia="宋体" w:cs="宋体"/>
          <w:color w:val="auto"/>
          <w:sz w:val="21"/>
          <w:szCs w:val="21"/>
          <w:highlight w:val="none"/>
          <w:lang w:val="en-US" w:eastAsia="zh-CN"/>
        </w:rPr>
        <w:t>的</w:t>
      </w:r>
      <w:r>
        <w:rPr>
          <w:rFonts w:hint="eastAsia" w:hAnsi="宋体" w:eastAsia="宋体" w:cs="宋体"/>
          <w:color w:val="auto"/>
          <w:sz w:val="21"/>
          <w:szCs w:val="21"/>
          <w:highlight w:val="none"/>
          <w:u w:val="single"/>
          <w:lang w:val="en-US" w:eastAsia="zh-CN"/>
        </w:rPr>
        <w:t xml:space="preserve">    </w:t>
      </w:r>
      <w:r>
        <w:rPr>
          <w:rFonts w:hint="eastAsia" w:hAnsi="宋体" w:eastAsia="宋体" w:cs="宋体"/>
          <w:color w:val="auto"/>
          <w:sz w:val="21"/>
          <w:szCs w:val="21"/>
          <w:highlight w:val="none"/>
          <w:lang w:val="en-US" w:eastAsia="zh-CN"/>
        </w:rPr>
        <w:t>%（大写：百分之</w:t>
      </w:r>
      <w:r>
        <w:rPr>
          <w:rFonts w:hint="eastAsia" w:hAnsi="宋体" w:eastAsia="宋体" w:cs="宋体"/>
          <w:color w:val="auto"/>
          <w:sz w:val="21"/>
          <w:szCs w:val="21"/>
          <w:highlight w:val="none"/>
          <w:u w:val="single"/>
          <w:lang w:val="en-US" w:eastAsia="zh-CN"/>
        </w:rPr>
        <w:t xml:space="preserve">     </w:t>
      </w:r>
      <w:r>
        <w:rPr>
          <w:rFonts w:hint="eastAsia" w:hAnsi="宋体" w:eastAsia="宋体" w:cs="宋体"/>
          <w:color w:val="auto"/>
          <w:sz w:val="21"/>
          <w:szCs w:val="21"/>
          <w:highlight w:val="none"/>
          <w:lang w:val="en-US" w:eastAsia="zh-CN"/>
        </w:rPr>
        <w:t>）；（2）</w:t>
      </w:r>
      <w:r>
        <w:rPr>
          <w:rFonts w:hint="eastAsia" w:hAnsi="宋体" w:cs="宋体"/>
          <w:color w:val="auto"/>
          <w:kern w:val="1"/>
          <w:sz w:val="21"/>
          <w:szCs w:val="21"/>
          <w:highlight w:val="none"/>
          <w:u w:val="single"/>
          <w:lang w:val="en-US" w:eastAsia="zh-CN"/>
        </w:rPr>
        <w:t>供应商（供应商</w:t>
      </w:r>
      <w:r>
        <w:rPr>
          <w:rFonts w:hint="eastAsia" w:hAnsi="宋体" w:cs="宋体"/>
          <w:color w:val="auto"/>
          <w:kern w:val="1"/>
          <w:sz w:val="21"/>
          <w:szCs w:val="21"/>
          <w:highlight w:val="none"/>
          <w:lang w:val="en-US" w:eastAsia="zh-CN"/>
        </w:rPr>
        <w:t>名称）</w:t>
      </w:r>
      <w:r>
        <w:rPr>
          <w:rFonts w:hint="eastAsia" w:hAnsi="宋体" w:cs="宋体"/>
          <w:b w:val="0"/>
          <w:bCs w:val="0"/>
          <w:color w:val="auto"/>
          <w:spacing w:val="0"/>
          <w:kern w:val="1"/>
          <w:sz w:val="21"/>
          <w:szCs w:val="21"/>
          <w:highlight w:val="none"/>
          <w:u w:val="none"/>
        </w:rPr>
        <w:t xml:space="preserve"> </w:t>
      </w:r>
      <w:r>
        <w:rPr>
          <w:rFonts w:hint="eastAsia" w:hAnsi="宋体" w:cs="宋体"/>
          <w:b w:val="0"/>
          <w:bCs w:val="0"/>
          <w:color w:val="auto"/>
          <w:spacing w:val="0"/>
          <w:kern w:val="1"/>
          <w:sz w:val="21"/>
          <w:szCs w:val="21"/>
          <w:highlight w:val="none"/>
          <w:u w:val="none"/>
          <w:lang w:val="en-US" w:eastAsia="zh-CN"/>
        </w:rPr>
        <w:t xml:space="preserve">            </w:t>
      </w:r>
      <w:r>
        <w:rPr>
          <w:rFonts w:hint="eastAsia" w:hAnsi="宋体" w:cs="宋体"/>
          <w:b w:val="0"/>
          <w:bCs w:val="0"/>
          <w:color w:val="auto"/>
          <w:spacing w:val="0"/>
          <w:kern w:val="1"/>
          <w:sz w:val="21"/>
          <w:szCs w:val="21"/>
          <w:highlight w:val="none"/>
          <w:u w:val="none"/>
        </w:rPr>
        <w:t xml:space="preserve">  </w:t>
      </w:r>
      <w:r>
        <w:rPr>
          <w:rFonts w:hint="eastAsia" w:hAnsi="宋体" w:cs="宋体"/>
          <w:color w:val="auto"/>
          <w:sz w:val="21"/>
          <w:szCs w:val="21"/>
          <w:highlight w:val="none"/>
        </w:rPr>
        <w:t>承担的工作和相应的责任</w:t>
      </w:r>
      <w:r>
        <w:rPr>
          <w:rFonts w:hint="eastAsia" w:hAnsi="宋体" w:cs="宋体"/>
          <w:color w:val="auto"/>
          <w:sz w:val="21"/>
          <w:szCs w:val="21"/>
          <w:highlight w:val="none"/>
          <w:lang w:val="en-US" w:eastAsia="zh-CN"/>
        </w:rPr>
        <w:t>是</w:t>
      </w:r>
      <w:r>
        <w:rPr>
          <w:rFonts w:hint="eastAsia" w:hAnsi="宋体" w:cs="宋体"/>
          <w:color w:val="auto"/>
          <w:sz w:val="21"/>
          <w:szCs w:val="21"/>
          <w:highlight w:val="none"/>
          <w:u w:val="single"/>
          <w:lang w:val="en-US" w:eastAsia="zh-CN"/>
        </w:rPr>
        <w:t xml:space="preserve">           ，其</w:t>
      </w:r>
      <w:r>
        <w:rPr>
          <w:rFonts w:hint="eastAsia" w:hAnsi="宋体" w:cs="宋体"/>
          <w:color w:val="auto"/>
          <w:sz w:val="21"/>
          <w:szCs w:val="21"/>
          <w:highlight w:val="none"/>
        </w:rPr>
        <w:t>协议合同</w:t>
      </w:r>
      <w:r>
        <w:rPr>
          <w:rFonts w:hint="eastAsia" w:hAnsi="宋体" w:cs="宋体"/>
          <w:color w:val="auto"/>
          <w:sz w:val="21"/>
          <w:szCs w:val="21"/>
          <w:highlight w:val="none"/>
          <w:lang w:val="en-US" w:eastAsia="zh-CN"/>
        </w:rPr>
        <w:t>份额</w:t>
      </w:r>
      <w:r>
        <w:rPr>
          <w:rFonts w:hint="eastAsia" w:hAnsi="宋体" w:cs="宋体"/>
          <w:color w:val="auto"/>
          <w:sz w:val="21"/>
          <w:szCs w:val="21"/>
          <w:highlight w:val="none"/>
        </w:rPr>
        <w:t>占</w:t>
      </w:r>
      <w:r>
        <w:rPr>
          <w:rFonts w:hint="eastAsia" w:hAnsi="宋体" w:eastAsia="宋体" w:cs="宋体"/>
          <w:color w:val="auto"/>
          <w:sz w:val="21"/>
          <w:szCs w:val="21"/>
          <w:highlight w:val="none"/>
          <w:lang w:eastAsia="zh-CN"/>
        </w:rPr>
        <w:t>本项目</w:t>
      </w:r>
      <w:r>
        <w:rPr>
          <w:rFonts w:hint="eastAsia" w:hAnsi="宋体" w:eastAsia="宋体" w:cs="宋体"/>
          <w:color w:val="auto"/>
          <w:sz w:val="21"/>
          <w:szCs w:val="21"/>
          <w:highlight w:val="none"/>
          <w:lang w:val="en-US" w:eastAsia="zh-CN"/>
        </w:rPr>
        <w:t>投标</w:t>
      </w:r>
      <w:r>
        <w:rPr>
          <w:rFonts w:hint="eastAsia" w:hAnsi="宋体" w:eastAsia="宋体" w:cs="宋体"/>
          <w:color w:val="auto"/>
          <w:sz w:val="21"/>
          <w:szCs w:val="21"/>
          <w:highlight w:val="none"/>
        </w:rPr>
        <w:t>总</w:t>
      </w:r>
      <w:r>
        <w:rPr>
          <w:rFonts w:hint="eastAsia" w:hAnsi="宋体" w:eastAsia="宋体" w:cs="宋体"/>
          <w:color w:val="auto"/>
          <w:sz w:val="21"/>
          <w:szCs w:val="21"/>
          <w:highlight w:val="none"/>
          <w:lang w:val="en-US" w:eastAsia="zh-CN"/>
        </w:rPr>
        <w:t>金</w:t>
      </w:r>
      <w:r>
        <w:rPr>
          <w:rFonts w:hint="eastAsia" w:hAnsi="宋体" w:eastAsia="宋体" w:cs="宋体"/>
          <w:color w:val="auto"/>
          <w:sz w:val="21"/>
          <w:szCs w:val="21"/>
          <w:highlight w:val="none"/>
        </w:rPr>
        <w:t>额</w:t>
      </w:r>
      <w:r>
        <w:rPr>
          <w:rFonts w:hint="eastAsia" w:hAnsi="宋体" w:eastAsia="宋体" w:cs="宋体"/>
          <w:color w:val="auto"/>
          <w:sz w:val="21"/>
          <w:szCs w:val="21"/>
          <w:highlight w:val="none"/>
          <w:lang w:eastAsia="zh-CN"/>
        </w:rPr>
        <w:t>（</w:t>
      </w:r>
      <w:r>
        <w:rPr>
          <w:rFonts w:hint="eastAsia" w:hAnsi="宋体" w:eastAsia="宋体" w:cs="宋体"/>
          <w:color w:val="auto"/>
          <w:sz w:val="21"/>
          <w:szCs w:val="21"/>
          <w:highlight w:val="none"/>
          <w:lang w:val="en-US" w:eastAsia="zh-CN"/>
        </w:rPr>
        <w:t>合同总金额</w:t>
      </w:r>
      <w:r>
        <w:rPr>
          <w:rFonts w:hint="eastAsia" w:hAnsi="宋体" w:eastAsia="宋体" w:cs="宋体"/>
          <w:color w:val="auto"/>
          <w:sz w:val="21"/>
          <w:szCs w:val="21"/>
          <w:highlight w:val="none"/>
          <w:lang w:eastAsia="zh-CN"/>
        </w:rPr>
        <w:t>）</w:t>
      </w:r>
      <w:r>
        <w:rPr>
          <w:rFonts w:hint="eastAsia" w:hAnsi="宋体" w:eastAsia="宋体" w:cs="宋体"/>
          <w:color w:val="auto"/>
          <w:sz w:val="21"/>
          <w:szCs w:val="21"/>
          <w:highlight w:val="none"/>
          <w:lang w:val="en-US" w:eastAsia="zh-CN"/>
        </w:rPr>
        <w:t>的</w:t>
      </w:r>
      <w:r>
        <w:rPr>
          <w:rFonts w:hint="eastAsia" w:hAnsi="宋体" w:eastAsia="宋体" w:cs="宋体"/>
          <w:color w:val="auto"/>
          <w:sz w:val="21"/>
          <w:szCs w:val="21"/>
          <w:highlight w:val="none"/>
          <w:u w:val="single"/>
          <w:lang w:val="en-US" w:eastAsia="zh-CN"/>
        </w:rPr>
        <w:t xml:space="preserve">    </w:t>
      </w:r>
      <w:r>
        <w:rPr>
          <w:rFonts w:hint="eastAsia" w:hAnsi="宋体" w:eastAsia="宋体" w:cs="宋体"/>
          <w:color w:val="auto"/>
          <w:sz w:val="21"/>
          <w:szCs w:val="21"/>
          <w:highlight w:val="none"/>
          <w:lang w:val="en-US" w:eastAsia="zh-CN"/>
        </w:rPr>
        <w:t>%（大写：百分之</w:t>
      </w:r>
      <w:r>
        <w:rPr>
          <w:rFonts w:hint="eastAsia" w:hAnsi="宋体" w:eastAsia="宋体" w:cs="宋体"/>
          <w:color w:val="auto"/>
          <w:sz w:val="21"/>
          <w:szCs w:val="21"/>
          <w:highlight w:val="none"/>
          <w:u w:val="single"/>
          <w:lang w:val="en-US" w:eastAsia="zh-CN"/>
        </w:rPr>
        <w:t xml:space="preserve">     </w:t>
      </w:r>
      <w:r>
        <w:rPr>
          <w:rFonts w:hint="eastAsia" w:hAnsi="宋体" w:eastAsia="宋体" w:cs="宋体"/>
          <w:color w:val="auto"/>
          <w:sz w:val="21"/>
          <w:szCs w:val="21"/>
          <w:highlight w:val="none"/>
          <w:lang w:val="en-US" w:eastAsia="zh-CN"/>
        </w:rPr>
        <w:t>）；</w:t>
      </w:r>
      <w:r>
        <w:rPr>
          <w:rFonts w:hint="default" w:ascii="Arial" w:hAnsi="Arial" w:eastAsia="宋体" w:cs="Arial"/>
          <w:color w:val="auto"/>
          <w:sz w:val="21"/>
          <w:szCs w:val="21"/>
          <w:highlight w:val="none"/>
          <w:lang w:val="en-US" w:eastAsia="zh-CN"/>
        </w:rPr>
        <w:t>……</w:t>
      </w:r>
    </w:p>
    <w:p>
      <w:pPr>
        <w:snapToGrid w:val="0"/>
        <w:spacing w:line="500" w:lineRule="exact"/>
        <w:ind w:firstLine="420"/>
        <w:rPr>
          <w:rFonts w:hint="eastAsia" w:hAnsi="宋体" w:eastAsia="宋体" w:cs="宋体"/>
          <w:color w:val="auto"/>
          <w:kern w:val="1"/>
          <w:sz w:val="21"/>
          <w:szCs w:val="21"/>
          <w:highlight w:val="none"/>
          <w:u w:val="single"/>
          <w:lang w:eastAsia="zh-CN"/>
        </w:rPr>
      </w:pPr>
      <w:r>
        <w:rPr>
          <w:rFonts w:hint="eastAsia" w:ascii="Arial" w:hAnsi="Arial" w:eastAsia="宋体" w:cs="Arial"/>
          <w:color w:val="auto"/>
          <w:sz w:val="21"/>
          <w:szCs w:val="21"/>
          <w:highlight w:val="none"/>
          <w:lang w:val="en-US" w:eastAsia="zh-CN"/>
        </w:rPr>
        <w:t>综上，</w:t>
      </w:r>
      <w:r>
        <w:rPr>
          <w:rFonts w:hint="eastAsia" w:ascii="宋体" w:hAnsi="宋体" w:eastAsia="宋体" w:cs="宋体"/>
          <w:i w:val="0"/>
          <w:iCs w:val="0"/>
          <w:caps w:val="0"/>
          <w:color w:val="auto"/>
          <w:spacing w:val="0"/>
          <w:sz w:val="21"/>
          <w:szCs w:val="21"/>
          <w:highlight w:val="none"/>
          <w:shd w:val="clear" w:color="auto" w:fill="auto"/>
          <w:lang w:bidi="ar"/>
        </w:rPr>
        <w:t>小</w:t>
      </w:r>
      <w:r>
        <w:rPr>
          <w:rFonts w:hint="eastAsia" w:hAnsi="宋体" w:eastAsia="宋体" w:cs="宋体"/>
          <w:i w:val="0"/>
          <w:iCs w:val="0"/>
          <w:caps w:val="0"/>
          <w:color w:val="auto"/>
          <w:spacing w:val="0"/>
          <w:sz w:val="21"/>
          <w:szCs w:val="21"/>
          <w:highlight w:val="none"/>
          <w:shd w:val="clear" w:color="auto" w:fill="auto"/>
          <w:lang w:val="en-US" w:eastAsia="zh-CN" w:bidi="ar"/>
        </w:rPr>
        <w:t>微</w:t>
      </w:r>
      <w:r>
        <w:rPr>
          <w:rFonts w:hint="eastAsia" w:hAnsi="宋体" w:cs="宋体"/>
          <w:color w:val="auto"/>
          <w:kern w:val="1"/>
          <w:sz w:val="21"/>
          <w:szCs w:val="21"/>
          <w:highlight w:val="none"/>
          <w:lang w:val="en-US" w:eastAsia="zh-CN"/>
        </w:rPr>
        <w:t>企业</w:t>
      </w:r>
      <w:r>
        <w:rPr>
          <w:rFonts w:hint="eastAsia" w:ascii="宋体" w:hAnsi="宋体" w:eastAsia="宋体" w:cs="宋体"/>
          <w:color w:val="auto"/>
          <w:kern w:val="0"/>
          <w:sz w:val="21"/>
          <w:szCs w:val="21"/>
          <w:highlight w:val="none"/>
          <w:lang w:val="en-US" w:eastAsia="zh-CN" w:bidi="ar"/>
        </w:rPr>
        <w:t>承担</w:t>
      </w:r>
      <w:r>
        <w:rPr>
          <w:rFonts w:hint="eastAsia" w:hAnsi="宋体" w:eastAsia="宋体" w:cs="宋体"/>
          <w:color w:val="auto"/>
          <w:kern w:val="0"/>
          <w:sz w:val="21"/>
          <w:szCs w:val="21"/>
          <w:highlight w:val="none"/>
          <w:lang w:val="en-US" w:eastAsia="zh-CN" w:bidi="ar"/>
        </w:rPr>
        <w:t>工作的</w:t>
      </w:r>
      <w:r>
        <w:rPr>
          <w:rFonts w:hint="eastAsia" w:hAnsi="宋体" w:cs="宋体"/>
          <w:color w:val="auto"/>
          <w:sz w:val="21"/>
          <w:szCs w:val="21"/>
          <w:highlight w:val="none"/>
        </w:rPr>
        <w:t>协议合同</w:t>
      </w:r>
      <w:r>
        <w:rPr>
          <w:rFonts w:hint="eastAsia" w:hAnsi="宋体" w:cs="宋体"/>
          <w:color w:val="auto"/>
          <w:sz w:val="21"/>
          <w:szCs w:val="21"/>
          <w:highlight w:val="none"/>
          <w:lang w:val="en-US" w:eastAsia="zh-CN"/>
        </w:rPr>
        <w:t>份额合计数</w:t>
      </w:r>
      <w:r>
        <w:rPr>
          <w:rFonts w:hint="eastAsia" w:hAnsi="宋体" w:cs="宋体"/>
          <w:color w:val="auto"/>
          <w:sz w:val="21"/>
          <w:szCs w:val="21"/>
          <w:highlight w:val="none"/>
        </w:rPr>
        <w:t>占</w:t>
      </w:r>
      <w:r>
        <w:rPr>
          <w:rFonts w:hint="eastAsia" w:hAnsi="宋体" w:eastAsia="宋体" w:cs="宋体"/>
          <w:color w:val="auto"/>
          <w:sz w:val="21"/>
          <w:szCs w:val="21"/>
          <w:highlight w:val="none"/>
          <w:lang w:eastAsia="zh-CN"/>
        </w:rPr>
        <w:t>本项目</w:t>
      </w:r>
      <w:r>
        <w:rPr>
          <w:rFonts w:hint="eastAsia" w:hAnsi="宋体" w:eastAsia="宋体" w:cs="宋体"/>
          <w:color w:val="auto"/>
          <w:sz w:val="21"/>
          <w:szCs w:val="21"/>
          <w:highlight w:val="none"/>
          <w:lang w:val="en-US" w:eastAsia="zh-CN"/>
        </w:rPr>
        <w:t>投标</w:t>
      </w:r>
      <w:r>
        <w:rPr>
          <w:rFonts w:hint="eastAsia" w:hAnsi="宋体" w:eastAsia="宋体" w:cs="宋体"/>
          <w:color w:val="auto"/>
          <w:sz w:val="21"/>
          <w:szCs w:val="21"/>
          <w:highlight w:val="none"/>
        </w:rPr>
        <w:t>总</w:t>
      </w:r>
      <w:r>
        <w:rPr>
          <w:rFonts w:hint="eastAsia" w:hAnsi="宋体" w:eastAsia="宋体" w:cs="宋体"/>
          <w:color w:val="auto"/>
          <w:sz w:val="21"/>
          <w:szCs w:val="21"/>
          <w:highlight w:val="none"/>
          <w:lang w:val="en-US" w:eastAsia="zh-CN"/>
        </w:rPr>
        <w:t>金</w:t>
      </w:r>
      <w:r>
        <w:rPr>
          <w:rFonts w:hint="eastAsia" w:hAnsi="宋体" w:eastAsia="宋体" w:cs="宋体"/>
          <w:color w:val="auto"/>
          <w:sz w:val="21"/>
          <w:szCs w:val="21"/>
          <w:highlight w:val="none"/>
        </w:rPr>
        <w:t>额</w:t>
      </w:r>
      <w:r>
        <w:rPr>
          <w:rFonts w:hint="eastAsia" w:hAnsi="宋体" w:eastAsia="宋体" w:cs="宋体"/>
          <w:color w:val="auto"/>
          <w:sz w:val="21"/>
          <w:szCs w:val="21"/>
          <w:highlight w:val="none"/>
          <w:lang w:eastAsia="zh-CN"/>
        </w:rPr>
        <w:t>（</w:t>
      </w:r>
      <w:r>
        <w:rPr>
          <w:rFonts w:hint="eastAsia" w:hAnsi="宋体" w:eastAsia="宋体" w:cs="宋体"/>
          <w:color w:val="auto"/>
          <w:sz w:val="21"/>
          <w:szCs w:val="21"/>
          <w:highlight w:val="none"/>
          <w:lang w:val="en-US" w:eastAsia="zh-CN"/>
        </w:rPr>
        <w:t>合同总金额</w:t>
      </w:r>
      <w:r>
        <w:rPr>
          <w:rFonts w:hint="eastAsia" w:hAnsi="宋体" w:eastAsia="宋体" w:cs="宋体"/>
          <w:color w:val="auto"/>
          <w:sz w:val="21"/>
          <w:szCs w:val="21"/>
          <w:highlight w:val="none"/>
          <w:lang w:eastAsia="zh-CN"/>
        </w:rPr>
        <w:t>）</w:t>
      </w:r>
      <w:r>
        <w:rPr>
          <w:rFonts w:hint="eastAsia" w:hAnsi="宋体" w:eastAsia="宋体" w:cs="宋体"/>
          <w:color w:val="auto"/>
          <w:sz w:val="21"/>
          <w:szCs w:val="21"/>
          <w:highlight w:val="none"/>
        </w:rPr>
        <w:t>的</w:t>
      </w:r>
      <w:r>
        <w:rPr>
          <w:rFonts w:hint="eastAsia" w:hAnsi="宋体" w:eastAsia="宋体" w:cs="宋体"/>
          <w:color w:val="auto"/>
          <w:sz w:val="21"/>
          <w:szCs w:val="21"/>
          <w:highlight w:val="none"/>
          <w:u w:val="single"/>
          <w:lang w:val="en-US" w:eastAsia="zh-CN"/>
        </w:rPr>
        <w:t xml:space="preserve">   </w:t>
      </w:r>
      <w:r>
        <w:rPr>
          <w:rFonts w:hint="eastAsia" w:hAnsi="宋体" w:eastAsia="宋体" w:cs="宋体"/>
          <w:color w:val="auto"/>
          <w:sz w:val="21"/>
          <w:szCs w:val="21"/>
          <w:highlight w:val="none"/>
        </w:rPr>
        <w:t>%</w:t>
      </w:r>
      <w:r>
        <w:rPr>
          <w:rFonts w:hint="eastAsia" w:hAnsi="宋体" w:eastAsia="宋体" w:cs="宋体"/>
          <w:color w:val="auto"/>
          <w:sz w:val="21"/>
          <w:szCs w:val="21"/>
          <w:highlight w:val="none"/>
          <w:lang w:val="en-US" w:eastAsia="zh-CN"/>
        </w:rPr>
        <w:t>（大写：百分之</w:t>
      </w:r>
      <w:r>
        <w:rPr>
          <w:rFonts w:hint="eastAsia" w:hAnsi="宋体" w:eastAsia="宋体" w:cs="宋体"/>
          <w:color w:val="auto"/>
          <w:sz w:val="21"/>
          <w:szCs w:val="21"/>
          <w:highlight w:val="none"/>
          <w:u w:val="single"/>
          <w:lang w:val="en-US" w:eastAsia="zh-CN"/>
        </w:rPr>
        <w:t xml:space="preserve">     </w:t>
      </w:r>
      <w:r>
        <w:rPr>
          <w:rFonts w:hint="eastAsia" w:hAnsi="宋体" w:eastAsia="宋体" w:cs="宋体"/>
          <w:color w:val="auto"/>
          <w:sz w:val="21"/>
          <w:szCs w:val="21"/>
          <w:highlight w:val="none"/>
          <w:lang w:val="en-US" w:eastAsia="zh-CN"/>
        </w:rPr>
        <w:t>）</w:t>
      </w:r>
      <w:r>
        <w:rPr>
          <w:rFonts w:hint="eastAsia" w:ascii="Arial" w:hAnsi="Arial" w:eastAsia="宋体" w:cs="Arial"/>
          <w:color w:val="auto"/>
          <w:sz w:val="21"/>
          <w:szCs w:val="21"/>
          <w:highlight w:val="none"/>
          <w:lang w:val="en-US" w:eastAsia="zh-CN"/>
        </w:rPr>
        <w:t>。</w:t>
      </w:r>
    </w:p>
    <w:p>
      <w:pPr>
        <w:snapToGrid w:val="0"/>
        <w:spacing w:line="500" w:lineRule="exact"/>
        <w:ind w:firstLine="420"/>
        <w:rPr>
          <w:rFonts w:hint="eastAsia" w:ascii="宋体" w:hAnsi="宋体" w:eastAsia="宋体" w:cs="宋体"/>
          <w:color w:val="auto"/>
          <w:kern w:val="1"/>
          <w:sz w:val="21"/>
          <w:szCs w:val="21"/>
          <w:highlight w:val="none"/>
        </w:rPr>
      </w:pPr>
      <w:r>
        <w:rPr>
          <w:rFonts w:hint="eastAsia" w:hAnsi="宋体" w:cs="宋体"/>
          <w:color w:val="auto"/>
          <w:kern w:val="1"/>
          <w:sz w:val="21"/>
          <w:szCs w:val="21"/>
          <w:highlight w:val="none"/>
          <w:lang w:val="en-US" w:eastAsia="zh-CN"/>
        </w:rPr>
        <w:t>7</w:t>
      </w:r>
      <w:r>
        <w:rPr>
          <w:rFonts w:hint="eastAsia" w:ascii="宋体" w:hAnsi="宋体" w:eastAsia="宋体" w:cs="宋体"/>
          <w:color w:val="auto"/>
          <w:kern w:val="1"/>
          <w:sz w:val="21"/>
          <w:szCs w:val="21"/>
          <w:highlight w:val="none"/>
        </w:rPr>
        <w:t>.本协议经所有联合体成员盖章和法定代表人或授权代表签字后生效。若本联合体未获得本项目中标资格，本协议有效期与本投标文件有效期一致；若本联合体获得本项目中标资格，则本协议有效期自动延长至招标人与中标人双方履行采购合同结束之日。</w:t>
      </w:r>
    </w:p>
    <w:p>
      <w:pPr>
        <w:snapToGrid w:val="0"/>
        <w:spacing w:line="500" w:lineRule="exact"/>
        <w:ind w:firstLine="420"/>
        <w:rPr>
          <w:rFonts w:hint="eastAsia" w:ascii="宋体" w:hAnsi="宋体" w:eastAsia="宋体" w:cs="宋体"/>
          <w:color w:val="auto"/>
          <w:kern w:val="1"/>
          <w:sz w:val="21"/>
          <w:szCs w:val="21"/>
          <w:highlight w:val="none"/>
        </w:rPr>
      </w:pPr>
      <w:r>
        <w:rPr>
          <w:rFonts w:hint="eastAsia" w:hAnsi="宋体" w:cs="宋体"/>
          <w:color w:val="auto"/>
          <w:kern w:val="1"/>
          <w:sz w:val="21"/>
          <w:szCs w:val="21"/>
          <w:highlight w:val="none"/>
          <w:lang w:val="en-US" w:eastAsia="zh-CN"/>
        </w:rPr>
        <w:t>8</w:t>
      </w:r>
      <w:r>
        <w:rPr>
          <w:rFonts w:hint="eastAsia" w:ascii="宋体" w:hAnsi="宋体" w:eastAsia="宋体" w:cs="宋体"/>
          <w:color w:val="auto"/>
          <w:kern w:val="1"/>
          <w:sz w:val="21"/>
          <w:szCs w:val="21"/>
          <w:highlight w:val="none"/>
        </w:rPr>
        <w:t>.本协议书一式</w:t>
      </w:r>
      <w:r>
        <w:rPr>
          <w:rFonts w:hint="eastAsia" w:ascii="宋体" w:hAnsi="宋体" w:eastAsia="宋体" w:cs="宋体"/>
          <w:color w:val="auto"/>
          <w:kern w:val="1"/>
          <w:sz w:val="21"/>
          <w:szCs w:val="21"/>
          <w:highlight w:val="none"/>
          <w:u w:val="single"/>
        </w:rPr>
        <w:t xml:space="preserve">  </w:t>
      </w:r>
      <w:r>
        <w:rPr>
          <w:rFonts w:hint="eastAsia" w:ascii="宋体" w:hAnsi="宋体" w:eastAsia="宋体" w:cs="宋体"/>
          <w:color w:val="auto"/>
          <w:kern w:val="1"/>
          <w:sz w:val="21"/>
          <w:szCs w:val="21"/>
          <w:highlight w:val="none"/>
        </w:rPr>
        <w:t>份，联合体各方和招标人各执</w:t>
      </w:r>
      <w:r>
        <w:rPr>
          <w:rFonts w:hint="eastAsia" w:ascii="宋体" w:hAnsi="宋体" w:eastAsia="宋体" w:cs="宋体"/>
          <w:color w:val="auto"/>
          <w:kern w:val="1"/>
          <w:sz w:val="21"/>
          <w:szCs w:val="21"/>
          <w:highlight w:val="none"/>
          <w:u w:val="single"/>
        </w:rPr>
        <w:t xml:space="preserve">  </w:t>
      </w:r>
      <w:r>
        <w:rPr>
          <w:rFonts w:hint="eastAsia" w:ascii="宋体" w:hAnsi="宋体" w:eastAsia="宋体" w:cs="宋体"/>
          <w:color w:val="auto"/>
          <w:kern w:val="1"/>
          <w:sz w:val="21"/>
          <w:szCs w:val="21"/>
          <w:highlight w:val="none"/>
        </w:rPr>
        <w:t>份。</w:t>
      </w:r>
    </w:p>
    <w:p>
      <w:pPr>
        <w:snapToGrid w:val="0"/>
        <w:spacing w:line="500" w:lineRule="exact"/>
        <w:ind w:firstLine="420"/>
        <w:rPr>
          <w:rFonts w:hint="eastAsia" w:ascii="宋体" w:hAnsi="宋体" w:eastAsia="宋体" w:cs="宋体"/>
          <w:color w:val="auto"/>
          <w:kern w:val="1"/>
          <w:sz w:val="21"/>
          <w:szCs w:val="21"/>
          <w:highlight w:val="none"/>
        </w:rPr>
      </w:pPr>
      <w:r>
        <w:rPr>
          <w:rFonts w:hint="eastAsia" w:hAnsi="宋体" w:cs="宋体"/>
          <w:color w:val="auto"/>
          <w:kern w:val="1"/>
          <w:sz w:val="21"/>
          <w:szCs w:val="21"/>
          <w:highlight w:val="none"/>
          <w:lang w:val="en-US" w:eastAsia="zh-CN"/>
        </w:rPr>
        <w:t>9</w:t>
      </w:r>
      <w:r>
        <w:rPr>
          <w:rFonts w:hint="eastAsia" w:ascii="宋体" w:hAnsi="宋体" w:eastAsia="宋体" w:cs="宋体"/>
          <w:color w:val="auto"/>
          <w:kern w:val="1"/>
          <w:sz w:val="21"/>
          <w:szCs w:val="21"/>
          <w:highlight w:val="none"/>
        </w:rPr>
        <w:t>.本联合体提供的投标文件以联合体各方盖章或联合体牵头方的盖章有效，签名以联合体各方的授权代表或联合体牵头方的授权代表有效。</w:t>
      </w:r>
    </w:p>
    <w:p>
      <w:pPr>
        <w:snapToGrid w:val="0"/>
        <w:spacing w:line="500" w:lineRule="exact"/>
        <w:ind w:firstLine="420"/>
        <w:rPr>
          <w:rFonts w:hint="eastAsia" w:ascii="宋体" w:hAnsi="宋体" w:eastAsia="宋体" w:cs="宋体"/>
          <w:color w:val="auto"/>
          <w:kern w:val="1"/>
          <w:sz w:val="21"/>
          <w:szCs w:val="21"/>
          <w:highlight w:val="none"/>
        </w:rPr>
      </w:pPr>
      <w:r>
        <w:rPr>
          <w:rFonts w:hint="eastAsia" w:ascii="宋体" w:hAnsi="宋体" w:eastAsia="宋体" w:cs="宋体"/>
          <w:color w:val="auto"/>
          <w:kern w:val="1"/>
          <w:sz w:val="21"/>
          <w:szCs w:val="21"/>
          <w:highlight w:val="none"/>
        </w:rPr>
        <w:t>牵头公司名称（盖单位公章）</w:t>
      </w:r>
      <w:r>
        <w:rPr>
          <w:rFonts w:hint="eastAsia" w:hAnsi="宋体" w:cs="宋体"/>
          <w:color w:val="auto"/>
          <w:kern w:val="1"/>
          <w:sz w:val="21"/>
          <w:szCs w:val="21"/>
          <w:highlight w:val="none"/>
          <w:lang w:eastAsia="zh-CN"/>
        </w:rPr>
        <w:t>：</w:t>
      </w:r>
    </w:p>
    <w:p>
      <w:pPr>
        <w:snapToGrid w:val="0"/>
        <w:spacing w:line="500" w:lineRule="exact"/>
        <w:ind w:firstLine="420"/>
        <w:rPr>
          <w:rFonts w:hint="eastAsia" w:ascii="宋体" w:hAnsi="宋体" w:eastAsia="宋体" w:cs="宋体"/>
          <w:color w:val="auto"/>
          <w:kern w:val="1"/>
          <w:sz w:val="21"/>
          <w:szCs w:val="21"/>
          <w:highlight w:val="none"/>
        </w:rPr>
      </w:pPr>
      <w:r>
        <w:rPr>
          <w:rFonts w:hint="eastAsia" w:ascii="宋体" w:hAnsi="宋体" w:eastAsia="宋体" w:cs="宋体"/>
          <w:color w:val="auto"/>
          <w:kern w:val="1"/>
          <w:sz w:val="21"/>
          <w:szCs w:val="21"/>
          <w:highlight w:val="none"/>
        </w:rPr>
        <w:t>法定代表人（签字或盖章）</w:t>
      </w:r>
      <w:r>
        <w:rPr>
          <w:rFonts w:hint="eastAsia" w:hAnsi="宋体" w:cs="宋体"/>
          <w:color w:val="auto"/>
          <w:kern w:val="1"/>
          <w:sz w:val="21"/>
          <w:szCs w:val="21"/>
          <w:highlight w:val="none"/>
          <w:lang w:eastAsia="zh-CN"/>
        </w:rPr>
        <w:t>：</w:t>
      </w:r>
    </w:p>
    <w:p>
      <w:pPr>
        <w:snapToGrid w:val="0"/>
        <w:spacing w:line="500" w:lineRule="exact"/>
        <w:ind w:firstLine="420"/>
        <w:rPr>
          <w:rFonts w:hint="eastAsia" w:ascii="宋体" w:hAnsi="宋体" w:eastAsia="宋体" w:cs="宋体"/>
          <w:color w:val="auto"/>
          <w:kern w:val="1"/>
          <w:sz w:val="21"/>
          <w:szCs w:val="21"/>
          <w:highlight w:val="none"/>
        </w:rPr>
      </w:pPr>
      <w:r>
        <w:rPr>
          <w:rFonts w:hint="eastAsia" w:ascii="宋体" w:hAnsi="宋体" w:eastAsia="宋体" w:cs="宋体"/>
          <w:color w:val="auto"/>
          <w:kern w:val="1"/>
          <w:sz w:val="21"/>
          <w:szCs w:val="21"/>
          <w:highlight w:val="none"/>
        </w:rPr>
        <w:t>授权代表（签字或盖章）：</w:t>
      </w:r>
    </w:p>
    <w:p>
      <w:pPr>
        <w:snapToGrid w:val="0"/>
        <w:spacing w:line="500" w:lineRule="exact"/>
        <w:ind w:firstLine="420"/>
        <w:rPr>
          <w:rFonts w:hint="eastAsia" w:ascii="宋体" w:hAnsi="宋体" w:eastAsia="宋体" w:cs="宋体"/>
          <w:color w:val="auto"/>
          <w:kern w:val="1"/>
          <w:sz w:val="21"/>
          <w:szCs w:val="21"/>
          <w:highlight w:val="none"/>
        </w:rPr>
      </w:pPr>
      <w:r>
        <w:rPr>
          <w:rFonts w:hint="eastAsia" w:ascii="宋体" w:hAnsi="宋体" w:eastAsia="宋体" w:cs="宋体"/>
          <w:color w:val="auto"/>
          <w:kern w:val="1"/>
          <w:sz w:val="21"/>
          <w:szCs w:val="21"/>
          <w:highlight w:val="none"/>
        </w:rPr>
        <w:t>日期：</w:t>
      </w:r>
    </w:p>
    <w:p>
      <w:pPr>
        <w:snapToGrid w:val="0"/>
        <w:spacing w:line="500" w:lineRule="exact"/>
        <w:ind w:firstLine="420"/>
        <w:rPr>
          <w:rFonts w:hint="eastAsia" w:ascii="宋体" w:hAnsi="宋体" w:eastAsia="宋体" w:cs="宋体"/>
          <w:color w:val="auto"/>
          <w:kern w:val="1"/>
          <w:sz w:val="21"/>
          <w:szCs w:val="21"/>
          <w:highlight w:val="none"/>
        </w:rPr>
      </w:pPr>
      <w:r>
        <w:rPr>
          <w:rFonts w:hint="eastAsia" w:ascii="宋体" w:hAnsi="宋体" w:eastAsia="宋体" w:cs="宋体"/>
          <w:color w:val="auto"/>
          <w:kern w:val="1"/>
          <w:sz w:val="21"/>
          <w:szCs w:val="21"/>
          <w:highlight w:val="none"/>
        </w:rPr>
        <w:t>成员公司名称（盖单位公章）</w:t>
      </w:r>
      <w:r>
        <w:rPr>
          <w:rFonts w:hint="eastAsia" w:hAnsi="宋体" w:cs="宋体"/>
          <w:color w:val="auto"/>
          <w:kern w:val="1"/>
          <w:sz w:val="21"/>
          <w:szCs w:val="21"/>
          <w:highlight w:val="none"/>
          <w:lang w:eastAsia="zh-CN"/>
        </w:rPr>
        <w:t>：</w:t>
      </w:r>
    </w:p>
    <w:p>
      <w:pPr>
        <w:snapToGrid w:val="0"/>
        <w:spacing w:line="500" w:lineRule="exact"/>
        <w:ind w:firstLine="420"/>
        <w:rPr>
          <w:rFonts w:hint="eastAsia" w:ascii="宋体" w:hAnsi="宋体" w:eastAsia="宋体" w:cs="宋体"/>
          <w:color w:val="auto"/>
          <w:kern w:val="1"/>
          <w:sz w:val="21"/>
          <w:szCs w:val="21"/>
          <w:highlight w:val="none"/>
        </w:rPr>
      </w:pPr>
      <w:r>
        <w:rPr>
          <w:rFonts w:hint="eastAsia" w:ascii="宋体" w:hAnsi="宋体" w:eastAsia="宋体" w:cs="宋体"/>
          <w:color w:val="auto"/>
          <w:kern w:val="1"/>
          <w:sz w:val="21"/>
          <w:szCs w:val="21"/>
          <w:highlight w:val="none"/>
        </w:rPr>
        <w:t>法定代表人 （签字或盖章）</w:t>
      </w:r>
      <w:r>
        <w:rPr>
          <w:rFonts w:hint="eastAsia" w:hAnsi="宋体" w:cs="宋体"/>
          <w:color w:val="auto"/>
          <w:kern w:val="1"/>
          <w:sz w:val="21"/>
          <w:szCs w:val="21"/>
          <w:highlight w:val="none"/>
          <w:lang w:eastAsia="zh-CN"/>
        </w:rPr>
        <w:t>：</w:t>
      </w:r>
    </w:p>
    <w:p>
      <w:pPr>
        <w:snapToGrid w:val="0"/>
        <w:spacing w:line="500" w:lineRule="exact"/>
        <w:ind w:firstLine="420"/>
        <w:rPr>
          <w:rFonts w:hint="eastAsia" w:ascii="宋体" w:hAnsi="宋体" w:eastAsia="宋体" w:cs="宋体"/>
          <w:color w:val="auto"/>
          <w:kern w:val="1"/>
          <w:sz w:val="21"/>
          <w:szCs w:val="21"/>
          <w:highlight w:val="none"/>
        </w:rPr>
      </w:pPr>
      <w:r>
        <w:rPr>
          <w:rFonts w:hint="eastAsia" w:ascii="宋体" w:hAnsi="宋体" w:eastAsia="宋体" w:cs="宋体"/>
          <w:color w:val="auto"/>
          <w:kern w:val="1"/>
          <w:sz w:val="21"/>
          <w:szCs w:val="21"/>
          <w:highlight w:val="none"/>
        </w:rPr>
        <w:t>授权代表（签字或盖章）：</w:t>
      </w:r>
    </w:p>
    <w:p>
      <w:pPr>
        <w:snapToGrid w:val="0"/>
        <w:spacing w:line="500" w:lineRule="exact"/>
        <w:ind w:firstLine="420"/>
        <w:rPr>
          <w:rFonts w:hint="eastAsia" w:ascii="宋体" w:hAnsi="宋体" w:eastAsia="宋体" w:cs="宋体"/>
          <w:color w:val="auto"/>
          <w:kern w:val="1"/>
          <w:sz w:val="21"/>
          <w:szCs w:val="21"/>
          <w:highlight w:val="none"/>
        </w:rPr>
      </w:pPr>
      <w:r>
        <w:rPr>
          <w:rFonts w:hint="eastAsia" w:ascii="宋体" w:hAnsi="宋体" w:eastAsia="宋体" w:cs="宋体"/>
          <w:color w:val="auto"/>
          <w:kern w:val="1"/>
          <w:sz w:val="21"/>
          <w:szCs w:val="21"/>
          <w:highlight w:val="none"/>
        </w:rPr>
        <w:t>日期：</w:t>
      </w:r>
    </w:p>
    <w:p>
      <w:pPr>
        <w:ind w:firstLine="723" w:firstLineChars="300"/>
        <w:jc w:val="center"/>
        <w:rPr>
          <w:rFonts w:hint="eastAsia" w:ascii="宋体" w:hAnsi="宋体" w:eastAsia="宋体" w:cs="宋体"/>
          <w:b/>
          <w:color w:val="auto"/>
          <w:sz w:val="24"/>
          <w:szCs w:val="22"/>
          <w:highlight w:val="none"/>
        </w:rPr>
      </w:pPr>
    </w:p>
    <w:p>
      <w:pPr>
        <w:ind w:firstLine="723" w:firstLineChars="300"/>
        <w:jc w:val="center"/>
        <w:rPr>
          <w:rFonts w:hint="eastAsia" w:ascii="宋体" w:hAnsi="宋体" w:eastAsia="宋体" w:cs="宋体"/>
          <w:b/>
          <w:color w:val="auto"/>
          <w:sz w:val="24"/>
          <w:szCs w:val="22"/>
          <w:highlight w:val="none"/>
        </w:rPr>
      </w:pPr>
    </w:p>
    <w:p>
      <w:pPr>
        <w:ind w:firstLine="723" w:firstLineChars="300"/>
        <w:jc w:val="center"/>
        <w:rPr>
          <w:rFonts w:hint="eastAsia" w:ascii="宋体" w:hAnsi="宋体" w:eastAsia="宋体" w:cs="宋体"/>
          <w:b/>
          <w:color w:val="auto"/>
          <w:sz w:val="24"/>
          <w:szCs w:val="22"/>
          <w:highlight w:val="none"/>
        </w:rPr>
      </w:pPr>
      <w:r>
        <w:rPr>
          <w:rFonts w:hint="eastAsia" w:ascii="宋体" w:hAnsi="宋体" w:eastAsia="宋体" w:cs="宋体"/>
          <w:b/>
          <w:color w:val="auto"/>
          <w:sz w:val="24"/>
          <w:szCs w:val="22"/>
          <w:highlight w:val="none"/>
        </w:rPr>
        <w:br w:type="page"/>
      </w:r>
      <w:r>
        <w:rPr>
          <w:rFonts w:hint="eastAsia" w:ascii="宋体" w:hAnsi="宋体" w:eastAsia="宋体" w:cs="宋体"/>
          <w:b/>
          <w:color w:val="auto"/>
          <w:sz w:val="24"/>
          <w:szCs w:val="22"/>
          <w:highlight w:val="none"/>
        </w:rPr>
        <w:t>（2）分包意向协议</w:t>
      </w:r>
    </w:p>
    <w:p>
      <w:pPr>
        <w:spacing w:line="500" w:lineRule="exact"/>
        <w:ind w:firstLine="420" w:firstLineChars="200"/>
        <w:jc w:val="center"/>
        <w:rPr>
          <w:rFonts w:hint="eastAsia" w:ascii="宋体" w:hAnsi="宋体" w:eastAsia="宋体" w:cs="宋体"/>
          <w:b/>
          <w:color w:val="auto"/>
          <w:sz w:val="24"/>
          <w:szCs w:val="22"/>
          <w:highlight w:val="none"/>
        </w:rPr>
      </w:pPr>
      <w:r>
        <w:rPr>
          <w:rFonts w:hint="eastAsia" w:ascii="宋体" w:hAnsi="宋体" w:eastAsia="宋体" w:cs="宋体"/>
          <w:color w:val="auto"/>
          <w:sz w:val="21"/>
          <w:szCs w:val="21"/>
          <w:highlight w:val="none"/>
        </w:rPr>
        <w:t>（分包适用）</w:t>
      </w:r>
    </w:p>
    <w:p>
      <w:pPr>
        <w:snapToGrid w:val="0"/>
        <w:spacing w:line="500" w:lineRule="exact"/>
        <w:ind w:firstLine="420" w:firstLineChars="20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立约方：</w:t>
      </w:r>
    </w:p>
    <w:p>
      <w:pPr>
        <w:snapToGrid w:val="0"/>
        <w:spacing w:line="500" w:lineRule="exact"/>
        <w:ind w:firstLine="420" w:firstLineChars="20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u w:val="single"/>
        </w:rPr>
        <w:t>（投标人名称）</w:t>
      </w:r>
    </w:p>
    <w:p>
      <w:pPr>
        <w:snapToGrid w:val="0"/>
        <w:spacing w:line="500" w:lineRule="exact"/>
        <w:ind w:firstLine="420" w:firstLineChars="20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u w:val="single"/>
        </w:rPr>
        <w:t>（所有接受分包供应商名称）</w:t>
      </w:r>
    </w:p>
    <w:p>
      <w:pPr>
        <w:snapToGrid w:val="0"/>
        <w:spacing w:line="500" w:lineRule="exact"/>
        <w:ind w:firstLine="420" w:firstLineChars="200"/>
        <w:rPr>
          <w:rFonts w:hint="eastAsia" w:ascii="宋体" w:hAnsi="宋体" w:eastAsia="宋体" w:cs="宋体"/>
          <w:color w:val="auto"/>
          <w:sz w:val="21"/>
          <w:szCs w:val="21"/>
          <w:highlight w:val="none"/>
          <w:u w:val="single"/>
        </w:rPr>
      </w:pPr>
    </w:p>
    <w:p>
      <w:pPr>
        <w:snapToGrid w:val="0"/>
        <w:spacing w:line="500" w:lineRule="exact"/>
        <w:ind w:firstLine="420" w:firstLineChars="20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u w:val="single"/>
        </w:rPr>
        <w:t>（投标人名称）</w:t>
      </w:r>
      <w:r>
        <w:rPr>
          <w:rFonts w:hint="eastAsia" w:ascii="宋体" w:hAnsi="宋体" w:eastAsia="宋体" w:cs="宋体"/>
          <w:color w:val="auto"/>
          <w:sz w:val="21"/>
          <w:szCs w:val="21"/>
          <w:highlight w:val="none"/>
        </w:rPr>
        <w:t>就</w:t>
      </w:r>
      <w:r>
        <w:rPr>
          <w:rFonts w:hint="eastAsia" w:ascii="宋体" w:hAnsi="宋体" w:eastAsia="宋体" w:cs="宋体"/>
          <w:color w:val="auto"/>
          <w:sz w:val="21"/>
          <w:szCs w:val="21"/>
          <w:highlight w:val="none"/>
          <w:u w:val="single"/>
        </w:rPr>
        <w:t>（项目名称）（项目编号）</w:t>
      </w:r>
      <w:r>
        <w:rPr>
          <w:rFonts w:hint="eastAsia" w:ascii="宋体" w:hAnsi="宋体" w:eastAsia="宋体" w:cs="宋体"/>
          <w:color w:val="auto"/>
          <w:sz w:val="21"/>
          <w:szCs w:val="21"/>
          <w:highlight w:val="none"/>
        </w:rPr>
        <w:t>的投标事宜，与</w:t>
      </w:r>
      <w:r>
        <w:rPr>
          <w:rFonts w:hint="eastAsia" w:ascii="宋体" w:hAnsi="宋体" w:eastAsia="宋体" w:cs="宋体"/>
          <w:color w:val="auto"/>
          <w:sz w:val="21"/>
          <w:szCs w:val="21"/>
          <w:highlight w:val="none"/>
          <w:u w:val="single"/>
        </w:rPr>
        <w:t>（所有接受分包供应商名称）</w:t>
      </w:r>
      <w:r>
        <w:rPr>
          <w:rFonts w:hint="eastAsia" w:ascii="宋体" w:hAnsi="宋体" w:eastAsia="宋体" w:cs="宋体"/>
          <w:color w:val="auto"/>
          <w:sz w:val="21"/>
          <w:szCs w:val="21"/>
          <w:highlight w:val="none"/>
        </w:rPr>
        <w:t>通过友好协商达成以下协议：</w:t>
      </w:r>
    </w:p>
    <w:p>
      <w:pPr>
        <w:snapToGrid w:val="0"/>
        <w:spacing w:line="500" w:lineRule="exact"/>
        <w:ind w:firstLine="420" w:firstLineChars="20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lang w:val="zh-CN"/>
        </w:rPr>
        <w:t>一、在本次投标有效期内，</w:t>
      </w:r>
      <w:r>
        <w:rPr>
          <w:rFonts w:hint="eastAsia" w:ascii="宋体" w:hAnsi="宋体" w:eastAsia="宋体" w:cs="宋体"/>
          <w:color w:val="auto"/>
          <w:sz w:val="21"/>
          <w:szCs w:val="21"/>
          <w:highlight w:val="none"/>
          <w:u w:val="single"/>
        </w:rPr>
        <w:t>（所有接受分包供应商名称）</w:t>
      </w:r>
      <w:r>
        <w:rPr>
          <w:rFonts w:hint="eastAsia" w:ascii="宋体" w:hAnsi="宋体" w:eastAsia="宋体" w:cs="宋体"/>
          <w:color w:val="auto"/>
          <w:sz w:val="21"/>
          <w:szCs w:val="21"/>
          <w:highlight w:val="none"/>
        </w:rPr>
        <w:t>同意</w:t>
      </w:r>
      <w:r>
        <w:rPr>
          <w:rFonts w:hint="eastAsia" w:ascii="宋体" w:hAnsi="宋体" w:eastAsia="宋体" w:cs="宋体"/>
          <w:color w:val="auto"/>
          <w:sz w:val="21"/>
          <w:szCs w:val="21"/>
          <w:highlight w:val="none"/>
          <w:u w:val="single"/>
        </w:rPr>
        <w:t>（投标人名称</w:t>
      </w:r>
      <w:r>
        <w:rPr>
          <w:rFonts w:hint="eastAsia" w:ascii="宋体" w:hAnsi="宋体" w:eastAsia="宋体" w:cs="宋体"/>
          <w:color w:val="auto"/>
          <w:sz w:val="21"/>
          <w:szCs w:val="21"/>
          <w:highlight w:val="none"/>
        </w:rPr>
        <w:t>）代理上述投标事宜。若中标，各方按照本协议中约定的分工事项，完成各方对应的工作。</w:t>
      </w:r>
    </w:p>
    <w:p>
      <w:pPr>
        <w:snapToGrid w:val="0"/>
        <w:spacing w:line="500" w:lineRule="exact"/>
        <w:ind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二、各方分工</w:t>
      </w:r>
    </w:p>
    <w:p>
      <w:pPr>
        <w:snapToGrid w:val="0"/>
        <w:spacing w:line="500" w:lineRule="exact"/>
        <w:ind w:firstLine="420" w:firstLineChars="20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1.参加本项目政府采购活动工作由</w:t>
      </w:r>
      <w:r>
        <w:rPr>
          <w:rFonts w:hint="eastAsia" w:ascii="宋体" w:hAnsi="宋体" w:eastAsia="宋体" w:cs="宋体"/>
          <w:color w:val="auto"/>
          <w:sz w:val="21"/>
          <w:szCs w:val="21"/>
          <w:highlight w:val="none"/>
          <w:u w:val="single"/>
        </w:rPr>
        <w:t>（投标人名称）</w:t>
      </w:r>
      <w:r>
        <w:rPr>
          <w:rFonts w:hint="eastAsia" w:ascii="宋体" w:hAnsi="宋体" w:eastAsia="宋体" w:cs="宋体"/>
          <w:color w:val="auto"/>
          <w:sz w:val="21"/>
          <w:szCs w:val="21"/>
          <w:highlight w:val="none"/>
        </w:rPr>
        <w:t>负责。</w:t>
      </w:r>
    </w:p>
    <w:p>
      <w:pPr>
        <w:snapToGrid w:val="0"/>
        <w:spacing w:line="500" w:lineRule="exact"/>
        <w:ind w:firstLine="420" w:firstLineChars="20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2.本项目由</w:t>
      </w:r>
      <w:r>
        <w:rPr>
          <w:rFonts w:hint="eastAsia" w:ascii="宋体" w:hAnsi="宋体" w:eastAsia="宋体" w:cs="宋体"/>
          <w:color w:val="auto"/>
          <w:sz w:val="21"/>
          <w:szCs w:val="21"/>
          <w:highlight w:val="none"/>
          <w:u w:val="single"/>
        </w:rPr>
        <w:t>（投标人名称）</w:t>
      </w:r>
      <w:r>
        <w:rPr>
          <w:rFonts w:hint="eastAsia" w:ascii="宋体" w:hAnsi="宋体" w:eastAsia="宋体" w:cs="宋体"/>
          <w:color w:val="auto"/>
          <w:sz w:val="21"/>
          <w:szCs w:val="21"/>
          <w:highlight w:val="none"/>
        </w:rPr>
        <w:t>授权人员负责与采购人联系。</w:t>
      </w:r>
    </w:p>
    <w:p>
      <w:pPr>
        <w:snapToGrid w:val="0"/>
        <w:spacing w:line="500" w:lineRule="exact"/>
        <w:ind w:firstLine="420" w:firstLineChars="20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3.</w:t>
      </w:r>
      <w:r>
        <w:rPr>
          <w:rFonts w:hint="eastAsia" w:ascii="宋体" w:hAnsi="宋体" w:eastAsia="宋体" w:cs="宋体"/>
          <w:color w:val="auto"/>
          <w:sz w:val="21"/>
          <w:szCs w:val="21"/>
          <w:highlight w:val="none"/>
          <w:u w:val="single"/>
        </w:rPr>
        <w:t>（投标人名称）</w:t>
      </w:r>
      <w:r>
        <w:rPr>
          <w:rFonts w:hint="eastAsia" w:ascii="宋体" w:hAnsi="宋体" w:eastAsia="宋体" w:cs="宋体"/>
          <w:color w:val="auto"/>
          <w:sz w:val="21"/>
          <w:szCs w:val="21"/>
          <w:highlight w:val="none"/>
        </w:rPr>
        <w:t>为分包方，拟承担的工作和职责：</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w:t>
      </w:r>
    </w:p>
    <w:p>
      <w:pPr>
        <w:snapToGrid w:val="0"/>
        <w:spacing w:line="500" w:lineRule="exact"/>
        <w:ind w:firstLine="420" w:firstLineChars="20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4.</w:t>
      </w:r>
      <w:r>
        <w:rPr>
          <w:rFonts w:hint="eastAsia" w:ascii="宋体" w:hAnsi="宋体" w:eastAsia="宋体" w:cs="宋体"/>
          <w:color w:val="auto"/>
          <w:sz w:val="21"/>
          <w:szCs w:val="21"/>
          <w:highlight w:val="none"/>
          <w:u w:val="single"/>
        </w:rPr>
        <w:t>（接受分包供应商1名称）</w:t>
      </w:r>
      <w:r>
        <w:rPr>
          <w:rFonts w:hint="eastAsia" w:ascii="宋体" w:hAnsi="宋体" w:eastAsia="宋体" w:cs="宋体"/>
          <w:color w:val="auto"/>
          <w:sz w:val="21"/>
          <w:szCs w:val="21"/>
          <w:highlight w:val="none"/>
        </w:rPr>
        <w:t>为接受分包方，系</w:t>
      </w:r>
      <w:r>
        <w:rPr>
          <w:rFonts w:hint="eastAsia" w:ascii="宋体" w:hAnsi="宋体" w:eastAsia="宋体" w:cs="宋体"/>
          <w:b/>
          <w:color w:val="auto"/>
          <w:kern w:val="1"/>
          <w:sz w:val="21"/>
          <w:szCs w:val="21"/>
          <w:highlight w:val="none"/>
        </w:rPr>
        <w:t>小型/微型企业（</w:t>
      </w:r>
      <w:r>
        <w:rPr>
          <w:rFonts w:hint="eastAsia" w:ascii="宋体" w:hAnsi="宋体" w:eastAsia="宋体" w:cs="宋体"/>
          <w:color w:val="auto"/>
          <w:kern w:val="1"/>
          <w:sz w:val="21"/>
          <w:szCs w:val="21"/>
          <w:highlight w:val="none"/>
        </w:rPr>
        <w:t>请将小微企业的《中小企业声明函》附后），</w:t>
      </w:r>
      <w:r>
        <w:rPr>
          <w:rFonts w:hint="eastAsia" w:ascii="宋体" w:hAnsi="宋体" w:eastAsia="宋体" w:cs="宋体"/>
          <w:color w:val="auto"/>
          <w:sz w:val="21"/>
          <w:szCs w:val="21"/>
          <w:highlight w:val="none"/>
        </w:rPr>
        <w:t>拟承担的工作和职责：</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w:t>
      </w:r>
    </w:p>
    <w:p>
      <w:pPr>
        <w:snapToGrid w:val="0"/>
        <w:spacing w:line="500" w:lineRule="exact"/>
        <w:ind w:firstLine="420" w:firstLineChars="20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u w:val="single"/>
        </w:rPr>
        <w:t>（接受分包供应商2名称）</w:t>
      </w:r>
      <w:r>
        <w:rPr>
          <w:rFonts w:hint="eastAsia" w:ascii="宋体" w:hAnsi="宋体" w:eastAsia="宋体" w:cs="宋体"/>
          <w:color w:val="auto"/>
          <w:sz w:val="21"/>
          <w:szCs w:val="21"/>
          <w:highlight w:val="none"/>
        </w:rPr>
        <w:t>为接受分包方，系</w:t>
      </w:r>
      <w:r>
        <w:rPr>
          <w:rFonts w:hint="eastAsia" w:ascii="宋体" w:hAnsi="宋体" w:eastAsia="宋体" w:cs="宋体"/>
          <w:b/>
          <w:color w:val="auto"/>
          <w:kern w:val="1"/>
          <w:sz w:val="21"/>
          <w:szCs w:val="21"/>
          <w:highlight w:val="none"/>
        </w:rPr>
        <w:t>小型/微型企业（</w:t>
      </w:r>
      <w:r>
        <w:rPr>
          <w:rFonts w:hint="eastAsia" w:ascii="宋体" w:hAnsi="宋体" w:eastAsia="宋体" w:cs="宋体"/>
          <w:color w:val="auto"/>
          <w:kern w:val="1"/>
          <w:sz w:val="21"/>
          <w:szCs w:val="21"/>
          <w:highlight w:val="none"/>
        </w:rPr>
        <w:t>请将小微企业的《中小企业声明函》附后</w:t>
      </w:r>
      <w:r>
        <w:rPr>
          <w:rFonts w:hint="eastAsia" w:ascii="宋体" w:hAnsi="宋体" w:eastAsia="宋体" w:cs="宋体"/>
          <w:b/>
          <w:color w:val="auto"/>
          <w:kern w:val="1"/>
          <w:sz w:val="21"/>
          <w:szCs w:val="21"/>
          <w:highlight w:val="none"/>
        </w:rPr>
        <w:t>）</w:t>
      </w:r>
      <w:r>
        <w:rPr>
          <w:rFonts w:hint="eastAsia" w:ascii="宋体" w:hAnsi="宋体" w:eastAsia="宋体" w:cs="宋体"/>
          <w:color w:val="auto"/>
          <w:kern w:val="1"/>
          <w:sz w:val="21"/>
          <w:szCs w:val="21"/>
          <w:highlight w:val="none"/>
        </w:rPr>
        <w:t>，</w:t>
      </w:r>
      <w:r>
        <w:rPr>
          <w:rFonts w:hint="eastAsia" w:ascii="宋体" w:hAnsi="宋体" w:eastAsia="宋体" w:cs="宋体"/>
          <w:color w:val="auto"/>
          <w:sz w:val="21"/>
          <w:szCs w:val="21"/>
          <w:highlight w:val="none"/>
        </w:rPr>
        <w:t>拟承担的工作和职责：</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w:t>
      </w:r>
    </w:p>
    <w:p>
      <w:pPr>
        <w:snapToGrid w:val="0"/>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p>
    <w:p>
      <w:pPr>
        <w:widowControl/>
        <w:snapToGrid w:val="0"/>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bidi="ar"/>
        </w:rPr>
        <w:t>4.上述接受分包工作的中小企业与分包企业或其他接受分包的中小企业之间不存在直接控股、管理关系。</w:t>
      </w:r>
    </w:p>
    <w:p>
      <w:pPr>
        <w:snapToGrid w:val="0"/>
        <w:spacing w:line="500" w:lineRule="exact"/>
        <w:ind w:firstLine="420" w:firstLineChars="20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5.如中标，由</w:t>
      </w:r>
      <w:r>
        <w:rPr>
          <w:rFonts w:hint="eastAsia" w:ascii="宋体" w:hAnsi="宋体" w:eastAsia="宋体" w:cs="宋体"/>
          <w:color w:val="auto"/>
          <w:sz w:val="21"/>
          <w:szCs w:val="21"/>
          <w:highlight w:val="none"/>
          <w:u w:val="single"/>
        </w:rPr>
        <w:t>（投标人名称）</w:t>
      </w:r>
      <w:r>
        <w:rPr>
          <w:rFonts w:hint="eastAsia" w:ascii="宋体" w:hAnsi="宋体" w:eastAsia="宋体" w:cs="宋体"/>
          <w:color w:val="auto"/>
          <w:sz w:val="21"/>
          <w:szCs w:val="21"/>
          <w:highlight w:val="none"/>
        </w:rPr>
        <w:t>与本项目采购人签订《政府采购合同》，同时，由</w:t>
      </w:r>
      <w:r>
        <w:rPr>
          <w:rFonts w:hint="eastAsia" w:ascii="宋体" w:hAnsi="宋体" w:eastAsia="宋体" w:cs="宋体"/>
          <w:color w:val="auto"/>
          <w:sz w:val="21"/>
          <w:szCs w:val="21"/>
          <w:highlight w:val="none"/>
          <w:u w:val="single"/>
        </w:rPr>
        <w:t>（投标人名称）</w:t>
      </w:r>
      <w:r>
        <w:rPr>
          <w:rFonts w:hint="eastAsia" w:ascii="宋体" w:hAnsi="宋体" w:eastAsia="宋体" w:cs="宋体"/>
          <w:color w:val="auto"/>
          <w:sz w:val="21"/>
          <w:szCs w:val="21"/>
          <w:highlight w:val="none"/>
        </w:rPr>
        <w:t>与各接受分包供应商签订《分包合同》。</w:t>
      </w:r>
      <w:r>
        <w:rPr>
          <w:rFonts w:hint="eastAsia" w:ascii="宋体" w:hAnsi="宋体" w:eastAsia="宋体" w:cs="宋体"/>
          <w:color w:val="auto"/>
          <w:sz w:val="21"/>
          <w:szCs w:val="21"/>
          <w:highlight w:val="none"/>
          <w:u w:val="single"/>
        </w:rPr>
        <w:t>（投标人名称）</w:t>
      </w:r>
      <w:r>
        <w:rPr>
          <w:rFonts w:hint="eastAsia" w:ascii="宋体" w:hAnsi="宋体" w:eastAsia="宋体" w:cs="宋体"/>
          <w:color w:val="auto"/>
          <w:sz w:val="21"/>
          <w:szCs w:val="21"/>
          <w:highlight w:val="none"/>
        </w:rPr>
        <w:t>就采购项目和分包项目向采购人负责，接受分包供应商就分包项目承担责任。</w:t>
      </w:r>
    </w:p>
    <w:p>
      <w:pPr>
        <w:autoSpaceDE/>
        <w:autoSpaceDN/>
        <w:snapToGrid w:val="0"/>
        <w:spacing w:line="500" w:lineRule="exact"/>
        <w:ind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三、本协议在自签署之日起生效，投标有效期内有效；如获中标资格，本协议有效期延续到《政府采购合同》履行完毕之日。</w:t>
      </w:r>
    </w:p>
    <w:p>
      <w:pPr>
        <w:autoSpaceDE/>
        <w:autoSpaceDN/>
        <w:snapToGrid w:val="0"/>
        <w:spacing w:line="500" w:lineRule="exact"/>
        <w:ind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四、本协议书一式</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份，分包意向协议成员</w:t>
      </w:r>
      <w:r>
        <w:rPr>
          <w:rFonts w:hint="eastAsia" w:ascii="宋体" w:hAnsi="宋体" w:eastAsia="宋体" w:cs="宋体"/>
          <w:color w:val="auto"/>
          <w:kern w:val="1"/>
          <w:sz w:val="21"/>
          <w:szCs w:val="21"/>
          <w:highlight w:val="none"/>
        </w:rPr>
        <w:t>和招标人</w:t>
      </w:r>
      <w:r>
        <w:rPr>
          <w:rFonts w:hint="eastAsia" w:ascii="宋体" w:hAnsi="宋体" w:eastAsia="宋体" w:cs="宋体"/>
          <w:color w:val="auto"/>
          <w:sz w:val="21"/>
          <w:szCs w:val="21"/>
          <w:highlight w:val="none"/>
        </w:rPr>
        <w:t>各执</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份。</w:t>
      </w:r>
    </w:p>
    <w:p>
      <w:pPr>
        <w:snapToGrid w:val="0"/>
        <w:spacing w:line="360" w:lineRule="auto"/>
        <w:ind w:firstLine="576"/>
        <w:rPr>
          <w:rFonts w:hint="eastAsia" w:ascii="宋体" w:hAnsi="宋体" w:eastAsia="宋体" w:cs="宋体"/>
          <w:b/>
          <w:color w:val="auto"/>
          <w:sz w:val="21"/>
          <w:szCs w:val="21"/>
          <w:highlight w:val="none"/>
          <w:lang w:val="zh-CN"/>
        </w:rPr>
      </w:pPr>
    </w:p>
    <w:p>
      <w:pPr>
        <w:snapToGrid w:val="0"/>
        <w:spacing w:line="500" w:lineRule="exact"/>
        <w:ind w:firstLine="420"/>
        <w:rPr>
          <w:rFonts w:hint="eastAsia" w:ascii="宋体" w:hAnsi="宋体" w:eastAsia="宋体" w:cs="宋体"/>
          <w:color w:val="auto"/>
          <w:kern w:val="1"/>
          <w:sz w:val="21"/>
          <w:szCs w:val="21"/>
          <w:highlight w:val="none"/>
        </w:rPr>
      </w:pPr>
      <w:r>
        <w:rPr>
          <w:rFonts w:hint="eastAsia" w:ascii="宋体" w:hAnsi="宋体" w:eastAsia="宋体" w:cs="宋体"/>
          <w:color w:val="auto"/>
          <w:kern w:val="1"/>
          <w:sz w:val="21"/>
          <w:szCs w:val="21"/>
          <w:highlight w:val="none"/>
        </w:rPr>
        <w:t>投标人全称（盖单位公章）</w:t>
      </w:r>
      <w:r>
        <w:rPr>
          <w:rFonts w:hint="eastAsia" w:hAnsi="宋体" w:cs="宋体"/>
          <w:color w:val="auto"/>
          <w:kern w:val="1"/>
          <w:sz w:val="21"/>
          <w:szCs w:val="21"/>
          <w:highlight w:val="none"/>
          <w:lang w:eastAsia="zh-CN"/>
        </w:rPr>
        <w:t>：</w:t>
      </w:r>
    </w:p>
    <w:p>
      <w:pPr>
        <w:snapToGrid w:val="0"/>
        <w:spacing w:line="500" w:lineRule="exact"/>
        <w:ind w:firstLine="412" w:firstLineChars="200"/>
        <w:rPr>
          <w:rFonts w:hint="eastAsia" w:ascii="宋体" w:hAnsi="宋体" w:eastAsia="宋体" w:cs="宋体"/>
          <w:color w:val="auto"/>
          <w:sz w:val="21"/>
          <w:szCs w:val="21"/>
          <w:highlight w:val="none"/>
        </w:rPr>
      </w:pPr>
      <w:r>
        <w:rPr>
          <w:rFonts w:hint="eastAsia" w:ascii="宋体" w:hAnsi="宋体" w:eastAsia="宋体" w:cs="宋体"/>
          <w:color w:val="auto"/>
          <w:spacing w:val="-2"/>
          <w:sz w:val="21"/>
          <w:szCs w:val="21"/>
          <w:highlight w:val="none"/>
        </w:rPr>
        <w:t>法定代表人（签字或盖章）：</w:t>
      </w:r>
    </w:p>
    <w:p>
      <w:pPr>
        <w:snapToGrid w:val="0"/>
        <w:spacing w:line="500" w:lineRule="exact"/>
        <w:ind w:firstLine="420"/>
        <w:rPr>
          <w:rFonts w:hint="eastAsia" w:ascii="宋体" w:hAnsi="宋体" w:eastAsia="宋体" w:cs="宋体"/>
          <w:color w:val="auto"/>
          <w:kern w:val="1"/>
          <w:sz w:val="21"/>
          <w:szCs w:val="21"/>
          <w:highlight w:val="none"/>
        </w:rPr>
      </w:pPr>
      <w:r>
        <w:rPr>
          <w:rFonts w:hint="eastAsia" w:ascii="宋体" w:hAnsi="宋体" w:eastAsia="宋体" w:cs="宋体"/>
          <w:color w:val="auto"/>
          <w:kern w:val="1"/>
          <w:sz w:val="21"/>
          <w:szCs w:val="21"/>
          <w:highlight w:val="none"/>
        </w:rPr>
        <w:t>日期：</w:t>
      </w:r>
    </w:p>
    <w:p>
      <w:pPr>
        <w:snapToGrid w:val="0"/>
        <w:spacing w:line="500" w:lineRule="exact"/>
        <w:ind w:firstLine="420"/>
        <w:rPr>
          <w:rFonts w:hint="eastAsia" w:ascii="宋体" w:hAnsi="宋体" w:eastAsia="宋体" w:cs="宋体"/>
          <w:color w:val="auto"/>
          <w:kern w:val="1"/>
          <w:sz w:val="21"/>
          <w:szCs w:val="21"/>
          <w:highlight w:val="none"/>
        </w:rPr>
      </w:pPr>
      <w:r>
        <w:rPr>
          <w:rFonts w:hint="eastAsia" w:ascii="宋体" w:hAnsi="宋体" w:eastAsia="宋体" w:cs="宋体"/>
          <w:color w:val="auto"/>
          <w:kern w:val="1"/>
          <w:sz w:val="21"/>
          <w:szCs w:val="21"/>
          <w:highlight w:val="none"/>
        </w:rPr>
        <w:t>接受分包供应商1名称（盖单位公章）</w:t>
      </w:r>
      <w:r>
        <w:rPr>
          <w:rFonts w:hint="eastAsia" w:hAnsi="宋体" w:cs="宋体"/>
          <w:color w:val="auto"/>
          <w:kern w:val="1"/>
          <w:sz w:val="21"/>
          <w:szCs w:val="21"/>
          <w:highlight w:val="none"/>
          <w:lang w:eastAsia="zh-CN"/>
        </w:rPr>
        <w:t>：</w:t>
      </w:r>
    </w:p>
    <w:p>
      <w:pPr>
        <w:snapToGrid w:val="0"/>
        <w:spacing w:line="500" w:lineRule="exact"/>
        <w:ind w:firstLine="420"/>
        <w:rPr>
          <w:rFonts w:hint="eastAsia" w:ascii="宋体" w:hAnsi="宋体" w:eastAsia="宋体" w:cs="宋体"/>
          <w:color w:val="auto"/>
          <w:kern w:val="1"/>
          <w:sz w:val="21"/>
          <w:szCs w:val="21"/>
          <w:highlight w:val="none"/>
        </w:rPr>
      </w:pPr>
      <w:r>
        <w:rPr>
          <w:rFonts w:hint="eastAsia" w:ascii="宋体" w:hAnsi="宋体" w:eastAsia="宋体" w:cs="宋体"/>
          <w:color w:val="auto"/>
          <w:kern w:val="1"/>
          <w:sz w:val="21"/>
          <w:szCs w:val="21"/>
          <w:highlight w:val="none"/>
        </w:rPr>
        <w:t>法定代表人 （签字或盖章）</w:t>
      </w:r>
      <w:r>
        <w:rPr>
          <w:rFonts w:hint="eastAsia" w:hAnsi="宋体" w:cs="宋体"/>
          <w:color w:val="auto"/>
          <w:kern w:val="1"/>
          <w:sz w:val="21"/>
          <w:szCs w:val="21"/>
          <w:highlight w:val="none"/>
          <w:lang w:eastAsia="zh-CN"/>
        </w:rPr>
        <w:t>：</w:t>
      </w:r>
    </w:p>
    <w:p>
      <w:pPr>
        <w:snapToGrid w:val="0"/>
        <w:spacing w:line="500" w:lineRule="exact"/>
        <w:ind w:firstLine="420"/>
        <w:rPr>
          <w:rFonts w:hint="eastAsia" w:ascii="宋体" w:hAnsi="宋体" w:eastAsia="宋体" w:cs="宋体"/>
          <w:color w:val="auto"/>
          <w:kern w:val="1"/>
          <w:sz w:val="21"/>
          <w:szCs w:val="21"/>
          <w:highlight w:val="none"/>
        </w:rPr>
      </w:pPr>
      <w:r>
        <w:rPr>
          <w:rFonts w:hint="eastAsia" w:ascii="宋体" w:hAnsi="宋体" w:eastAsia="宋体" w:cs="宋体"/>
          <w:color w:val="auto"/>
          <w:kern w:val="1"/>
          <w:sz w:val="21"/>
          <w:szCs w:val="21"/>
          <w:highlight w:val="none"/>
        </w:rPr>
        <w:t>日期：</w:t>
      </w:r>
    </w:p>
    <w:p>
      <w:pPr>
        <w:snapToGrid w:val="0"/>
        <w:spacing w:line="500" w:lineRule="exact"/>
        <w:ind w:firstLine="420"/>
        <w:rPr>
          <w:rFonts w:hint="eastAsia" w:ascii="宋体" w:hAnsi="宋体" w:eastAsia="宋体" w:cs="宋体"/>
          <w:color w:val="auto"/>
          <w:kern w:val="1"/>
          <w:sz w:val="21"/>
          <w:szCs w:val="21"/>
          <w:highlight w:val="none"/>
        </w:rPr>
      </w:pPr>
      <w:r>
        <w:rPr>
          <w:rFonts w:hint="eastAsia" w:ascii="宋体" w:hAnsi="宋体" w:eastAsia="宋体" w:cs="宋体"/>
          <w:color w:val="auto"/>
          <w:kern w:val="1"/>
          <w:sz w:val="21"/>
          <w:szCs w:val="21"/>
          <w:highlight w:val="none"/>
        </w:rPr>
        <w:t>接受分包供应商2名称（盖单位公章）</w:t>
      </w:r>
      <w:r>
        <w:rPr>
          <w:rFonts w:hint="eastAsia" w:hAnsi="宋体" w:cs="宋体"/>
          <w:color w:val="auto"/>
          <w:kern w:val="1"/>
          <w:sz w:val="21"/>
          <w:szCs w:val="21"/>
          <w:highlight w:val="none"/>
          <w:lang w:eastAsia="zh-CN"/>
        </w:rPr>
        <w:t>：</w:t>
      </w:r>
    </w:p>
    <w:p>
      <w:pPr>
        <w:snapToGrid w:val="0"/>
        <w:spacing w:line="500" w:lineRule="exact"/>
        <w:ind w:firstLine="420"/>
        <w:rPr>
          <w:rFonts w:hint="eastAsia" w:ascii="宋体" w:hAnsi="宋体" w:eastAsia="宋体" w:cs="宋体"/>
          <w:color w:val="auto"/>
          <w:kern w:val="1"/>
          <w:sz w:val="21"/>
          <w:szCs w:val="21"/>
          <w:highlight w:val="none"/>
        </w:rPr>
      </w:pPr>
      <w:r>
        <w:rPr>
          <w:rFonts w:hint="eastAsia" w:ascii="宋体" w:hAnsi="宋体" w:eastAsia="宋体" w:cs="宋体"/>
          <w:color w:val="auto"/>
          <w:kern w:val="1"/>
          <w:sz w:val="21"/>
          <w:szCs w:val="21"/>
          <w:highlight w:val="none"/>
        </w:rPr>
        <w:t>法定代表人 （签字或盖章）</w:t>
      </w:r>
      <w:r>
        <w:rPr>
          <w:rFonts w:hint="eastAsia" w:hAnsi="宋体" w:cs="宋体"/>
          <w:color w:val="auto"/>
          <w:kern w:val="1"/>
          <w:sz w:val="21"/>
          <w:szCs w:val="21"/>
          <w:highlight w:val="none"/>
          <w:lang w:eastAsia="zh-CN"/>
        </w:rPr>
        <w:t>：</w:t>
      </w:r>
    </w:p>
    <w:p>
      <w:pPr>
        <w:snapToGrid w:val="0"/>
        <w:spacing w:line="500" w:lineRule="exact"/>
        <w:ind w:firstLine="420"/>
        <w:rPr>
          <w:rFonts w:hint="eastAsia" w:ascii="宋体" w:hAnsi="宋体" w:eastAsia="宋体" w:cs="宋体"/>
          <w:color w:val="auto"/>
          <w:kern w:val="1"/>
          <w:sz w:val="21"/>
          <w:szCs w:val="21"/>
          <w:highlight w:val="none"/>
        </w:rPr>
      </w:pPr>
      <w:r>
        <w:rPr>
          <w:rFonts w:hint="eastAsia" w:ascii="宋体" w:hAnsi="宋体" w:eastAsia="宋体" w:cs="宋体"/>
          <w:color w:val="auto"/>
          <w:kern w:val="1"/>
          <w:sz w:val="21"/>
          <w:szCs w:val="21"/>
          <w:highlight w:val="none"/>
        </w:rPr>
        <w:t>日期：</w:t>
      </w:r>
    </w:p>
    <w:p>
      <w:pPr>
        <w:snapToGrid w:val="0"/>
        <w:ind w:firstLine="480" w:firstLineChars="200"/>
        <w:outlineLvl w:val="1"/>
        <w:rPr>
          <w:rFonts w:hint="eastAsia" w:ascii="宋体" w:hAnsi="宋体" w:eastAsia="宋体" w:cs="宋体"/>
          <w:b/>
          <w:bCs/>
          <w:color w:val="auto"/>
          <w:sz w:val="24"/>
          <w:highlight w:val="none"/>
        </w:rPr>
      </w:pPr>
      <w:r>
        <w:rPr>
          <w:rFonts w:hint="eastAsia" w:ascii="宋体" w:hAnsi="宋体" w:eastAsia="宋体" w:cs="宋体"/>
          <w:color w:val="auto"/>
          <w:sz w:val="24"/>
          <w:highlight w:val="none"/>
        </w:rPr>
        <w:br w:type="page"/>
      </w:r>
      <w:r>
        <w:rPr>
          <w:rFonts w:hint="eastAsia" w:ascii="宋体" w:hAnsi="宋体" w:eastAsia="宋体" w:cs="宋体"/>
          <w:b/>
          <w:bCs/>
          <w:color w:val="auto"/>
          <w:sz w:val="24"/>
          <w:highlight w:val="none"/>
        </w:rPr>
        <w:t>（二）商务技术文件</w:t>
      </w:r>
    </w:p>
    <w:p>
      <w:pPr>
        <w:autoSpaceDE/>
        <w:autoSpaceDN/>
        <w:adjustRightInd/>
        <w:spacing w:line="500" w:lineRule="exact"/>
        <w:ind w:firstLine="482" w:firstLineChars="200"/>
        <w:jc w:val="both"/>
        <w:rPr>
          <w:rFonts w:hint="eastAsia" w:ascii="宋体" w:hAnsi="宋体" w:eastAsia="宋体" w:cs="宋体"/>
          <w:color w:val="auto"/>
          <w:sz w:val="21"/>
          <w:szCs w:val="21"/>
          <w:highlight w:val="none"/>
        </w:rPr>
      </w:pPr>
      <w:r>
        <w:rPr>
          <w:rFonts w:hint="eastAsia" w:ascii="宋体" w:hAnsi="宋体" w:eastAsia="宋体" w:cs="宋体"/>
          <w:b/>
          <w:bCs/>
          <w:color w:val="auto"/>
          <w:sz w:val="24"/>
          <w:highlight w:val="none"/>
        </w:rPr>
        <w:t>商务技术文件目录</w:t>
      </w:r>
    </w:p>
    <w:p>
      <w:pPr>
        <w:autoSpaceDE/>
        <w:autoSpaceDN/>
        <w:adjustRightInd/>
        <w:spacing w:line="500" w:lineRule="exact"/>
        <w:ind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（1）投标人技术商务标自评得分汇总表；（格式内容参照技术商务评分表，格式见附件）；</w:t>
      </w:r>
    </w:p>
    <w:p>
      <w:pPr>
        <w:autoSpaceDE/>
        <w:autoSpaceDN/>
        <w:adjustRightInd/>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（2）投标人（或联合体投标人牵头单位）法定代表人身份证明、</w:t>
      </w:r>
      <w:r>
        <w:rPr>
          <w:rFonts w:hint="eastAsia" w:ascii="宋体" w:hAnsi="宋体" w:eastAsia="宋体" w:cs="宋体"/>
          <w:color w:val="auto"/>
          <w:sz w:val="21"/>
          <w:highlight w:val="none"/>
        </w:rPr>
        <w:t>法定代表人授权委托书</w:t>
      </w:r>
      <w:r>
        <w:rPr>
          <w:rFonts w:hint="eastAsia" w:ascii="宋体" w:hAnsi="宋体" w:eastAsia="宋体" w:cs="宋体"/>
          <w:color w:val="auto"/>
          <w:sz w:val="21"/>
          <w:szCs w:val="21"/>
          <w:highlight w:val="none"/>
        </w:rPr>
        <w:t>（格式见附件，如法定代表人本人参加的，则仅须提供法定代表人身份证明及法定代表人身份证复印件）；</w:t>
      </w:r>
    </w:p>
    <w:p>
      <w:pPr>
        <w:autoSpaceDE/>
        <w:autoSpaceDN/>
        <w:adjustRightInd/>
        <w:spacing w:line="500" w:lineRule="exact"/>
        <w:ind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（3）投标人（包括投标联合体各方）情况表（格式见附件）；</w:t>
      </w:r>
    </w:p>
    <w:p>
      <w:pPr>
        <w:autoSpaceDE/>
        <w:autoSpaceDN/>
        <w:adjustRightInd/>
        <w:spacing w:line="500" w:lineRule="exact"/>
        <w:ind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（4）投标人（包括投标联合体各方）类似案例成功的业绩（须提供对应采购合同复印件等相关资料）（加盖公章）（格式见附件）；</w:t>
      </w:r>
    </w:p>
    <w:p>
      <w:pPr>
        <w:spacing w:line="500" w:lineRule="exact"/>
        <w:ind w:firstLine="420" w:firstLineChars="200"/>
        <w:rPr>
          <w:rFonts w:hint="eastAsia" w:ascii="宋体" w:hAnsi="宋体" w:eastAsia="宋体" w:cs="宋体"/>
          <w:color w:val="auto"/>
          <w:highlight w:val="none"/>
        </w:rPr>
      </w:pPr>
      <w:r>
        <w:rPr>
          <w:rFonts w:hint="eastAsia" w:ascii="宋体" w:hAnsi="宋体" w:eastAsia="宋体" w:cs="宋体"/>
          <w:color w:val="auto"/>
          <w:sz w:val="21"/>
          <w:szCs w:val="21"/>
          <w:highlight w:val="none"/>
        </w:rPr>
        <w:t>（5）投标人（包括投标联合体各方）拟投入本项目的服务人员配置表（格式见附件）；</w:t>
      </w:r>
    </w:p>
    <w:p>
      <w:pPr>
        <w:keepNext w:val="0"/>
        <w:keepLines w:val="0"/>
        <w:pageBreakBefore w:val="0"/>
        <w:kinsoku/>
        <w:wordWrap/>
        <w:overflowPunct/>
        <w:topLinePunct w:val="0"/>
        <w:bidi w:val="0"/>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hAnsi="宋体" w:cs="宋体"/>
          <w:color w:val="auto"/>
          <w:sz w:val="21"/>
          <w:szCs w:val="21"/>
          <w:highlight w:val="none"/>
          <w:lang w:val="en-US" w:eastAsia="zh-CN"/>
        </w:rPr>
        <w:t>6</w:t>
      </w:r>
      <w:r>
        <w:rPr>
          <w:rFonts w:hint="eastAsia" w:ascii="宋体" w:hAnsi="宋体" w:eastAsia="宋体" w:cs="宋体"/>
          <w:color w:val="auto"/>
          <w:sz w:val="21"/>
          <w:szCs w:val="21"/>
          <w:highlight w:val="none"/>
        </w:rPr>
        <w:t>）服务要求响应表（格式见附件）；</w:t>
      </w:r>
    </w:p>
    <w:p>
      <w:pPr>
        <w:keepNext w:val="0"/>
        <w:keepLines w:val="0"/>
        <w:pageBreakBefore w:val="0"/>
        <w:kinsoku/>
        <w:wordWrap/>
        <w:overflowPunct/>
        <w:topLinePunct w:val="0"/>
        <w:bidi w:val="0"/>
        <w:snapToGrid w:val="0"/>
        <w:spacing w:line="500" w:lineRule="exact"/>
        <w:ind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w:t>
      </w:r>
      <w:r>
        <w:rPr>
          <w:rFonts w:hint="eastAsia" w:hAnsi="宋体" w:cs="宋体"/>
          <w:color w:val="auto"/>
          <w:sz w:val="21"/>
          <w:szCs w:val="21"/>
          <w:highlight w:val="none"/>
          <w:lang w:val="en-US" w:eastAsia="zh-CN"/>
        </w:rPr>
        <w:t>7</w:t>
      </w:r>
      <w:r>
        <w:rPr>
          <w:rFonts w:hint="eastAsia" w:ascii="宋体" w:hAnsi="宋体" w:eastAsia="宋体" w:cs="宋体"/>
          <w:color w:val="auto"/>
          <w:sz w:val="21"/>
          <w:szCs w:val="21"/>
          <w:highlight w:val="none"/>
        </w:rPr>
        <w:t>）服务计划书（至少应包括对本项目采购人所需服务的总体认识、项目实施方案、服务响应的承诺、服务质量保证措施及</w:t>
      </w:r>
      <w:r>
        <w:rPr>
          <w:rFonts w:hint="eastAsia" w:hAnsi="宋体" w:cs="宋体"/>
          <w:color w:val="auto"/>
          <w:sz w:val="21"/>
          <w:szCs w:val="21"/>
          <w:highlight w:val="none"/>
          <w:lang w:val="en-US" w:eastAsia="zh-CN"/>
        </w:rPr>
        <w:t>采购文件中要求的</w:t>
      </w:r>
      <w:r>
        <w:rPr>
          <w:rFonts w:hint="eastAsia" w:ascii="宋体" w:hAnsi="宋体" w:eastAsia="宋体" w:cs="宋体"/>
          <w:color w:val="auto"/>
          <w:sz w:val="21"/>
          <w:szCs w:val="21"/>
          <w:highlight w:val="none"/>
        </w:rPr>
        <w:t>承诺等内容</w:t>
      </w:r>
      <w:r>
        <w:rPr>
          <w:rFonts w:hint="eastAsia" w:hAnsi="宋体" w:cs="宋体"/>
          <w:color w:val="auto"/>
          <w:sz w:val="21"/>
          <w:szCs w:val="21"/>
          <w:highlight w:val="none"/>
          <w:lang w:eastAsia="zh-CN"/>
        </w:rPr>
        <w:t>；</w:t>
      </w:r>
    </w:p>
    <w:p>
      <w:pPr>
        <w:keepNext w:val="0"/>
        <w:keepLines w:val="0"/>
        <w:pageBreakBefore w:val="0"/>
        <w:kinsoku/>
        <w:wordWrap/>
        <w:overflowPunct/>
        <w:topLinePunct w:val="0"/>
        <w:bidi w:val="0"/>
        <w:snapToGrid w:val="0"/>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hAnsi="宋体" w:cs="宋体"/>
          <w:color w:val="auto"/>
          <w:sz w:val="21"/>
          <w:szCs w:val="21"/>
          <w:highlight w:val="none"/>
          <w:lang w:val="en-US" w:eastAsia="zh-CN"/>
        </w:rPr>
        <w:t>8</w:t>
      </w:r>
      <w:r>
        <w:rPr>
          <w:rFonts w:hint="eastAsia" w:ascii="宋体" w:hAnsi="宋体" w:eastAsia="宋体" w:cs="宋体"/>
          <w:color w:val="auto"/>
          <w:sz w:val="21"/>
          <w:szCs w:val="21"/>
          <w:highlight w:val="none"/>
        </w:rPr>
        <w:t>）优惠条件：</w:t>
      </w:r>
      <w:r>
        <w:rPr>
          <w:rFonts w:hint="eastAsia" w:ascii="宋体" w:hAnsi="宋体" w:eastAsia="宋体" w:cs="宋体"/>
          <w:color w:val="auto"/>
          <w:sz w:val="21"/>
          <w:szCs w:val="21"/>
          <w:highlight w:val="none"/>
          <w:lang w:eastAsia="zh-CN"/>
        </w:rPr>
        <w:t>投标人</w:t>
      </w:r>
      <w:r>
        <w:rPr>
          <w:rFonts w:hint="eastAsia" w:ascii="宋体" w:hAnsi="宋体" w:eastAsia="宋体" w:cs="宋体"/>
          <w:color w:val="auto"/>
          <w:sz w:val="21"/>
          <w:szCs w:val="21"/>
          <w:highlight w:val="none"/>
        </w:rPr>
        <w:t xml:space="preserve">承诺给予采购人的各种优惠条件，包括其他优惠服务、公益服务或增值服务； </w:t>
      </w:r>
    </w:p>
    <w:p>
      <w:pPr>
        <w:keepNext w:val="0"/>
        <w:keepLines w:val="0"/>
        <w:pageBreakBefore w:val="0"/>
        <w:kinsoku/>
        <w:wordWrap/>
        <w:overflowPunct/>
        <w:topLinePunct w:val="0"/>
        <w:autoSpaceDE/>
        <w:autoSpaceDN/>
        <w:bidi w:val="0"/>
        <w:adjustRightInd/>
        <w:spacing w:line="50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hAnsi="宋体" w:cs="宋体"/>
          <w:color w:val="auto"/>
          <w:sz w:val="21"/>
          <w:szCs w:val="21"/>
          <w:highlight w:val="none"/>
          <w:lang w:val="en-US" w:eastAsia="zh-CN"/>
        </w:rPr>
        <w:t>9</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投标人</w:t>
      </w:r>
      <w:r>
        <w:rPr>
          <w:rFonts w:hint="eastAsia" w:ascii="宋体" w:hAnsi="宋体" w:eastAsia="宋体" w:cs="宋体"/>
          <w:color w:val="auto"/>
          <w:sz w:val="21"/>
          <w:szCs w:val="21"/>
          <w:highlight w:val="none"/>
        </w:rPr>
        <w:t>对本项目的合理化建议和改进措施；</w:t>
      </w:r>
    </w:p>
    <w:p>
      <w:pPr>
        <w:autoSpaceDE/>
        <w:autoSpaceDN/>
        <w:adjustRightInd/>
        <w:spacing w:line="500" w:lineRule="exact"/>
        <w:ind w:firstLine="420" w:firstLineChars="200"/>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w:t>
      </w:r>
      <w:r>
        <w:rPr>
          <w:rFonts w:hint="eastAsia" w:hAnsi="宋体" w:cs="宋体"/>
          <w:color w:val="auto"/>
          <w:sz w:val="21"/>
          <w:szCs w:val="21"/>
          <w:highlight w:val="none"/>
          <w:lang w:val="en-US" w:eastAsia="zh-CN"/>
        </w:rPr>
        <w:t>10</w:t>
      </w:r>
      <w:r>
        <w:rPr>
          <w:rFonts w:hint="eastAsia" w:ascii="宋体" w:hAnsi="宋体" w:eastAsia="宋体" w:cs="宋体"/>
          <w:color w:val="auto"/>
          <w:sz w:val="21"/>
          <w:szCs w:val="21"/>
          <w:highlight w:val="none"/>
        </w:rPr>
        <w:t>）评分规则中涉及的所需提供的资料</w:t>
      </w:r>
      <w:r>
        <w:rPr>
          <w:rFonts w:hint="eastAsia" w:ascii="宋体" w:hAnsi="宋体" w:eastAsia="宋体" w:cs="宋体"/>
          <w:color w:val="auto"/>
          <w:sz w:val="21"/>
          <w:szCs w:val="21"/>
          <w:highlight w:val="none"/>
          <w:lang w:eastAsia="zh-CN"/>
        </w:rPr>
        <w:t>、投标人</w:t>
      </w:r>
      <w:r>
        <w:rPr>
          <w:rFonts w:hint="eastAsia" w:ascii="宋体" w:hAnsi="宋体" w:eastAsia="宋体" w:cs="宋体"/>
          <w:color w:val="auto"/>
          <w:sz w:val="21"/>
          <w:szCs w:val="21"/>
          <w:highlight w:val="none"/>
        </w:rPr>
        <w:t>需要说明的其他文件和说明（格式略）。</w:t>
      </w:r>
    </w:p>
    <w:p>
      <w:pPr>
        <w:autoSpaceDE/>
        <w:autoSpaceDN/>
        <w:adjustRightInd/>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bCs/>
          <w:color w:val="auto"/>
          <w:sz w:val="21"/>
          <w:szCs w:val="21"/>
          <w:highlight w:val="none"/>
        </w:rPr>
        <w:t>★</w:t>
      </w:r>
      <w:r>
        <w:rPr>
          <w:rFonts w:hint="eastAsia" w:ascii="宋体" w:hAnsi="宋体" w:eastAsia="宋体" w:cs="宋体"/>
          <w:b/>
          <w:color w:val="auto"/>
          <w:sz w:val="21"/>
          <w:szCs w:val="21"/>
          <w:highlight w:val="none"/>
        </w:rPr>
        <w:t>注：</w:t>
      </w:r>
      <w:r>
        <w:rPr>
          <w:rFonts w:hint="eastAsia" w:ascii="宋体" w:hAnsi="宋体" w:eastAsia="宋体" w:cs="宋体"/>
          <w:b/>
          <w:bCs/>
          <w:color w:val="auto"/>
          <w:sz w:val="21"/>
          <w:szCs w:val="21"/>
          <w:highlight w:val="none"/>
        </w:rPr>
        <w:t>商务技术文件</w:t>
      </w:r>
      <w:r>
        <w:rPr>
          <w:rFonts w:hint="eastAsia" w:ascii="宋体" w:hAnsi="宋体" w:eastAsia="宋体" w:cs="宋体"/>
          <w:b/>
          <w:color w:val="auto"/>
          <w:sz w:val="21"/>
          <w:szCs w:val="21"/>
          <w:highlight w:val="none"/>
        </w:rPr>
        <w:t>中不得含有报价的信息，否则按投标无效处理。</w:t>
      </w:r>
    </w:p>
    <w:p>
      <w:pPr>
        <w:autoSpaceDE/>
        <w:autoSpaceDN/>
        <w:adjustRightInd/>
        <w:spacing w:line="500" w:lineRule="exact"/>
        <w:ind w:firstLine="420" w:firstLineChars="200"/>
        <w:rPr>
          <w:rFonts w:hint="eastAsia" w:ascii="宋体" w:hAnsi="宋体" w:eastAsia="宋体" w:cs="宋体"/>
          <w:color w:val="auto"/>
          <w:sz w:val="21"/>
          <w:szCs w:val="21"/>
          <w:highlight w:val="none"/>
        </w:rPr>
      </w:pPr>
    </w:p>
    <w:p>
      <w:pPr>
        <w:autoSpaceDE/>
        <w:autoSpaceDN/>
        <w:adjustRightInd/>
        <w:spacing w:line="500" w:lineRule="exact"/>
        <w:ind w:firstLine="420" w:firstLineChars="200"/>
        <w:jc w:val="both"/>
        <w:rPr>
          <w:rFonts w:hint="eastAsia" w:ascii="宋体" w:hAnsi="宋体" w:eastAsia="宋体" w:cs="宋体"/>
          <w:color w:val="auto"/>
          <w:sz w:val="21"/>
          <w:szCs w:val="21"/>
          <w:highlight w:val="none"/>
        </w:rPr>
      </w:pPr>
    </w:p>
    <w:p>
      <w:pPr>
        <w:autoSpaceDE/>
        <w:autoSpaceDN/>
        <w:adjustRightInd/>
        <w:spacing w:line="500" w:lineRule="exact"/>
        <w:ind w:firstLine="420" w:firstLineChars="200"/>
        <w:jc w:val="both"/>
        <w:rPr>
          <w:rFonts w:hint="eastAsia" w:ascii="宋体" w:hAnsi="宋体" w:eastAsia="宋体" w:cs="宋体"/>
          <w:color w:val="auto"/>
          <w:sz w:val="21"/>
          <w:szCs w:val="21"/>
          <w:highlight w:val="none"/>
        </w:rPr>
      </w:pPr>
    </w:p>
    <w:p>
      <w:pPr>
        <w:autoSpaceDE/>
        <w:autoSpaceDN/>
        <w:adjustRightInd/>
        <w:spacing w:line="500" w:lineRule="exact"/>
        <w:ind w:firstLine="420" w:firstLineChars="200"/>
        <w:jc w:val="both"/>
        <w:rPr>
          <w:rFonts w:hint="eastAsia" w:ascii="宋体" w:hAnsi="宋体" w:eastAsia="宋体" w:cs="宋体"/>
          <w:color w:val="auto"/>
          <w:sz w:val="21"/>
          <w:szCs w:val="21"/>
          <w:highlight w:val="none"/>
        </w:rPr>
      </w:pPr>
    </w:p>
    <w:p>
      <w:pPr>
        <w:autoSpaceDE/>
        <w:autoSpaceDN/>
        <w:adjustRightInd/>
        <w:spacing w:line="500" w:lineRule="exact"/>
        <w:ind w:firstLine="420" w:firstLineChars="200"/>
        <w:jc w:val="both"/>
        <w:rPr>
          <w:rFonts w:hint="eastAsia" w:ascii="宋体" w:hAnsi="宋体" w:eastAsia="宋体" w:cs="宋体"/>
          <w:color w:val="auto"/>
          <w:sz w:val="21"/>
          <w:szCs w:val="21"/>
          <w:highlight w:val="none"/>
        </w:rPr>
      </w:pPr>
    </w:p>
    <w:p>
      <w:pPr>
        <w:snapToGrid w:val="0"/>
        <w:spacing w:before="50" w:after="5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w:t>
      </w:r>
      <w:r>
        <w:rPr>
          <w:rFonts w:hint="eastAsia" w:hAnsi="宋体" w:cs="宋体"/>
          <w:b/>
          <w:color w:val="auto"/>
          <w:sz w:val="24"/>
          <w:highlight w:val="none"/>
          <w:lang w:val="en-US" w:eastAsia="zh-CN"/>
        </w:rPr>
        <w:t>投标人</w:t>
      </w:r>
      <w:r>
        <w:rPr>
          <w:rFonts w:hint="eastAsia" w:hAnsi="宋体" w:cs="宋体"/>
          <w:b/>
          <w:color w:val="auto"/>
          <w:sz w:val="24"/>
          <w:highlight w:val="none"/>
          <w:lang w:eastAsia="zh-CN"/>
        </w:rPr>
        <w:t>商务技术</w:t>
      </w:r>
      <w:r>
        <w:rPr>
          <w:rFonts w:hint="eastAsia" w:ascii="宋体" w:hAnsi="宋体" w:eastAsia="宋体" w:cs="宋体"/>
          <w:b/>
          <w:color w:val="auto"/>
          <w:sz w:val="24"/>
          <w:highlight w:val="none"/>
        </w:rPr>
        <w:t>标自评得分汇总表（格式参照</w:t>
      </w:r>
      <w:r>
        <w:rPr>
          <w:rFonts w:hint="eastAsia" w:hAnsi="宋体" w:cs="宋体"/>
          <w:b/>
          <w:color w:val="auto"/>
          <w:sz w:val="24"/>
          <w:highlight w:val="none"/>
          <w:lang w:eastAsia="zh-CN"/>
        </w:rPr>
        <w:t>商务技术</w:t>
      </w:r>
      <w:r>
        <w:rPr>
          <w:rFonts w:hint="eastAsia" w:ascii="宋体" w:hAnsi="宋体" w:eastAsia="宋体" w:cs="宋体"/>
          <w:b/>
          <w:color w:val="auto"/>
          <w:sz w:val="24"/>
          <w:highlight w:val="none"/>
        </w:rPr>
        <w:t>评分表，需标注对应页码）</w:t>
      </w:r>
    </w:p>
    <w:tbl>
      <w:tblPr>
        <w:tblStyle w:val="20"/>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0"/>
        <w:gridCol w:w="1717"/>
        <w:gridCol w:w="2533"/>
        <w:gridCol w:w="885"/>
        <w:gridCol w:w="1285"/>
        <w:gridCol w:w="2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447" w:type="pct"/>
            <w:noWrap w:val="0"/>
            <w:vAlign w:val="center"/>
          </w:tcPr>
          <w:p>
            <w:pPr>
              <w:widowControl/>
              <w:autoSpaceDE/>
              <w:autoSpaceDN/>
              <w:adjustRightInd/>
              <w:snapToGrid w:val="0"/>
              <w:spacing w:line="4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序号</w:t>
            </w:r>
          </w:p>
        </w:tc>
        <w:tc>
          <w:tcPr>
            <w:tcW w:w="902" w:type="pct"/>
            <w:noWrap w:val="0"/>
            <w:vAlign w:val="center"/>
          </w:tcPr>
          <w:p>
            <w:pPr>
              <w:widowControl/>
              <w:autoSpaceDE/>
              <w:autoSpaceDN/>
              <w:adjustRightInd/>
              <w:snapToGrid w:val="0"/>
              <w:spacing w:line="4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评分项目</w:t>
            </w:r>
          </w:p>
        </w:tc>
        <w:tc>
          <w:tcPr>
            <w:tcW w:w="1331" w:type="pct"/>
            <w:noWrap w:val="0"/>
            <w:vAlign w:val="center"/>
          </w:tcPr>
          <w:p>
            <w:pPr>
              <w:widowControl/>
              <w:autoSpaceDE/>
              <w:autoSpaceDN/>
              <w:adjustRightInd/>
              <w:snapToGrid w:val="0"/>
              <w:spacing w:line="4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评标要点及说明</w:t>
            </w:r>
          </w:p>
        </w:tc>
        <w:tc>
          <w:tcPr>
            <w:tcW w:w="465" w:type="pct"/>
            <w:noWrap w:val="0"/>
            <w:vAlign w:val="center"/>
          </w:tcPr>
          <w:p>
            <w:pPr>
              <w:widowControl/>
              <w:autoSpaceDE/>
              <w:autoSpaceDN/>
              <w:adjustRightInd/>
              <w:snapToGrid w:val="0"/>
              <w:spacing w:line="4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分值</w:t>
            </w:r>
          </w:p>
        </w:tc>
        <w:tc>
          <w:tcPr>
            <w:tcW w:w="675" w:type="pct"/>
            <w:noWrap w:val="0"/>
            <w:vAlign w:val="center"/>
          </w:tcPr>
          <w:p>
            <w:pPr>
              <w:widowControl/>
              <w:autoSpaceDE/>
              <w:autoSpaceDN/>
              <w:adjustRightInd/>
              <w:snapToGrid w:val="0"/>
              <w:spacing w:line="4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自评分</w:t>
            </w:r>
          </w:p>
        </w:tc>
        <w:tc>
          <w:tcPr>
            <w:tcW w:w="1177" w:type="pct"/>
            <w:noWrap w:val="0"/>
            <w:vAlign w:val="center"/>
          </w:tcPr>
          <w:p>
            <w:pPr>
              <w:widowControl/>
              <w:autoSpaceDE/>
              <w:autoSpaceDN/>
              <w:adjustRightInd/>
              <w:snapToGrid w:val="0"/>
              <w:spacing w:line="4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投标文件响应页码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447" w:type="pct"/>
            <w:noWrap w:val="0"/>
            <w:vAlign w:val="center"/>
          </w:tcPr>
          <w:p>
            <w:pPr>
              <w:widowControl/>
              <w:autoSpaceDE/>
              <w:autoSpaceDN/>
              <w:adjustRightInd/>
              <w:snapToGrid w:val="0"/>
              <w:spacing w:line="460" w:lineRule="exact"/>
              <w:jc w:val="center"/>
              <w:rPr>
                <w:rFonts w:hint="eastAsia" w:ascii="宋体" w:hAnsi="宋体" w:eastAsia="宋体" w:cs="宋体"/>
                <w:color w:val="auto"/>
                <w:sz w:val="21"/>
                <w:szCs w:val="21"/>
                <w:highlight w:val="none"/>
              </w:rPr>
            </w:pPr>
          </w:p>
        </w:tc>
        <w:tc>
          <w:tcPr>
            <w:tcW w:w="902" w:type="pct"/>
            <w:noWrap w:val="0"/>
            <w:vAlign w:val="center"/>
          </w:tcPr>
          <w:p>
            <w:pPr>
              <w:widowControl/>
              <w:autoSpaceDE/>
              <w:autoSpaceDN/>
              <w:adjustRightInd/>
              <w:snapToGrid w:val="0"/>
              <w:spacing w:line="460" w:lineRule="exact"/>
              <w:jc w:val="center"/>
              <w:rPr>
                <w:rFonts w:hint="eastAsia" w:ascii="宋体" w:hAnsi="宋体" w:eastAsia="宋体" w:cs="宋体"/>
                <w:color w:val="auto"/>
                <w:sz w:val="21"/>
                <w:szCs w:val="21"/>
                <w:highlight w:val="none"/>
              </w:rPr>
            </w:pPr>
          </w:p>
        </w:tc>
        <w:tc>
          <w:tcPr>
            <w:tcW w:w="1331" w:type="pct"/>
            <w:noWrap w:val="0"/>
            <w:vAlign w:val="center"/>
          </w:tcPr>
          <w:p>
            <w:pPr>
              <w:widowControl/>
              <w:autoSpaceDE/>
              <w:autoSpaceDN/>
              <w:adjustRightInd/>
              <w:snapToGrid w:val="0"/>
              <w:spacing w:line="460" w:lineRule="exact"/>
              <w:jc w:val="center"/>
              <w:rPr>
                <w:rFonts w:hint="eastAsia" w:ascii="宋体" w:hAnsi="宋体" w:eastAsia="宋体" w:cs="宋体"/>
                <w:color w:val="auto"/>
                <w:sz w:val="21"/>
                <w:szCs w:val="21"/>
                <w:highlight w:val="none"/>
              </w:rPr>
            </w:pPr>
          </w:p>
        </w:tc>
        <w:tc>
          <w:tcPr>
            <w:tcW w:w="465" w:type="pct"/>
            <w:noWrap w:val="0"/>
            <w:vAlign w:val="center"/>
          </w:tcPr>
          <w:p>
            <w:pPr>
              <w:widowControl/>
              <w:autoSpaceDE/>
              <w:autoSpaceDN/>
              <w:adjustRightInd/>
              <w:snapToGrid w:val="0"/>
              <w:spacing w:line="460" w:lineRule="exact"/>
              <w:jc w:val="center"/>
              <w:rPr>
                <w:rFonts w:hint="eastAsia" w:ascii="宋体" w:hAnsi="宋体" w:eastAsia="宋体" w:cs="宋体"/>
                <w:color w:val="auto"/>
                <w:sz w:val="21"/>
                <w:szCs w:val="21"/>
                <w:highlight w:val="none"/>
              </w:rPr>
            </w:pPr>
          </w:p>
        </w:tc>
        <w:tc>
          <w:tcPr>
            <w:tcW w:w="675" w:type="pct"/>
            <w:noWrap w:val="0"/>
            <w:vAlign w:val="center"/>
          </w:tcPr>
          <w:p>
            <w:pPr>
              <w:widowControl/>
              <w:autoSpaceDE/>
              <w:autoSpaceDN/>
              <w:adjustRightInd/>
              <w:snapToGrid w:val="0"/>
              <w:spacing w:line="460" w:lineRule="exact"/>
              <w:jc w:val="center"/>
              <w:rPr>
                <w:rFonts w:hint="eastAsia" w:ascii="宋体" w:hAnsi="宋体" w:eastAsia="宋体" w:cs="宋体"/>
                <w:color w:val="auto"/>
                <w:sz w:val="21"/>
                <w:szCs w:val="21"/>
                <w:highlight w:val="none"/>
              </w:rPr>
            </w:pPr>
          </w:p>
        </w:tc>
        <w:tc>
          <w:tcPr>
            <w:tcW w:w="1177" w:type="pct"/>
            <w:noWrap w:val="0"/>
            <w:vAlign w:val="center"/>
          </w:tcPr>
          <w:p>
            <w:pPr>
              <w:widowControl/>
              <w:autoSpaceDE/>
              <w:autoSpaceDN/>
              <w:adjustRightInd/>
              <w:snapToGrid w:val="0"/>
              <w:spacing w:line="460" w:lineRule="exact"/>
              <w:jc w:val="center"/>
              <w:rPr>
                <w:rFonts w:hint="eastAsia" w:ascii="宋体" w:hAnsi="宋体" w:eastAsia="宋体" w:cs="宋体"/>
                <w:color w:val="auto"/>
                <w:sz w:val="21"/>
                <w:szCs w:val="21"/>
                <w:highlight w:val="none"/>
              </w:rPr>
            </w:pPr>
          </w:p>
        </w:tc>
      </w:tr>
    </w:tbl>
    <w:p>
      <w:pPr>
        <w:snapToGrid w:val="0"/>
        <w:spacing w:before="50" w:after="50"/>
        <w:rPr>
          <w:rFonts w:hint="eastAsia" w:ascii="宋体" w:hAnsi="宋体" w:eastAsia="宋体" w:cs="宋体"/>
          <w:color w:val="auto"/>
          <w:sz w:val="24"/>
          <w:highlight w:val="none"/>
        </w:rPr>
      </w:pPr>
    </w:p>
    <w:p>
      <w:pPr>
        <w:spacing w:line="500" w:lineRule="exact"/>
        <w:ind w:firstLine="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br w:type="page"/>
      </w:r>
      <w:r>
        <w:rPr>
          <w:rFonts w:hint="eastAsia" w:ascii="宋体" w:hAnsi="宋体" w:eastAsia="宋体" w:cs="宋体"/>
          <w:b/>
          <w:color w:val="auto"/>
          <w:sz w:val="21"/>
          <w:szCs w:val="21"/>
          <w:highlight w:val="none"/>
        </w:rPr>
        <w:t>2.投标人（或联合体投标人牵头单位）法定代表人身份证明、</w:t>
      </w:r>
      <w:r>
        <w:rPr>
          <w:rFonts w:hint="eastAsia" w:ascii="宋体" w:hAnsi="宋体" w:eastAsia="宋体" w:cs="宋体"/>
          <w:b/>
          <w:color w:val="auto"/>
          <w:sz w:val="21"/>
          <w:highlight w:val="none"/>
        </w:rPr>
        <w:t>法定代表人授权委托书</w:t>
      </w:r>
    </w:p>
    <w:p>
      <w:pPr>
        <w:spacing w:line="500" w:lineRule="exact"/>
        <w:ind w:firstLine="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法定代表人授权委托书</w:t>
      </w:r>
    </w:p>
    <w:p>
      <w:pPr>
        <w:spacing w:line="500" w:lineRule="exact"/>
        <w:ind w:firstLine="480"/>
        <w:jc w:val="both"/>
        <w:rPr>
          <w:rFonts w:hint="eastAsia" w:ascii="宋体" w:hAnsi="宋体" w:eastAsia="宋体" w:cs="宋体"/>
          <w:color w:val="auto"/>
          <w:sz w:val="21"/>
          <w:szCs w:val="21"/>
          <w:highlight w:val="none"/>
        </w:rPr>
      </w:pPr>
    </w:p>
    <w:p>
      <w:pPr>
        <w:spacing w:line="500" w:lineRule="exact"/>
        <w:ind w:firstLine="48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（招标采购单位名称）：</w:t>
      </w:r>
    </w:p>
    <w:p>
      <w:pPr>
        <w:spacing w:line="500" w:lineRule="exact"/>
        <w:ind w:firstLine="48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我</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（姓名）系</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（投标人名称）的法定代表人，现授权委托本单位在职职工</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（姓名）以我方的名义参加</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项目的投标活动，并代表我方全权办理针对上述项目的投标、开标、评标、签约等具体事务和签署相关文件。</w:t>
      </w:r>
    </w:p>
    <w:p>
      <w:pPr>
        <w:spacing w:line="500" w:lineRule="exact"/>
        <w:ind w:firstLine="48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我方对被授权人的签名事项负全部责任。</w:t>
      </w:r>
    </w:p>
    <w:p>
      <w:pPr>
        <w:spacing w:line="500" w:lineRule="exact"/>
        <w:ind w:firstLine="48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u w:val="single"/>
        </w:rPr>
        <w:t>在撤销授权的书面通知以前，本授权书一直有效。</w:t>
      </w:r>
      <w:r>
        <w:rPr>
          <w:rFonts w:hint="eastAsia" w:ascii="宋体" w:hAnsi="宋体" w:eastAsia="宋体" w:cs="宋体"/>
          <w:color w:val="auto"/>
          <w:sz w:val="21"/>
          <w:szCs w:val="21"/>
          <w:highlight w:val="none"/>
        </w:rPr>
        <w:t>被授权人在授权书有效期内签署的所有文件不因授权的撤销而失效。</w:t>
      </w:r>
    </w:p>
    <w:p>
      <w:pPr>
        <w:spacing w:line="500" w:lineRule="exact"/>
        <w:ind w:firstLine="48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被授权人无转委托权，特此委托。</w:t>
      </w:r>
    </w:p>
    <w:p>
      <w:pPr>
        <w:spacing w:line="500" w:lineRule="exact"/>
        <w:ind w:firstLine="480"/>
        <w:jc w:val="both"/>
        <w:rPr>
          <w:rFonts w:hint="eastAsia" w:ascii="宋体" w:hAnsi="宋体" w:eastAsia="宋体" w:cs="宋体"/>
          <w:color w:val="auto"/>
          <w:sz w:val="21"/>
          <w:szCs w:val="21"/>
          <w:highlight w:val="none"/>
        </w:rPr>
      </w:pPr>
    </w:p>
    <w:p>
      <w:pPr>
        <w:spacing w:line="500" w:lineRule="exact"/>
        <w:ind w:firstLine="48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被授权人（签字或盖章）：                法定代表人（签字或盖章）：          </w:t>
      </w:r>
    </w:p>
    <w:p>
      <w:pPr>
        <w:spacing w:line="500" w:lineRule="exact"/>
        <w:ind w:firstLine="48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职务：                                   职务：           </w:t>
      </w:r>
    </w:p>
    <w:p>
      <w:pPr>
        <w:spacing w:line="500" w:lineRule="exact"/>
        <w:ind w:firstLine="48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被授权人身份证号码：                              </w:t>
      </w:r>
    </w:p>
    <w:p>
      <w:pPr>
        <w:spacing w:line="500" w:lineRule="exact"/>
        <w:ind w:firstLine="48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投标人公章：</w:t>
      </w:r>
    </w:p>
    <w:p>
      <w:pPr>
        <w:spacing w:line="500" w:lineRule="exact"/>
        <w:ind w:firstLine="48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年    月    日</w:t>
      </w:r>
    </w:p>
    <w:p>
      <w:pPr>
        <w:spacing w:line="500" w:lineRule="exact"/>
        <w:ind w:firstLine="2520" w:firstLineChars="1200"/>
        <w:jc w:val="both"/>
        <w:rPr>
          <w:rFonts w:hint="eastAsia" w:ascii="宋体" w:hAnsi="宋体" w:eastAsia="宋体" w:cs="宋体"/>
          <w:color w:val="auto"/>
          <w:sz w:val="21"/>
          <w:szCs w:val="21"/>
          <w:highlight w:val="none"/>
          <w:u w:val="single"/>
        </w:rPr>
      </w:pPr>
    </w:p>
    <w:p>
      <w:pPr>
        <w:spacing w:line="500" w:lineRule="exact"/>
        <w:ind w:firstLine="48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法定代表人身份证（正反面）复印件：</w:t>
      </w:r>
    </w:p>
    <w:p>
      <w:pPr>
        <w:spacing w:line="500" w:lineRule="exact"/>
        <w:ind w:firstLine="480"/>
        <w:jc w:val="both"/>
        <w:rPr>
          <w:rFonts w:hint="eastAsia" w:ascii="宋体" w:hAnsi="宋体" w:eastAsia="宋体" w:cs="宋体"/>
          <w:color w:val="auto"/>
          <w:sz w:val="21"/>
          <w:szCs w:val="21"/>
          <w:highlight w:val="none"/>
        </w:rPr>
      </w:pPr>
    </w:p>
    <w:p>
      <w:pPr>
        <w:spacing w:line="500" w:lineRule="exact"/>
        <w:ind w:firstLine="48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授权代表身份证（正反面）复印件：</w:t>
      </w:r>
    </w:p>
    <w:p>
      <w:pPr>
        <w:spacing w:line="500" w:lineRule="exact"/>
        <w:jc w:val="both"/>
        <w:rPr>
          <w:rFonts w:hint="eastAsia" w:ascii="宋体" w:hAnsi="宋体" w:eastAsia="宋体" w:cs="宋体"/>
          <w:color w:val="auto"/>
          <w:sz w:val="21"/>
          <w:szCs w:val="21"/>
          <w:highlight w:val="none"/>
          <w:u w:val="single"/>
        </w:rPr>
      </w:pPr>
    </w:p>
    <w:p>
      <w:pPr>
        <w:pStyle w:val="13"/>
        <w:spacing w:line="500" w:lineRule="exact"/>
        <w:rPr>
          <w:rFonts w:hint="eastAsia" w:ascii="宋体" w:hAnsi="宋体" w:eastAsia="宋体" w:cs="宋体"/>
          <w:color w:val="auto"/>
          <w:sz w:val="21"/>
          <w:highlight w:val="none"/>
          <w:u w:val="single"/>
        </w:rPr>
      </w:pPr>
    </w:p>
    <w:p>
      <w:pPr>
        <w:snapToGrid w:val="0"/>
        <w:spacing w:before="50" w:after="50"/>
        <w:ind w:firstLine="480" w:firstLineChars="200"/>
        <w:rPr>
          <w:rFonts w:hint="eastAsia" w:hAnsi="宋体" w:cs="宋体"/>
          <w:color w:val="auto"/>
          <w:sz w:val="24"/>
          <w:highlight w:val="none"/>
        </w:rPr>
      </w:pPr>
      <w:r>
        <w:rPr>
          <w:rFonts w:hint="eastAsia" w:hAnsi="宋体" w:cs="宋体"/>
          <w:color w:val="auto"/>
          <w:sz w:val="24"/>
          <w:szCs w:val="24"/>
          <w:highlight w:val="none"/>
        </w:rPr>
        <w:t>注：若为联合体</w:t>
      </w:r>
      <w:r>
        <w:rPr>
          <w:rFonts w:hint="eastAsia" w:hAnsi="宋体" w:cs="宋体"/>
          <w:color w:val="auto"/>
          <w:sz w:val="24"/>
          <w:szCs w:val="24"/>
          <w:highlight w:val="none"/>
          <w:lang w:eastAsia="zh-CN"/>
        </w:rPr>
        <w:t>投标人</w:t>
      </w:r>
      <w:r>
        <w:rPr>
          <w:rFonts w:hint="eastAsia" w:hAnsi="宋体" w:cs="宋体"/>
          <w:color w:val="auto"/>
          <w:sz w:val="24"/>
          <w:szCs w:val="24"/>
          <w:highlight w:val="none"/>
        </w:rPr>
        <w:t>，由联合体</w:t>
      </w:r>
      <w:r>
        <w:rPr>
          <w:rFonts w:hint="eastAsia" w:hAnsi="宋体" w:cs="宋体"/>
          <w:color w:val="auto"/>
          <w:sz w:val="24"/>
          <w:szCs w:val="24"/>
          <w:highlight w:val="none"/>
          <w:lang w:eastAsia="zh-CN"/>
        </w:rPr>
        <w:t>投标人</w:t>
      </w:r>
      <w:r>
        <w:rPr>
          <w:rFonts w:hint="eastAsia" w:hAnsi="宋体" w:cs="宋体"/>
          <w:color w:val="auto"/>
          <w:sz w:val="24"/>
          <w:szCs w:val="24"/>
          <w:highlight w:val="none"/>
        </w:rPr>
        <w:t>牵头人签字、盖章</w:t>
      </w:r>
      <w:r>
        <w:rPr>
          <w:rFonts w:hint="eastAsia" w:hAnsi="宋体" w:cs="宋体"/>
          <w:color w:val="auto"/>
          <w:sz w:val="24"/>
          <w:szCs w:val="24"/>
          <w:highlight w:val="none"/>
          <w:lang w:eastAsia="zh-CN"/>
        </w:rPr>
        <w:t>。</w:t>
      </w:r>
    </w:p>
    <w:p>
      <w:pPr>
        <w:widowControl/>
        <w:autoSpaceDE/>
        <w:autoSpaceDN/>
        <w:adjustRightInd/>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br w:type="page"/>
      </w:r>
      <w:r>
        <w:rPr>
          <w:rFonts w:hint="eastAsia" w:ascii="宋体" w:hAnsi="宋体" w:eastAsia="宋体" w:cs="宋体"/>
          <w:b/>
          <w:color w:val="auto"/>
          <w:sz w:val="21"/>
          <w:szCs w:val="21"/>
          <w:highlight w:val="none"/>
        </w:rPr>
        <w:t>法定代表人身份证明</w:t>
      </w:r>
    </w:p>
    <w:p>
      <w:pPr>
        <w:widowControl/>
        <w:autoSpaceDE/>
        <w:autoSpaceDN/>
        <w:adjustRightInd/>
        <w:snapToGrid w:val="0"/>
        <w:spacing w:line="48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（采购单位、代理机构）：</w:t>
      </w:r>
    </w:p>
    <w:p>
      <w:pPr>
        <w:widowControl/>
        <w:autoSpaceDE/>
        <w:autoSpaceDN/>
        <w:adjustRightInd/>
        <w:snapToGrid w:val="0"/>
        <w:spacing w:line="480" w:lineRule="auto"/>
        <w:ind w:firstLine="1920" w:firstLineChars="800"/>
        <w:rPr>
          <w:rFonts w:hint="eastAsia" w:ascii="宋体" w:hAnsi="宋体" w:eastAsia="宋体" w:cs="宋体"/>
          <w:color w:val="auto"/>
          <w:sz w:val="24"/>
          <w:szCs w:val="24"/>
          <w:highlight w:val="none"/>
        </w:rPr>
      </w:pPr>
    </w:p>
    <w:p>
      <w:pPr>
        <w:widowControl/>
        <w:autoSpaceDE/>
        <w:autoSpaceDN/>
        <w:adjustRightInd w:val="0"/>
        <w:snapToGrid w:val="0"/>
        <w:spacing w:line="480" w:lineRule="auto"/>
        <w:ind w:left="476" w:leftChars="140" w:firstLine="1200" w:firstLineChars="5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姓名：</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性别：</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 xml:space="preserve">  年龄：</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职务：</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身份证号码系</w:t>
      </w:r>
      <w:r>
        <w:rPr>
          <w:rFonts w:hint="eastAsia" w:ascii="宋体" w:hAnsi="宋体" w:eastAsia="宋体" w:cs="宋体"/>
          <w:color w:val="auto"/>
          <w:sz w:val="24"/>
          <w:szCs w:val="24"/>
          <w:highlight w:val="none"/>
          <w:u w:val="single"/>
        </w:rPr>
        <w:t xml:space="preserve">　 </w:t>
      </w:r>
      <w:r>
        <w:rPr>
          <w:rFonts w:hint="eastAsia"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 xml:space="preserve">（投标单位全称）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的法定代表人。</w:t>
      </w:r>
    </w:p>
    <w:p>
      <w:pPr>
        <w:widowControl/>
        <w:autoSpaceDE/>
        <w:autoSpaceDN/>
        <w:adjustRightInd/>
        <w:snapToGrid w:val="0"/>
        <w:spacing w:line="48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特此证明。</w:t>
      </w:r>
    </w:p>
    <w:p>
      <w:pPr>
        <w:widowControl/>
        <w:autoSpaceDE/>
        <w:autoSpaceDN/>
        <w:adjustRightInd/>
        <w:snapToGrid w:val="0"/>
        <w:spacing w:line="480" w:lineRule="auto"/>
        <w:rPr>
          <w:rFonts w:hint="eastAsia" w:ascii="宋体" w:hAnsi="宋体" w:eastAsia="宋体" w:cs="宋体"/>
          <w:color w:val="auto"/>
          <w:sz w:val="24"/>
          <w:szCs w:val="24"/>
          <w:highlight w:val="none"/>
        </w:rPr>
      </w:pPr>
    </w:p>
    <w:p>
      <w:pPr>
        <w:widowControl/>
        <w:autoSpaceDE/>
        <w:autoSpaceDN/>
        <w:adjustRightInd/>
        <w:snapToGrid w:val="0"/>
        <w:spacing w:line="48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w:t>
      </w:r>
    </w:p>
    <w:p>
      <w:pPr>
        <w:widowControl/>
        <w:autoSpaceDE/>
        <w:autoSpaceDN/>
        <w:adjustRightInd/>
        <w:snapToGrid w:val="0"/>
        <w:spacing w:line="480" w:lineRule="auto"/>
        <w:ind w:firstLine="2400" w:firstLineChars="10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w:t>
      </w:r>
      <w:r>
        <w:rPr>
          <w:rFonts w:hint="eastAsia" w:ascii="宋体" w:hAnsi="宋体" w:eastAsia="宋体" w:cs="宋体"/>
          <w:color w:val="auto"/>
          <w:sz w:val="24"/>
          <w:szCs w:val="24"/>
          <w:highlight w:val="none"/>
          <w:vertAlign w:val="subscript"/>
        </w:rPr>
        <w:t>　</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（单位公章）</w:t>
      </w:r>
    </w:p>
    <w:p>
      <w:pPr>
        <w:widowControl/>
        <w:autoSpaceDE/>
        <w:autoSpaceDN/>
        <w:adjustRightInd/>
        <w:snapToGrid w:val="0"/>
        <w:spacing w:line="480" w:lineRule="auto"/>
        <w:ind w:firstLine="2400" w:firstLineChars="10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日期：　</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p>
    <w:p>
      <w:pPr>
        <w:pStyle w:val="19"/>
        <w:autoSpaceDE/>
        <w:autoSpaceDN/>
        <w:snapToGrid w:val="0"/>
        <w:spacing w:after="0" w:line="480" w:lineRule="auto"/>
        <w:ind w:left="0" w:leftChars="0" w:firstLine="0"/>
        <w:rPr>
          <w:rFonts w:hint="eastAsia" w:ascii="宋体" w:hAnsi="宋体" w:eastAsia="宋体" w:cs="宋体"/>
          <w:color w:val="auto"/>
          <w:highlight w:val="none"/>
        </w:rPr>
      </w:pPr>
    </w:p>
    <w:p>
      <w:pPr>
        <w:pStyle w:val="19"/>
        <w:ind w:left="0" w:leftChars="0" w:firstLine="0"/>
        <w:rPr>
          <w:rFonts w:hint="eastAsia" w:ascii="宋体" w:hAnsi="宋体" w:eastAsia="宋体" w:cs="宋体"/>
          <w:color w:val="auto"/>
          <w:highlight w:val="none"/>
        </w:rPr>
      </w:pPr>
    </w:p>
    <w:p>
      <w:pPr>
        <w:widowControl/>
        <w:snapToGrid w:val="0"/>
        <w:spacing w:line="400" w:lineRule="exact"/>
        <w:ind w:firstLine="480" w:firstLineChars="200"/>
        <w:rPr>
          <w:rFonts w:hint="eastAsia" w:ascii="宋体" w:hAnsi="宋体" w:eastAsia="宋体" w:cs="宋体"/>
          <w:color w:val="auto"/>
          <w:sz w:val="24"/>
          <w:highlight w:val="none"/>
          <w:lang w:bidi="ar"/>
        </w:rPr>
      </w:pPr>
      <w:r>
        <w:rPr>
          <w:rFonts w:hint="eastAsia" w:ascii="宋体" w:hAnsi="宋体" w:eastAsia="宋体" w:cs="宋体"/>
          <w:color w:val="auto"/>
          <w:sz w:val="24"/>
          <w:highlight w:val="none"/>
          <w:lang w:bidi="ar"/>
        </w:rPr>
        <w:t>法定代表人身份证（正反面）：</w:t>
      </w:r>
    </w:p>
    <w:p>
      <w:pPr>
        <w:snapToGrid w:val="0"/>
        <w:spacing w:before="50" w:after="50"/>
        <w:jc w:val="center"/>
        <w:rPr>
          <w:rFonts w:hint="eastAsia" w:ascii="宋体" w:hAnsi="宋体" w:eastAsia="宋体" w:cs="宋体"/>
          <w:b/>
          <w:bCs/>
          <w:color w:val="auto"/>
          <w:sz w:val="21"/>
          <w:szCs w:val="21"/>
          <w:highlight w:val="none"/>
        </w:rPr>
      </w:pPr>
    </w:p>
    <w:p>
      <w:pPr>
        <w:snapToGrid w:val="0"/>
        <w:spacing w:before="50" w:after="50"/>
        <w:ind w:firstLine="480" w:firstLineChars="200"/>
        <w:rPr>
          <w:rFonts w:hint="eastAsia" w:hAnsi="宋体" w:cs="宋体"/>
          <w:color w:val="auto"/>
          <w:sz w:val="24"/>
          <w:szCs w:val="24"/>
          <w:highlight w:val="none"/>
        </w:rPr>
      </w:pPr>
    </w:p>
    <w:p>
      <w:pPr>
        <w:snapToGrid w:val="0"/>
        <w:spacing w:before="50" w:after="50"/>
        <w:ind w:firstLine="480" w:firstLineChars="200"/>
        <w:rPr>
          <w:rFonts w:hint="eastAsia" w:hAnsi="宋体" w:cs="宋体"/>
          <w:color w:val="auto"/>
          <w:sz w:val="24"/>
          <w:szCs w:val="24"/>
          <w:highlight w:val="none"/>
        </w:rPr>
      </w:pPr>
    </w:p>
    <w:p>
      <w:pPr>
        <w:snapToGrid w:val="0"/>
        <w:spacing w:before="50" w:after="50"/>
        <w:ind w:firstLine="480" w:firstLineChars="200"/>
        <w:rPr>
          <w:rFonts w:hint="eastAsia" w:hAnsi="宋体" w:cs="宋体"/>
          <w:color w:val="auto"/>
          <w:sz w:val="24"/>
          <w:highlight w:val="none"/>
        </w:rPr>
      </w:pPr>
      <w:r>
        <w:rPr>
          <w:rFonts w:hint="eastAsia" w:hAnsi="宋体" w:cs="宋体"/>
          <w:color w:val="auto"/>
          <w:sz w:val="24"/>
          <w:szCs w:val="24"/>
          <w:highlight w:val="none"/>
        </w:rPr>
        <w:t>注：若为联合体</w:t>
      </w:r>
      <w:r>
        <w:rPr>
          <w:rFonts w:hint="eastAsia" w:hAnsi="宋体" w:cs="宋体"/>
          <w:color w:val="auto"/>
          <w:sz w:val="24"/>
          <w:szCs w:val="24"/>
          <w:highlight w:val="none"/>
          <w:lang w:eastAsia="zh-CN"/>
        </w:rPr>
        <w:t>投标人</w:t>
      </w:r>
      <w:r>
        <w:rPr>
          <w:rFonts w:hint="eastAsia" w:hAnsi="宋体" w:cs="宋体"/>
          <w:color w:val="auto"/>
          <w:sz w:val="24"/>
          <w:szCs w:val="24"/>
          <w:highlight w:val="none"/>
        </w:rPr>
        <w:t>，由联合体</w:t>
      </w:r>
      <w:r>
        <w:rPr>
          <w:rFonts w:hint="eastAsia" w:hAnsi="宋体" w:cs="宋体"/>
          <w:color w:val="auto"/>
          <w:sz w:val="24"/>
          <w:szCs w:val="24"/>
          <w:highlight w:val="none"/>
          <w:lang w:eastAsia="zh-CN"/>
        </w:rPr>
        <w:t>投标人</w:t>
      </w:r>
      <w:r>
        <w:rPr>
          <w:rFonts w:hint="eastAsia" w:hAnsi="宋体" w:cs="宋体"/>
          <w:color w:val="auto"/>
          <w:sz w:val="24"/>
          <w:szCs w:val="24"/>
          <w:highlight w:val="none"/>
        </w:rPr>
        <w:t>牵头人签字、盖章</w:t>
      </w:r>
      <w:r>
        <w:rPr>
          <w:rFonts w:hint="eastAsia" w:hAnsi="宋体" w:cs="宋体"/>
          <w:color w:val="auto"/>
          <w:sz w:val="24"/>
          <w:szCs w:val="24"/>
          <w:highlight w:val="none"/>
          <w:lang w:eastAsia="zh-CN"/>
        </w:rPr>
        <w:t>。</w:t>
      </w:r>
    </w:p>
    <w:p>
      <w:pPr>
        <w:snapToGrid w:val="0"/>
        <w:spacing w:before="50" w:after="50"/>
        <w:jc w:val="center"/>
        <w:rPr>
          <w:rFonts w:hint="eastAsia" w:ascii="宋体" w:hAnsi="宋体" w:eastAsia="宋体" w:cs="宋体"/>
          <w:b/>
          <w:color w:val="auto"/>
          <w:sz w:val="24"/>
          <w:szCs w:val="22"/>
          <w:highlight w:val="none"/>
        </w:rPr>
      </w:pPr>
      <w:r>
        <w:rPr>
          <w:rFonts w:hint="eastAsia" w:ascii="宋体" w:hAnsi="宋体" w:eastAsia="宋体" w:cs="宋体"/>
          <w:b/>
          <w:bCs/>
          <w:color w:val="auto"/>
          <w:sz w:val="21"/>
          <w:szCs w:val="21"/>
          <w:highlight w:val="none"/>
        </w:rPr>
        <w:br w:type="page"/>
      </w:r>
      <w:r>
        <w:rPr>
          <w:rFonts w:hint="eastAsia" w:ascii="宋体" w:hAnsi="宋体" w:eastAsia="宋体" w:cs="宋体"/>
          <w:b/>
          <w:color w:val="auto"/>
          <w:sz w:val="24"/>
          <w:szCs w:val="22"/>
          <w:highlight w:val="none"/>
        </w:rPr>
        <w:t>3.投标人（包括投标联合体各方）情况表</w:t>
      </w:r>
    </w:p>
    <w:tbl>
      <w:tblPr>
        <w:tblStyle w:val="20"/>
        <w:tblW w:w="0" w:type="auto"/>
        <w:jc w:val="center"/>
        <w:tblLayout w:type="fixed"/>
        <w:tblCellMar>
          <w:top w:w="0" w:type="dxa"/>
          <w:left w:w="108" w:type="dxa"/>
          <w:bottom w:w="0" w:type="dxa"/>
          <w:right w:w="108" w:type="dxa"/>
        </w:tblCellMar>
      </w:tblPr>
      <w:tblGrid>
        <w:gridCol w:w="1980"/>
        <w:gridCol w:w="3443"/>
        <w:gridCol w:w="877"/>
        <w:gridCol w:w="650"/>
        <w:gridCol w:w="2500"/>
      </w:tblGrid>
      <w:tr>
        <w:tblPrEx>
          <w:tblCellMar>
            <w:top w:w="0" w:type="dxa"/>
            <w:left w:w="108" w:type="dxa"/>
            <w:bottom w:w="0" w:type="dxa"/>
            <w:right w:w="108" w:type="dxa"/>
          </w:tblCellMar>
        </w:tblPrEx>
        <w:trPr>
          <w:trHeight w:val="732" w:hRule="atLeast"/>
          <w:jc w:val="center"/>
        </w:trPr>
        <w:tc>
          <w:tcPr>
            <w:tcW w:w="1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单位名称</w:t>
            </w:r>
          </w:p>
        </w:tc>
        <w:tc>
          <w:tcPr>
            <w:tcW w:w="344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color w:val="auto"/>
                <w:sz w:val="21"/>
                <w:szCs w:val="21"/>
                <w:highlight w:val="none"/>
              </w:rPr>
            </w:pPr>
          </w:p>
        </w:tc>
        <w:tc>
          <w:tcPr>
            <w:tcW w:w="1527"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注册资金</w:t>
            </w:r>
          </w:p>
        </w:tc>
        <w:tc>
          <w:tcPr>
            <w:tcW w:w="250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color w:val="auto"/>
                <w:sz w:val="21"/>
                <w:szCs w:val="21"/>
                <w:highlight w:val="none"/>
              </w:rPr>
            </w:pPr>
          </w:p>
        </w:tc>
      </w:tr>
      <w:tr>
        <w:tblPrEx>
          <w:tblCellMar>
            <w:top w:w="0" w:type="dxa"/>
            <w:left w:w="108" w:type="dxa"/>
            <w:bottom w:w="0" w:type="dxa"/>
            <w:right w:w="108" w:type="dxa"/>
          </w:tblCellMar>
        </w:tblPrEx>
        <w:trPr>
          <w:trHeight w:val="708" w:hRule="atLeast"/>
          <w:jc w:val="center"/>
        </w:trPr>
        <w:tc>
          <w:tcPr>
            <w:tcW w:w="1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单位详细地址</w:t>
            </w:r>
          </w:p>
        </w:tc>
        <w:tc>
          <w:tcPr>
            <w:tcW w:w="7470"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color w:val="auto"/>
                <w:sz w:val="21"/>
                <w:szCs w:val="21"/>
                <w:highlight w:val="none"/>
              </w:rPr>
            </w:pPr>
          </w:p>
        </w:tc>
      </w:tr>
      <w:tr>
        <w:tblPrEx>
          <w:tblCellMar>
            <w:top w:w="0" w:type="dxa"/>
            <w:left w:w="108" w:type="dxa"/>
            <w:bottom w:w="0" w:type="dxa"/>
            <w:right w:w="108" w:type="dxa"/>
          </w:tblCellMar>
        </w:tblPrEx>
        <w:trPr>
          <w:cantSplit/>
          <w:trHeight w:val="494" w:hRule="atLeast"/>
          <w:jc w:val="center"/>
        </w:trPr>
        <w:tc>
          <w:tcPr>
            <w:tcW w:w="1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营业执照注册号</w:t>
            </w:r>
          </w:p>
        </w:tc>
        <w:tc>
          <w:tcPr>
            <w:tcW w:w="7470"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color w:val="auto"/>
                <w:sz w:val="21"/>
                <w:szCs w:val="21"/>
                <w:highlight w:val="none"/>
              </w:rPr>
            </w:pPr>
          </w:p>
        </w:tc>
      </w:tr>
      <w:tr>
        <w:tblPrEx>
          <w:tblCellMar>
            <w:top w:w="0" w:type="dxa"/>
            <w:left w:w="108" w:type="dxa"/>
            <w:bottom w:w="0" w:type="dxa"/>
            <w:right w:w="108" w:type="dxa"/>
          </w:tblCellMar>
        </w:tblPrEx>
        <w:trPr>
          <w:cantSplit/>
          <w:trHeight w:val="602" w:hRule="atLeast"/>
          <w:jc w:val="center"/>
        </w:trPr>
        <w:tc>
          <w:tcPr>
            <w:tcW w:w="1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单位成立时间</w:t>
            </w:r>
          </w:p>
        </w:tc>
        <w:tc>
          <w:tcPr>
            <w:tcW w:w="432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color w:val="auto"/>
                <w:sz w:val="21"/>
                <w:szCs w:val="21"/>
                <w:highlight w:val="none"/>
              </w:rPr>
            </w:pPr>
          </w:p>
        </w:tc>
        <w:tc>
          <w:tcPr>
            <w:tcW w:w="315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固定资产净值：    （万元）</w:t>
            </w:r>
          </w:p>
        </w:tc>
      </w:tr>
      <w:tr>
        <w:tblPrEx>
          <w:tblCellMar>
            <w:top w:w="0" w:type="dxa"/>
            <w:left w:w="108" w:type="dxa"/>
            <w:bottom w:w="0" w:type="dxa"/>
            <w:right w:w="108" w:type="dxa"/>
          </w:tblCellMar>
        </w:tblPrEx>
        <w:trPr>
          <w:cantSplit/>
          <w:trHeight w:val="1412" w:hRule="atLeast"/>
          <w:jc w:val="center"/>
        </w:trPr>
        <w:tc>
          <w:tcPr>
            <w:tcW w:w="1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获得相关资质证书情况</w:t>
            </w:r>
          </w:p>
        </w:tc>
        <w:tc>
          <w:tcPr>
            <w:tcW w:w="7470"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color w:val="auto"/>
                <w:sz w:val="21"/>
                <w:szCs w:val="21"/>
                <w:highlight w:val="none"/>
              </w:rPr>
            </w:pPr>
          </w:p>
        </w:tc>
      </w:tr>
      <w:tr>
        <w:tblPrEx>
          <w:tblCellMar>
            <w:top w:w="0" w:type="dxa"/>
            <w:left w:w="108" w:type="dxa"/>
            <w:bottom w:w="0" w:type="dxa"/>
            <w:right w:w="108" w:type="dxa"/>
          </w:tblCellMar>
        </w:tblPrEx>
        <w:trPr>
          <w:cantSplit/>
          <w:trHeight w:val="638" w:hRule="atLeast"/>
          <w:jc w:val="center"/>
        </w:trPr>
        <w:tc>
          <w:tcPr>
            <w:tcW w:w="1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w:t>
            </w:r>
          </w:p>
        </w:tc>
        <w:tc>
          <w:tcPr>
            <w:tcW w:w="7470"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姓名：          职务：           职称：</w:t>
            </w:r>
          </w:p>
        </w:tc>
      </w:tr>
      <w:tr>
        <w:tblPrEx>
          <w:tblCellMar>
            <w:top w:w="0" w:type="dxa"/>
            <w:left w:w="108" w:type="dxa"/>
            <w:bottom w:w="0" w:type="dxa"/>
            <w:right w:w="108" w:type="dxa"/>
          </w:tblCellMar>
        </w:tblPrEx>
        <w:trPr>
          <w:cantSplit/>
          <w:trHeight w:val="554" w:hRule="atLeast"/>
          <w:jc w:val="center"/>
        </w:trPr>
        <w:tc>
          <w:tcPr>
            <w:tcW w:w="1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公司总经理</w:t>
            </w:r>
          </w:p>
        </w:tc>
        <w:tc>
          <w:tcPr>
            <w:tcW w:w="7470"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姓名：          职务：           职称： </w:t>
            </w:r>
          </w:p>
        </w:tc>
      </w:tr>
      <w:tr>
        <w:tblPrEx>
          <w:tblCellMar>
            <w:top w:w="0" w:type="dxa"/>
            <w:left w:w="108" w:type="dxa"/>
            <w:bottom w:w="0" w:type="dxa"/>
            <w:right w:w="108" w:type="dxa"/>
          </w:tblCellMar>
        </w:tblPrEx>
        <w:trPr>
          <w:cantSplit/>
          <w:trHeight w:val="639" w:hRule="atLeast"/>
          <w:jc w:val="center"/>
        </w:trPr>
        <w:tc>
          <w:tcPr>
            <w:tcW w:w="1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职工人数</w:t>
            </w:r>
          </w:p>
        </w:tc>
        <w:tc>
          <w:tcPr>
            <w:tcW w:w="7470"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color w:val="auto"/>
                <w:sz w:val="21"/>
                <w:szCs w:val="21"/>
                <w:highlight w:val="none"/>
              </w:rPr>
            </w:pPr>
          </w:p>
        </w:tc>
      </w:tr>
      <w:tr>
        <w:tblPrEx>
          <w:tblCellMar>
            <w:top w:w="0" w:type="dxa"/>
            <w:left w:w="108" w:type="dxa"/>
            <w:bottom w:w="0" w:type="dxa"/>
            <w:right w:w="108" w:type="dxa"/>
          </w:tblCellMar>
        </w:tblPrEx>
        <w:trPr>
          <w:cantSplit/>
          <w:trHeight w:val="1095" w:hRule="atLeast"/>
          <w:jc w:val="center"/>
        </w:trPr>
        <w:tc>
          <w:tcPr>
            <w:tcW w:w="1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投标人在企业注册地以外设立分支机构的情况</w:t>
            </w:r>
          </w:p>
        </w:tc>
        <w:tc>
          <w:tcPr>
            <w:tcW w:w="7470"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color w:val="auto"/>
                <w:sz w:val="21"/>
                <w:szCs w:val="21"/>
                <w:highlight w:val="none"/>
              </w:rPr>
            </w:pPr>
          </w:p>
        </w:tc>
      </w:tr>
      <w:tr>
        <w:tblPrEx>
          <w:tblCellMar>
            <w:top w:w="0" w:type="dxa"/>
            <w:left w:w="108" w:type="dxa"/>
            <w:bottom w:w="0" w:type="dxa"/>
            <w:right w:w="108" w:type="dxa"/>
          </w:tblCellMar>
        </w:tblPrEx>
        <w:trPr>
          <w:cantSplit/>
          <w:jc w:val="center"/>
        </w:trPr>
        <w:tc>
          <w:tcPr>
            <w:tcW w:w="1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联系方式</w:t>
            </w:r>
          </w:p>
        </w:tc>
        <w:tc>
          <w:tcPr>
            <w:tcW w:w="7470"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地址：            邮编：           电话：</w:t>
            </w:r>
          </w:p>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传真： </w:t>
            </w:r>
          </w:p>
        </w:tc>
      </w:tr>
      <w:tr>
        <w:tblPrEx>
          <w:tblCellMar>
            <w:top w:w="0" w:type="dxa"/>
            <w:left w:w="108" w:type="dxa"/>
            <w:bottom w:w="0" w:type="dxa"/>
            <w:right w:w="108" w:type="dxa"/>
          </w:tblCellMar>
        </w:tblPrEx>
        <w:trPr>
          <w:cantSplit/>
          <w:jc w:val="center"/>
        </w:trPr>
        <w:tc>
          <w:tcPr>
            <w:tcW w:w="1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开户银行</w:t>
            </w:r>
          </w:p>
        </w:tc>
        <w:tc>
          <w:tcPr>
            <w:tcW w:w="7470"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名称：</w:t>
            </w:r>
          </w:p>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账号：</w:t>
            </w:r>
          </w:p>
        </w:tc>
      </w:tr>
      <w:tr>
        <w:tblPrEx>
          <w:tblCellMar>
            <w:top w:w="0" w:type="dxa"/>
            <w:left w:w="108" w:type="dxa"/>
            <w:bottom w:w="0" w:type="dxa"/>
            <w:right w:w="108" w:type="dxa"/>
          </w:tblCellMar>
        </w:tblPrEx>
        <w:trPr>
          <w:cantSplit/>
          <w:trHeight w:val="1285" w:hRule="atLeast"/>
          <w:jc w:val="center"/>
        </w:trPr>
        <w:tc>
          <w:tcPr>
            <w:tcW w:w="1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公  司组  织</w:t>
            </w:r>
          </w:p>
          <w:p>
            <w:pPr>
              <w:keepNext w:val="0"/>
              <w:keepLines w:val="0"/>
              <w:pageBreakBefore w:val="0"/>
              <w:widowControl w:val="0"/>
              <w:kinsoku/>
              <w:wordWrap/>
              <w:overflowPunct/>
              <w:topLinePunct w:val="0"/>
              <w:autoSpaceDE w:val="0"/>
              <w:autoSpaceDN w:val="0"/>
              <w:bidi w:val="0"/>
              <w:adjustRightInd w:val="0"/>
              <w:snapToGrid w:val="0"/>
              <w:spacing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机  构框  图</w:t>
            </w:r>
          </w:p>
        </w:tc>
        <w:tc>
          <w:tcPr>
            <w:tcW w:w="7470"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auto"/>
              <w:jc w:val="center"/>
              <w:textAlignment w:val="auto"/>
              <w:rPr>
                <w:rFonts w:hint="eastAsia" w:ascii="宋体" w:hAnsi="宋体" w:eastAsia="宋体" w:cs="宋体"/>
                <w:color w:val="auto"/>
                <w:sz w:val="21"/>
                <w:szCs w:val="21"/>
                <w:highlight w:val="none"/>
              </w:rPr>
            </w:pPr>
          </w:p>
        </w:tc>
      </w:tr>
    </w:tbl>
    <w:p>
      <w:pPr>
        <w:snapToGrid w:val="0"/>
        <w:spacing w:line="50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法定代表人或其授权代表（签字或盖章）：</w:t>
      </w:r>
    </w:p>
    <w:p>
      <w:pPr>
        <w:snapToGrid w:val="0"/>
        <w:spacing w:line="50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投标人全称（加盖公章）：                     </w:t>
      </w:r>
    </w:p>
    <w:p>
      <w:pPr>
        <w:pStyle w:val="13"/>
        <w:snapToGrid w:val="0"/>
        <w:spacing w:line="500" w:lineRule="exact"/>
        <w:rPr>
          <w:rFonts w:hint="eastAsia" w:ascii="宋体" w:hAnsi="宋体" w:eastAsia="宋体" w:cs="宋体"/>
          <w:color w:val="auto"/>
          <w:highlight w:val="none"/>
        </w:rPr>
      </w:pPr>
      <w:r>
        <w:rPr>
          <w:rFonts w:hint="eastAsia" w:ascii="宋体" w:hAnsi="宋体" w:eastAsia="宋体" w:cs="宋体"/>
          <w:color w:val="auto"/>
          <w:highlight w:val="none"/>
        </w:rPr>
        <w:t xml:space="preserve">  </w:t>
      </w:r>
      <w:r>
        <w:rPr>
          <w:rFonts w:hint="eastAsia" w:ascii="宋体" w:hAnsi="宋体" w:eastAsia="宋体" w:cs="宋体"/>
          <w:color w:val="auto"/>
          <w:sz w:val="24"/>
          <w:szCs w:val="24"/>
          <w:highlight w:val="none"/>
        </w:rPr>
        <w:t>日期：  年  月   日</w:t>
      </w:r>
    </w:p>
    <w:p>
      <w:pPr>
        <w:snapToGrid w:val="0"/>
        <w:spacing w:before="50" w:after="50"/>
        <w:ind w:firstLine="480" w:firstLineChars="200"/>
        <w:rPr>
          <w:rFonts w:hint="eastAsia" w:hAnsi="宋体" w:cs="宋体"/>
          <w:color w:val="auto"/>
          <w:sz w:val="24"/>
          <w:szCs w:val="24"/>
          <w:highlight w:val="none"/>
        </w:rPr>
      </w:pPr>
    </w:p>
    <w:p>
      <w:pPr>
        <w:snapToGrid w:val="0"/>
        <w:spacing w:before="50" w:after="50"/>
        <w:ind w:firstLine="480" w:firstLineChars="200"/>
        <w:rPr>
          <w:rFonts w:hint="eastAsia" w:hAnsi="宋体" w:cs="宋体"/>
          <w:color w:val="auto"/>
          <w:sz w:val="24"/>
          <w:szCs w:val="24"/>
          <w:highlight w:val="none"/>
        </w:rPr>
      </w:pPr>
    </w:p>
    <w:p>
      <w:pPr>
        <w:snapToGrid w:val="0"/>
        <w:spacing w:before="50" w:after="50"/>
        <w:ind w:firstLine="480" w:firstLineChars="200"/>
        <w:rPr>
          <w:rFonts w:hint="eastAsia" w:hAnsi="宋体" w:cs="宋体"/>
          <w:color w:val="auto"/>
          <w:sz w:val="24"/>
          <w:highlight w:val="none"/>
        </w:rPr>
      </w:pPr>
      <w:r>
        <w:rPr>
          <w:rFonts w:hint="eastAsia" w:hAnsi="宋体" w:cs="宋体"/>
          <w:color w:val="auto"/>
          <w:sz w:val="24"/>
          <w:szCs w:val="24"/>
          <w:highlight w:val="none"/>
        </w:rPr>
        <w:t>注：若为联合体</w:t>
      </w:r>
      <w:r>
        <w:rPr>
          <w:rFonts w:hint="eastAsia" w:hAnsi="宋体" w:cs="宋体"/>
          <w:color w:val="auto"/>
          <w:sz w:val="24"/>
          <w:szCs w:val="24"/>
          <w:highlight w:val="none"/>
          <w:lang w:eastAsia="zh-CN"/>
        </w:rPr>
        <w:t>投标人</w:t>
      </w:r>
      <w:r>
        <w:rPr>
          <w:rFonts w:hint="eastAsia" w:hAnsi="宋体" w:cs="宋体"/>
          <w:color w:val="auto"/>
          <w:sz w:val="24"/>
          <w:szCs w:val="24"/>
          <w:highlight w:val="none"/>
        </w:rPr>
        <w:t>，由联合体</w:t>
      </w:r>
      <w:r>
        <w:rPr>
          <w:rFonts w:hint="eastAsia" w:hAnsi="宋体" w:cs="宋体"/>
          <w:color w:val="auto"/>
          <w:sz w:val="24"/>
          <w:szCs w:val="24"/>
          <w:highlight w:val="none"/>
          <w:lang w:eastAsia="zh-CN"/>
        </w:rPr>
        <w:t>投标人</w:t>
      </w:r>
      <w:r>
        <w:rPr>
          <w:rFonts w:hint="eastAsia" w:hAnsi="宋体" w:cs="宋体"/>
          <w:color w:val="auto"/>
          <w:sz w:val="24"/>
          <w:szCs w:val="24"/>
          <w:highlight w:val="none"/>
        </w:rPr>
        <w:t>牵头人签字、盖章</w:t>
      </w:r>
      <w:r>
        <w:rPr>
          <w:rFonts w:hint="eastAsia" w:hAnsi="宋体" w:cs="宋体"/>
          <w:color w:val="auto"/>
          <w:sz w:val="24"/>
          <w:szCs w:val="24"/>
          <w:highlight w:val="none"/>
          <w:lang w:eastAsia="zh-CN"/>
        </w:rPr>
        <w:t>。</w:t>
      </w:r>
    </w:p>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br w:type="page"/>
      </w:r>
      <w:bookmarkStart w:id="56" w:name="_Toc296075064"/>
      <w:bookmarkStart w:id="57" w:name="_Toc296074353"/>
      <w:bookmarkStart w:id="58" w:name="_Toc295737642"/>
      <w:bookmarkStart w:id="59" w:name="_Toc295910890"/>
      <w:bookmarkStart w:id="60" w:name="_Toc354841327"/>
    </w:p>
    <w:p>
      <w:pPr>
        <w:snapToGrid w:val="0"/>
        <w:spacing w:before="50" w:after="50"/>
        <w:jc w:val="center"/>
        <w:rPr>
          <w:rFonts w:hint="eastAsia" w:ascii="宋体" w:hAnsi="宋体" w:eastAsia="宋体" w:cs="宋体"/>
          <w:b/>
          <w:color w:val="auto"/>
          <w:sz w:val="24"/>
          <w:highlight w:val="none"/>
        </w:rPr>
      </w:pPr>
      <w:r>
        <w:rPr>
          <w:rFonts w:hint="eastAsia" w:ascii="宋体" w:hAnsi="宋体" w:eastAsia="宋体" w:cs="宋体"/>
          <w:b/>
          <w:bCs/>
          <w:color w:val="auto"/>
          <w:sz w:val="24"/>
          <w:highlight w:val="none"/>
        </w:rPr>
        <w:t>4</w:t>
      </w:r>
      <w:r>
        <w:rPr>
          <w:rFonts w:hint="eastAsia" w:ascii="宋体" w:hAnsi="宋体" w:eastAsia="宋体" w:cs="宋体"/>
          <w:b/>
          <w:bCs/>
          <w:color w:val="auto"/>
          <w:sz w:val="24"/>
          <w:szCs w:val="24"/>
          <w:highlight w:val="none"/>
          <w:lang w:bidi="ar"/>
        </w:rPr>
        <w:t>.投标人（包括投标联合体各方）类似案例成功的业绩</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3"/>
        <w:gridCol w:w="1823"/>
        <w:gridCol w:w="2324"/>
        <w:gridCol w:w="1548"/>
        <w:gridCol w:w="1200"/>
        <w:gridCol w:w="1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943"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1823"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 目 名 称</w:t>
            </w:r>
          </w:p>
        </w:tc>
        <w:tc>
          <w:tcPr>
            <w:tcW w:w="232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 目 概 况</w:t>
            </w:r>
          </w:p>
        </w:tc>
        <w:tc>
          <w:tcPr>
            <w:tcW w:w="1548"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起讫时间</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合同金额</w:t>
            </w:r>
          </w:p>
        </w:tc>
        <w:tc>
          <w:tcPr>
            <w:tcW w:w="1479"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43"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w:t>
            </w:r>
          </w:p>
        </w:tc>
        <w:tc>
          <w:tcPr>
            <w:tcW w:w="1823"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w:t>
            </w:r>
          </w:p>
        </w:tc>
        <w:tc>
          <w:tcPr>
            <w:tcW w:w="2324" w:type="dxa"/>
            <w:tcBorders>
              <w:top w:val="single" w:color="auto" w:sz="4" w:space="0"/>
              <w:left w:val="single" w:color="auto" w:sz="4" w:space="0"/>
              <w:bottom w:val="single" w:color="auto" w:sz="4" w:space="0"/>
              <w:right w:val="single" w:color="auto" w:sz="4" w:space="0"/>
            </w:tcBorders>
            <w:noWrap w:val="0"/>
            <w:vAlign w:val="top"/>
          </w:tcPr>
          <w:p>
            <w:pPr>
              <w:widowControl/>
              <w:snapToGrid w:val="0"/>
              <w:jc w:val="center"/>
              <w:rPr>
                <w:rFonts w:hint="eastAsia" w:ascii="宋体" w:hAnsi="宋体" w:eastAsia="宋体" w:cs="宋体"/>
                <w:color w:val="auto"/>
                <w:sz w:val="24"/>
                <w:szCs w:val="24"/>
                <w:highlight w:val="none"/>
              </w:rPr>
            </w:pPr>
          </w:p>
        </w:tc>
        <w:tc>
          <w:tcPr>
            <w:tcW w:w="1548"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w:t>
            </w:r>
          </w:p>
        </w:tc>
        <w:tc>
          <w:tcPr>
            <w:tcW w:w="1479"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43"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w:t>
            </w:r>
          </w:p>
        </w:tc>
        <w:tc>
          <w:tcPr>
            <w:tcW w:w="1823"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w:t>
            </w:r>
          </w:p>
        </w:tc>
        <w:tc>
          <w:tcPr>
            <w:tcW w:w="2324" w:type="dxa"/>
            <w:tcBorders>
              <w:top w:val="single" w:color="auto" w:sz="4" w:space="0"/>
              <w:left w:val="single" w:color="auto" w:sz="4" w:space="0"/>
              <w:bottom w:val="single" w:color="auto" w:sz="4" w:space="0"/>
              <w:right w:val="single" w:color="auto" w:sz="4" w:space="0"/>
            </w:tcBorders>
            <w:noWrap w:val="0"/>
            <w:vAlign w:val="top"/>
          </w:tcPr>
          <w:p>
            <w:pPr>
              <w:widowControl/>
              <w:snapToGrid w:val="0"/>
              <w:jc w:val="center"/>
              <w:rPr>
                <w:rFonts w:hint="eastAsia" w:ascii="宋体" w:hAnsi="宋体" w:eastAsia="宋体" w:cs="宋体"/>
                <w:color w:val="auto"/>
                <w:sz w:val="24"/>
                <w:szCs w:val="24"/>
                <w:highlight w:val="none"/>
              </w:rPr>
            </w:pPr>
          </w:p>
        </w:tc>
        <w:tc>
          <w:tcPr>
            <w:tcW w:w="1548"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w:t>
            </w:r>
          </w:p>
        </w:tc>
        <w:tc>
          <w:tcPr>
            <w:tcW w:w="1479"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43"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w:t>
            </w:r>
          </w:p>
        </w:tc>
        <w:tc>
          <w:tcPr>
            <w:tcW w:w="1823"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w:t>
            </w:r>
          </w:p>
        </w:tc>
        <w:tc>
          <w:tcPr>
            <w:tcW w:w="2324" w:type="dxa"/>
            <w:tcBorders>
              <w:top w:val="single" w:color="auto" w:sz="4" w:space="0"/>
              <w:left w:val="single" w:color="auto" w:sz="4" w:space="0"/>
              <w:bottom w:val="single" w:color="auto" w:sz="4" w:space="0"/>
              <w:right w:val="single" w:color="auto" w:sz="4" w:space="0"/>
            </w:tcBorders>
            <w:noWrap w:val="0"/>
            <w:vAlign w:val="top"/>
          </w:tcPr>
          <w:p>
            <w:pPr>
              <w:widowControl/>
              <w:snapToGrid w:val="0"/>
              <w:jc w:val="center"/>
              <w:rPr>
                <w:rFonts w:hint="eastAsia" w:ascii="宋体" w:hAnsi="宋体" w:eastAsia="宋体" w:cs="宋体"/>
                <w:color w:val="auto"/>
                <w:sz w:val="24"/>
                <w:szCs w:val="24"/>
                <w:highlight w:val="none"/>
              </w:rPr>
            </w:pPr>
          </w:p>
        </w:tc>
        <w:tc>
          <w:tcPr>
            <w:tcW w:w="1548"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w:t>
            </w:r>
          </w:p>
        </w:tc>
        <w:tc>
          <w:tcPr>
            <w:tcW w:w="1479"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43"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w:t>
            </w:r>
          </w:p>
        </w:tc>
        <w:tc>
          <w:tcPr>
            <w:tcW w:w="1823"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w:t>
            </w:r>
          </w:p>
        </w:tc>
        <w:tc>
          <w:tcPr>
            <w:tcW w:w="2324" w:type="dxa"/>
            <w:tcBorders>
              <w:top w:val="single" w:color="auto" w:sz="4" w:space="0"/>
              <w:left w:val="single" w:color="auto" w:sz="4" w:space="0"/>
              <w:bottom w:val="single" w:color="auto" w:sz="4" w:space="0"/>
              <w:right w:val="single" w:color="auto" w:sz="4" w:space="0"/>
            </w:tcBorders>
            <w:noWrap w:val="0"/>
            <w:vAlign w:val="top"/>
          </w:tcPr>
          <w:p>
            <w:pPr>
              <w:widowControl/>
              <w:snapToGrid w:val="0"/>
              <w:jc w:val="center"/>
              <w:rPr>
                <w:rFonts w:hint="eastAsia" w:ascii="宋体" w:hAnsi="宋体" w:eastAsia="宋体" w:cs="宋体"/>
                <w:color w:val="auto"/>
                <w:sz w:val="24"/>
                <w:szCs w:val="24"/>
                <w:highlight w:val="none"/>
              </w:rPr>
            </w:pPr>
          </w:p>
        </w:tc>
        <w:tc>
          <w:tcPr>
            <w:tcW w:w="1548"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w:t>
            </w:r>
          </w:p>
        </w:tc>
        <w:tc>
          <w:tcPr>
            <w:tcW w:w="1479"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43"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w:t>
            </w:r>
          </w:p>
        </w:tc>
        <w:tc>
          <w:tcPr>
            <w:tcW w:w="1823"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w:t>
            </w:r>
          </w:p>
        </w:tc>
        <w:tc>
          <w:tcPr>
            <w:tcW w:w="2324" w:type="dxa"/>
            <w:tcBorders>
              <w:top w:val="single" w:color="auto" w:sz="4" w:space="0"/>
              <w:left w:val="single" w:color="auto" w:sz="4" w:space="0"/>
              <w:bottom w:val="single" w:color="auto" w:sz="4" w:space="0"/>
              <w:right w:val="single" w:color="auto" w:sz="4" w:space="0"/>
            </w:tcBorders>
            <w:noWrap w:val="0"/>
            <w:vAlign w:val="top"/>
          </w:tcPr>
          <w:p>
            <w:pPr>
              <w:widowControl/>
              <w:snapToGrid w:val="0"/>
              <w:jc w:val="center"/>
              <w:rPr>
                <w:rFonts w:hint="eastAsia" w:ascii="宋体" w:hAnsi="宋体" w:eastAsia="宋体" w:cs="宋体"/>
                <w:color w:val="auto"/>
                <w:sz w:val="24"/>
                <w:szCs w:val="24"/>
                <w:highlight w:val="none"/>
              </w:rPr>
            </w:pPr>
          </w:p>
        </w:tc>
        <w:tc>
          <w:tcPr>
            <w:tcW w:w="1548"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w:t>
            </w:r>
          </w:p>
        </w:tc>
        <w:tc>
          <w:tcPr>
            <w:tcW w:w="1479"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43"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w:t>
            </w:r>
          </w:p>
        </w:tc>
        <w:tc>
          <w:tcPr>
            <w:tcW w:w="1823"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w:t>
            </w:r>
          </w:p>
        </w:tc>
        <w:tc>
          <w:tcPr>
            <w:tcW w:w="2324" w:type="dxa"/>
            <w:tcBorders>
              <w:top w:val="single" w:color="auto" w:sz="4" w:space="0"/>
              <w:left w:val="single" w:color="auto" w:sz="4" w:space="0"/>
              <w:bottom w:val="single" w:color="auto" w:sz="4" w:space="0"/>
              <w:right w:val="single" w:color="auto" w:sz="4" w:space="0"/>
            </w:tcBorders>
            <w:noWrap w:val="0"/>
            <w:vAlign w:val="top"/>
          </w:tcPr>
          <w:p>
            <w:pPr>
              <w:widowControl/>
              <w:snapToGrid w:val="0"/>
              <w:jc w:val="center"/>
              <w:rPr>
                <w:rFonts w:hint="eastAsia" w:ascii="宋体" w:hAnsi="宋体" w:eastAsia="宋体" w:cs="宋体"/>
                <w:color w:val="auto"/>
                <w:sz w:val="24"/>
                <w:szCs w:val="24"/>
                <w:highlight w:val="none"/>
              </w:rPr>
            </w:pPr>
          </w:p>
        </w:tc>
        <w:tc>
          <w:tcPr>
            <w:tcW w:w="1548"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w:t>
            </w:r>
          </w:p>
        </w:tc>
        <w:tc>
          <w:tcPr>
            <w:tcW w:w="1479"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43"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w:t>
            </w:r>
          </w:p>
        </w:tc>
        <w:tc>
          <w:tcPr>
            <w:tcW w:w="1823"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w:t>
            </w:r>
          </w:p>
        </w:tc>
        <w:tc>
          <w:tcPr>
            <w:tcW w:w="2324" w:type="dxa"/>
            <w:tcBorders>
              <w:top w:val="single" w:color="auto" w:sz="4" w:space="0"/>
              <w:left w:val="single" w:color="auto" w:sz="4" w:space="0"/>
              <w:bottom w:val="single" w:color="auto" w:sz="4" w:space="0"/>
              <w:right w:val="single" w:color="auto" w:sz="4" w:space="0"/>
            </w:tcBorders>
            <w:noWrap w:val="0"/>
            <w:vAlign w:val="top"/>
          </w:tcPr>
          <w:p>
            <w:pPr>
              <w:widowControl/>
              <w:snapToGrid w:val="0"/>
              <w:jc w:val="center"/>
              <w:rPr>
                <w:rFonts w:hint="eastAsia" w:ascii="宋体" w:hAnsi="宋体" w:eastAsia="宋体" w:cs="宋体"/>
                <w:color w:val="auto"/>
                <w:sz w:val="24"/>
                <w:szCs w:val="24"/>
                <w:highlight w:val="none"/>
              </w:rPr>
            </w:pPr>
          </w:p>
        </w:tc>
        <w:tc>
          <w:tcPr>
            <w:tcW w:w="1548"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w:t>
            </w:r>
          </w:p>
        </w:tc>
        <w:tc>
          <w:tcPr>
            <w:tcW w:w="1479"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43"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w:t>
            </w:r>
          </w:p>
        </w:tc>
        <w:tc>
          <w:tcPr>
            <w:tcW w:w="1823"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w:t>
            </w:r>
          </w:p>
        </w:tc>
        <w:tc>
          <w:tcPr>
            <w:tcW w:w="2324" w:type="dxa"/>
            <w:tcBorders>
              <w:top w:val="single" w:color="auto" w:sz="4" w:space="0"/>
              <w:left w:val="single" w:color="auto" w:sz="4" w:space="0"/>
              <w:bottom w:val="single" w:color="auto" w:sz="4" w:space="0"/>
              <w:right w:val="single" w:color="auto" w:sz="4" w:space="0"/>
            </w:tcBorders>
            <w:noWrap w:val="0"/>
            <w:vAlign w:val="top"/>
          </w:tcPr>
          <w:p>
            <w:pPr>
              <w:widowControl/>
              <w:snapToGrid w:val="0"/>
              <w:jc w:val="center"/>
              <w:rPr>
                <w:rFonts w:hint="eastAsia" w:ascii="宋体" w:hAnsi="宋体" w:eastAsia="宋体" w:cs="宋体"/>
                <w:color w:val="auto"/>
                <w:sz w:val="24"/>
                <w:szCs w:val="24"/>
                <w:highlight w:val="none"/>
              </w:rPr>
            </w:pPr>
          </w:p>
        </w:tc>
        <w:tc>
          <w:tcPr>
            <w:tcW w:w="1548"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w:t>
            </w:r>
          </w:p>
        </w:tc>
        <w:tc>
          <w:tcPr>
            <w:tcW w:w="1479"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43"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w:t>
            </w:r>
          </w:p>
        </w:tc>
        <w:tc>
          <w:tcPr>
            <w:tcW w:w="1823"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w:t>
            </w:r>
          </w:p>
        </w:tc>
        <w:tc>
          <w:tcPr>
            <w:tcW w:w="2324" w:type="dxa"/>
            <w:tcBorders>
              <w:top w:val="single" w:color="auto" w:sz="4" w:space="0"/>
              <w:left w:val="single" w:color="auto" w:sz="4" w:space="0"/>
              <w:bottom w:val="single" w:color="auto" w:sz="4" w:space="0"/>
              <w:right w:val="single" w:color="auto" w:sz="4" w:space="0"/>
            </w:tcBorders>
            <w:noWrap w:val="0"/>
            <w:vAlign w:val="top"/>
          </w:tcPr>
          <w:p>
            <w:pPr>
              <w:widowControl/>
              <w:snapToGrid w:val="0"/>
              <w:jc w:val="center"/>
              <w:rPr>
                <w:rFonts w:hint="eastAsia" w:ascii="宋体" w:hAnsi="宋体" w:eastAsia="宋体" w:cs="宋体"/>
                <w:color w:val="auto"/>
                <w:sz w:val="24"/>
                <w:szCs w:val="24"/>
                <w:highlight w:val="none"/>
              </w:rPr>
            </w:pPr>
          </w:p>
        </w:tc>
        <w:tc>
          <w:tcPr>
            <w:tcW w:w="1548"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w:t>
            </w:r>
          </w:p>
        </w:tc>
        <w:tc>
          <w:tcPr>
            <w:tcW w:w="1479"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w:t>
            </w:r>
          </w:p>
        </w:tc>
      </w:tr>
    </w:tbl>
    <w:p>
      <w:pPr>
        <w:spacing w:line="500" w:lineRule="exact"/>
        <w:ind w:firstLine="420" w:firstLineChars="200"/>
        <w:rPr>
          <w:rFonts w:hint="eastAsia" w:ascii="宋体" w:hAnsi="宋体" w:eastAsia="宋体" w:cs="宋体"/>
          <w:color w:val="auto"/>
          <w:sz w:val="21"/>
          <w:szCs w:val="21"/>
          <w:highlight w:val="none"/>
        </w:rPr>
      </w:pPr>
    </w:p>
    <w:p>
      <w:pPr>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法定代表人或其授权代表（签字或盖章）：</w:t>
      </w:r>
    </w:p>
    <w:p>
      <w:pPr>
        <w:autoSpaceDE/>
        <w:autoSpaceDN/>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投标人全称（加盖公章）：                     </w:t>
      </w:r>
    </w:p>
    <w:p>
      <w:pPr>
        <w:autoSpaceDE/>
        <w:autoSpaceDN/>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日期：  年  月   日</w:t>
      </w:r>
    </w:p>
    <w:p>
      <w:pPr>
        <w:jc w:val="center"/>
        <w:rPr>
          <w:rFonts w:hint="eastAsia" w:ascii="宋体" w:hAnsi="宋体" w:eastAsia="宋体" w:cs="宋体"/>
          <w:b/>
          <w:color w:val="auto"/>
          <w:sz w:val="21"/>
          <w:szCs w:val="21"/>
          <w:highlight w:val="none"/>
        </w:rPr>
      </w:pPr>
    </w:p>
    <w:p>
      <w:pPr>
        <w:snapToGrid w:val="0"/>
        <w:spacing w:before="50" w:after="50"/>
        <w:ind w:firstLine="480" w:firstLineChars="200"/>
        <w:rPr>
          <w:rFonts w:hint="eastAsia" w:hAnsi="宋体" w:cs="宋体"/>
          <w:color w:val="auto"/>
          <w:sz w:val="24"/>
          <w:highlight w:val="none"/>
        </w:rPr>
      </w:pPr>
      <w:r>
        <w:rPr>
          <w:rFonts w:hint="eastAsia" w:hAnsi="宋体" w:cs="宋体"/>
          <w:color w:val="auto"/>
          <w:sz w:val="24"/>
          <w:szCs w:val="24"/>
          <w:highlight w:val="none"/>
        </w:rPr>
        <w:t>注：若为联合体</w:t>
      </w:r>
      <w:r>
        <w:rPr>
          <w:rFonts w:hint="eastAsia" w:hAnsi="宋体" w:cs="宋体"/>
          <w:color w:val="auto"/>
          <w:sz w:val="24"/>
          <w:szCs w:val="24"/>
          <w:highlight w:val="none"/>
          <w:lang w:eastAsia="zh-CN"/>
        </w:rPr>
        <w:t>投标人</w:t>
      </w:r>
      <w:r>
        <w:rPr>
          <w:rFonts w:hint="eastAsia" w:hAnsi="宋体" w:cs="宋体"/>
          <w:color w:val="auto"/>
          <w:sz w:val="24"/>
          <w:szCs w:val="24"/>
          <w:highlight w:val="none"/>
        </w:rPr>
        <w:t>，由联合体</w:t>
      </w:r>
      <w:r>
        <w:rPr>
          <w:rFonts w:hint="eastAsia" w:hAnsi="宋体" w:cs="宋体"/>
          <w:color w:val="auto"/>
          <w:sz w:val="24"/>
          <w:szCs w:val="24"/>
          <w:highlight w:val="none"/>
          <w:lang w:eastAsia="zh-CN"/>
        </w:rPr>
        <w:t>投标人</w:t>
      </w:r>
      <w:r>
        <w:rPr>
          <w:rFonts w:hint="eastAsia" w:hAnsi="宋体" w:cs="宋体"/>
          <w:color w:val="auto"/>
          <w:sz w:val="24"/>
          <w:szCs w:val="24"/>
          <w:highlight w:val="none"/>
        </w:rPr>
        <w:t>牵头人签字、盖章</w:t>
      </w:r>
      <w:r>
        <w:rPr>
          <w:rFonts w:hint="eastAsia" w:hAnsi="宋体" w:cs="宋体"/>
          <w:color w:val="auto"/>
          <w:sz w:val="24"/>
          <w:szCs w:val="24"/>
          <w:highlight w:val="none"/>
          <w:lang w:eastAsia="zh-CN"/>
        </w:rPr>
        <w:t>。</w:t>
      </w:r>
    </w:p>
    <w:p>
      <w:pPr>
        <w:jc w:val="left"/>
        <w:rPr>
          <w:rFonts w:hint="eastAsia" w:hAnsi="宋体" w:cs="宋体"/>
          <w:b/>
          <w:color w:val="auto"/>
          <w:sz w:val="24"/>
          <w:szCs w:val="22"/>
          <w:highlight w:val="none"/>
          <w:lang w:val="en-US" w:eastAsia="zh-CN"/>
        </w:rPr>
      </w:pPr>
    </w:p>
    <w:p>
      <w:pPr>
        <w:jc w:val="left"/>
        <w:rPr>
          <w:rFonts w:hint="eastAsia" w:hAnsi="宋体" w:cs="宋体"/>
          <w:b/>
          <w:color w:val="auto"/>
          <w:sz w:val="24"/>
          <w:szCs w:val="22"/>
          <w:highlight w:val="none"/>
          <w:lang w:val="en-US" w:eastAsia="zh-CN"/>
        </w:rPr>
      </w:pPr>
      <w:r>
        <w:rPr>
          <w:rFonts w:hint="eastAsia" w:hAnsi="宋体" w:cs="宋体"/>
          <w:b/>
          <w:color w:val="auto"/>
          <w:sz w:val="24"/>
          <w:szCs w:val="22"/>
          <w:highlight w:val="none"/>
          <w:lang w:val="en-US" w:eastAsia="zh-CN"/>
        </w:rPr>
        <w:br w:type="page"/>
      </w:r>
    </w:p>
    <w:p>
      <w:pPr>
        <w:jc w:val="center"/>
        <w:rPr>
          <w:rFonts w:hint="eastAsia" w:ascii="宋体" w:hAnsi="宋体" w:eastAsia="宋体" w:cs="宋体"/>
          <w:color w:val="auto"/>
          <w:sz w:val="21"/>
          <w:szCs w:val="21"/>
          <w:highlight w:val="none"/>
        </w:rPr>
      </w:pPr>
      <w:r>
        <w:rPr>
          <w:rFonts w:hint="eastAsia" w:hAnsi="宋体" w:cs="宋体"/>
          <w:b/>
          <w:color w:val="auto"/>
          <w:sz w:val="24"/>
          <w:szCs w:val="22"/>
          <w:highlight w:val="none"/>
          <w:lang w:val="en-US" w:eastAsia="zh-CN"/>
        </w:rPr>
        <w:t>5</w:t>
      </w:r>
      <w:r>
        <w:rPr>
          <w:rFonts w:hint="eastAsia" w:ascii="宋体" w:hAnsi="宋体" w:eastAsia="宋体" w:cs="宋体"/>
          <w:b/>
          <w:color w:val="auto"/>
          <w:sz w:val="24"/>
          <w:szCs w:val="22"/>
          <w:highlight w:val="none"/>
        </w:rPr>
        <w:t>.投标人（包括投标联合体各方）拟投入本项目的服务人员配置表</w:t>
      </w:r>
      <w:bookmarkEnd w:id="56"/>
      <w:bookmarkEnd w:id="57"/>
      <w:bookmarkEnd w:id="58"/>
      <w:bookmarkEnd w:id="59"/>
      <w:bookmarkEnd w:id="60"/>
    </w:p>
    <w:tbl>
      <w:tblPr>
        <w:tblStyle w:val="20"/>
        <w:tblW w:w="0" w:type="auto"/>
        <w:tblInd w:w="10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140"/>
        <w:gridCol w:w="1837"/>
        <w:gridCol w:w="709"/>
        <w:gridCol w:w="709"/>
        <w:gridCol w:w="1417"/>
        <w:gridCol w:w="1276"/>
        <w:gridCol w:w="221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0" w:hRule="atLeast"/>
        </w:trPr>
        <w:tc>
          <w:tcPr>
            <w:tcW w:w="1140"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jc w:val="center"/>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姓名</w:t>
            </w:r>
          </w:p>
        </w:tc>
        <w:tc>
          <w:tcPr>
            <w:tcW w:w="1837"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jc w:val="center"/>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本项目主要工作</w:t>
            </w:r>
          </w:p>
        </w:tc>
        <w:tc>
          <w:tcPr>
            <w:tcW w:w="709"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jc w:val="center"/>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年龄</w:t>
            </w:r>
          </w:p>
        </w:tc>
        <w:tc>
          <w:tcPr>
            <w:tcW w:w="709"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jc w:val="center"/>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性别</w:t>
            </w:r>
          </w:p>
        </w:tc>
        <w:tc>
          <w:tcPr>
            <w:tcW w:w="1417"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jc w:val="center"/>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职称/职务</w:t>
            </w:r>
          </w:p>
        </w:tc>
        <w:tc>
          <w:tcPr>
            <w:tcW w:w="1276"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jc w:val="center"/>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专业/年限</w:t>
            </w:r>
          </w:p>
        </w:tc>
        <w:tc>
          <w:tcPr>
            <w:tcW w:w="2218"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jc w:val="center"/>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联系方式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0" w:hRule="atLeast"/>
        </w:trPr>
        <w:tc>
          <w:tcPr>
            <w:tcW w:w="1140"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textAlignment w:val="auto"/>
              <w:rPr>
                <w:rFonts w:hint="eastAsia" w:ascii="宋体" w:hAnsi="宋体" w:eastAsia="宋体" w:cs="宋体"/>
                <w:color w:val="auto"/>
                <w:sz w:val="21"/>
                <w:szCs w:val="21"/>
                <w:highlight w:val="none"/>
              </w:rPr>
            </w:pPr>
          </w:p>
        </w:tc>
        <w:tc>
          <w:tcPr>
            <w:tcW w:w="1837"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jc w:val="center"/>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项目负责人</w:t>
            </w:r>
          </w:p>
        </w:tc>
        <w:tc>
          <w:tcPr>
            <w:tcW w:w="709"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textAlignment w:val="auto"/>
              <w:rPr>
                <w:rFonts w:hint="eastAsia" w:ascii="宋体" w:hAnsi="宋体" w:eastAsia="宋体" w:cs="宋体"/>
                <w:color w:val="auto"/>
                <w:sz w:val="21"/>
                <w:szCs w:val="21"/>
                <w:highlight w:val="none"/>
              </w:rPr>
            </w:pPr>
          </w:p>
        </w:tc>
        <w:tc>
          <w:tcPr>
            <w:tcW w:w="709"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textAlignment w:val="auto"/>
              <w:rPr>
                <w:rFonts w:hint="eastAsia" w:ascii="宋体" w:hAnsi="宋体" w:eastAsia="宋体" w:cs="宋体"/>
                <w:color w:val="auto"/>
                <w:sz w:val="21"/>
                <w:szCs w:val="21"/>
                <w:highlight w:val="none"/>
              </w:rPr>
            </w:pPr>
          </w:p>
        </w:tc>
        <w:tc>
          <w:tcPr>
            <w:tcW w:w="1417"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textAlignment w:val="auto"/>
              <w:rPr>
                <w:rFonts w:hint="eastAsia" w:ascii="宋体" w:hAnsi="宋体" w:eastAsia="宋体" w:cs="宋体"/>
                <w:color w:val="auto"/>
                <w:sz w:val="21"/>
                <w:szCs w:val="21"/>
                <w:highlight w:val="none"/>
              </w:rPr>
            </w:pPr>
          </w:p>
        </w:tc>
        <w:tc>
          <w:tcPr>
            <w:tcW w:w="1276"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textAlignment w:val="auto"/>
              <w:rPr>
                <w:rFonts w:hint="eastAsia" w:ascii="宋体" w:hAnsi="宋体" w:eastAsia="宋体" w:cs="宋体"/>
                <w:color w:val="auto"/>
                <w:sz w:val="21"/>
                <w:szCs w:val="21"/>
                <w:highlight w:val="none"/>
              </w:rPr>
            </w:pPr>
          </w:p>
        </w:tc>
        <w:tc>
          <w:tcPr>
            <w:tcW w:w="2218"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0" w:hRule="atLeast"/>
        </w:trPr>
        <w:tc>
          <w:tcPr>
            <w:tcW w:w="1140"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textAlignment w:val="auto"/>
              <w:rPr>
                <w:rFonts w:hint="eastAsia" w:ascii="宋体" w:hAnsi="宋体" w:eastAsia="宋体" w:cs="宋体"/>
                <w:color w:val="auto"/>
                <w:sz w:val="21"/>
                <w:szCs w:val="21"/>
                <w:highlight w:val="none"/>
              </w:rPr>
            </w:pPr>
          </w:p>
        </w:tc>
        <w:tc>
          <w:tcPr>
            <w:tcW w:w="1837"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textAlignment w:val="auto"/>
              <w:rPr>
                <w:rFonts w:hint="eastAsia" w:ascii="宋体" w:hAnsi="宋体" w:eastAsia="宋体" w:cs="宋体"/>
                <w:color w:val="auto"/>
                <w:sz w:val="21"/>
                <w:szCs w:val="21"/>
                <w:highlight w:val="none"/>
              </w:rPr>
            </w:pPr>
          </w:p>
        </w:tc>
        <w:tc>
          <w:tcPr>
            <w:tcW w:w="709"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textAlignment w:val="auto"/>
              <w:rPr>
                <w:rFonts w:hint="eastAsia" w:ascii="宋体" w:hAnsi="宋体" w:eastAsia="宋体" w:cs="宋体"/>
                <w:color w:val="auto"/>
                <w:sz w:val="21"/>
                <w:szCs w:val="21"/>
                <w:highlight w:val="none"/>
              </w:rPr>
            </w:pPr>
          </w:p>
        </w:tc>
        <w:tc>
          <w:tcPr>
            <w:tcW w:w="709"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textAlignment w:val="auto"/>
              <w:rPr>
                <w:rFonts w:hint="eastAsia" w:ascii="宋体" w:hAnsi="宋体" w:eastAsia="宋体" w:cs="宋体"/>
                <w:color w:val="auto"/>
                <w:sz w:val="21"/>
                <w:szCs w:val="21"/>
                <w:highlight w:val="none"/>
              </w:rPr>
            </w:pPr>
          </w:p>
        </w:tc>
        <w:tc>
          <w:tcPr>
            <w:tcW w:w="1417"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textAlignment w:val="auto"/>
              <w:rPr>
                <w:rFonts w:hint="eastAsia" w:ascii="宋体" w:hAnsi="宋体" w:eastAsia="宋体" w:cs="宋体"/>
                <w:color w:val="auto"/>
                <w:sz w:val="21"/>
                <w:szCs w:val="21"/>
                <w:highlight w:val="none"/>
              </w:rPr>
            </w:pPr>
          </w:p>
        </w:tc>
        <w:tc>
          <w:tcPr>
            <w:tcW w:w="1276"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textAlignment w:val="auto"/>
              <w:rPr>
                <w:rFonts w:hint="eastAsia" w:ascii="宋体" w:hAnsi="宋体" w:eastAsia="宋体" w:cs="宋体"/>
                <w:color w:val="auto"/>
                <w:sz w:val="21"/>
                <w:szCs w:val="21"/>
                <w:highlight w:val="none"/>
              </w:rPr>
            </w:pPr>
          </w:p>
        </w:tc>
        <w:tc>
          <w:tcPr>
            <w:tcW w:w="2218"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0" w:hRule="atLeast"/>
        </w:trPr>
        <w:tc>
          <w:tcPr>
            <w:tcW w:w="1140"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textAlignment w:val="auto"/>
              <w:rPr>
                <w:rFonts w:hint="eastAsia" w:ascii="宋体" w:hAnsi="宋体" w:eastAsia="宋体" w:cs="宋体"/>
                <w:color w:val="auto"/>
                <w:sz w:val="21"/>
                <w:szCs w:val="21"/>
                <w:highlight w:val="none"/>
              </w:rPr>
            </w:pPr>
          </w:p>
        </w:tc>
        <w:tc>
          <w:tcPr>
            <w:tcW w:w="1837"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textAlignment w:val="auto"/>
              <w:rPr>
                <w:rFonts w:hint="eastAsia" w:ascii="宋体" w:hAnsi="宋体" w:eastAsia="宋体" w:cs="宋体"/>
                <w:color w:val="auto"/>
                <w:sz w:val="21"/>
                <w:szCs w:val="21"/>
                <w:highlight w:val="none"/>
              </w:rPr>
            </w:pPr>
          </w:p>
        </w:tc>
        <w:tc>
          <w:tcPr>
            <w:tcW w:w="709"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textAlignment w:val="auto"/>
              <w:rPr>
                <w:rFonts w:hint="eastAsia" w:ascii="宋体" w:hAnsi="宋体" w:eastAsia="宋体" w:cs="宋体"/>
                <w:color w:val="auto"/>
                <w:sz w:val="21"/>
                <w:szCs w:val="21"/>
                <w:highlight w:val="none"/>
              </w:rPr>
            </w:pPr>
          </w:p>
        </w:tc>
        <w:tc>
          <w:tcPr>
            <w:tcW w:w="709"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textAlignment w:val="auto"/>
              <w:rPr>
                <w:rFonts w:hint="eastAsia" w:ascii="宋体" w:hAnsi="宋体" w:eastAsia="宋体" w:cs="宋体"/>
                <w:color w:val="auto"/>
                <w:sz w:val="21"/>
                <w:szCs w:val="21"/>
                <w:highlight w:val="none"/>
              </w:rPr>
            </w:pPr>
          </w:p>
        </w:tc>
        <w:tc>
          <w:tcPr>
            <w:tcW w:w="1417"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textAlignment w:val="auto"/>
              <w:rPr>
                <w:rFonts w:hint="eastAsia" w:ascii="宋体" w:hAnsi="宋体" w:eastAsia="宋体" w:cs="宋体"/>
                <w:color w:val="auto"/>
                <w:sz w:val="21"/>
                <w:szCs w:val="21"/>
                <w:highlight w:val="none"/>
              </w:rPr>
            </w:pPr>
          </w:p>
        </w:tc>
        <w:tc>
          <w:tcPr>
            <w:tcW w:w="1276"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textAlignment w:val="auto"/>
              <w:rPr>
                <w:rFonts w:hint="eastAsia" w:ascii="宋体" w:hAnsi="宋体" w:eastAsia="宋体" w:cs="宋体"/>
                <w:color w:val="auto"/>
                <w:sz w:val="21"/>
                <w:szCs w:val="21"/>
                <w:highlight w:val="none"/>
              </w:rPr>
            </w:pPr>
          </w:p>
        </w:tc>
        <w:tc>
          <w:tcPr>
            <w:tcW w:w="2218"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0" w:hRule="atLeast"/>
        </w:trPr>
        <w:tc>
          <w:tcPr>
            <w:tcW w:w="1140"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textAlignment w:val="auto"/>
              <w:rPr>
                <w:rFonts w:hint="eastAsia" w:ascii="宋体" w:hAnsi="宋体" w:eastAsia="宋体" w:cs="宋体"/>
                <w:color w:val="auto"/>
                <w:sz w:val="21"/>
                <w:szCs w:val="21"/>
                <w:highlight w:val="none"/>
              </w:rPr>
            </w:pPr>
          </w:p>
        </w:tc>
        <w:tc>
          <w:tcPr>
            <w:tcW w:w="1837"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textAlignment w:val="auto"/>
              <w:rPr>
                <w:rFonts w:hint="eastAsia" w:ascii="宋体" w:hAnsi="宋体" w:eastAsia="宋体" w:cs="宋体"/>
                <w:color w:val="auto"/>
                <w:sz w:val="21"/>
                <w:szCs w:val="21"/>
                <w:highlight w:val="none"/>
              </w:rPr>
            </w:pPr>
          </w:p>
        </w:tc>
        <w:tc>
          <w:tcPr>
            <w:tcW w:w="709"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textAlignment w:val="auto"/>
              <w:rPr>
                <w:rFonts w:hint="eastAsia" w:ascii="宋体" w:hAnsi="宋体" w:eastAsia="宋体" w:cs="宋体"/>
                <w:color w:val="auto"/>
                <w:sz w:val="21"/>
                <w:szCs w:val="21"/>
                <w:highlight w:val="none"/>
              </w:rPr>
            </w:pPr>
          </w:p>
        </w:tc>
        <w:tc>
          <w:tcPr>
            <w:tcW w:w="709"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textAlignment w:val="auto"/>
              <w:rPr>
                <w:rFonts w:hint="eastAsia" w:ascii="宋体" w:hAnsi="宋体" w:eastAsia="宋体" w:cs="宋体"/>
                <w:color w:val="auto"/>
                <w:sz w:val="21"/>
                <w:szCs w:val="21"/>
                <w:highlight w:val="none"/>
              </w:rPr>
            </w:pPr>
          </w:p>
        </w:tc>
        <w:tc>
          <w:tcPr>
            <w:tcW w:w="1417"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textAlignment w:val="auto"/>
              <w:rPr>
                <w:rFonts w:hint="eastAsia" w:ascii="宋体" w:hAnsi="宋体" w:eastAsia="宋体" w:cs="宋体"/>
                <w:color w:val="auto"/>
                <w:sz w:val="21"/>
                <w:szCs w:val="21"/>
                <w:highlight w:val="none"/>
              </w:rPr>
            </w:pPr>
          </w:p>
        </w:tc>
        <w:tc>
          <w:tcPr>
            <w:tcW w:w="1276"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textAlignment w:val="auto"/>
              <w:rPr>
                <w:rFonts w:hint="eastAsia" w:ascii="宋体" w:hAnsi="宋体" w:eastAsia="宋体" w:cs="宋体"/>
                <w:color w:val="auto"/>
                <w:sz w:val="21"/>
                <w:szCs w:val="21"/>
                <w:highlight w:val="none"/>
              </w:rPr>
            </w:pPr>
          </w:p>
        </w:tc>
        <w:tc>
          <w:tcPr>
            <w:tcW w:w="2218"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0" w:hRule="atLeast"/>
        </w:trPr>
        <w:tc>
          <w:tcPr>
            <w:tcW w:w="1140"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textAlignment w:val="auto"/>
              <w:rPr>
                <w:rFonts w:hint="eastAsia" w:ascii="宋体" w:hAnsi="宋体" w:eastAsia="宋体" w:cs="宋体"/>
                <w:color w:val="auto"/>
                <w:sz w:val="21"/>
                <w:szCs w:val="21"/>
                <w:highlight w:val="none"/>
              </w:rPr>
            </w:pPr>
          </w:p>
        </w:tc>
        <w:tc>
          <w:tcPr>
            <w:tcW w:w="1837"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textAlignment w:val="auto"/>
              <w:rPr>
                <w:rFonts w:hint="eastAsia" w:ascii="宋体" w:hAnsi="宋体" w:eastAsia="宋体" w:cs="宋体"/>
                <w:color w:val="auto"/>
                <w:sz w:val="21"/>
                <w:szCs w:val="21"/>
                <w:highlight w:val="none"/>
              </w:rPr>
            </w:pPr>
          </w:p>
        </w:tc>
        <w:tc>
          <w:tcPr>
            <w:tcW w:w="709"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textAlignment w:val="auto"/>
              <w:rPr>
                <w:rFonts w:hint="eastAsia" w:ascii="宋体" w:hAnsi="宋体" w:eastAsia="宋体" w:cs="宋体"/>
                <w:color w:val="auto"/>
                <w:sz w:val="21"/>
                <w:szCs w:val="21"/>
                <w:highlight w:val="none"/>
              </w:rPr>
            </w:pPr>
          </w:p>
        </w:tc>
        <w:tc>
          <w:tcPr>
            <w:tcW w:w="709"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textAlignment w:val="auto"/>
              <w:rPr>
                <w:rFonts w:hint="eastAsia" w:ascii="宋体" w:hAnsi="宋体" w:eastAsia="宋体" w:cs="宋体"/>
                <w:color w:val="auto"/>
                <w:sz w:val="21"/>
                <w:szCs w:val="21"/>
                <w:highlight w:val="none"/>
              </w:rPr>
            </w:pPr>
          </w:p>
        </w:tc>
        <w:tc>
          <w:tcPr>
            <w:tcW w:w="1417"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textAlignment w:val="auto"/>
              <w:rPr>
                <w:rFonts w:hint="eastAsia" w:ascii="宋体" w:hAnsi="宋体" w:eastAsia="宋体" w:cs="宋体"/>
                <w:color w:val="auto"/>
                <w:sz w:val="21"/>
                <w:szCs w:val="21"/>
                <w:highlight w:val="none"/>
              </w:rPr>
            </w:pPr>
          </w:p>
        </w:tc>
        <w:tc>
          <w:tcPr>
            <w:tcW w:w="1276"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textAlignment w:val="auto"/>
              <w:rPr>
                <w:rFonts w:hint="eastAsia" w:ascii="宋体" w:hAnsi="宋体" w:eastAsia="宋体" w:cs="宋体"/>
                <w:color w:val="auto"/>
                <w:sz w:val="21"/>
                <w:szCs w:val="21"/>
                <w:highlight w:val="none"/>
              </w:rPr>
            </w:pPr>
          </w:p>
        </w:tc>
        <w:tc>
          <w:tcPr>
            <w:tcW w:w="2218"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0" w:hRule="atLeast"/>
        </w:trPr>
        <w:tc>
          <w:tcPr>
            <w:tcW w:w="1140"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textAlignment w:val="auto"/>
              <w:rPr>
                <w:rFonts w:hint="eastAsia" w:ascii="宋体" w:hAnsi="宋体" w:eastAsia="宋体" w:cs="宋体"/>
                <w:color w:val="auto"/>
                <w:sz w:val="21"/>
                <w:szCs w:val="21"/>
                <w:highlight w:val="none"/>
              </w:rPr>
            </w:pPr>
          </w:p>
        </w:tc>
        <w:tc>
          <w:tcPr>
            <w:tcW w:w="1837"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textAlignment w:val="auto"/>
              <w:rPr>
                <w:rFonts w:hint="eastAsia" w:ascii="宋体" w:hAnsi="宋体" w:eastAsia="宋体" w:cs="宋体"/>
                <w:color w:val="auto"/>
                <w:sz w:val="21"/>
                <w:szCs w:val="21"/>
                <w:highlight w:val="none"/>
              </w:rPr>
            </w:pPr>
          </w:p>
        </w:tc>
        <w:tc>
          <w:tcPr>
            <w:tcW w:w="709"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textAlignment w:val="auto"/>
              <w:rPr>
                <w:rFonts w:hint="eastAsia" w:ascii="宋体" w:hAnsi="宋体" w:eastAsia="宋体" w:cs="宋体"/>
                <w:color w:val="auto"/>
                <w:sz w:val="21"/>
                <w:szCs w:val="21"/>
                <w:highlight w:val="none"/>
              </w:rPr>
            </w:pPr>
          </w:p>
        </w:tc>
        <w:tc>
          <w:tcPr>
            <w:tcW w:w="709"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textAlignment w:val="auto"/>
              <w:rPr>
                <w:rFonts w:hint="eastAsia" w:ascii="宋体" w:hAnsi="宋体" w:eastAsia="宋体" w:cs="宋体"/>
                <w:color w:val="auto"/>
                <w:sz w:val="21"/>
                <w:szCs w:val="21"/>
                <w:highlight w:val="none"/>
              </w:rPr>
            </w:pPr>
          </w:p>
        </w:tc>
        <w:tc>
          <w:tcPr>
            <w:tcW w:w="1417"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textAlignment w:val="auto"/>
              <w:rPr>
                <w:rFonts w:hint="eastAsia" w:ascii="宋体" w:hAnsi="宋体" w:eastAsia="宋体" w:cs="宋体"/>
                <w:color w:val="auto"/>
                <w:sz w:val="21"/>
                <w:szCs w:val="21"/>
                <w:highlight w:val="none"/>
              </w:rPr>
            </w:pPr>
          </w:p>
        </w:tc>
        <w:tc>
          <w:tcPr>
            <w:tcW w:w="1276"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textAlignment w:val="auto"/>
              <w:rPr>
                <w:rFonts w:hint="eastAsia" w:ascii="宋体" w:hAnsi="宋体" w:eastAsia="宋体" w:cs="宋体"/>
                <w:color w:val="auto"/>
                <w:sz w:val="21"/>
                <w:szCs w:val="21"/>
                <w:highlight w:val="none"/>
              </w:rPr>
            </w:pPr>
          </w:p>
        </w:tc>
        <w:tc>
          <w:tcPr>
            <w:tcW w:w="2218"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0" w:hRule="atLeast"/>
        </w:trPr>
        <w:tc>
          <w:tcPr>
            <w:tcW w:w="1140"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textAlignment w:val="auto"/>
              <w:rPr>
                <w:rFonts w:hint="eastAsia" w:ascii="宋体" w:hAnsi="宋体" w:eastAsia="宋体" w:cs="宋体"/>
                <w:color w:val="auto"/>
                <w:sz w:val="21"/>
                <w:szCs w:val="21"/>
                <w:highlight w:val="none"/>
              </w:rPr>
            </w:pPr>
          </w:p>
        </w:tc>
        <w:tc>
          <w:tcPr>
            <w:tcW w:w="1837"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textAlignment w:val="auto"/>
              <w:rPr>
                <w:rFonts w:hint="eastAsia" w:ascii="宋体" w:hAnsi="宋体" w:eastAsia="宋体" w:cs="宋体"/>
                <w:color w:val="auto"/>
                <w:sz w:val="21"/>
                <w:szCs w:val="21"/>
                <w:highlight w:val="none"/>
              </w:rPr>
            </w:pPr>
          </w:p>
        </w:tc>
        <w:tc>
          <w:tcPr>
            <w:tcW w:w="709"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textAlignment w:val="auto"/>
              <w:rPr>
                <w:rFonts w:hint="eastAsia" w:ascii="宋体" w:hAnsi="宋体" w:eastAsia="宋体" w:cs="宋体"/>
                <w:color w:val="auto"/>
                <w:sz w:val="21"/>
                <w:szCs w:val="21"/>
                <w:highlight w:val="none"/>
              </w:rPr>
            </w:pPr>
          </w:p>
        </w:tc>
        <w:tc>
          <w:tcPr>
            <w:tcW w:w="709"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textAlignment w:val="auto"/>
              <w:rPr>
                <w:rFonts w:hint="eastAsia" w:ascii="宋体" w:hAnsi="宋体" w:eastAsia="宋体" w:cs="宋体"/>
                <w:color w:val="auto"/>
                <w:sz w:val="21"/>
                <w:szCs w:val="21"/>
                <w:highlight w:val="none"/>
              </w:rPr>
            </w:pPr>
          </w:p>
        </w:tc>
        <w:tc>
          <w:tcPr>
            <w:tcW w:w="1417"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textAlignment w:val="auto"/>
              <w:rPr>
                <w:rFonts w:hint="eastAsia" w:ascii="宋体" w:hAnsi="宋体" w:eastAsia="宋体" w:cs="宋体"/>
                <w:color w:val="auto"/>
                <w:sz w:val="21"/>
                <w:szCs w:val="21"/>
                <w:highlight w:val="none"/>
              </w:rPr>
            </w:pPr>
          </w:p>
        </w:tc>
        <w:tc>
          <w:tcPr>
            <w:tcW w:w="1276"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textAlignment w:val="auto"/>
              <w:rPr>
                <w:rFonts w:hint="eastAsia" w:ascii="宋体" w:hAnsi="宋体" w:eastAsia="宋体" w:cs="宋体"/>
                <w:color w:val="auto"/>
                <w:sz w:val="21"/>
                <w:szCs w:val="21"/>
                <w:highlight w:val="none"/>
              </w:rPr>
            </w:pPr>
          </w:p>
        </w:tc>
        <w:tc>
          <w:tcPr>
            <w:tcW w:w="2218"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0" w:hRule="atLeast"/>
        </w:trPr>
        <w:tc>
          <w:tcPr>
            <w:tcW w:w="1140"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textAlignment w:val="auto"/>
              <w:rPr>
                <w:rFonts w:hint="eastAsia" w:ascii="宋体" w:hAnsi="宋体" w:eastAsia="宋体" w:cs="宋体"/>
                <w:color w:val="auto"/>
                <w:sz w:val="21"/>
                <w:szCs w:val="21"/>
                <w:highlight w:val="none"/>
              </w:rPr>
            </w:pPr>
          </w:p>
        </w:tc>
        <w:tc>
          <w:tcPr>
            <w:tcW w:w="1837"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textAlignment w:val="auto"/>
              <w:rPr>
                <w:rFonts w:hint="eastAsia" w:ascii="宋体" w:hAnsi="宋体" w:eastAsia="宋体" w:cs="宋体"/>
                <w:color w:val="auto"/>
                <w:sz w:val="21"/>
                <w:szCs w:val="21"/>
                <w:highlight w:val="none"/>
              </w:rPr>
            </w:pPr>
          </w:p>
        </w:tc>
        <w:tc>
          <w:tcPr>
            <w:tcW w:w="709"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textAlignment w:val="auto"/>
              <w:rPr>
                <w:rFonts w:hint="eastAsia" w:ascii="宋体" w:hAnsi="宋体" w:eastAsia="宋体" w:cs="宋体"/>
                <w:color w:val="auto"/>
                <w:sz w:val="21"/>
                <w:szCs w:val="21"/>
                <w:highlight w:val="none"/>
              </w:rPr>
            </w:pPr>
          </w:p>
        </w:tc>
        <w:tc>
          <w:tcPr>
            <w:tcW w:w="709"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textAlignment w:val="auto"/>
              <w:rPr>
                <w:rFonts w:hint="eastAsia" w:ascii="宋体" w:hAnsi="宋体" w:eastAsia="宋体" w:cs="宋体"/>
                <w:color w:val="auto"/>
                <w:sz w:val="21"/>
                <w:szCs w:val="21"/>
                <w:highlight w:val="none"/>
              </w:rPr>
            </w:pPr>
          </w:p>
        </w:tc>
        <w:tc>
          <w:tcPr>
            <w:tcW w:w="1417"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textAlignment w:val="auto"/>
              <w:rPr>
                <w:rFonts w:hint="eastAsia" w:ascii="宋体" w:hAnsi="宋体" w:eastAsia="宋体" w:cs="宋体"/>
                <w:color w:val="auto"/>
                <w:sz w:val="21"/>
                <w:szCs w:val="21"/>
                <w:highlight w:val="none"/>
              </w:rPr>
            </w:pPr>
          </w:p>
        </w:tc>
        <w:tc>
          <w:tcPr>
            <w:tcW w:w="1276"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textAlignment w:val="auto"/>
              <w:rPr>
                <w:rFonts w:hint="eastAsia" w:ascii="宋体" w:hAnsi="宋体" w:eastAsia="宋体" w:cs="宋体"/>
                <w:color w:val="auto"/>
                <w:sz w:val="21"/>
                <w:szCs w:val="21"/>
                <w:highlight w:val="none"/>
              </w:rPr>
            </w:pPr>
          </w:p>
        </w:tc>
        <w:tc>
          <w:tcPr>
            <w:tcW w:w="2218"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0" w:hRule="atLeast"/>
        </w:trPr>
        <w:tc>
          <w:tcPr>
            <w:tcW w:w="1140"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textAlignment w:val="auto"/>
              <w:rPr>
                <w:rFonts w:hint="eastAsia" w:ascii="宋体" w:hAnsi="宋体" w:eastAsia="宋体" w:cs="宋体"/>
                <w:color w:val="auto"/>
                <w:sz w:val="21"/>
                <w:szCs w:val="21"/>
                <w:highlight w:val="none"/>
              </w:rPr>
            </w:pPr>
          </w:p>
        </w:tc>
        <w:tc>
          <w:tcPr>
            <w:tcW w:w="1837"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textAlignment w:val="auto"/>
              <w:rPr>
                <w:rFonts w:hint="eastAsia" w:ascii="宋体" w:hAnsi="宋体" w:eastAsia="宋体" w:cs="宋体"/>
                <w:color w:val="auto"/>
                <w:sz w:val="21"/>
                <w:szCs w:val="21"/>
                <w:highlight w:val="none"/>
              </w:rPr>
            </w:pPr>
          </w:p>
        </w:tc>
        <w:tc>
          <w:tcPr>
            <w:tcW w:w="709"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textAlignment w:val="auto"/>
              <w:rPr>
                <w:rFonts w:hint="eastAsia" w:ascii="宋体" w:hAnsi="宋体" w:eastAsia="宋体" w:cs="宋体"/>
                <w:color w:val="auto"/>
                <w:sz w:val="21"/>
                <w:szCs w:val="21"/>
                <w:highlight w:val="none"/>
              </w:rPr>
            </w:pPr>
          </w:p>
        </w:tc>
        <w:tc>
          <w:tcPr>
            <w:tcW w:w="709"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textAlignment w:val="auto"/>
              <w:rPr>
                <w:rFonts w:hint="eastAsia" w:ascii="宋体" w:hAnsi="宋体" w:eastAsia="宋体" w:cs="宋体"/>
                <w:color w:val="auto"/>
                <w:sz w:val="21"/>
                <w:szCs w:val="21"/>
                <w:highlight w:val="none"/>
              </w:rPr>
            </w:pPr>
          </w:p>
        </w:tc>
        <w:tc>
          <w:tcPr>
            <w:tcW w:w="1417"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textAlignment w:val="auto"/>
              <w:rPr>
                <w:rFonts w:hint="eastAsia" w:ascii="宋体" w:hAnsi="宋体" w:eastAsia="宋体" w:cs="宋体"/>
                <w:color w:val="auto"/>
                <w:sz w:val="21"/>
                <w:szCs w:val="21"/>
                <w:highlight w:val="none"/>
              </w:rPr>
            </w:pPr>
          </w:p>
        </w:tc>
        <w:tc>
          <w:tcPr>
            <w:tcW w:w="1276"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textAlignment w:val="auto"/>
              <w:rPr>
                <w:rFonts w:hint="eastAsia" w:ascii="宋体" w:hAnsi="宋体" w:eastAsia="宋体" w:cs="宋体"/>
                <w:color w:val="auto"/>
                <w:sz w:val="21"/>
                <w:szCs w:val="21"/>
                <w:highlight w:val="none"/>
              </w:rPr>
            </w:pPr>
          </w:p>
        </w:tc>
        <w:tc>
          <w:tcPr>
            <w:tcW w:w="2218"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0" w:hRule="atLeast"/>
        </w:trPr>
        <w:tc>
          <w:tcPr>
            <w:tcW w:w="1140"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textAlignment w:val="auto"/>
              <w:rPr>
                <w:rFonts w:hint="eastAsia" w:ascii="宋体" w:hAnsi="宋体" w:eastAsia="宋体" w:cs="宋体"/>
                <w:color w:val="auto"/>
                <w:sz w:val="21"/>
                <w:szCs w:val="21"/>
                <w:highlight w:val="none"/>
              </w:rPr>
            </w:pPr>
          </w:p>
        </w:tc>
        <w:tc>
          <w:tcPr>
            <w:tcW w:w="1837"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textAlignment w:val="auto"/>
              <w:rPr>
                <w:rFonts w:hint="eastAsia" w:ascii="宋体" w:hAnsi="宋体" w:eastAsia="宋体" w:cs="宋体"/>
                <w:color w:val="auto"/>
                <w:sz w:val="21"/>
                <w:szCs w:val="21"/>
                <w:highlight w:val="none"/>
              </w:rPr>
            </w:pPr>
          </w:p>
        </w:tc>
        <w:tc>
          <w:tcPr>
            <w:tcW w:w="709"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textAlignment w:val="auto"/>
              <w:rPr>
                <w:rFonts w:hint="eastAsia" w:ascii="宋体" w:hAnsi="宋体" w:eastAsia="宋体" w:cs="宋体"/>
                <w:color w:val="auto"/>
                <w:sz w:val="21"/>
                <w:szCs w:val="21"/>
                <w:highlight w:val="none"/>
              </w:rPr>
            </w:pPr>
          </w:p>
        </w:tc>
        <w:tc>
          <w:tcPr>
            <w:tcW w:w="709"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textAlignment w:val="auto"/>
              <w:rPr>
                <w:rFonts w:hint="eastAsia" w:ascii="宋体" w:hAnsi="宋体" w:eastAsia="宋体" w:cs="宋体"/>
                <w:color w:val="auto"/>
                <w:sz w:val="21"/>
                <w:szCs w:val="21"/>
                <w:highlight w:val="none"/>
              </w:rPr>
            </w:pPr>
          </w:p>
        </w:tc>
        <w:tc>
          <w:tcPr>
            <w:tcW w:w="1417"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textAlignment w:val="auto"/>
              <w:rPr>
                <w:rFonts w:hint="eastAsia" w:ascii="宋体" w:hAnsi="宋体" w:eastAsia="宋体" w:cs="宋体"/>
                <w:color w:val="auto"/>
                <w:sz w:val="21"/>
                <w:szCs w:val="21"/>
                <w:highlight w:val="none"/>
              </w:rPr>
            </w:pPr>
          </w:p>
        </w:tc>
        <w:tc>
          <w:tcPr>
            <w:tcW w:w="1276"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textAlignment w:val="auto"/>
              <w:rPr>
                <w:rFonts w:hint="eastAsia" w:ascii="宋体" w:hAnsi="宋体" w:eastAsia="宋体" w:cs="宋体"/>
                <w:color w:val="auto"/>
                <w:sz w:val="21"/>
                <w:szCs w:val="21"/>
                <w:highlight w:val="none"/>
              </w:rPr>
            </w:pPr>
          </w:p>
        </w:tc>
        <w:tc>
          <w:tcPr>
            <w:tcW w:w="2218"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0" w:hRule="atLeast"/>
        </w:trPr>
        <w:tc>
          <w:tcPr>
            <w:tcW w:w="1140"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textAlignment w:val="auto"/>
              <w:rPr>
                <w:rFonts w:hint="eastAsia" w:ascii="宋体" w:hAnsi="宋体" w:eastAsia="宋体" w:cs="宋体"/>
                <w:color w:val="auto"/>
                <w:sz w:val="21"/>
                <w:szCs w:val="21"/>
                <w:highlight w:val="none"/>
              </w:rPr>
            </w:pPr>
          </w:p>
        </w:tc>
        <w:tc>
          <w:tcPr>
            <w:tcW w:w="1837"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textAlignment w:val="auto"/>
              <w:rPr>
                <w:rFonts w:hint="eastAsia" w:ascii="宋体" w:hAnsi="宋体" w:eastAsia="宋体" w:cs="宋体"/>
                <w:color w:val="auto"/>
                <w:sz w:val="21"/>
                <w:szCs w:val="21"/>
                <w:highlight w:val="none"/>
              </w:rPr>
            </w:pPr>
          </w:p>
        </w:tc>
        <w:tc>
          <w:tcPr>
            <w:tcW w:w="709"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textAlignment w:val="auto"/>
              <w:rPr>
                <w:rFonts w:hint="eastAsia" w:ascii="宋体" w:hAnsi="宋体" w:eastAsia="宋体" w:cs="宋体"/>
                <w:color w:val="auto"/>
                <w:sz w:val="21"/>
                <w:szCs w:val="21"/>
                <w:highlight w:val="none"/>
              </w:rPr>
            </w:pPr>
          </w:p>
        </w:tc>
        <w:tc>
          <w:tcPr>
            <w:tcW w:w="709"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textAlignment w:val="auto"/>
              <w:rPr>
                <w:rFonts w:hint="eastAsia" w:ascii="宋体" w:hAnsi="宋体" w:eastAsia="宋体" w:cs="宋体"/>
                <w:color w:val="auto"/>
                <w:sz w:val="21"/>
                <w:szCs w:val="21"/>
                <w:highlight w:val="none"/>
              </w:rPr>
            </w:pPr>
          </w:p>
        </w:tc>
        <w:tc>
          <w:tcPr>
            <w:tcW w:w="1417"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textAlignment w:val="auto"/>
              <w:rPr>
                <w:rFonts w:hint="eastAsia" w:ascii="宋体" w:hAnsi="宋体" w:eastAsia="宋体" w:cs="宋体"/>
                <w:color w:val="auto"/>
                <w:sz w:val="21"/>
                <w:szCs w:val="21"/>
                <w:highlight w:val="none"/>
              </w:rPr>
            </w:pPr>
          </w:p>
        </w:tc>
        <w:tc>
          <w:tcPr>
            <w:tcW w:w="1276"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textAlignment w:val="auto"/>
              <w:rPr>
                <w:rFonts w:hint="eastAsia" w:ascii="宋体" w:hAnsi="宋体" w:eastAsia="宋体" w:cs="宋体"/>
                <w:color w:val="auto"/>
                <w:sz w:val="21"/>
                <w:szCs w:val="21"/>
                <w:highlight w:val="none"/>
              </w:rPr>
            </w:pPr>
          </w:p>
        </w:tc>
        <w:tc>
          <w:tcPr>
            <w:tcW w:w="2218"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0" w:hRule="atLeast"/>
        </w:trPr>
        <w:tc>
          <w:tcPr>
            <w:tcW w:w="1140"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textAlignment w:val="auto"/>
              <w:rPr>
                <w:rFonts w:hint="eastAsia" w:ascii="宋体" w:hAnsi="宋体" w:eastAsia="宋体" w:cs="宋体"/>
                <w:color w:val="auto"/>
                <w:sz w:val="21"/>
                <w:szCs w:val="21"/>
                <w:highlight w:val="none"/>
              </w:rPr>
            </w:pPr>
          </w:p>
        </w:tc>
        <w:tc>
          <w:tcPr>
            <w:tcW w:w="1837"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textAlignment w:val="auto"/>
              <w:rPr>
                <w:rFonts w:hint="eastAsia" w:ascii="宋体" w:hAnsi="宋体" w:eastAsia="宋体" w:cs="宋体"/>
                <w:color w:val="auto"/>
                <w:sz w:val="21"/>
                <w:szCs w:val="21"/>
                <w:highlight w:val="none"/>
              </w:rPr>
            </w:pPr>
          </w:p>
        </w:tc>
        <w:tc>
          <w:tcPr>
            <w:tcW w:w="709"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textAlignment w:val="auto"/>
              <w:rPr>
                <w:rFonts w:hint="eastAsia" w:ascii="宋体" w:hAnsi="宋体" w:eastAsia="宋体" w:cs="宋体"/>
                <w:color w:val="auto"/>
                <w:sz w:val="21"/>
                <w:szCs w:val="21"/>
                <w:highlight w:val="none"/>
              </w:rPr>
            </w:pPr>
          </w:p>
        </w:tc>
        <w:tc>
          <w:tcPr>
            <w:tcW w:w="709"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textAlignment w:val="auto"/>
              <w:rPr>
                <w:rFonts w:hint="eastAsia" w:ascii="宋体" w:hAnsi="宋体" w:eastAsia="宋体" w:cs="宋体"/>
                <w:color w:val="auto"/>
                <w:sz w:val="21"/>
                <w:szCs w:val="21"/>
                <w:highlight w:val="none"/>
              </w:rPr>
            </w:pPr>
          </w:p>
        </w:tc>
        <w:tc>
          <w:tcPr>
            <w:tcW w:w="1417"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textAlignment w:val="auto"/>
              <w:rPr>
                <w:rFonts w:hint="eastAsia" w:ascii="宋体" w:hAnsi="宋体" w:eastAsia="宋体" w:cs="宋体"/>
                <w:color w:val="auto"/>
                <w:sz w:val="21"/>
                <w:szCs w:val="21"/>
                <w:highlight w:val="none"/>
              </w:rPr>
            </w:pPr>
          </w:p>
        </w:tc>
        <w:tc>
          <w:tcPr>
            <w:tcW w:w="1276"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textAlignment w:val="auto"/>
              <w:rPr>
                <w:rFonts w:hint="eastAsia" w:ascii="宋体" w:hAnsi="宋体" w:eastAsia="宋体" w:cs="宋体"/>
                <w:color w:val="auto"/>
                <w:sz w:val="21"/>
                <w:szCs w:val="21"/>
                <w:highlight w:val="none"/>
              </w:rPr>
            </w:pPr>
          </w:p>
        </w:tc>
        <w:tc>
          <w:tcPr>
            <w:tcW w:w="2218"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0" w:hRule="atLeast"/>
        </w:trPr>
        <w:tc>
          <w:tcPr>
            <w:tcW w:w="1140"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textAlignment w:val="auto"/>
              <w:rPr>
                <w:rFonts w:hint="eastAsia" w:ascii="宋体" w:hAnsi="宋体" w:eastAsia="宋体" w:cs="宋体"/>
                <w:color w:val="auto"/>
                <w:sz w:val="21"/>
                <w:szCs w:val="21"/>
                <w:highlight w:val="none"/>
              </w:rPr>
            </w:pPr>
          </w:p>
        </w:tc>
        <w:tc>
          <w:tcPr>
            <w:tcW w:w="1837"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textAlignment w:val="auto"/>
              <w:rPr>
                <w:rFonts w:hint="eastAsia" w:ascii="宋体" w:hAnsi="宋体" w:eastAsia="宋体" w:cs="宋体"/>
                <w:color w:val="auto"/>
                <w:sz w:val="21"/>
                <w:szCs w:val="21"/>
                <w:highlight w:val="none"/>
              </w:rPr>
            </w:pPr>
          </w:p>
        </w:tc>
        <w:tc>
          <w:tcPr>
            <w:tcW w:w="709"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textAlignment w:val="auto"/>
              <w:rPr>
                <w:rFonts w:hint="eastAsia" w:ascii="宋体" w:hAnsi="宋体" w:eastAsia="宋体" w:cs="宋体"/>
                <w:color w:val="auto"/>
                <w:sz w:val="21"/>
                <w:szCs w:val="21"/>
                <w:highlight w:val="none"/>
              </w:rPr>
            </w:pPr>
          </w:p>
        </w:tc>
        <w:tc>
          <w:tcPr>
            <w:tcW w:w="709"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textAlignment w:val="auto"/>
              <w:rPr>
                <w:rFonts w:hint="eastAsia" w:ascii="宋体" w:hAnsi="宋体" w:eastAsia="宋体" w:cs="宋体"/>
                <w:color w:val="auto"/>
                <w:sz w:val="21"/>
                <w:szCs w:val="21"/>
                <w:highlight w:val="none"/>
              </w:rPr>
            </w:pPr>
          </w:p>
        </w:tc>
        <w:tc>
          <w:tcPr>
            <w:tcW w:w="1417"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textAlignment w:val="auto"/>
              <w:rPr>
                <w:rFonts w:hint="eastAsia" w:ascii="宋体" w:hAnsi="宋体" w:eastAsia="宋体" w:cs="宋体"/>
                <w:color w:val="auto"/>
                <w:sz w:val="21"/>
                <w:szCs w:val="21"/>
                <w:highlight w:val="none"/>
              </w:rPr>
            </w:pPr>
          </w:p>
        </w:tc>
        <w:tc>
          <w:tcPr>
            <w:tcW w:w="1276"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textAlignment w:val="auto"/>
              <w:rPr>
                <w:rFonts w:hint="eastAsia" w:ascii="宋体" w:hAnsi="宋体" w:eastAsia="宋体" w:cs="宋体"/>
                <w:color w:val="auto"/>
                <w:sz w:val="21"/>
                <w:szCs w:val="21"/>
                <w:highlight w:val="none"/>
              </w:rPr>
            </w:pPr>
          </w:p>
        </w:tc>
        <w:tc>
          <w:tcPr>
            <w:tcW w:w="2218"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textAlignment w:val="auto"/>
              <w:rPr>
                <w:rFonts w:hint="eastAsia" w:ascii="宋体" w:hAnsi="宋体" w:eastAsia="宋体" w:cs="宋体"/>
                <w:color w:val="auto"/>
                <w:sz w:val="21"/>
                <w:szCs w:val="21"/>
                <w:highlight w:val="none"/>
              </w:rPr>
            </w:pPr>
          </w:p>
        </w:tc>
      </w:tr>
    </w:tbl>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  1.此表在不改变表式的情况下，可自行制作。</w:t>
      </w:r>
    </w:p>
    <w:p>
      <w:pPr>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2.提供相关专业人员的资格执业证书复印件并加盖公章。</w:t>
      </w:r>
    </w:p>
    <w:p>
      <w:pPr>
        <w:spacing w:line="500" w:lineRule="exact"/>
        <w:ind w:firstLine="420" w:firstLineChars="200"/>
        <w:rPr>
          <w:rFonts w:hint="eastAsia" w:ascii="宋体" w:hAnsi="宋体" w:eastAsia="宋体" w:cs="宋体"/>
          <w:color w:val="auto"/>
          <w:sz w:val="21"/>
          <w:szCs w:val="21"/>
          <w:highlight w:val="none"/>
        </w:rPr>
      </w:pPr>
    </w:p>
    <w:p>
      <w:pPr>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法定代表人或其授权代表（签字或盖章）：</w:t>
      </w:r>
    </w:p>
    <w:p>
      <w:pPr>
        <w:autoSpaceDE/>
        <w:autoSpaceDN/>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投标人全称（加盖公章）：                     </w:t>
      </w:r>
    </w:p>
    <w:p>
      <w:pPr>
        <w:autoSpaceDE/>
        <w:autoSpaceDN/>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日期：  年  月   日</w:t>
      </w:r>
    </w:p>
    <w:p>
      <w:pPr>
        <w:rPr>
          <w:rFonts w:hint="eastAsia" w:ascii="宋体" w:hAnsi="宋体" w:eastAsia="宋体" w:cs="宋体"/>
          <w:color w:val="auto"/>
          <w:sz w:val="21"/>
          <w:szCs w:val="21"/>
          <w:highlight w:val="none"/>
        </w:rPr>
      </w:pPr>
    </w:p>
    <w:p>
      <w:pPr>
        <w:snapToGrid w:val="0"/>
        <w:spacing w:before="50" w:after="50"/>
        <w:ind w:firstLine="480" w:firstLineChars="200"/>
        <w:rPr>
          <w:rFonts w:hint="eastAsia" w:hAnsi="宋体" w:cs="宋体"/>
          <w:color w:val="auto"/>
          <w:sz w:val="24"/>
          <w:highlight w:val="none"/>
        </w:rPr>
      </w:pPr>
      <w:r>
        <w:rPr>
          <w:rFonts w:hint="eastAsia" w:hAnsi="宋体" w:cs="宋体"/>
          <w:color w:val="auto"/>
          <w:sz w:val="24"/>
          <w:szCs w:val="24"/>
          <w:highlight w:val="none"/>
        </w:rPr>
        <w:t>注：若为联合体</w:t>
      </w:r>
      <w:r>
        <w:rPr>
          <w:rFonts w:hint="eastAsia" w:hAnsi="宋体" w:cs="宋体"/>
          <w:color w:val="auto"/>
          <w:sz w:val="24"/>
          <w:szCs w:val="24"/>
          <w:highlight w:val="none"/>
          <w:lang w:eastAsia="zh-CN"/>
        </w:rPr>
        <w:t>投标人</w:t>
      </w:r>
      <w:r>
        <w:rPr>
          <w:rFonts w:hint="eastAsia" w:hAnsi="宋体" w:cs="宋体"/>
          <w:color w:val="auto"/>
          <w:sz w:val="24"/>
          <w:szCs w:val="24"/>
          <w:highlight w:val="none"/>
        </w:rPr>
        <w:t>，由联合体</w:t>
      </w:r>
      <w:r>
        <w:rPr>
          <w:rFonts w:hint="eastAsia" w:hAnsi="宋体" w:cs="宋体"/>
          <w:color w:val="auto"/>
          <w:sz w:val="24"/>
          <w:szCs w:val="24"/>
          <w:highlight w:val="none"/>
          <w:lang w:eastAsia="zh-CN"/>
        </w:rPr>
        <w:t>投标人</w:t>
      </w:r>
      <w:r>
        <w:rPr>
          <w:rFonts w:hint="eastAsia" w:hAnsi="宋体" w:cs="宋体"/>
          <w:color w:val="auto"/>
          <w:sz w:val="24"/>
          <w:szCs w:val="24"/>
          <w:highlight w:val="none"/>
        </w:rPr>
        <w:t>牵头人签字、盖章</w:t>
      </w:r>
      <w:r>
        <w:rPr>
          <w:rFonts w:hint="eastAsia" w:hAnsi="宋体" w:cs="宋体"/>
          <w:color w:val="auto"/>
          <w:sz w:val="24"/>
          <w:szCs w:val="24"/>
          <w:highlight w:val="none"/>
          <w:lang w:eastAsia="zh-CN"/>
        </w:rPr>
        <w:t>。</w:t>
      </w:r>
    </w:p>
    <w:p>
      <w:pPr>
        <w:jc w:val="center"/>
        <w:rPr>
          <w:rFonts w:hint="eastAsia" w:ascii="宋体" w:hAnsi="宋体" w:eastAsia="宋体" w:cs="宋体"/>
          <w:b/>
          <w:bCs/>
          <w:color w:val="auto"/>
          <w:sz w:val="24"/>
          <w:szCs w:val="24"/>
          <w:highlight w:val="none"/>
          <w:lang w:bidi="ar"/>
        </w:rPr>
      </w:pPr>
      <w:r>
        <w:rPr>
          <w:rFonts w:hint="eastAsia" w:ascii="宋体" w:hAnsi="宋体" w:eastAsia="宋体" w:cs="宋体"/>
          <w:b/>
          <w:bCs/>
          <w:color w:val="auto"/>
          <w:sz w:val="24"/>
          <w:szCs w:val="24"/>
          <w:highlight w:val="none"/>
          <w:lang w:bidi="ar"/>
        </w:rPr>
        <w:br w:type="page"/>
      </w:r>
      <w:r>
        <w:rPr>
          <w:rFonts w:hint="eastAsia" w:hAnsi="宋体" w:cs="宋体"/>
          <w:b/>
          <w:bCs/>
          <w:color w:val="auto"/>
          <w:sz w:val="24"/>
          <w:szCs w:val="24"/>
          <w:highlight w:val="none"/>
          <w:lang w:val="en-US" w:eastAsia="zh-CN" w:bidi="ar"/>
        </w:rPr>
        <w:t>6</w:t>
      </w:r>
      <w:r>
        <w:rPr>
          <w:rFonts w:hint="eastAsia" w:ascii="宋体" w:hAnsi="宋体" w:eastAsia="宋体" w:cs="宋体"/>
          <w:b/>
          <w:bCs/>
          <w:color w:val="auto"/>
          <w:sz w:val="24"/>
          <w:szCs w:val="24"/>
          <w:highlight w:val="none"/>
          <w:lang w:bidi="ar"/>
        </w:rPr>
        <w:t>.服务要求响应表</w:t>
      </w:r>
    </w:p>
    <w:tbl>
      <w:tblPr>
        <w:tblStyle w:val="20"/>
        <w:tblW w:w="90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8"/>
        <w:gridCol w:w="2791"/>
        <w:gridCol w:w="3230"/>
        <w:gridCol w:w="1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248" w:type="dxa"/>
            <w:noWrap w:val="0"/>
            <w:vAlign w:val="center"/>
          </w:tcPr>
          <w:p>
            <w:pPr>
              <w:snapToGrid w:val="0"/>
              <w:spacing w:line="460" w:lineRule="exact"/>
              <w:jc w:val="center"/>
              <w:rPr>
                <w:rFonts w:hint="eastAsia" w:ascii="宋体" w:hAnsi="宋体" w:eastAsia="宋体" w:cs="宋体"/>
                <w:color w:val="auto"/>
                <w:sz w:val="21"/>
                <w:szCs w:val="21"/>
                <w:highlight w:val="none"/>
              </w:rPr>
            </w:pPr>
            <w:bookmarkStart w:id="61" w:name="_Hlk113443123"/>
            <w:r>
              <w:rPr>
                <w:rFonts w:hint="eastAsia" w:ascii="宋体" w:hAnsi="宋体" w:eastAsia="宋体" w:cs="宋体"/>
                <w:color w:val="auto"/>
                <w:sz w:val="21"/>
                <w:szCs w:val="21"/>
                <w:highlight w:val="none"/>
              </w:rPr>
              <w:t>服务项目</w:t>
            </w:r>
          </w:p>
        </w:tc>
        <w:tc>
          <w:tcPr>
            <w:tcW w:w="2791" w:type="dxa"/>
            <w:noWrap w:val="0"/>
            <w:vAlign w:val="center"/>
          </w:tcPr>
          <w:p>
            <w:pPr>
              <w:snapToGrid w:val="0"/>
              <w:spacing w:line="4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招标</w:t>
            </w:r>
            <w:r>
              <w:rPr>
                <w:rFonts w:hint="eastAsia" w:ascii="宋体" w:hAnsi="宋体" w:eastAsia="宋体" w:cs="宋体"/>
                <w:color w:val="auto"/>
                <w:sz w:val="21"/>
                <w:szCs w:val="21"/>
                <w:highlight w:val="none"/>
              </w:rPr>
              <w:t>采购文件的服务要求</w:t>
            </w:r>
          </w:p>
        </w:tc>
        <w:tc>
          <w:tcPr>
            <w:tcW w:w="3230" w:type="dxa"/>
            <w:noWrap w:val="0"/>
            <w:vAlign w:val="center"/>
          </w:tcPr>
          <w:p>
            <w:pPr>
              <w:snapToGrid w:val="0"/>
              <w:spacing w:line="4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投标</w:t>
            </w:r>
            <w:r>
              <w:rPr>
                <w:rFonts w:hint="eastAsia" w:ascii="宋体" w:hAnsi="宋体" w:eastAsia="宋体" w:cs="宋体"/>
                <w:color w:val="auto"/>
                <w:sz w:val="21"/>
                <w:szCs w:val="21"/>
                <w:highlight w:val="none"/>
              </w:rPr>
              <w:t>文件的服务承诺</w:t>
            </w:r>
          </w:p>
        </w:tc>
        <w:tc>
          <w:tcPr>
            <w:tcW w:w="1779" w:type="dxa"/>
            <w:noWrap w:val="0"/>
            <w:vAlign w:val="center"/>
          </w:tcPr>
          <w:p>
            <w:pPr>
              <w:snapToGrid w:val="0"/>
              <w:spacing w:line="4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是否响应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248" w:type="dxa"/>
            <w:noWrap w:val="0"/>
            <w:vAlign w:val="center"/>
          </w:tcPr>
          <w:p>
            <w:pPr>
              <w:snapToGrid w:val="0"/>
              <w:spacing w:line="460" w:lineRule="exact"/>
              <w:jc w:val="center"/>
              <w:rPr>
                <w:rFonts w:hint="eastAsia" w:ascii="宋体" w:hAnsi="宋体" w:eastAsia="宋体" w:cs="宋体"/>
                <w:color w:val="auto"/>
                <w:sz w:val="21"/>
                <w:szCs w:val="21"/>
                <w:highlight w:val="none"/>
              </w:rPr>
            </w:pPr>
          </w:p>
        </w:tc>
        <w:tc>
          <w:tcPr>
            <w:tcW w:w="2791" w:type="dxa"/>
            <w:noWrap w:val="0"/>
            <w:vAlign w:val="center"/>
          </w:tcPr>
          <w:p>
            <w:pPr>
              <w:snapToGrid w:val="0"/>
              <w:spacing w:line="460" w:lineRule="exact"/>
              <w:jc w:val="center"/>
              <w:rPr>
                <w:rFonts w:hint="eastAsia" w:ascii="宋体" w:hAnsi="宋体" w:eastAsia="宋体" w:cs="宋体"/>
                <w:color w:val="auto"/>
                <w:sz w:val="21"/>
                <w:szCs w:val="21"/>
                <w:highlight w:val="none"/>
              </w:rPr>
            </w:pPr>
          </w:p>
        </w:tc>
        <w:tc>
          <w:tcPr>
            <w:tcW w:w="3230" w:type="dxa"/>
            <w:noWrap w:val="0"/>
            <w:vAlign w:val="center"/>
          </w:tcPr>
          <w:p>
            <w:pPr>
              <w:snapToGrid w:val="0"/>
              <w:spacing w:line="460" w:lineRule="exact"/>
              <w:jc w:val="center"/>
              <w:rPr>
                <w:rFonts w:hint="eastAsia" w:ascii="宋体" w:hAnsi="宋体" w:eastAsia="宋体" w:cs="宋体"/>
                <w:color w:val="auto"/>
                <w:sz w:val="21"/>
                <w:szCs w:val="21"/>
                <w:highlight w:val="none"/>
              </w:rPr>
            </w:pPr>
          </w:p>
        </w:tc>
        <w:tc>
          <w:tcPr>
            <w:tcW w:w="1779" w:type="dxa"/>
            <w:noWrap w:val="0"/>
            <w:vAlign w:val="center"/>
          </w:tcPr>
          <w:p>
            <w:pPr>
              <w:snapToGrid w:val="0"/>
              <w:spacing w:line="460" w:lineRule="exact"/>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248" w:type="dxa"/>
            <w:noWrap w:val="0"/>
            <w:vAlign w:val="center"/>
          </w:tcPr>
          <w:p>
            <w:pPr>
              <w:snapToGrid w:val="0"/>
              <w:spacing w:line="460" w:lineRule="exact"/>
              <w:jc w:val="center"/>
              <w:rPr>
                <w:rFonts w:hint="eastAsia" w:ascii="宋体" w:hAnsi="宋体" w:eastAsia="宋体" w:cs="宋体"/>
                <w:color w:val="auto"/>
                <w:sz w:val="21"/>
                <w:szCs w:val="21"/>
                <w:highlight w:val="none"/>
              </w:rPr>
            </w:pPr>
          </w:p>
        </w:tc>
        <w:tc>
          <w:tcPr>
            <w:tcW w:w="2791" w:type="dxa"/>
            <w:noWrap w:val="0"/>
            <w:vAlign w:val="center"/>
          </w:tcPr>
          <w:p>
            <w:pPr>
              <w:snapToGrid w:val="0"/>
              <w:spacing w:line="460" w:lineRule="exact"/>
              <w:jc w:val="center"/>
              <w:rPr>
                <w:rFonts w:hint="eastAsia" w:ascii="宋体" w:hAnsi="宋体" w:eastAsia="宋体" w:cs="宋体"/>
                <w:color w:val="auto"/>
                <w:sz w:val="21"/>
                <w:szCs w:val="21"/>
                <w:highlight w:val="none"/>
              </w:rPr>
            </w:pPr>
          </w:p>
        </w:tc>
        <w:tc>
          <w:tcPr>
            <w:tcW w:w="3230" w:type="dxa"/>
            <w:noWrap w:val="0"/>
            <w:vAlign w:val="center"/>
          </w:tcPr>
          <w:p>
            <w:pPr>
              <w:snapToGrid w:val="0"/>
              <w:spacing w:line="460" w:lineRule="exact"/>
              <w:jc w:val="center"/>
              <w:rPr>
                <w:rFonts w:hint="eastAsia" w:ascii="宋体" w:hAnsi="宋体" w:eastAsia="宋体" w:cs="宋体"/>
                <w:color w:val="auto"/>
                <w:sz w:val="21"/>
                <w:szCs w:val="21"/>
                <w:highlight w:val="none"/>
              </w:rPr>
            </w:pPr>
          </w:p>
        </w:tc>
        <w:tc>
          <w:tcPr>
            <w:tcW w:w="1779" w:type="dxa"/>
            <w:noWrap w:val="0"/>
            <w:vAlign w:val="center"/>
          </w:tcPr>
          <w:p>
            <w:pPr>
              <w:snapToGrid w:val="0"/>
              <w:spacing w:line="460" w:lineRule="exact"/>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248" w:type="dxa"/>
            <w:noWrap w:val="0"/>
            <w:vAlign w:val="center"/>
          </w:tcPr>
          <w:p>
            <w:pPr>
              <w:snapToGrid w:val="0"/>
              <w:spacing w:line="460" w:lineRule="exact"/>
              <w:jc w:val="center"/>
              <w:rPr>
                <w:rFonts w:hint="eastAsia" w:ascii="宋体" w:hAnsi="宋体" w:eastAsia="宋体" w:cs="宋体"/>
                <w:color w:val="auto"/>
                <w:sz w:val="21"/>
                <w:szCs w:val="21"/>
                <w:highlight w:val="none"/>
              </w:rPr>
            </w:pPr>
          </w:p>
        </w:tc>
        <w:tc>
          <w:tcPr>
            <w:tcW w:w="2791" w:type="dxa"/>
            <w:noWrap w:val="0"/>
            <w:vAlign w:val="center"/>
          </w:tcPr>
          <w:p>
            <w:pPr>
              <w:snapToGrid w:val="0"/>
              <w:spacing w:line="460" w:lineRule="exact"/>
              <w:jc w:val="center"/>
              <w:rPr>
                <w:rFonts w:hint="eastAsia" w:ascii="宋体" w:hAnsi="宋体" w:eastAsia="宋体" w:cs="宋体"/>
                <w:color w:val="auto"/>
                <w:sz w:val="21"/>
                <w:szCs w:val="21"/>
                <w:highlight w:val="none"/>
              </w:rPr>
            </w:pPr>
          </w:p>
        </w:tc>
        <w:tc>
          <w:tcPr>
            <w:tcW w:w="3230" w:type="dxa"/>
            <w:noWrap w:val="0"/>
            <w:vAlign w:val="center"/>
          </w:tcPr>
          <w:p>
            <w:pPr>
              <w:snapToGrid w:val="0"/>
              <w:spacing w:line="460" w:lineRule="exact"/>
              <w:jc w:val="center"/>
              <w:rPr>
                <w:rFonts w:hint="eastAsia" w:ascii="宋体" w:hAnsi="宋体" w:eastAsia="宋体" w:cs="宋体"/>
                <w:color w:val="auto"/>
                <w:sz w:val="21"/>
                <w:szCs w:val="21"/>
                <w:highlight w:val="none"/>
              </w:rPr>
            </w:pPr>
          </w:p>
        </w:tc>
        <w:tc>
          <w:tcPr>
            <w:tcW w:w="1779" w:type="dxa"/>
            <w:noWrap w:val="0"/>
            <w:vAlign w:val="center"/>
          </w:tcPr>
          <w:p>
            <w:pPr>
              <w:snapToGrid w:val="0"/>
              <w:spacing w:line="460" w:lineRule="exact"/>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248" w:type="dxa"/>
            <w:noWrap w:val="0"/>
            <w:vAlign w:val="center"/>
          </w:tcPr>
          <w:p>
            <w:pPr>
              <w:snapToGrid w:val="0"/>
              <w:spacing w:line="460" w:lineRule="exact"/>
              <w:jc w:val="center"/>
              <w:rPr>
                <w:rFonts w:hint="eastAsia" w:ascii="宋体" w:hAnsi="宋体" w:eastAsia="宋体" w:cs="宋体"/>
                <w:color w:val="auto"/>
                <w:sz w:val="21"/>
                <w:szCs w:val="21"/>
                <w:highlight w:val="none"/>
              </w:rPr>
            </w:pPr>
          </w:p>
        </w:tc>
        <w:tc>
          <w:tcPr>
            <w:tcW w:w="2791" w:type="dxa"/>
            <w:noWrap w:val="0"/>
            <w:vAlign w:val="center"/>
          </w:tcPr>
          <w:p>
            <w:pPr>
              <w:snapToGrid w:val="0"/>
              <w:spacing w:line="460" w:lineRule="exact"/>
              <w:jc w:val="center"/>
              <w:rPr>
                <w:rFonts w:hint="eastAsia" w:ascii="宋体" w:hAnsi="宋体" w:eastAsia="宋体" w:cs="宋体"/>
                <w:color w:val="auto"/>
                <w:sz w:val="21"/>
                <w:szCs w:val="21"/>
                <w:highlight w:val="none"/>
              </w:rPr>
            </w:pPr>
          </w:p>
        </w:tc>
        <w:tc>
          <w:tcPr>
            <w:tcW w:w="3230" w:type="dxa"/>
            <w:noWrap w:val="0"/>
            <w:vAlign w:val="center"/>
          </w:tcPr>
          <w:p>
            <w:pPr>
              <w:snapToGrid w:val="0"/>
              <w:spacing w:line="460" w:lineRule="exact"/>
              <w:jc w:val="center"/>
              <w:rPr>
                <w:rFonts w:hint="eastAsia" w:ascii="宋体" w:hAnsi="宋体" w:eastAsia="宋体" w:cs="宋体"/>
                <w:color w:val="auto"/>
                <w:sz w:val="21"/>
                <w:szCs w:val="21"/>
                <w:highlight w:val="none"/>
              </w:rPr>
            </w:pPr>
          </w:p>
        </w:tc>
        <w:tc>
          <w:tcPr>
            <w:tcW w:w="1779" w:type="dxa"/>
            <w:noWrap w:val="0"/>
            <w:vAlign w:val="center"/>
          </w:tcPr>
          <w:p>
            <w:pPr>
              <w:snapToGrid w:val="0"/>
              <w:spacing w:line="460" w:lineRule="exact"/>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248" w:type="dxa"/>
            <w:noWrap w:val="0"/>
            <w:vAlign w:val="center"/>
          </w:tcPr>
          <w:p>
            <w:pPr>
              <w:snapToGrid w:val="0"/>
              <w:spacing w:line="460" w:lineRule="exact"/>
              <w:jc w:val="center"/>
              <w:rPr>
                <w:rFonts w:hint="eastAsia" w:ascii="宋体" w:hAnsi="宋体" w:eastAsia="宋体" w:cs="宋体"/>
                <w:color w:val="auto"/>
                <w:sz w:val="21"/>
                <w:szCs w:val="21"/>
                <w:highlight w:val="none"/>
              </w:rPr>
            </w:pPr>
          </w:p>
        </w:tc>
        <w:tc>
          <w:tcPr>
            <w:tcW w:w="2791" w:type="dxa"/>
            <w:noWrap w:val="0"/>
            <w:vAlign w:val="center"/>
          </w:tcPr>
          <w:p>
            <w:pPr>
              <w:snapToGrid w:val="0"/>
              <w:spacing w:line="460" w:lineRule="exact"/>
              <w:jc w:val="center"/>
              <w:rPr>
                <w:rFonts w:hint="eastAsia" w:ascii="宋体" w:hAnsi="宋体" w:eastAsia="宋体" w:cs="宋体"/>
                <w:color w:val="auto"/>
                <w:sz w:val="21"/>
                <w:szCs w:val="21"/>
                <w:highlight w:val="none"/>
              </w:rPr>
            </w:pPr>
          </w:p>
        </w:tc>
        <w:tc>
          <w:tcPr>
            <w:tcW w:w="3230" w:type="dxa"/>
            <w:noWrap w:val="0"/>
            <w:vAlign w:val="center"/>
          </w:tcPr>
          <w:p>
            <w:pPr>
              <w:snapToGrid w:val="0"/>
              <w:spacing w:line="460" w:lineRule="exact"/>
              <w:jc w:val="center"/>
              <w:rPr>
                <w:rFonts w:hint="eastAsia" w:ascii="宋体" w:hAnsi="宋体" w:eastAsia="宋体" w:cs="宋体"/>
                <w:color w:val="auto"/>
                <w:sz w:val="21"/>
                <w:szCs w:val="21"/>
                <w:highlight w:val="none"/>
              </w:rPr>
            </w:pPr>
          </w:p>
        </w:tc>
        <w:tc>
          <w:tcPr>
            <w:tcW w:w="1779" w:type="dxa"/>
            <w:noWrap w:val="0"/>
            <w:vAlign w:val="center"/>
          </w:tcPr>
          <w:p>
            <w:pPr>
              <w:snapToGrid w:val="0"/>
              <w:spacing w:line="460" w:lineRule="exact"/>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248" w:type="dxa"/>
            <w:noWrap w:val="0"/>
            <w:vAlign w:val="center"/>
          </w:tcPr>
          <w:p>
            <w:pPr>
              <w:snapToGrid w:val="0"/>
              <w:spacing w:line="460" w:lineRule="exact"/>
              <w:jc w:val="center"/>
              <w:rPr>
                <w:rFonts w:hint="eastAsia" w:ascii="宋体" w:hAnsi="宋体" w:eastAsia="宋体" w:cs="宋体"/>
                <w:color w:val="auto"/>
                <w:sz w:val="21"/>
                <w:szCs w:val="21"/>
                <w:highlight w:val="none"/>
              </w:rPr>
            </w:pPr>
          </w:p>
        </w:tc>
        <w:tc>
          <w:tcPr>
            <w:tcW w:w="2791" w:type="dxa"/>
            <w:noWrap w:val="0"/>
            <w:vAlign w:val="center"/>
          </w:tcPr>
          <w:p>
            <w:pPr>
              <w:snapToGrid w:val="0"/>
              <w:spacing w:line="460" w:lineRule="exact"/>
              <w:jc w:val="center"/>
              <w:rPr>
                <w:rFonts w:hint="eastAsia" w:ascii="宋体" w:hAnsi="宋体" w:eastAsia="宋体" w:cs="宋体"/>
                <w:color w:val="auto"/>
                <w:sz w:val="21"/>
                <w:szCs w:val="21"/>
                <w:highlight w:val="none"/>
              </w:rPr>
            </w:pPr>
          </w:p>
        </w:tc>
        <w:tc>
          <w:tcPr>
            <w:tcW w:w="3230" w:type="dxa"/>
            <w:noWrap w:val="0"/>
            <w:vAlign w:val="center"/>
          </w:tcPr>
          <w:p>
            <w:pPr>
              <w:snapToGrid w:val="0"/>
              <w:spacing w:line="460" w:lineRule="exact"/>
              <w:jc w:val="center"/>
              <w:rPr>
                <w:rFonts w:hint="eastAsia" w:ascii="宋体" w:hAnsi="宋体" w:eastAsia="宋体" w:cs="宋体"/>
                <w:color w:val="auto"/>
                <w:sz w:val="21"/>
                <w:szCs w:val="21"/>
                <w:highlight w:val="none"/>
              </w:rPr>
            </w:pPr>
          </w:p>
        </w:tc>
        <w:tc>
          <w:tcPr>
            <w:tcW w:w="1779" w:type="dxa"/>
            <w:noWrap w:val="0"/>
            <w:vAlign w:val="center"/>
          </w:tcPr>
          <w:p>
            <w:pPr>
              <w:snapToGrid w:val="0"/>
              <w:spacing w:line="460" w:lineRule="exact"/>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248" w:type="dxa"/>
            <w:noWrap w:val="0"/>
            <w:vAlign w:val="center"/>
          </w:tcPr>
          <w:p>
            <w:pPr>
              <w:snapToGrid w:val="0"/>
              <w:spacing w:line="460" w:lineRule="exact"/>
              <w:jc w:val="center"/>
              <w:rPr>
                <w:rFonts w:hint="eastAsia" w:ascii="宋体" w:hAnsi="宋体" w:eastAsia="宋体" w:cs="宋体"/>
                <w:color w:val="auto"/>
                <w:sz w:val="21"/>
                <w:szCs w:val="21"/>
                <w:highlight w:val="none"/>
              </w:rPr>
            </w:pPr>
          </w:p>
        </w:tc>
        <w:tc>
          <w:tcPr>
            <w:tcW w:w="2791" w:type="dxa"/>
            <w:noWrap w:val="0"/>
            <w:vAlign w:val="center"/>
          </w:tcPr>
          <w:p>
            <w:pPr>
              <w:snapToGrid w:val="0"/>
              <w:spacing w:line="460" w:lineRule="exact"/>
              <w:jc w:val="center"/>
              <w:rPr>
                <w:rFonts w:hint="eastAsia" w:ascii="宋体" w:hAnsi="宋体" w:eastAsia="宋体" w:cs="宋体"/>
                <w:color w:val="auto"/>
                <w:sz w:val="21"/>
                <w:szCs w:val="21"/>
                <w:highlight w:val="none"/>
              </w:rPr>
            </w:pPr>
          </w:p>
        </w:tc>
        <w:tc>
          <w:tcPr>
            <w:tcW w:w="3230" w:type="dxa"/>
            <w:noWrap w:val="0"/>
            <w:vAlign w:val="center"/>
          </w:tcPr>
          <w:p>
            <w:pPr>
              <w:snapToGrid w:val="0"/>
              <w:spacing w:line="460" w:lineRule="exact"/>
              <w:jc w:val="center"/>
              <w:rPr>
                <w:rFonts w:hint="eastAsia" w:ascii="宋体" w:hAnsi="宋体" w:eastAsia="宋体" w:cs="宋体"/>
                <w:color w:val="auto"/>
                <w:sz w:val="21"/>
                <w:szCs w:val="21"/>
                <w:highlight w:val="none"/>
              </w:rPr>
            </w:pPr>
          </w:p>
        </w:tc>
        <w:tc>
          <w:tcPr>
            <w:tcW w:w="1779" w:type="dxa"/>
            <w:noWrap w:val="0"/>
            <w:vAlign w:val="center"/>
          </w:tcPr>
          <w:p>
            <w:pPr>
              <w:snapToGrid w:val="0"/>
              <w:spacing w:line="460" w:lineRule="exact"/>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248" w:type="dxa"/>
            <w:noWrap w:val="0"/>
            <w:vAlign w:val="center"/>
          </w:tcPr>
          <w:p>
            <w:pPr>
              <w:snapToGrid w:val="0"/>
              <w:spacing w:line="460" w:lineRule="exact"/>
              <w:jc w:val="center"/>
              <w:rPr>
                <w:rFonts w:hint="eastAsia" w:ascii="宋体" w:hAnsi="宋体" w:eastAsia="宋体" w:cs="宋体"/>
                <w:color w:val="auto"/>
                <w:sz w:val="21"/>
                <w:szCs w:val="21"/>
                <w:highlight w:val="none"/>
              </w:rPr>
            </w:pPr>
          </w:p>
        </w:tc>
        <w:tc>
          <w:tcPr>
            <w:tcW w:w="2791" w:type="dxa"/>
            <w:noWrap w:val="0"/>
            <w:vAlign w:val="center"/>
          </w:tcPr>
          <w:p>
            <w:pPr>
              <w:snapToGrid w:val="0"/>
              <w:spacing w:line="460" w:lineRule="exact"/>
              <w:jc w:val="center"/>
              <w:rPr>
                <w:rFonts w:hint="eastAsia" w:ascii="宋体" w:hAnsi="宋体" w:eastAsia="宋体" w:cs="宋体"/>
                <w:color w:val="auto"/>
                <w:sz w:val="21"/>
                <w:szCs w:val="21"/>
                <w:highlight w:val="none"/>
              </w:rPr>
            </w:pPr>
          </w:p>
        </w:tc>
        <w:tc>
          <w:tcPr>
            <w:tcW w:w="3230" w:type="dxa"/>
            <w:noWrap w:val="0"/>
            <w:vAlign w:val="center"/>
          </w:tcPr>
          <w:p>
            <w:pPr>
              <w:snapToGrid w:val="0"/>
              <w:spacing w:line="460" w:lineRule="exact"/>
              <w:jc w:val="center"/>
              <w:rPr>
                <w:rFonts w:hint="eastAsia" w:ascii="宋体" w:hAnsi="宋体" w:eastAsia="宋体" w:cs="宋体"/>
                <w:color w:val="auto"/>
                <w:sz w:val="21"/>
                <w:szCs w:val="21"/>
                <w:highlight w:val="none"/>
              </w:rPr>
            </w:pPr>
          </w:p>
        </w:tc>
        <w:tc>
          <w:tcPr>
            <w:tcW w:w="1779" w:type="dxa"/>
            <w:noWrap w:val="0"/>
            <w:vAlign w:val="center"/>
          </w:tcPr>
          <w:p>
            <w:pPr>
              <w:snapToGrid w:val="0"/>
              <w:spacing w:line="460" w:lineRule="exact"/>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248" w:type="dxa"/>
            <w:noWrap w:val="0"/>
            <w:vAlign w:val="center"/>
          </w:tcPr>
          <w:p>
            <w:pPr>
              <w:snapToGrid w:val="0"/>
              <w:spacing w:line="460" w:lineRule="exact"/>
              <w:jc w:val="center"/>
              <w:rPr>
                <w:rFonts w:hint="eastAsia" w:ascii="宋体" w:hAnsi="宋体" w:eastAsia="宋体" w:cs="宋体"/>
                <w:color w:val="auto"/>
                <w:sz w:val="21"/>
                <w:szCs w:val="21"/>
                <w:highlight w:val="none"/>
              </w:rPr>
            </w:pPr>
          </w:p>
        </w:tc>
        <w:tc>
          <w:tcPr>
            <w:tcW w:w="2791" w:type="dxa"/>
            <w:noWrap w:val="0"/>
            <w:vAlign w:val="center"/>
          </w:tcPr>
          <w:p>
            <w:pPr>
              <w:snapToGrid w:val="0"/>
              <w:spacing w:line="460" w:lineRule="exact"/>
              <w:jc w:val="center"/>
              <w:rPr>
                <w:rFonts w:hint="eastAsia" w:ascii="宋体" w:hAnsi="宋体" w:eastAsia="宋体" w:cs="宋体"/>
                <w:color w:val="auto"/>
                <w:sz w:val="21"/>
                <w:szCs w:val="21"/>
                <w:highlight w:val="none"/>
              </w:rPr>
            </w:pPr>
          </w:p>
        </w:tc>
        <w:tc>
          <w:tcPr>
            <w:tcW w:w="3230" w:type="dxa"/>
            <w:noWrap w:val="0"/>
            <w:vAlign w:val="center"/>
          </w:tcPr>
          <w:p>
            <w:pPr>
              <w:snapToGrid w:val="0"/>
              <w:spacing w:line="460" w:lineRule="exact"/>
              <w:jc w:val="center"/>
              <w:rPr>
                <w:rFonts w:hint="eastAsia" w:ascii="宋体" w:hAnsi="宋体" w:eastAsia="宋体" w:cs="宋体"/>
                <w:color w:val="auto"/>
                <w:sz w:val="21"/>
                <w:szCs w:val="21"/>
                <w:highlight w:val="none"/>
              </w:rPr>
            </w:pPr>
          </w:p>
        </w:tc>
        <w:tc>
          <w:tcPr>
            <w:tcW w:w="1779" w:type="dxa"/>
            <w:noWrap w:val="0"/>
            <w:vAlign w:val="center"/>
          </w:tcPr>
          <w:p>
            <w:pPr>
              <w:snapToGrid w:val="0"/>
              <w:spacing w:line="460" w:lineRule="exact"/>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248" w:type="dxa"/>
            <w:noWrap w:val="0"/>
            <w:vAlign w:val="center"/>
          </w:tcPr>
          <w:p>
            <w:pPr>
              <w:snapToGrid w:val="0"/>
              <w:spacing w:line="460" w:lineRule="exact"/>
              <w:jc w:val="center"/>
              <w:rPr>
                <w:rFonts w:hint="eastAsia" w:ascii="宋体" w:hAnsi="宋体" w:eastAsia="宋体" w:cs="宋体"/>
                <w:color w:val="auto"/>
                <w:sz w:val="21"/>
                <w:szCs w:val="21"/>
                <w:highlight w:val="none"/>
              </w:rPr>
            </w:pPr>
          </w:p>
        </w:tc>
        <w:tc>
          <w:tcPr>
            <w:tcW w:w="2791" w:type="dxa"/>
            <w:noWrap w:val="0"/>
            <w:vAlign w:val="center"/>
          </w:tcPr>
          <w:p>
            <w:pPr>
              <w:snapToGrid w:val="0"/>
              <w:spacing w:line="460" w:lineRule="exact"/>
              <w:jc w:val="center"/>
              <w:rPr>
                <w:rFonts w:hint="eastAsia" w:ascii="宋体" w:hAnsi="宋体" w:eastAsia="宋体" w:cs="宋体"/>
                <w:color w:val="auto"/>
                <w:sz w:val="21"/>
                <w:szCs w:val="21"/>
                <w:highlight w:val="none"/>
              </w:rPr>
            </w:pPr>
          </w:p>
        </w:tc>
        <w:tc>
          <w:tcPr>
            <w:tcW w:w="3230" w:type="dxa"/>
            <w:noWrap w:val="0"/>
            <w:vAlign w:val="center"/>
          </w:tcPr>
          <w:p>
            <w:pPr>
              <w:snapToGrid w:val="0"/>
              <w:spacing w:line="460" w:lineRule="exact"/>
              <w:jc w:val="center"/>
              <w:rPr>
                <w:rFonts w:hint="eastAsia" w:ascii="宋体" w:hAnsi="宋体" w:eastAsia="宋体" w:cs="宋体"/>
                <w:color w:val="auto"/>
                <w:sz w:val="21"/>
                <w:szCs w:val="21"/>
                <w:highlight w:val="none"/>
              </w:rPr>
            </w:pPr>
          </w:p>
        </w:tc>
        <w:tc>
          <w:tcPr>
            <w:tcW w:w="1779" w:type="dxa"/>
            <w:noWrap w:val="0"/>
            <w:vAlign w:val="center"/>
          </w:tcPr>
          <w:p>
            <w:pPr>
              <w:snapToGrid w:val="0"/>
              <w:spacing w:line="460" w:lineRule="exact"/>
              <w:jc w:val="center"/>
              <w:rPr>
                <w:rFonts w:hint="eastAsia" w:ascii="宋体" w:hAnsi="宋体" w:eastAsia="宋体" w:cs="宋体"/>
                <w:color w:val="auto"/>
                <w:sz w:val="21"/>
                <w:szCs w:val="21"/>
                <w:highlight w:val="none"/>
              </w:rPr>
            </w:pPr>
          </w:p>
        </w:tc>
      </w:tr>
    </w:tbl>
    <w:p>
      <w:pPr>
        <w:pStyle w:val="36"/>
        <w:snapToGrid w:val="0"/>
        <w:spacing w:line="500" w:lineRule="exact"/>
        <w:ind w:firstLine="0" w:firstLineChars="0"/>
        <w:rPr>
          <w:rStyle w:val="31"/>
          <w:rFonts w:hint="eastAsia" w:ascii="宋体" w:hAnsi="宋体" w:eastAsia="宋体" w:cs="宋体"/>
          <w:b/>
          <w:color w:val="auto"/>
          <w:sz w:val="21"/>
          <w:szCs w:val="21"/>
          <w:highlight w:val="none"/>
        </w:rPr>
      </w:pPr>
      <w:r>
        <w:rPr>
          <w:rStyle w:val="31"/>
          <w:rFonts w:hint="eastAsia" w:ascii="宋体" w:hAnsi="宋体" w:eastAsia="宋体" w:cs="宋体"/>
          <w:b/>
          <w:color w:val="auto"/>
          <w:sz w:val="21"/>
          <w:szCs w:val="21"/>
          <w:highlight w:val="none"/>
        </w:rPr>
        <w:t>注：</w:t>
      </w:r>
      <w:r>
        <w:rPr>
          <w:rFonts w:hint="eastAsia" w:ascii="宋体" w:hAnsi="宋体" w:eastAsia="宋体" w:cs="宋体"/>
          <w:color w:val="auto"/>
          <w:sz w:val="21"/>
          <w:szCs w:val="21"/>
          <w:highlight w:val="none"/>
        </w:rPr>
        <w:t>行数不够可自行添加，有偏离请在技术偏离表中详细说明。</w:t>
      </w:r>
    </w:p>
    <w:p>
      <w:pPr>
        <w:snapToGrid w:val="0"/>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法定代表人或其授权代表签字</w:t>
      </w:r>
      <w:r>
        <w:rPr>
          <w:rFonts w:hint="eastAsia" w:hAnsi="宋体" w:cs="宋体"/>
          <w:color w:val="auto"/>
          <w:sz w:val="21"/>
          <w:szCs w:val="21"/>
          <w:highlight w:val="none"/>
          <w:lang w:val="en-US" w:eastAsia="zh-CN"/>
        </w:rPr>
        <w:t>或盖章</w:t>
      </w:r>
      <w:r>
        <w:rPr>
          <w:rFonts w:hint="eastAsia" w:ascii="宋体" w:hAnsi="宋体" w:eastAsia="宋体" w:cs="宋体"/>
          <w:color w:val="auto"/>
          <w:sz w:val="21"/>
          <w:szCs w:val="21"/>
          <w:highlight w:val="none"/>
        </w:rPr>
        <w:t>：</w:t>
      </w:r>
    </w:p>
    <w:p>
      <w:pPr>
        <w:snapToGrid w:val="0"/>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投标人全称（加盖公章）：                               </w:t>
      </w:r>
    </w:p>
    <w:p>
      <w:pPr>
        <w:snapToGrid w:val="0"/>
        <w:spacing w:line="500" w:lineRule="exact"/>
        <w:ind w:firstLine="420" w:firstLineChars="200"/>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日期：      年  月   日</w:t>
      </w:r>
    </w:p>
    <w:bookmarkEnd w:id="61"/>
    <w:p>
      <w:pPr>
        <w:snapToGrid w:val="0"/>
        <w:spacing w:before="50" w:after="50"/>
        <w:ind w:firstLine="420" w:firstLineChars="200"/>
        <w:rPr>
          <w:rFonts w:hint="eastAsia" w:hAnsi="宋体" w:cs="宋体"/>
          <w:color w:val="auto"/>
          <w:sz w:val="24"/>
          <w:highlight w:val="none"/>
        </w:rPr>
      </w:pPr>
      <w:r>
        <w:rPr>
          <w:rFonts w:hint="eastAsia" w:ascii="宋体" w:hAnsi="宋体" w:eastAsia="宋体" w:cs="宋体"/>
          <w:color w:val="auto"/>
          <w:sz w:val="21"/>
          <w:szCs w:val="21"/>
          <w:highlight w:val="none"/>
        </w:rPr>
        <w:t xml:space="preserve">   </w:t>
      </w:r>
      <w:r>
        <w:rPr>
          <w:rFonts w:hint="eastAsia" w:hAnsi="宋体" w:cs="宋体"/>
          <w:color w:val="auto"/>
          <w:sz w:val="24"/>
          <w:szCs w:val="24"/>
          <w:highlight w:val="none"/>
        </w:rPr>
        <w:t>注：若为联合体</w:t>
      </w:r>
      <w:r>
        <w:rPr>
          <w:rFonts w:hint="eastAsia" w:hAnsi="宋体" w:cs="宋体"/>
          <w:color w:val="auto"/>
          <w:sz w:val="24"/>
          <w:szCs w:val="24"/>
          <w:highlight w:val="none"/>
          <w:lang w:eastAsia="zh-CN"/>
        </w:rPr>
        <w:t>投标人</w:t>
      </w:r>
      <w:r>
        <w:rPr>
          <w:rFonts w:hint="eastAsia" w:hAnsi="宋体" w:cs="宋体"/>
          <w:color w:val="auto"/>
          <w:sz w:val="24"/>
          <w:szCs w:val="24"/>
          <w:highlight w:val="none"/>
        </w:rPr>
        <w:t>，由联合体</w:t>
      </w:r>
      <w:r>
        <w:rPr>
          <w:rFonts w:hint="eastAsia" w:hAnsi="宋体" w:cs="宋体"/>
          <w:color w:val="auto"/>
          <w:sz w:val="24"/>
          <w:szCs w:val="24"/>
          <w:highlight w:val="none"/>
          <w:lang w:eastAsia="zh-CN"/>
        </w:rPr>
        <w:t>投标人</w:t>
      </w:r>
      <w:r>
        <w:rPr>
          <w:rFonts w:hint="eastAsia" w:hAnsi="宋体" w:cs="宋体"/>
          <w:color w:val="auto"/>
          <w:sz w:val="24"/>
          <w:szCs w:val="24"/>
          <w:highlight w:val="none"/>
        </w:rPr>
        <w:t>牵头人签字、盖章</w:t>
      </w:r>
      <w:r>
        <w:rPr>
          <w:rFonts w:hint="eastAsia" w:hAnsi="宋体" w:cs="宋体"/>
          <w:color w:val="auto"/>
          <w:sz w:val="24"/>
          <w:szCs w:val="24"/>
          <w:highlight w:val="none"/>
          <w:lang w:eastAsia="zh-CN"/>
        </w:rPr>
        <w:t>。</w:t>
      </w:r>
    </w:p>
    <w:p>
      <w:pPr>
        <w:snapToGrid w:val="0"/>
        <w:spacing w:line="440" w:lineRule="exact"/>
        <w:rPr>
          <w:rFonts w:hint="eastAsia" w:ascii="宋体" w:hAnsi="宋体" w:eastAsia="宋体" w:cs="宋体"/>
          <w:color w:val="auto"/>
          <w:sz w:val="21"/>
          <w:szCs w:val="21"/>
          <w:highlight w:val="none"/>
        </w:rPr>
      </w:pPr>
    </w:p>
    <w:p>
      <w:pPr>
        <w:keepNext w:val="0"/>
        <w:keepLines w:val="0"/>
        <w:pageBreakBefore w:val="0"/>
        <w:kinsoku/>
        <w:wordWrap/>
        <w:overflowPunct/>
        <w:topLinePunct w:val="0"/>
        <w:bidi w:val="0"/>
        <w:snapToGrid w:val="0"/>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t>.服务计划书（至少应包括对本项目采购人所需服务的总体认识、项目实施方案、服务响应的承诺、服务质量保证措施及承诺等内容）</w:t>
      </w:r>
    </w:p>
    <w:p>
      <w:pPr>
        <w:keepNext w:val="0"/>
        <w:keepLines w:val="0"/>
        <w:pageBreakBefore w:val="0"/>
        <w:kinsoku/>
        <w:wordWrap/>
        <w:overflowPunct/>
        <w:topLinePunct w:val="0"/>
        <w:bidi w:val="0"/>
        <w:snapToGrid w:val="0"/>
        <w:spacing w:line="500" w:lineRule="exact"/>
        <w:ind w:firstLine="420" w:firstLineChars="200"/>
        <w:rPr>
          <w:rFonts w:hint="eastAsia" w:hAnsi="宋体" w:cs="宋体"/>
          <w:color w:val="auto"/>
          <w:sz w:val="21"/>
          <w:szCs w:val="21"/>
          <w:highlight w:val="none"/>
          <w:lang w:val="en-US" w:eastAsia="zh-CN"/>
        </w:rPr>
      </w:pPr>
    </w:p>
    <w:p>
      <w:pPr>
        <w:keepNext w:val="0"/>
        <w:keepLines w:val="0"/>
        <w:pageBreakBefore w:val="0"/>
        <w:kinsoku/>
        <w:wordWrap/>
        <w:overflowPunct/>
        <w:topLinePunct w:val="0"/>
        <w:bidi w:val="0"/>
        <w:snapToGrid w:val="0"/>
        <w:spacing w:line="500" w:lineRule="exact"/>
        <w:ind w:firstLine="422" w:firstLineChars="200"/>
        <w:rPr>
          <w:rFonts w:hint="eastAsia" w:ascii="宋体" w:hAnsi="宋体" w:eastAsia="宋体" w:cs="宋体"/>
          <w:color w:val="auto"/>
          <w:sz w:val="21"/>
          <w:szCs w:val="21"/>
          <w:highlight w:val="none"/>
        </w:rPr>
      </w:pPr>
      <w:r>
        <w:rPr>
          <w:rFonts w:hint="eastAsia" w:hAnsi="宋体" w:cs="宋体"/>
          <w:b/>
          <w:bCs/>
          <w:color w:val="auto"/>
          <w:sz w:val="21"/>
          <w:szCs w:val="21"/>
          <w:highlight w:val="none"/>
          <w:lang w:val="en-US" w:eastAsia="zh-CN"/>
        </w:rPr>
        <w:t>8.</w:t>
      </w:r>
      <w:r>
        <w:rPr>
          <w:rFonts w:hint="eastAsia" w:ascii="宋体" w:hAnsi="宋体" w:eastAsia="宋体" w:cs="宋体"/>
          <w:color w:val="auto"/>
          <w:sz w:val="21"/>
          <w:szCs w:val="21"/>
          <w:highlight w:val="none"/>
        </w:rPr>
        <w:t>优惠条件：</w:t>
      </w:r>
      <w:r>
        <w:rPr>
          <w:rFonts w:hint="eastAsia" w:ascii="宋体" w:hAnsi="宋体" w:eastAsia="宋体" w:cs="宋体"/>
          <w:color w:val="auto"/>
          <w:sz w:val="21"/>
          <w:szCs w:val="21"/>
          <w:highlight w:val="none"/>
          <w:lang w:eastAsia="zh-CN"/>
        </w:rPr>
        <w:t>投标人</w:t>
      </w:r>
      <w:r>
        <w:rPr>
          <w:rFonts w:hint="eastAsia" w:hAnsi="宋体" w:cs="宋体"/>
          <w:color w:val="auto"/>
          <w:sz w:val="21"/>
          <w:szCs w:val="21"/>
          <w:highlight w:val="none"/>
        </w:rPr>
        <w:t>（包括投标联合体各方）</w:t>
      </w:r>
      <w:r>
        <w:rPr>
          <w:rFonts w:hint="eastAsia" w:ascii="宋体" w:hAnsi="宋体" w:eastAsia="宋体" w:cs="宋体"/>
          <w:color w:val="auto"/>
          <w:sz w:val="21"/>
          <w:szCs w:val="21"/>
          <w:highlight w:val="none"/>
        </w:rPr>
        <w:t xml:space="preserve">承诺给予采购人的各种优惠条件，包括其他优惠服务、公益服务或增值服务； </w:t>
      </w:r>
    </w:p>
    <w:p>
      <w:pPr>
        <w:keepNext w:val="0"/>
        <w:keepLines w:val="0"/>
        <w:pageBreakBefore w:val="0"/>
        <w:kinsoku/>
        <w:wordWrap/>
        <w:overflowPunct/>
        <w:topLinePunct w:val="0"/>
        <w:autoSpaceDE/>
        <w:autoSpaceDN/>
        <w:bidi w:val="0"/>
        <w:adjustRightInd/>
        <w:spacing w:line="500" w:lineRule="exact"/>
        <w:ind w:firstLine="422" w:firstLineChars="200"/>
        <w:textAlignment w:val="auto"/>
        <w:rPr>
          <w:rFonts w:hint="eastAsia" w:hAnsi="宋体" w:cs="宋体"/>
          <w:b/>
          <w:bCs/>
          <w:color w:val="auto"/>
          <w:sz w:val="21"/>
          <w:szCs w:val="21"/>
          <w:highlight w:val="none"/>
          <w:lang w:val="en-US" w:eastAsia="zh-CN"/>
        </w:rPr>
      </w:pPr>
    </w:p>
    <w:p>
      <w:pPr>
        <w:keepNext w:val="0"/>
        <w:keepLines w:val="0"/>
        <w:pageBreakBefore w:val="0"/>
        <w:kinsoku/>
        <w:wordWrap/>
        <w:overflowPunct/>
        <w:topLinePunct w:val="0"/>
        <w:autoSpaceDE/>
        <w:autoSpaceDN/>
        <w:bidi w:val="0"/>
        <w:adjustRightInd/>
        <w:spacing w:line="500" w:lineRule="exact"/>
        <w:ind w:firstLine="422" w:firstLineChars="200"/>
        <w:textAlignment w:val="auto"/>
        <w:rPr>
          <w:rFonts w:hint="eastAsia" w:ascii="宋体" w:hAnsi="宋体" w:eastAsia="宋体" w:cs="宋体"/>
          <w:color w:val="auto"/>
          <w:sz w:val="21"/>
          <w:szCs w:val="21"/>
          <w:highlight w:val="none"/>
        </w:rPr>
      </w:pPr>
      <w:r>
        <w:rPr>
          <w:rFonts w:hint="eastAsia" w:hAnsi="宋体" w:cs="宋体"/>
          <w:b/>
          <w:bCs/>
          <w:color w:val="auto"/>
          <w:sz w:val="21"/>
          <w:szCs w:val="21"/>
          <w:highlight w:val="none"/>
          <w:lang w:val="en-US" w:eastAsia="zh-CN"/>
        </w:rPr>
        <w:t>9.</w:t>
      </w:r>
      <w:r>
        <w:rPr>
          <w:rFonts w:hint="eastAsia" w:ascii="宋体" w:hAnsi="宋体" w:eastAsia="宋体" w:cs="宋体"/>
          <w:color w:val="auto"/>
          <w:sz w:val="21"/>
          <w:szCs w:val="21"/>
          <w:highlight w:val="none"/>
          <w:lang w:eastAsia="zh-CN"/>
        </w:rPr>
        <w:t>投标人</w:t>
      </w:r>
      <w:r>
        <w:rPr>
          <w:rFonts w:hint="eastAsia" w:hAnsi="宋体" w:cs="宋体"/>
          <w:color w:val="auto"/>
          <w:sz w:val="21"/>
          <w:szCs w:val="21"/>
          <w:highlight w:val="none"/>
        </w:rPr>
        <w:t>（包括投标联合体各方）</w:t>
      </w:r>
      <w:r>
        <w:rPr>
          <w:rFonts w:hint="eastAsia" w:ascii="宋体" w:hAnsi="宋体" w:eastAsia="宋体" w:cs="宋体"/>
          <w:color w:val="auto"/>
          <w:sz w:val="21"/>
          <w:szCs w:val="21"/>
          <w:highlight w:val="none"/>
        </w:rPr>
        <w:t>对本项目的合理化建议和改进措施；</w:t>
      </w:r>
    </w:p>
    <w:p>
      <w:pPr>
        <w:snapToGrid w:val="0"/>
        <w:spacing w:line="440" w:lineRule="exact"/>
        <w:ind w:firstLine="422" w:firstLineChars="200"/>
        <w:rPr>
          <w:rFonts w:hint="eastAsia" w:hAnsi="宋体" w:cs="宋体"/>
          <w:b/>
          <w:bCs/>
          <w:color w:val="auto"/>
          <w:sz w:val="21"/>
          <w:szCs w:val="21"/>
          <w:highlight w:val="none"/>
          <w:lang w:val="en-US" w:eastAsia="zh-CN"/>
        </w:rPr>
      </w:pPr>
    </w:p>
    <w:p>
      <w:pPr>
        <w:snapToGrid w:val="0"/>
        <w:spacing w:line="440" w:lineRule="exact"/>
        <w:ind w:firstLine="422" w:firstLineChars="200"/>
        <w:rPr>
          <w:rFonts w:hint="eastAsia" w:ascii="宋体" w:hAnsi="宋体" w:eastAsia="宋体" w:cs="宋体"/>
          <w:b/>
          <w:bCs/>
          <w:color w:val="auto"/>
          <w:sz w:val="24"/>
          <w:szCs w:val="24"/>
          <w:highlight w:val="none"/>
          <w:lang w:bidi="ar"/>
        </w:rPr>
      </w:pPr>
      <w:r>
        <w:rPr>
          <w:rFonts w:hint="eastAsia" w:hAnsi="宋体" w:cs="宋体"/>
          <w:b/>
          <w:bCs/>
          <w:color w:val="auto"/>
          <w:sz w:val="21"/>
          <w:szCs w:val="21"/>
          <w:highlight w:val="none"/>
          <w:lang w:val="en-US" w:eastAsia="zh-CN"/>
        </w:rPr>
        <w:t>10.</w:t>
      </w:r>
      <w:r>
        <w:rPr>
          <w:rFonts w:hint="eastAsia" w:ascii="宋体" w:hAnsi="宋体" w:eastAsia="宋体" w:cs="宋体"/>
          <w:color w:val="auto"/>
          <w:sz w:val="21"/>
          <w:szCs w:val="21"/>
          <w:highlight w:val="none"/>
        </w:rPr>
        <w:t>评分规则中涉及的所需提供的资料</w:t>
      </w:r>
      <w:r>
        <w:rPr>
          <w:rFonts w:hint="eastAsia" w:ascii="宋体" w:hAnsi="宋体" w:eastAsia="宋体" w:cs="宋体"/>
          <w:color w:val="auto"/>
          <w:sz w:val="21"/>
          <w:szCs w:val="21"/>
          <w:highlight w:val="none"/>
          <w:lang w:eastAsia="zh-CN"/>
        </w:rPr>
        <w:t>、投标人</w:t>
      </w:r>
      <w:r>
        <w:rPr>
          <w:rFonts w:hint="eastAsia" w:hAnsi="宋体" w:cs="宋体"/>
          <w:color w:val="auto"/>
          <w:sz w:val="21"/>
          <w:szCs w:val="21"/>
          <w:highlight w:val="none"/>
        </w:rPr>
        <w:t>（包括投标联合体各方）</w:t>
      </w:r>
      <w:r>
        <w:rPr>
          <w:rFonts w:hint="eastAsia" w:ascii="宋体" w:hAnsi="宋体" w:eastAsia="宋体" w:cs="宋体"/>
          <w:color w:val="auto"/>
          <w:sz w:val="21"/>
          <w:szCs w:val="21"/>
          <w:highlight w:val="none"/>
        </w:rPr>
        <w:t>需要说明的其他文件和说明（格式略）。</w:t>
      </w:r>
    </w:p>
    <w:p>
      <w:pPr>
        <w:numPr>
          <w:ilvl w:val="0"/>
          <w:numId w:val="3"/>
        </w:numPr>
        <w:spacing w:line="30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br w:type="page"/>
      </w:r>
      <w:r>
        <w:rPr>
          <w:rFonts w:hint="eastAsia" w:ascii="宋体" w:hAnsi="宋体" w:eastAsia="宋体" w:cs="宋体"/>
          <w:b/>
          <w:bCs/>
          <w:color w:val="auto"/>
          <w:sz w:val="24"/>
          <w:highlight w:val="none"/>
        </w:rPr>
        <w:t>报价文件部分</w:t>
      </w:r>
    </w:p>
    <w:p>
      <w:pPr>
        <w:autoSpaceDE/>
        <w:autoSpaceDN/>
        <w:adjustRightInd/>
        <w:spacing w:line="500" w:lineRule="exact"/>
        <w:ind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（1）投标函（格式见附件）；</w:t>
      </w:r>
    </w:p>
    <w:p>
      <w:pPr>
        <w:autoSpaceDE/>
        <w:autoSpaceDN/>
        <w:adjustRightInd/>
        <w:spacing w:line="500" w:lineRule="exact"/>
        <w:ind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（2）开标（报价）一览表（格式见附件）；</w:t>
      </w:r>
    </w:p>
    <w:p>
      <w:pPr>
        <w:autoSpaceDE/>
        <w:autoSpaceDN/>
        <w:adjustRightInd/>
        <w:spacing w:line="500" w:lineRule="exact"/>
        <w:ind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hAnsi="宋体" w:cs="宋体"/>
          <w:color w:val="auto"/>
          <w:sz w:val="21"/>
          <w:szCs w:val="21"/>
          <w:highlight w:val="none"/>
          <w:lang w:val="en-US" w:eastAsia="zh-CN"/>
        </w:rPr>
        <w:t>3</w:t>
      </w:r>
      <w:r>
        <w:rPr>
          <w:rFonts w:hint="eastAsia" w:ascii="宋体" w:hAnsi="宋体" w:eastAsia="宋体" w:cs="宋体"/>
          <w:color w:val="auto"/>
          <w:sz w:val="21"/>
          <w:szCs w:val="21"/>
          <w:highlight w:val="none"/>
        </w:rPr>
        <w:t>）投标人（包括投标联合体各方）针对报价需要说明的其他文件和说明（格式自拟）。</w:t>
      </w:r>
    </w:p>
    <w:p>
      <w:pPr>
        <w:pStyle w:val="19"/>
        <w:numPr>
          <w:ilvl w:val="0"/>
          <w:numId w:val="0"/>
        </w:numPr>
        <w:rPr>
          <w:rFonts w:hint="eastAsia" w:ascii="宋体" w:hAnsi="宋体" w:eastAsia="宋体" w:cs="宋体"/>
          <w:b/>
          <w:bCs/>
          <w:color w:val="auto"/>
          <w:sz w:val="24"/>
          <w:highlight w:val="none"/>
        </w:rPr>
      </w:pPr>
    </w:p>
    <w:p>
      <w:pPr>
        <w:pStyle w:val="19"/>
        <w:numPr>
          <w:ilvl w:val="0"/>
          <w:numId w:val="0"/>
        </w:numPr>
        <w:rPr>
          <w:rFonts w:hint="eastAsia" w:ascii="宋体" w:hAnsi="宋体" w:eastAsia="宋体" w:cs="宋体"/>
          <w:b/>
          <w:bCs/>
          <w:color w:val="auto"/>
          <w:sz w:val="24"/>
          <w:highlight w:val="none"/>
        </w:rPr>
      </w:pPr>
    </w:p>
    <w:p>
      <w:pPr>
        <w:snapToGrid/>
        <w:spacing w:before="0" w:beforeLines="-2147483648" w:after="0"/>
        <w:rPr>
          <w:rFonts w:hint="eastAsia" w:ascii="宋体" w:hAnsi="宋体" w:eastAsia="宋体" w:cs="宋体"/>
          <w:color w:val="auto"/>
          <w:sz w:val="24"/>
          <w:highlight w:val="none"/>
        </w:rPr>
      </w:pPr>
      <w:r>
        <w:rPr>
          <w:rFonts w:hint="eastAsia" w:ascii="宋体" w:hAnsi="宋体" w:eastAsia="宋体" w:cs="宋体"/>
          <w:color w:val="auto"/>
          <w:sz w:val="24"/>
          <w:highlight w:val="none"/>
        </w:rPr>
        <w:br w:type="page"/>
      </w:r>
    </w:p>
    <w:p>
      <w:pPr>
        <w:snapToGrid w:val="0"/>
        <w:spacing w:before="317" w:beforeLines="50" w:after="50"/>
        <w:jc w:val="center"/>
        <w:rPr>
          <w:rFonts w:hint="eastAsia" w:ascii="宋体" w:hAnsi="宋体" w:eastAsia="宋体" w:cs="宋体"/>
          <w:b/>
          <w:color w:val="auto"/>
          <w:sz w:val="24"/>
          <w:highlight w:val="none"/>
        </w:rPr>
      </w:pPr>
      <w:r>
        <w:rPr>
          <w:rFonts w:hint="eastAsia" w:hAnsi="宋体" w:cs="宋体"/>
          <w:b/>
          <w:color w:val="auto"/>
          <w:sz w:val="24"/>
          <w:highlight w:val="none"/>
          <w:lang w:val="en-US" w:eastAsia="zh-CN"/>
        </w:rPr>
        <w:t>1.</w:t>
      </w:r>
      <w:r>
        <w:rPr>
          <w:rFonts w:hint="eastAsia" w:ascii="宋体" w:hAnsi="宋体" w:eastAsia="宋体" w:cs="宋体"/>
          <w:b/>
          <w:color w:val="auto"/>
          <w:sz w:val="24"/>
          <w:highlight w:val="none"/>
        </w:rPr>
        <w:t>投标函</w:t>
      </w:r>
    </w:p>
    <w:p>
      <w:pPr>
        <w:keepNext w:val="0"/>
        <w:keepLines w:val="0"/>
        <w:pageBreakBefore w:val="0"/>
        <w:widowControl w:val="0"/>
        <w:kinsoku/>
        <w:wordWrap/>
        <w:overflowPunct/>
        <w:topLinePunct w:val="0"/>
        <w:autoSpaceDE w:val="0"/>
        <w:autoSpaceDN w:val="0"/>
        <w:bidi w:val="0"/>
        <w:adjustRightInd w:val="0"/>
        <w:snapToGrid w:val="0"/>
        <w:spacing w:line="500" w:lineRule="exac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致：_________（招标采购单位名称）：</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根据贵方</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项目的招标公告/投标邀请书</w:t>
      </w:r>
    </w:p>
    <w:p>
      <w:pPr>
        <w:keepNext w:val="0"/>
        <w:keepLines w:val="0"/>
        <w:pageBreakBefore w:val="0"/>
        <w:widowControl w:val="0"/>
        <w:kinsoku/>
        <w:wordWrap/>
        <w:overflowPunct/>
        <w:topLinePunct w:val="0"/>
        <w:autoSpaceDE w:val="0"/>
        <w:autoSpaceDN w:val="0"/>
        <w:bidi w:val="0"/>
        <w:adjustRightInd w:val="0"/>
        <w:snapToGrid w:val="0"/>
        <w:spacing w:line="500" w:lineRule="exac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（项目编号：_______），签字</w:t>
      </w:r>
      <w:r>
        <w:rPr>
          <w:rFonts w:hint="eastAsia" w:ascii="宋体" w:hAnsi="宋体" w:eastAsia="宋体" w:cs="宋体"/>
          <w:color w:val="auto"/>
          <w:sz w:val="24"/>
          <w:szCs w:val="22"/>
          <w:highlight w:val="none"/>
        </w:rPr>
        <w:t>代表_______（全名）经正式授权并代表投标人_________（投标人名称，或联合体投标人牵头单位的名称）提交</w:t>
      </w:r>
      <w:r>
        <w:rPr>
          <w:rFonts w:hint="eastAsia" w:ascii="宋体" w:hAnsi="宋体" w:eastAsia="宋体" w:cs="宋体"/>
          <w:color w:val="auto"/>
          <w:sz w:val="24"/>
          <w:highlight w:val="none"/>
        </w:rPr>
        <w:t>文件。</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据此函，签字代表宣布同意如下：</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highlight w:val="none"/>
        </w:rPr>
        <w:t>1.我方自愿按照招标文件规定的各项要求向招标人提供所专业服务。</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2.我方已详细审查全部“招标文件”，包括修改文件（如有的话）以及全部参考资料和有关附件，已经了解我方对于招标文件、采购过程、采购结果有依法进行询问、质疑、投诉的权利及相关渠道和要求。</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3.我方在投标之前已经与贵方进行了充分的沟通，完全理解并接受招标文件的各项规定和要求，对招标文件的合理性、合法性不再有异议。</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4.本投标有效期自开标截止日起</w:t>
      </w:r>
      <w:r>
        <w:rPr>
          <w:rFonts w:hint="eastAsia" w:ascii="宋体" w:hAnsi="宋体" w:eastAsia="宋体" w:cs="宋体"/>
          <w:color w:val="auto"/>
          <w:sz w:val="24"/>
          <w:highlight w:val="none"/>
          <w:u w:val="single"/>
        </w:rPr>
        <w:t xml:space="preserve"> 90  </w:t>
      </w:r>
      <w:r>
        <w:rPr>
          <w:rFonts w:hint="eastAsia" w:ascii="宋体" w:hAnsi="宋体" w:eastAsia="宋体" w:cs="宋体"/>
          <w:color w:val="auto"/>
          <w:sz w:val="24"/>
          <w:highlight w:val="none"/>
        </w:rPr>
        <w:t>日。</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5.如中标，本投标文件至本项目合同履行完毕止均保持有效，本投标人将按“招标文件”及政府采购法律、法规的规定履行合同责任和义务。</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6.投标人同意按照贵方要求提供与投标有关的一切数据或资料。</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7.与本投标有关的一切正式往来信函请寄：</w:t>
      </w:r>
    </w:p>
    <w:p>
      <w:pPr>
        <w:keepNext w:val="0"/>
        <w:keepLines w:val="0"/>
        <w:pageBreakBefore w:val="0"/>
        <w:widowControl w:val="0"/>
        <w:kinsoku/>
        <w:wordWrap/>
        <w:overflowPunct/>
        <w:topLinePunct w:val="0"/>
        <w:autoSpaceDE w:val="0"/>
        <w:autoSpaceDN w:val="0"/>
        <w:bidi w:val="0"/>
        <w:adjustRightInd w:val="0"/>
        <w:snapToGrid w:val="0"/>
        <w:spacing w:line="500" w:lineRule="exac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地址：_______________邮编：__________电话：______________</w:t>
      </w:r>
    </w:p>
    <w:p>
      <w:pPr>
        <w:keepNext w:val="0"/>
        <w:keepLines w:val="0"/>
        <w:pageBreakBefore w:val="0"/>
        <w:widowControl w:val="0"/>
        <w:kinsoku/>
        <w:wordWrap/>
        <w:overflowPunct/>
        <w:topLinePunct w:val="0"/>
        <w:autoSpaceDE w:val="0"/>
        <w:autoSpaceDN w:val="0"/>
        <w:bidi w:val="0"/>
        <w:adjustRightInd w:val="0"/>
        <w:snapToGrid w:val="0"/>
        <w:spacing w:line="500" w:lineRule="exac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传真：______________投标人代表姓名</w:t>
      </w:r>
      <w:r>
        <w:rPr>
          <w:rFonts w:hint="eastAsia" w:hAnsi="宋体" w:cs="宋体"/>
          <w:color w:val="auto"/>
          <w:sz w:val="24"/>
          <w:highlight w:val="none"/>
          <w:lang w:eastAsia="zh-CN"/>
        </w:rPr>
        <w:t>：</w:t>
      </w:r>
      <w:r>
        <w:rPr>
          <w:rFonts w:hint="eastAsia" w:ascii="宋体" w:hAnsi="宋体" w:eastAsia="宋体" w:cs="宋体"/>
          <w:color w:val="auto"/>
          <w:sz w:val="24"/>
          <w:highlight w:val="none"/>
        </w:rPr>
        <w:t>___________职务：_____________</w:t>
      </w:r>
    </w:p>
    <w:p>
      <w:pPr>
        <w:keepNext w:val="0"/>
        <w:keepLines w:val="0"/>
        <w:pageBreakBefore w:val="0"/>
        <w:widowControl w:val="0"/>
        <w:kinsoku/>
        <w:wordWrap/>
        <w:overflowPunct/>
        <w:topLinePunct w:val="0"/>
        <w:autoSpaceDE w:val="0"/>
        <w:autoSpaceDN w:val="0"/>
        <w:bidi w:val="0"/>
        <w:adjustRightInd w:val="0"/>
        <w:snapToGrid w:val="0"/>
        <w:spacing w:line="500" w:lineRule="exac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投标人名称（公章）</w:t>
      </w:r>
      <w:r>
        <w:rPr>
          <w:rFonts w:hint="eastAsia" w:hAnsi="宋体" w:cs="宋体"/>
          <w:color w:val="auto"/>
          <w:sz w:val="24"/>
          <w:highlight w:val="none"/>
          <w:lang w:eastAsia="zh-CN"/>
        </w:rPr>
        <w:t>：</w:t>
      </w:r>
      <w:r>
        <w:rPr>
          <w:rFonts w:hint="eastAsia" w:ascii="宋体" w:hAnsi="宋体" w:eastAsia="宋体" w:cs="宋体"/>
          <w:color w:val="auto"/>
          <w:sz w:val="24"/>
          <w:highlight w:val="none"/>
        </w:rPr>
        <w:t>___________________</w:t>
      </w:r>
    </w:p>
    <w:p>
      <w:pPr>
        <w:keepNext w:val="0"/>
        <w:keepLines w:val="0"/>
        <w:pageBreakBefore w:val="0"/>
        <w:widowControl w:val="0"/>
        <w:kinsoku/>
        <w:wordWrap/>
        <w:overflowPunct/>
        <w:topLinePunct w:val="0"/>
        <w:autoSpaceDE w:val="0"/>
        <w:autoSpaceDN w:val="0"/>
        <w:bidi w:val="0"/>
        <w:adjustRightInd w:val="0"/>
        <w:snapToGrid w:val="0"/>
        <w:spacing w:line="500" w:lineRule="exac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开户银行：___________________银行账号：___________________</w:t>
      </w:r>
    </w:p>
    <w:p>
      <w:pPr>
        <w:keepNext w:val="0"/>
        <w:keepLines w:val="0"/>
        <w:pageBreakBefore w:val="0"/>
        <w:widowControl w:val="0"/>
        <w:kinsoku/>
        <w:wordWrap/>
        <w:overflowPunct/>
        <w:topLinePunct w:val="0"/>
        <w:autoSpaceDE w:val="0"/>
        <w:autoSpaceDN w:val="0"/>
        <w:bidi w:val="0"/>
        <w:adjustRightInd w:val="0"/>
        <w:snapToGrid w:val="0"/>
        <w:spacing w:line="500" w:lineRule="exact"/>
        <w:textAlignment w:val="auto"/>
        <w:rPr>
          <w:rFonts w:hint="eastAsia" w:ascii="宋体" w:hAnsi="宋体" w:eastAsia="宋体" w:cs="宋体"/>
          <w:color w:val="auto"/>
          <w:highlight w:val="none"/>
        </w:rPr>
      </w:pPr>
      <w:r>
        <w:rPr>
          <w:rFonts w:hint="eastAsia" w:ascii="宋体" w:hAnsi="宋体" w:eastAsia="宋体" w:cs="宋体"/>
          <w:color w:val="auto"/>
          <w:sz w:val="24"/>
          <w:highlight w:val="none"/>
        </w:rPr>
        <w:t>法定代表人或授权代表（签字或盖章）</w:t>
      </w:r>
      <w:r>
        <w:rPr>
          <w:rFonts w:hint="eastAsia" w:hAnsi="宋体" w:cs="宋体"/>
          <w:color w:val="auto"/>
          <w:sz w:val="24"/>
          <w:highlight w:val="none"/>
          <w:lang w:eastAsia="zh-CN"/>
        </w:rPr>
        <w:t>：</w:t>
      </w:r>
      <w:r>
        <w:rPr>
          <w:rFonts w:hint="eastAsia" w:ascii="宋体" w:hAnsi="宋体" w:eastAsia="宋体" w:cs="宋体"/>
          <w:color w:val="auto"/>
          <w:sz w:val="24"/>
          <w:highlight w:val="none"/>
        </w:rPr>
        <w:t>___________日期：_____年___月___日</w:t>
      </w:r>
    </w:p>
    <w:p>
      <w:pPr>
        <w:snapToGrid w:val="0"/>
        <w:spacing w:before="50" w:after="50"/>
        <w:ind w:firstLine="480" w:firstLineChars="200"/>
        <w:rPr>
          <w:rFonts w:hint="eastAsia" w:hAnsi="宋体" w:cs="宋体"/>
          <w:color w:val="auto"/>
          <w:sz w:val="24"/>
          <w:szCs w:val="24"/>
          <w:highlight w:val="none"/>
        </w:rPr>
      </w:pPr>
    </w:p>
    <w:p>
      <w:pPr>
        <w:spacing w:before="50" w:after="50"/>
        <w:ind w:firstLine="480" w:firstLineChars="200"/>
        <w:rPr>
          <w:rFonts w:hint="eastAsia" w:hAnsi="宋体" w:cs="宋体"/>
          <w:color w:val="auto"/>
          <w:sz w:val="24"/>
          <w:szCs w:val="24"/>
          <w:highlight w:val="none"/>
        </w:rPr>
      </w:pPr>
    </w:p>
    <w:p>
      <w:pPr>
        <w:spacing w:before="50" w:after="50"/>
        <w:ind w:firstLine="480" w:firstLineChars="200"/>
        <w:rPr>
          <w:rFonts w:hint="eastAsia" w:ascii="宋体" w:hAnsi="宋体" w:eastAsia="宋体" w:cs="宋体"/>
          <w:bCs/>
          <w:color w:val="auto"/>
          <w:sz w:val="24"/>
          <w:highlight w:val="none"/>
        </w:rPr>
      </w:pPr>
      <w:r>
        <w:rPr>
          <w:rFonts w:hint="eastAsia" w:hAnsi="宋体" w:cs="宋体"/>
          <w:color w:val="auto"/>
          <w:sz w:val="24"/>
          <w:szCs w:val="24"/>
          <w:highlight w:val="none"/>
        </w:rPr>
        <w:t>注：若为联合体</w:t>
      </w:r>
      <w:r>
        <w:rPr>
          <w:rFonts w:hint="eastAsia" w:hAnsi="宋体" w:cs="宋体"/>
          <w:color w:val="auto"/>
          <w:sz w:val="24"/>
          <w:szCs w:val="24"/>
          <w:highlight w:val="none"/>
          <w:lang w:eastAsia="zh-CN"/>
        </w:rPr>
        <w:t>投标人</w:t>
      </w:r>
      <w:r>
        <w:rPr>
          <w:rFonts w:hint="eastAsia" w:hAnsi="宋体" w:cs="宋体"/>
          <w:color w:val="auto"/>
          <w:sz w:val="24"/>
          <w:szCs w:val="24"/>
          <w:highlight w:val="none"/>
        </w:rPr>
        <w:t>，由联合体</w:t>
      </w:r>
      <w:r>
        <w:rPr>
          <w:rFonts w:hint="eastAsia" w:hAnsi="宋体" w:cs="宋体"/>
          <w:color w:val="auto"/>
          <w:sz w:val="24"/>
          <w:szCs w:val="24"/>
          <w:highlight w:val="none"/>
          <w:lang w:eastAsia="zh-CN"/>
        </w:rPr>
        <w:t>投标人</w:t>
      </w:r>
      <w:r>
        <w:rPr>
          <w:rFonts w:hint="eastAsia" w:hAnsi="宋体" w:cs="宋体"/>
          <w:color w:val="auto"/>
          <w:sz w:val="24"/>
          <w:szCs w:val="24"/>
          <w:highlight w:val="none"/>
        </w:rPr>
        <w:t>牵头人签字、盖章</w:t>
      </w:r>
      <w:r>
        <w:rPr>
          <w:rFonts w:hint="eastAsia" w:hAnsi="宋体" w:cs="宋体"/>
          <w:color w:val="auto"/>
          <w:sz w:val="24"/>
          <w:szCs w:val="24"/>
          <w:highlight w:val="none"/>
          <w:lang w:eastAsia="zh-CN"/>
        </w:rPr>
        <w:t>。</w:t>
      </w:r>
    </w:p>
    <w:p>
      <w:pPr>
        <w:spacing w:line="360" w:lineRule="auto"/>
        <w:ind w:firstLine="3614" w:firstLineChars="1500"/>
        <w:rPr>
          <w:rFonts w:hint="eastAsia" w:ascii="宋体" w:hAnsi="宋体" w:cs="宋体"/>
          <w:b/>
          <w:color w:val="auto"/>
          <w:sz w:val="24"/>
          <w:highlight w:val="none"/>
          <w:lang w:val="en-US" w:eastAsia="zh-CN"/>
        </w:rPr>
      </w:pPr>
      <w:r>
        <w:rPr>
          <w:rFonts w:hint="eastAsia" w:ascii="宋体" w:hAnsi="宋体" w:cs="宋体"/>
          <w:b/>
          <w:color w:val="auto"/>
          <w:sz w:val="24"/>
          <w:highlight w:val="none"/>
          <w:lang w:val="en-US" w:eastAsia="zh-CN"/>
        </w:rPr>
        <w:br w:type="page"/>
      </w:r>
    </w:p>
    <w:p>
      <w:pPr>
        <w:pStyle w:val="13"/>
        <w:spacing w:line="360" w:lineRule="auto"/>
        <w:ind w:firstLine="3614" w:firstLineChars="1500"/>
        <w:rPr>
          <w:rFonts w:hint="eastAsia" w:ascii="宋体" w:hAnsi="宋体" w:eastAsia="宋体" w:cs="宋体"/>
          <w:b/>
          <w:color w:val="auto"/>
          <w:sz w:val="24"/>
          <w:highlight w:val="none"/>
        </w:rPr>
      </w:pPr>
      <w:r>
        <w:rPr>
          <w:rFonts w:hint="eastAsia" w:ascii="宋体" w:hAnsi="宋体" w:cs="宋体"/>
          <w:b/>
          <w:color w:val="auto"/>
          <w:sz w:val="24"/>
          <w:highlight w:val="none"/>
          <w:lang w:val="en-US" w:eastAsia="zh-CN"/>
        </w:rPr>
        <w:t>2.</w:t>
      </w:r>
      <w:r>
        <w:rPr>
          <w:rFonts w:hint="eastAsia" w:ascii="宋体" w:hAnsi="宋体" w:eastAsia="宋体" w:cs="宋体"/>
          <w:b/>
          <w:color w:val="auto"/>
          <w:sz w:val="24"/>
          <w:highlight w:val="none"/>
        </w:rPr>
        <w:t>开标（报价）一览表</w:t>
      </w:r>
    </w:p>
    <w:tbl>
      <w:tblPr>
        <w:tblStyle w:val="20"/>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75"/>
        <w:gridCol w:w="71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8" w:hRule="atLeast"/>
        </w:trPr>
        <w:tc>
          <w:tcPr>
            <w:tcW w:w="1875" w:type="dxa"/>
            <w:noWrap w:val="0"/>
            <w:vAlign w:val="center"/>
          </w:tcPr>
          <w:p>
            <w:pPr>
              <w:snapToGrid w:val="0"/>
              <w:spacing w:line="4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项目编号</w:t>
            </w:r>
          </w:p>
        </w:tc>
        <w:tc>
          <w:tcPr>
            <w:tcW w:w="7110" w:type="dxa"/>
            <w:noWrap w:val="0"/>
            <w:vAlign w:val="top"/>
          </w:tcPr>
          <w:p>
            <w:pPr>
              <w:snapToGrid w:val="0"/>
              <w:spacing w:line="460" w:lineRule="exact"/>
              <w:jc w:val="center"/>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6" w:hRule="atLeast"/>
        </w:trPr>
        <w:tc>
          <w:tcPr>
            <w:tcW w:w="1875" w:type="dxa"/>
            <w:noWrap w:val="0"/>
            <w:vAlign w:val="center"/>
          </w:tcPr>
          <w:p>
            <w:pPr>
              <w:snapToGrid w:val="0"/>
              <w:spacing w:line="4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项目名称</w:t>
            </w:r>
          </w:p>
        </w:tc>
        <w:tc>
          <w:tcPr>
            <w:tcW w:w="7110" w:type="dxa"/>
            <w:noWrap w:val="0"/>
            <w:vAlign w:val="top"/>
          </w:tcPr>
          <w:p>
            <w:pPr>
              <w:snapToGrid w:val="0"/>
              <w:spacing w:line="460" w:lineRule="exact"/>
              <w:jc w:val="center"/>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6" w:hRule="atLeast"/>
        </w:trPr>
        <w:tc>
          <w:tcPr>
            <w:tcW w:w="1875" w:type="dxa"/>
            <w:noWrap w:val="0"/>
            <w:vAlign w:val="center"/>
          </w:tcPr>
          <w:p>
            <w:pPr>
              <w:snapToGrid w:val="0"/>
              <w:spacing w:line="4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w:t>
            </w:r>
            <w:r>
              <w:rPr>
                <w:rFonts w:hint="eastAsia" w:hAnsi="宋体" w:cs="宋体"/>
                <w:color w:val="auto"/>
                <w:sz w:val="21"/>
                <w:szCs w:val="21"/>
                <w:highlight w:val="none"/>
                <w:lang w:val="en-US" w:eastAsia="zh-CN"/>
              </w:rPr>
              <w:t>单价</w:t>
            </w:r>
            <w:r>
              <w:rPr>
                <w:rFonts w:hint="eastAsia" w:ascii="宋体" w:hAnsi="宋体" w:eastAsia="宋体" w:cs="宋体"/>
                <w:color w:val="auto"/>
                <w:sz w:val="21"/>
                <w:szCs w:val="21"/>
                <w:highlight w:val="none"/>
              </w:rPr>
              <w:t>报价（人民币）</w:t>
            </w:r>
          </w:p>
        </w:tc>
        <w:tc>
          <w:tcPr>
            <w:tcW w:w="7110" w:type="dxa"/>
            <w:noWrap w:val="0"/>
            <w:vAlign w:val="center"/>
          </w:tcPr>
          <w:p>
            <w:pPr>
              <w:snapToGrid w:val="0"/>
              <w:spacing w:line="460" w:lineRule="exact"/>
              <w:ind w:firstLine="211" w:firstLineChars="100"/>
              <w:jc w:val="both"/>
              <w:rPr>
                <w:rFonts w:hint="default"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rPr>
              <w:t xml:space="preserve">小写：   </w:t>
            </w:r>
            <w:r>
              <w:rPr>
                <w:rFonts w:hint="eastAsia" w:hAnsi="宋体" w:cs="宋体"/>
                <w:b/>
                <w:color w:val="auto"/>
                <w:sz w:val="21"/>
                <w:szCs w:val="21"/>
                <w:highlight w:val="none"/>
                <w:lang w:val="en-US" w:eastAsia="zh-CN"/>
              </w:rPr>
              <w:t xml:space="preserve">   </w:t>
            </w:r>
            <w:r>
              <w:rPr>
                <w:rFonts w:hint="eastAsia" w:ascii="宋体" w:hAnsi="宋体" w:eastAsia="宋体" w:cs="宋体"/>
                <w:color w:val="auto"/>
                <w:sz w:val="21"/>
                <w:szCs w:val="21"/>
                <w:highlight w:val="none"/>
              </w:rPr>
              <w:t>元/吨</w:t>
            </w:r>
          </w:p>
          <w:p>
            <w:pPr>
              <w:snapToGrid w:val="0"/>
              <w:spacing w:line="460" w:lineRule="exact"/>
              <w:ind w:firstLine="211" w:firstLineChars="100"/>
              <w:jc w:val="both"/>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大写：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17" w:hRule="atLeast"/>
        </w:trPr>
        <w:tc>
          <w:tcPr>
            <w:tcW w:w="1875" w:type="dxa"/>
            <w:noWrap w:val="0"/>
            <w:vAlign w:val="center"/>
          </w:tcPr>
          <w:p>
            <w:pPr>
              <w:snapToGrid w:val="0"/>
              <w:spacing w:line="4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报价说明</w:t>
            </w:r>
          </w:p>
        </w:tc>
        <w:tc>
          <w:tcPr>
            <w:tcW w:w="7110" w:type="dxa"/>
            <w:noWrap w:val="0"/>
            <w:vAlign w:val="center"/>
          </w:tcPr>
          <w:p>
            <w:pPr>
              <w:widowControl/>
              <w:snapToGrid w:val="0"/>
              <w:spacing w:line="460" w:lineRule="exact"/>
              <w:jc w:val="both"/>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本投标人已知悉并同意，投标人中标后应根据招标文件中约定的金额向本项目的政府采购代理机构计算支付采购代理服务费，为此，我方已根据财政部财库〔2018〕2号《政府采购代理机构管理暂行办法》的规定并按本次招标的报价要求</w:t>
            </w:r>
            <w:r>
              <w:rPr>
                <w:rFonts w:hint="eastAsia" w:hAnsi="宋体" w:cs="宋体"/>
                <w:color w:val="auto"/>
                <w:sz w:val="21"/>
                <w:szCs w:val="21"/>
                <w:highlight w:val="none"/>
                <w:lang w:val="en-US" w:eastAsia="zh-CN"/>
              </w:rPr>
              <w:t>进行填报</w:t>
            </w:r>
            <w:r>
              <w:rPr>
                <w:rFonts w:hint="eastAsia" w:ascii="宋体" w:hAnsi="宋体" w:eastAsia="宋体" w:cs="宋体"/>
                <w:color w:val="auto"/>
                <w:sz w:val="21"/>
                <w:szCs w:val="21"/>
                <w:highlight w:val="none"/>
              </w:rPr>
              <w:t>。</w:t>
            </w:r>
          </w:p>
        </w:tc>
      </w:tr>
    </w:tbl>
    <w:p>
      <w:pPr>
        <w:snapToGrid w:val="0"/>
        <w:spacing w:before="50" w:after="50" w:line="460" w:lineRule="exact"/>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注：1.报价一经涂改，应在涂改处加盖单位公章或者由法定代表人或授权委托人签字或盖章，否则其投标作无效标处理。</w:t>
      </w:r>
    </w:p>
    <w:p>
      <w:pPr>
        <w:snapToGrid w:val="0"/>
        <w:spacing w:before="50" w:after="50" w:line="460" w:lineRule="exact"/>
        <w:ind w:left="-99" w:leftChars="-29" w:right="-1323" w:rightChars="-389" w:firstLine="420" w:firstLineChars="200"/>
        <w:rPr>
          <w:rFonts w:hint="eastAsia" w:ascii="宋体" w:hAnsi="宋体" w:eastAsia="宋体" w:cs="宋体"/>
          <w:color w:val="auto"/>
          <w:sz w:val="21"/>
          <w:szCs w:val="21"/>
          <w:highlight w:val="none"/>
        </w:rPr>
      </w:pPr>
    </w:p>
    <w:p>
      <w:pPr>
        <w:snapToGrid w:val="0"/>
        <w:spacing w:before="50" w:after="50" w:line="460" w:lineRule="exact"/>
        <w:ind w:left="-99" w:leftChars="-29" w:right="-1323" w:rightChars="-389"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法定代表人或授权代表（签字或盖章）：</w:t>
      </w:r>
    </w:p>
    <w:p>
      <w:pPr>
        <w:snapToGrid w:val="0"/>
        <w:spacing w:before="50" w:after="50" w:line="460" w:lineRule="exact"/>
        <w:ind w:left="-99" w:leftChars="-29" w:right="-1323" w:rightChars="-389"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投标人名称（盖章）：                                             </w:t>
      </w:r>
    </w:p>
    <w:p>
      <w:pPr>
        <w:snapToGrid w:val="0"/>
        <w:spacing w:before="50" w:after="50" w:line="460" w:lineRule="exact"/>
        <w:ind w:left="-99" w:leftChars="-29" w:right="-1323" w:rightChars="-389"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日期：   年   月    日</w:t>
      </w:r>
    </w:p>
    <w:p>
      <w:pPr>
        <w:snapToGrid w:val="0"/>
        <w:spacing w:before="317" w:beforeLines="50" w:after="50"/>
        <w:rPr>
          <w:rFonts w:hint="eastAsia" w:ascii="宋体" w:hAnsi="宋体" w:eastAsia="宋体" w:cs="宋体"/>
          <w:bCs/>
          <w:color w:val="auto"/>
          <w:sz w:val="24"/>
          <w:highlight w:val="none"/>
        </w:rPr>
      </w:pPr>
    </w:p>
    <w:p>
      <w:pPr>
        <w:snapToGrid w:val="0"/>
        <w:spacing w:before="50" w:after="50"/>
        <w:ind w:firstLine="480" w:firstLineChars="200"/>
        <w:rPr>
          <w:rFonts w:hint="eastAsia" w:hAnsi="宋体" w:cs="宋体"/>
          <w:color w:val="auto"/>
          <w:sz w:val="24"/>
          <w:highlight w:val="none"/>
        </w:rPr>
      </w:pPr>
      <w:r>
        <w:rPr>
          <w:rFonts w:hint="eastAsia" w:hAnsi="宋体" w:cs="宋体"/>
          <w:color w:val="auto"/>
          <w:sz w:val="24"/>
          <w:szCs w:val="24"/>
          <w:highlight w:val="none"/>
        </w:rPr>
        <w:t>注：若为联合体</w:t>
      </w:r>
      <w:r>
        <w:rPr>
          <w:rFonts w:hint="eastAsia" w:hAnsi="宋体" w:cs="宋体"/>
          <w:color w:val="auto"/>
          <w:sz w:val="24"/>
          <w:szCs w:val="24"/>
          <w:highlight w:val="none"/>
          <w:lang w:eastAsia="zh-CN"/>
        </w:rPr>
        <w:t>投标人</w:t>
      </w:r>
      <w:r>
        <w:rPr>
          <w:rFonts w:hint="eastAsia" w:hAnsi="宋体" w:cs="宋体"/>
          <w:color w:val="auto"/>
          <w:sz w:val="24"/>
          <w:szCs w:val="24"/>
          <w:highlight w:val="none"/>
        </w:rPr>
        <w:t>，由联合体</w:t>
      </w:r>
      <w:r>
        <w:rPr>
          <w:rFonts w:hint="eastAsia" w:hAnsi="宋体" w:cs="宋体"/>
          <w:color w:val="auto"/>
          <w:sz w:val="24"/>
          <w:szCs w:val="24"/>
          <w:highlight w:val="none"/>
          <w:lang w:eastAsia="zh-CN"/>
        </w:rPr>
        <w:t>投标人</w:t>
      </w:r>
      <w:r>
        <w:rPr>
          <w:rFonts w:hint="eastAsia" w:hAnsi="宋体" w:cs="宋体"/>
          <w:color w:val="auto"/>
          <w:sz w:val="24"/>
          <w:szCs w:val="24"/>
          <w:highlight w:val="none"/>
        </w:rPr>
        <w:t>牵头人签字、盖章</w:t>
      </w:r>
      <w:r>
        <w:rPr>
          <w:rFonts w:hint="eastAsia" w:hAnsi="宋体" w:cs="宋体"/>
          <w:color w:val="auto"/>
          <w:sz w:val="24"/>
          <w:szCs w:val="24"/>
          <w:highlight w:val="none"/>
          <w:lang w:eastAsia="zh-CN"/>
        </w:rPr>
        <w:t>。</w:t>
      </w:r>
    </w:p>
    <w:p>
      <w:pPr>
        <w:pStyle w:val="13"/>
        <w:snapToGrid w:val="0"/>
        <w:spacing w:before="295" w:after="295"/>
        <w:rPr>
          <w:rFonts w:hint="eastAsia" w:ascii="宋体" w:hAnsi="宋体" w:eastAsia="宋体" w:cs="宋体"/>
          <w:color w:val="auto"/>
          <w:highlight w:val="none"/>
        </w:rPr>
      </w:pPr>
    </w:p>
    <w:p>
      <w:pPr>
        <w:autoSpaceDE/>
        <w:autoSpaceDN/>
        <w:adjustRightInd/>
        <w:rPr>
          <w:rFonts w:hint="eastAsia" w:ascii="宋体" w:hAnsi="宋体" w:eastAsia="宋体" w:cs="宋体"/>
          <w:color w:val="auto"/>
          <w:highlight w:val="none"/>
        </w:rPr>
      </w:pPr>
      <w:r>
        <w:rPr>
          <w:rFonts w:hint="eastAsia" w:hAnsi="宋体" w:cs="宋体"/>
          <w:b/>
          <w:color w:val="auto"/>
          <w:sz w:val="24"/>
          <w:highlight w:val="none"/>
          <w:lang w:val="en-US" w:eastAsia="zh-CN"/>
        </w:rPr>
        <w:t>3</w:t>
      </w:r>
      <w:r>
        <w:rPr>
          <w:rFonts w:hint="eastAsia" w:ascii="宋体" w:hAnsi="宋体" w:eastAsia="宋体" w:cs="宋体"/>
          <w:b/>
          <w:color w:val="auto"/>
          <w:sz w:val="24"/>
          <w:highlight w:val="none"/>
        </w:rPr>
        <w:t>.投标人（包括投标联合体各方）针对报价需要说明的其他文件和说明（格式自拟）。</w:t>
      </w:r>
    </w:p>
    <w:sectPr>
      <w:footerReference r:id="rId10" w:type="default"/>
      <w:type w:val="continuous"/>
      <w:pgSz w:w="11906" w:h="16838"/>
      <w:pgMar w:top="1440" w:right="1304" w:bottom="1440" w:left="1304" w:header="567" w:footer="1020" w:gutter="0"/>
      <w:cols w:space="720" w:num="1"/>
      <w:docGrid w:type="lines" w:linePitch="63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幼圆">
    <w:panose1 w:val="0201050906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imes">
    <w:altName w:val="Times New Roman"/>
    <w:panose1 w:val="02020603050405020304"/>
    <w:charset w:val="00"/>
    <w:family w:val="roman"/>
    <w:pitch w:val="default"/>
    <w:sig w:usb0="00000000" w:usb1="00000000" w:usb2="00000009" w:usb3="00000000" w:csb0="000001FF" w:csb1="00000000"/>
  </w:font>
  <w:font w:name="Courier">
    <w:altName w:val="Courier New"/>
    <w:panose1 w:val="02070409020205020404"/>
    <w:charset w:val="00"/>
    <w:family w:val="modern"/>
    <w:pitch w:val="default"/>
    <w:sig w:usb0="00000000" w:usb1="00000000" w:usb2="00000000" w:usb3="00000000" w:csb0="00000001" w:csb1="00000000"/>
  </w:font>
  <w:font w:name="MingLiU">
    <w:altName w:val="PMingLiU-ExtB"/>
    <w:panose1 w:val="02020309000000000000"/>
    <w:charset w:val="88"/>
    <w:family w:val="modern"/>
    <w:pitch w:val="default"/>
    <w:sig w:usb0="00000000" w:usb1="00000000" w:usb2="00000016" w:usb3="00000000" w:csb0="0010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3"/>
      </w:rPr>
    </w:pPr>
    <w:r>
      <w:fldChar w:fldCharType="begin"/>
    </w:r>
    <w:r>
      <w:rPr>
        <w:rStyle w:val="23"/>
      </w:rPr>
      <w:instrText xml:space="preserve">PAGE  </w:instrText>
    </w:r>
    <w:r>
      <w:fldChar w:fldCharType="separate"/>
    </w:r>
    <w:r>
      <w:rPr>
        <w:rStyle w:val="23"/>
      </w:rPr>
      <w:t>1</w:t>
    </w:r>
    <w:r>
      <w:fldChar w:fldCharType="end"/>
    </w:r>
  </w:p>
  <w:p>
    <w:pPr>
      <w:pStyle w:val="14"/>
      <w:framePr w:w="607" w:h="430" w:hRule="exact" w:wrap="around" w:vAnchor="text" w:hAnchor="page" w:x="8905" w:y="-58"/>
      <w:ind w:right="360"/>
      <w:rPr>
        <w:rStyle w:val="23"/>
        <w:rFonts w:hint="eastAsia"/>
      </w:rPr>
    </w:pPr>
  </w:p>
  <w:p>
    <w:pPr>
      <w:pStyle w:val="14"/>
      <w:framePr w:wrap="around" w:vAnchor="text" w:hAnchor="page" w:x="15730" w:y="74"/>
      <w:ind w:right="360"/>
      <w:rPr>
        <w:rStyle w:val="23"/>
        <w:rFonts w:hint="eastAsia"/>
      </w:rPr>
    </w:pPr>
  </w:p>
  <w:p>
    <w:pPr>
      <w:pStyle w:val="14"/>
      <w:ind w:right="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3"/>
      </w:rPr>
    </w:pPr>
    <w:r>
      <w:fldChar w:fldCharType="begin"/>
    </w:r>
    <w:r>
      <w:rPr>
        <w:rStyle w:val="23"/>
      </w:rPr>
      <w:instrText xml:space="preserve">PAGE  </w:instrText>
    </w:r>
    <w:r>
      <w:fldChar w:fldCharType="separate"/>
    </w:r>
    <w:r>
      <w:rPr>
        <w:rStyle w:val="23"/>
      </w:rPr>
      <w:t>34</w:t>
    </w:r>
    <w:r>
      <w:fldChar w:fldCharType="end"/>
    </w:r>
  </w:p>
  <w:p>
    <w:pPr>
      <w:pStyle w:val="1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607" w:h="430" w:hRule="exact" w:wrap="around" w:vAnchor="text" w:hAnchor="page" w:x="8905" w:y="-58"/>
      <w:ind w:right="360"/>
      <w:rPr>
        <w:rStyle w:val="23"/>
        <w:rFonts w:hint="eastAsia"/>
      </w:rPr>
    </w:pPr>
  </w:p>
  <w:p>
    <w:pPr>
      <w:pStyle w:val="14"/>
      <w:framePr w:wrap="around" w:vAnchor="text" w:hAnchor="page" w:x="15730" w:y="74"/>
      <w:ind w:right="360"/>
      <w:rPr>
        <w:rStyle w:val="23"/>
        <w:rFonts w:hint="eastAsia"/>
      </w:rPr>
    </w:pPr>
  </w:p>
  <w:p>
    <w:pPr>
      <w:pStyle w:val="14"/>
      <w:ind w:right="360"/>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page" w:x="5942" w:y="1"/>
      <w:rPr>
        <w:rStyle w:val="23"/>
        <w:rFonts w:hint="eastAsia" w:ascii="宋体" w:hAnsi="宋体" w:eastAsia="宋体" w:cs="宋体"/>
        <w:szCs w:val="18"/>
      </w:rPr>
    </w:pPr>
    <w:r>
      <w:rPr>
        <w:rFonts w:hint="eastAsia" w:ascii="宋体" w:hAnsi="宋体" w:eastAsia="宋体" w:cs="宋体"/>
        <w:szCs w:val="18"/>
      </w:rPr>
      <w:fldChar w:fldCharType="begin"/>
    </w:r>
    <w:r>
      <w:rPr>
        <w:rStyle w:val="23"/>
        <w:rFonts w:hint="eastAsia" w:ascii="宋体" w:hAnsi="宋体" w:eastAsia="宋体" w:cs="宋体"/>
        <w:szCs w:val="18"/>
      </w:rPr>
      <w:instrText xml:space="preserve">PAGE  </w:instrText>
    </w:r>
    <w:r>
      <w:rPr>
        <w:rFonts w:hint="eastAsia" w:ascii="宋体" w:hAnsi="宋体" w:eastAsia="宋体" w:cs="宋体"/>
        <w:szCs w:val="18"/>
      </w:rPr>
      <w:fldChar w:fldCharType="separate"/>
    </w:r>
    <w:r>
      <w:rPr>
        <w:rStyle w:val="23"/>
        <w:rFonts w:hint="eastAsia" w:ascii="宋体" w:hAnsi="宋体" w:eastAsia="宋体" w:cs="宋体"/>
        <w:szCs w:val="18"/>
      </w:rPr>
      <w:t>62</w:t>
    </w:r>
    <w:r>
      <w:rPr>
        <w:rFonts w:hint="eastAsia" w:ascii="宋体" w:hAnsi="宋体" w:eastAsia="宋体" w:cs="宋体"/>
        <w:szCs w:val="18"/>
      </w:rPr>
      <w:fldChar w:fldCharType="end"/>
    </w:r>
  </w:p>
  <w:p>
    <w:pPr>
      <w:pStyle w:val="14"/>
      <w:framePr w:w="607" w:h="430" w:hRule="exact" w:wrap="around" w:vAnchor="text" w:hAnchor="page" w:x="8905" w:y="-58"/>
      <w:ind w:right="360"/>
      <w:rPr>
        <w:rStyle w:val="23"/>
        <w:rFonts w:hint="eastAsia"/>
      </w:rPr>
    </w:pPr>
  </w:p>
  <w:p>
    <w:pPr>
      <w:pStyle w:val="14"/>
      <w:framePr w:wrap="around" w:vAnchor="text" w:hAnchor="page" w:x="15730" w:y="74"/>
      <w:ind w:right="360"/>
      <w:rPr>
        <w:rStyle w:val="23"/>
        <w:rFonts w:hint="eastAsia"/>
      </w:rPr>
    </w:pPr>
  </w:p>
  <w:p>
    <w:pPr>
      <w:pStyle w:val="14"/>
      <w:ind w:right="360"/>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single" w:color="auto" w:sz="6" w:space="0"/>
      </w:pBdr>
      <w:rPr>
        <w:rFonts w:hint="eastAsia" w:ascii="宋体" w:hAnsi="宋体" w:cs="宋体"/>
      </w:rPr>
    </w:pPr>
    <w:r>
      <w:rPr>
        <w:rFonts w:hint="eastAsia" w:ascii="宋体" w:hAnsi="宋体" w:cs="宋体"/>
      </w:rPr>
      <w:t>金华市天盈招标代理有限公司</w:t>
    </w:r>
  </w:p>
  <w:p>
    <w:pPr>
      <w:pStyle w:val="15"/>
      <w:pBdr>
        <w:bottom w:val="single" w:color="auto" w:sz="6" w:space="0"/>
      </w:pBdr>
      <w:rPr>
        <w:rFonts w:hint="eastAsia" w:eastAsia="宋体"/>
        <w:lang w:eastAsia="zh-CN"/>
      </w:rPr>
    </w:pPr>
    <w:r>
      <w:rPr>
        <w:sz w:val="18"/>
      </w:rPr>
      <w:pict>
        <v:shape id="PowerPlusWaterMarkObject18798" o:spid="_x0000_s4099" o:spt="136" type="#_x0000_t136" style="position:absolute;left:0pt;height:54.1pt;width:533.15pt;mso-position-horizontal:center;mso-position-horizontal-relative:margin;mso-position-vertical:center;mso-position-vertical-relative:margin;rotation:-2949120f;z-index:-251656192;mso-width-relative:page;mso-height-relative:page;" fillcolor="#C0C0C0" filled="t" stroked="f" coordsize="21600,21600" adj="10800">
          <v:path/>
          <v:fill on="t" opacity="28180f" focussize="0,0"/>
          <v:stroke on="f"/>
          <v:imagedata o:title=""/>
          <o:lock v:ext="edit" aspectratio="t"/>
          <v:textpath on="t" fitshape="t" fitpath="t" trim="t" xscale="f" string="金华市天盈招标代理有限公司" style="font-family:微软雅黑;font-size:36pt;v-same-letter-heights:f;v-text-align:center;"/>
        </v:shape>
      </w:pict>
    </w:r>
    <w:r>
      <w:rPr>
        <w:rFonts w:hint="eastAsia" w:ascii="宋体" w:hAnsi="宋体" w:cs="宋体"/>
      </w:rPr>
      <w:t>项目编号：</w:t>
    </w:r>
    <w:r>
      <w:pict>
        <v:shape id="_x0000_s4098" o:spid="_x0000_s4098" o:spt="136" type="#_x0000_t136" style="position:absolute;left:0pt;height:54.1pt;width:533.15pt;mso-position-horizontal:center;mso-position-horizontal-relative:margin;mso-position-vertical:center;mso-position-vertical-relative:margin;rotation:-2949120f;z-index:-251657216;mso-width-relative:page;mso-height-relative:page;" fillcolor="#C0C0C0" filled="t" stroked="f" coordsize="21600,21600">
          <v:path/>
          <v:fill on="t" opacity="32768f" focussize="0,0"/>
          <v:stroke on="f"/>
          <v:imagedata o:title=""/>
          <o:lock v:ext="edit" aspectratio="t"/>
          <v:textpath on="t" fitshape="t" fitpath="t" trim="t" xscale="f" string="金华市天盈招标代理有限公司" style="font-family:微软雅黑;font-size:36pt;v-rotate-letters:f;v-same-letter-heights:f;v-text-align:center;"/>
        </v:shape>
      </w:pict>
    </w:r>
    <w:r>
      <w:rPr>
        <w:rFonts w:hint="eastAsia" w:ascii="宋体" w:hAnsi="宋体" w:cs="宋体"/>
        <w:lang w:eastAsia="zh-CN"/>
      </w:rPr>
      <w:t>TY2023-FW365-ZFCG365-1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single" w:color="auto" w:sz="6" w:space="0"/>
      </w:pBdr>
      <w:rPr>
        <w:rFonts w:hint="eastAsia" w:ascii="宋体" w:hAnsi="宋体" w:cs="宋体"/>
      </w:rPr>
    </w:pPr>
    <w:r>
      <w:rPr>
        <w:rFonts w:hint="eastAsia" w:ascii="宋体" w:hAnsi="宋体" w:cs="宋体"/>
      </w:rPr>
      <w:t>金华市天盈招标代理有限公司</w:t>
    </w:r>
  </w:p>
  <w:p>
    <w:pPr>
      <w:pStyle w:val="15"/>
      <w:pBdr>
        <w:bottom w:val="single" w:color="auto" w:sz="6" w:space="0"/>
      </w:pBdr>
      <w:rPr>
        <w:rFonts w:hint="eastAsia" w:ascii="宋体" w:hAnsi="宋体" w:eastAsia="宋体" w:cs="宋体"/>
        <w:lang w:eastAsia="zh-CN"/>
      </w:rPr>
    </w:pPr>
    <w:r>
      <w:rPr>
        <w:sz w:val="18"/>
      </w:rPr>
      <w:pict>
        <v:shape id="_x0000_s4100" o:spid="_x0000_s4100" o:spt="136" type="#_x0000_t136" style="position:absolute;left:0pt;height:54.1pt;width:533.15pt;mso-position-horizontal:center;mso-position-horizontal-relative:margin;mso-position-vertical:center;mso-position-vertical-relative:margin;rotation:-2949120f;z-index:-251655168;mso-width-relative:page;mso-height-relative:page;" fillcolor="#C0C0C0" filled="t" stroked="f" coordsize="21600,21600" adj="10800">
          <v:path/>
          <v:fill on="t" opacity="28180f" focussize="0,0"/>
          <v:stroke on="f"/>
          <v:imagedata o:title=""/>
          <o:lock v:ext="edit" aspectratio="t"/>
          <v:textpath on="t" fitshape="t" fitpath="t" trim="t" xscale="f" string="金华市天盈招标代理有限公司" style="font-family:微软雅黑;font-size:36pt;v-same-letter-heights:f;v-text-align:center;"/>
        </v:shape>
      </w:pict>
    </w:r>
    <w:r>
      <w:rPr>
        <w:rFonts w:hint="eastAsia" w:ascii="宋体" w:hAnsi="宋体" w:cs="宋体"/>
      </w:rPr>
      <w:t>项目编号：</w:t>
    </w:r>
    <w:r>
      <w:rPr>
        <w:rFonts w:hint="eastAsia" w:ascii="宋体" w:hAnsi="宋体" w:cs="宋体"/>
        <w:lang w:eastAsia="zh-CN"/>
      </w:rPr>
      <w:t>TY2023-FW365-ZFCG365-1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49EECC"/>
    <w:multiLevelType w:val="singleLevel"/>
    <w:tmpl w:val="F849EECC"/>
    <w:lvl w:ilvl="0" w:tentative="0">
      <w:start w:val="2"/>
      <w:numFmt w:val="chineseCounting"/>
      <w:suff w:val="nothing"/>
      <w:lvlText w:val="（%1）"/>
      <w:lvlJc w:val="left"/>
      <w:rPr>
        <w:rFonts w:hint="eastAsia"/>
      </w:rPr>
    </w:lvl>
  </w:abstractNum>
  <w:abstractNum w:abstractNumId="1">
    <w:nsid w:val="1E7CFFB0"/>
    <w:multiLevelType w:val="singleLevel"/>
    <w:tmpl w:val="1E7CFFB0"/>
    <w:lvl w:ilvl="0" w:tentative="0">
      <w:start w:val="3"/>
      <w:numFmt w:val="chineseCounting"/>
      <w:suff w:val="nothing"/>
      <w:lvlText w:val="%1、"/>
      <w:lvlJc w:val="left"/>
      <w:rPr>
        <w:rFonts w:hint="eastAsia"/>
      </w:rPr>
    </w:lvl>
  </w:abstractNum>
  <w:abstractNum w:abstractNumId="2">
    <w:nsid w:val="2232E123"/>
    <w:multiLevelType w:val="singleLevel"/>
    <w:tmpl w:val="2232E123"/>
    <w:lvl w:ilvl="0" w:tentative="0">
      <w:start w:val="3"/>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xY2JhM2JjMzgwNjlhYmI0ZGQwYTQ4ZmNhYjRhZjYifQ=="/>
  </w:docVars>
  <w:rsids>
    <w:rsidRoot w:val="2F314C28"/>
    <w:rsid w:val="003C6D6C"/>
    <w:rsid w:val="0052661D"/>
    <w:rsid w:val="00E6062A"/>
    <w:rsid w:val="00F92651"/>
    <w:rsid w:val="0196238F"/>
    <w:rsid w:val="022E26FA"/>
    <w:rsid w:val="02506AA6"/>
    <w:rsid w:val="029427AA"/>
    <w:rsid w:val="03663FB0"/>
    <w:rsid w:val="03DB54BE"/>
    <w:rsid w:val="043245DC"/>
    <w:rsid w:val="05FF456B"/>
    <w:rsid w:val="06652463"/>
    <w:rsid w:val="066C4C03"/>
    <w:rsid w:val="06F61848"/>
    <w:rsid w:val="084D5351"/>
    <w:rsid w:val="087A7E17"/>
    <w:rsid w:val="08B56357"/>
    <w:rsid w:val="08F6215C"/>
    <w:rsid w:val="098361F2"/>
    <w:rsid w:val="09C11668"/>
    <w:rsid w:val="0A136321"/>
    <w:rsid w:val="0A4B01F3"/>
    <w:rsid w:val="0A770419"/>
    <w:rsid w:val="0B465654"/>
    <w:rsid w:val="0BD91B6F"/>
    <w:rsid w:val="0BE27A57"/>
    <w:rsid w:val="0C11127E"/>
    <w:rsid w:val="0C2B70C0"/>
    <w:rsid w:val="0C7B6544"/>
    <w:rsid w:val="0D1C7D1F"/>
    <w:rsid w:val="0D42312F"/>
    <w:rsid w:val="0D4D0C3B"/>
    <w:rsid w:val="0D576FA9"/>
    <w:rsid w:val="0D820785"/>
    <w:rsid w:val="0E210F90"/>
    <w:rsid w:val="0E2763E9"/>
    <w:rsid w:val="0E583695"/>
    <w:rsid w:val="0EA77ABC"/>
    <w:rsid w:val="0EAD49A7"/>
    <w:rsid w:val="0F3420BD"/>
    <w:rsid w:val="0FBF0553"/>
    <w:rsid w:val="0FF02095"/>
    <w:rsid w:val="10256FEC"/>
    <w:rsid w:val="104A517B"/>
    <w:rsid w:val="1096009C"/>
    <w:rsid w:val="11330EF7"/>
    <w:rsid w:val="124318AA"/>
    <w:rsid w:val="12AB476D"/>
    <w:rsid w:val="12F173EC"/>
    <w:rsid w:val="13DD78CC"/>
    <w:rsid w:val="141251DA"/>
    <w:rsid w:val="14215C1B"/>
    <w:rsid w:val="16540F67"/>
    <w:rsid w:val="170262BE"/>
    <w:rsid w:val="17655C42"/>
    <w:rsid w:val="17774E92"/>
    <w:rsid w:val="17C07C2B"/>
    <w:rsid w:val="187456ED"/>
    <w:rsid w:val="18B37120"/>
    <w:rsid w:val="19DE7032"/>
    <w:rsid w:val="1A684039"/>
    <w:rsid w:val="1A866830"/>
    <w:rsid w:val="1AA657DD"/>
    <w:rsid w:val="1AC6463D"/>
    <w:rsid w:val="1B150B73"/>
    <w:rsid w:val="1BC33A5C"/>
    <w:rsid w:val="1BF60BFF"/>
    <w:rsid w:val="1CE27F12"/>
    <w:rsid w:val="1DEA490D"/>
    <w:rsid w:val="1E171121"/>
    <w:rsid w:val="1E435010"/>
    <w:rsid w:val="1E803E86"/>
    <w:rsid w:val="1E8C6387"/>
    <w:rsid w:val="1F836E85"/>
    <w:rsid w:val="1F8F542B"/>
    <w:rsid w:val="1F996FAD"/>
    <w:rsid w:val="203E0B22"/>
    <w:rsid w:val="20404CA7"/>
    <w:rsid w:val="20C64D1E"/>
    <w:rsid w:val="20D113B3"/>
    <w:rsid w:val="210A7A37"/>
    <w:rsid w:val="217B5249"/>
    <w:rsid w:val="21C73B02"/>
    <w:rsid w:val="21EC1EE8"/>
    <w:rsid w:val="231E7018"/>
    <w:rsid w:val="23BD5235"/>
    <w:rsid w:val="23CE4697"/>
    <w:rsid w:val="241528E5"/>
    <w:rsid w:val="2453754E"/>
    <w:rsid w:val="247C3B69"/>
    <w:rsid w:val="251C7179"/>
    <w:rsid w:val="25422F24"/>
    <w:rsid w:val="25A868C1"/>
    <w:rsid w:val="25AA16C9"/>
    <w:rsid w:val="26A46312"/>
    <w:rsid w:val="26B91CE3"/>
    <w:rsid w:val="26D1527F"/>
    <w:rsid w:val="2718725D"/>
    <w:rsid w:val="275A34C6"/>
    <w:rsid w:val="28A47711"/>
    <w:rsid w:val="28C816F0"/>
    <w:rsid w:val="28D63020"/>
    <w:rsid w:val="28FD5577"/>
    <w:rsid w:val="291A0C42"/>
    <w:rsid w:val="29F00628"/>
    <w:rsid w:val="2A017AC7"/>
    <w:rsid w:val="2ADE00E1"/>
    <w:rsid w:val="2B15649E"/>
    <w:rsid w:val="2BC52ED8"/>
    <w:rsid w:val="2C212804"/>
    <w:rsid w:val="2CB216AE"/>
    <w:rsid w:val="2D064BC3"/>
    <w:rsid w:val="2D255469"/>
    <w:rsid w:val="2D5F14CC"/>
    <w:rsid w:val="2DFE454A"/>
    <w:rsid w:val="2E0814A1"/>
    <w:rsid w:val="2E6942AB"/>
    <w:rsid w:val="2E996516"/>
    <w:rsid w:val="2EDA313F"/>
    <w:rsid w:val="2F074C19"/>
    <w:rsid w:val="2F314C28"/>
    <w:rsid w:val="2FCB3E32"/>
    <w:rsid w:val="302E672C"/>
    <w:rsid w:val="30E72FB2"/>
    <w:rsid w:val="314134CB"/>
    <w:rsid w:val="31BE5521"/>
    <w:rsid w:val="323B24A2"/>
    <w:rsid w:val="32F1593B"/>
    <w:rsid w:val="330474BF"/>
    <w:rsid w:val="33174961"/>
    <w:rsid w:val="33543995"/>
    <w:rsid w:val="33FC5905"/>
    <w:rsid w:val="341478A5"/>
    <w:rsid w:val="345B334A"/>
    <w:rsid w:val="346B4274"/>
    <w:rsid w:val="349626D1"/>
    <w:rsid w:val="35957DBF"/>
    <w:rsid w:val="363B2C7F"/>
    <w:rsid w:val="36552258"/>
    <w:rsid w:val="36CB1B89"/>
    <w:rsid w:val="36E67DCA"/>
    <w:rsid w:val="37490E61"/>
    <w:rsid w:val="3751482E"/>
    <w:rsid w:val="37595008"/>
    <w:rsid w:val="376C285B"/>
    <w:rsid w:val="379775F6"/>
    <w:rsid w:val="380A6AB8"/>
    <w:rsid w:val="38981DAB"/>
    <w:rsid w:val="392576AC"/>
    <w:rsid w:val="3A9A0516"/>
    <w:rsid w:val="3CE30E59"/>
    <w:rsid w:val="3CF244D7"/>
    <w:rsid w:val="3D566086"/>
    <w:rsid w:val="3D5E52B3"/>
    <w:rsid w:val="3E445729"/>
    <w:rsid w:val="3E570308"/>
    <w:rsid w:val="3E8D7925"/>
    <w:rsid w:val="3EEA2F12"/>
    <w:rsid w:val="3EF346EC"/>
    <w:rsid w:val="3F0D13ED"/>
    <w:rsid w:val="402E1F1A"/>
    <w:rsid w:val="405D597D"/>
    <w:rsid w:val="40C31C84"/>
    <w:rsid w:val="40D774DE"/>
    <w:rsid w:val="41013204"/>
    <w:rsid w:val="415D5C35"/>
    <w:rsid w:val="42131368"/>
    <w:rsid w:val="42C83582"/>
    <w:rsid w:val="42FC1CFC"/>
    <w:rsid w:val="43287FE1"/>
    <w:rsid w:val="43B12268"/>
    <w:rsid w:val="43B34232"/>
    <w:rsid w:val="444A7310"/>
    <w:rsid w:val="44C80470"/>
    <w:rsid w:val="44ED0EAA"/>
    <w:rsid w:val="452603F9"/>
    <w:rsid w:val="457152F4"/>
    <w:rsid w:val="458E7B6A"/>
    <w:rsid w:val="45914218"/>
    <w:rsid w:val="47843638"/>
    <w:rsid w:val="47EC4551"/>
    <w:rsid w:val="482242CF"/>
    <w:rsid w:val="485725D2"/>
    <w:rsid w:val="49245BF1"/>
    <w:rsid w:val="49DE277D"/>
    <w:rsid w:val="4A3D7810"/>
    <w:rsid w:val="4AA90227"/>
    <w:rsid w:val="4B8F7614"/>
    <w:rsid w:val="4C050E9D"/>
    <w:rsid w:val="4C892CA6"/>
    <w:rsid w:val="4CC346FB"/>
    <w:rsid w:val="4D2634FF"/>
    <w:rsid w:val="4E061402"/>
    <w:rsid w:val="4E5D1AA6"/>
    <w:rsid w:val="4E99003A"/>
    <w:rsid w:val="4EC462AD"/>
    <w:rsid w:val="4EDA53F2"/>
    <w:rsid w:val="4F135872"/>
    <w:rsid w:val="4F4E412E"/>
    <w:rsid w:val="4F544384"/>
    <w:rsid w:val="4FF1693E"/>
    <w:rsid w:val="50823AA3"/>
    <w:rsid w:val="511638C3"/>
    <w:rsid w:val="519065B4"/>
    <w:rsid w:val="51A92766"/>
    <w:rsid w:val="52257AE1"/>
    <w:rsid w:val="52450CA5"/>
    <w:rsid w:val="528B5FFB"/>
    <w:rsid w:val="531F3EF5"/>
    <w:rsid w:val="533B47F4"/>
    <w:rsid w:val="550A57D3"/>
    <w:rsid w:val="551125B7"/>
    <w:rsid w:val="551D3D50"/>
    <w:rsid w:val="552A7AA6"/>
    <w:rsid w:val="552F7491"/>
    <w:rsid w:val="56307794"/>
    <w:rsid w:val="565A42F3"/>
    <w:rsid w:val="56F974BE"/>
    <w:rsid w:val="5707231A"/>
    <w:rsid w:val="57360D56"/>
    <w:rsid w:val="575A15AB"/>
    <w:rsid w:val="57BD05A2"/>
    <w:rsid w:val="594054A3"/>
    <w:rsid w:val="595A2602"/>
    <w:rsid w:val="5A777505"/>
    <w:rsid w:val="5AFF81E3"/>
    <w:rsid w:val="5BF07D28"/>
    <w:rsid w:val="5C1271C4"/>
    <w:rsid w:val="5C163FA3"/>
    <w:rsid w:val="5CF60773"/>
    <w:rsid w:val="5D4D6706"/>
    <w:rsid w:val="5D524BA1"/>
    <w:rsid w:val="5E5B0B43"/>
    <w:rsid w:val="5F6F4B2B"/>
    <w:rsid w:val="5F76279E"/>
    <w:rsid w:val="5FC03B07"/>
    <w:rsid w:val="600709A6"/>
    <w:rsid w:val="60D123ED"/>
    <w:rsid w:val="61192DDC"/>
    <w:rsid w:val="61743A8D"/>
    <w:rsid w:val="62790922"/>
    <w:rsid w:val="642A7016"/>
    <w:rsid w:val="64966BE4"/>
    <w:rsid w:val="6519527D"/>
    <w:rsid w:val="658D5F34"/>
    <w:rsid w:val="66B6356E"/>
    <w:rsid w:val="68164DC7"/>
    <w:rsid w:val="68B07ABD"/>
    <w:rsid w:val="6A030B69"/>
    <w:rsid w:val="6A644CD8"/>
    <w:rsid w:val="6A920E58"/>
    <w:rsid w:val="6BD414BA"/>
    <w:rsid w:val="6CB454D9"/>
    <w:rsid w:val="6D29119E"/>
    <w:rsid w:val="6DA558AE"/>
    <w:rsid w:val="6DB85E1E"/>
    <w:rsid w:val="6E9F4203"/>
    <w:rsid w:val="6EDA50E1"/>
    <w:rsid w:val="6EDA5B74"/>
    <w:rsid w:val="6F4162E7"/>
    <w:rsid w:val="6FBD5AA9"/>
    <w:rsid w:val="6FC84312"/>
    <w:rsid w:val="6FE20CC7"/>
    <w:rsid w:val="70340610"/>
    <w:rsid w:val="705E1CD5"/>
    <w:rsid w:val="708C5DEA"/>
    <w:rsid w:val="71597CAE"/>
    <w:rsid w:val="727367B7"/>
    <w:rsid w:val="72AD7BDF"/>
    <w:rsid w:val="73100AD4"/>
    <w:rsid w:val="74187EB6"/>
    <w:rsid w:val="742B125F"/>
    <w:rsid w:val="743A719F"/>
    <w:rsid w:val="74B03566"/>
    <w:rsid w:val="74BE2833"/>
    <w:rsid w:val="752E0B23"/>
    <w:rsid w:val="7551621A"/>
    <w:rsid w:val="76062B23"/>
    <w:rsid w:val="76B47B49"/>
    <w:rsid w:val="76D42143"/>
    <w:rsid w:val="76F36118"/>
    <w:rsid w:val="77207817"/>
    <w:rsid w:val="774162ED"/>
    <w:rsid w:val="77811976"/>
    <w:rsid w:val="77903D27"/>
    <w:rsid w:val="79B974BF"/>
    <w:rsid w:val="7A493408"/>
    <w:rsid w:val="7A705260"/>
    <w:rsid w:val="7B0E050F"/>
    <w:rsid w:val="7B2A1F0C"/>
    <w:rsid w:val="7B3E7D8A"/>
    <w:rsid w:val="7B624CEE"/>
    <w:rsid w:val="7BA8445B"/>
    <w:rsid w:val="7BAE587C"/>
    <w:rsid w:val="7BE23A4E"/>
    <w:rsid w:val="7BE92646"/>
    <w:rsid w:val="7BEA3EB4"/>
    <w:rsid w:val="7C280612"/>
    <w:rsid w:val="7C2B3EFC"/>
    <w:rsid w:val="7C3B79BD"/>
    <w:rsid w:val="7C6D24C9"/>
    <w:rsid w:val="7C9C2DAE"/>
    <w:rsid w:val="7CAB2FF1"/>
    <w:rsid w:val="7CAF4890"/>
    <w:rsid w:val="7D3F7120"/>
    <w:rsid w:val="7E3179F9"/>
    <w:rsid w:val="7E484F72"/>
    <w:rsid w:val="7E655C65"/>
    <w:rsid w:val="7E681DD9"/>
    <w:rsid w:val="7F005876"/>
    <w:rsid w:val="7F1E26A5"/>
    <w:rsid w:val="7F2C7F23"/>
    <w:rsid w:val="7FBD2929"/>
    <w:rsid w:val="97BFB710"/>
    <w:rsid w:val="DD6F6D58"/>
    <w:rsid w:val="DEBF91FE"/>
    <w:rsid w:val="E6DFB366"/>
    <w:rsid w:val="FF5F7349"/>
    <w:rsid w:val="FF9CBCA3"/>
    <w:rsid w:val="FFA73E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9"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autoSpaceDE w:val="0"/>
      <w:autoSpaceDN w:val="0"/>
      <w:adjustRightInd w:val="0"/>
    </w:pPr>
    <w:rPr>
      <w:rFonts w:ascii="宋体" w:hAnsi="Times New Roman" w:eastAsia="宋体" w:cs="Times New Roman"/>
      <w:sz w:val="34"/>
      <w:lang w:val="en-US" w:eastAsia="zh-CN" w:bidi="ar-SA"/>
    </w:rPr>
  </w:style>
  <w:style w:type="paragraph" w:styleId="4">
    <w:name w:val="heading 1"/>
    <w:basedOn w:val="1"/>
    <w:next w:val="1"/>
    <w:autoRedefine/>
    <w:qFormat/>
    <w:uiPriority w:val="0"/>
    <w:pPr>
      <w:keepNext/>
      <w:widowControl w:val="0"/>
      <w:autoSpaceDE w:val="0"/>
      <w:autoSpaceDN w:val="0"/>
      <w:adjustRightInd w:val="0"/>
      <w:spacing w:after="0"/>
      <w:outlineLvl w:val="0"/>
    </w:pPr>
    <w:rPr>
      <w:rFonts w:ascii="Times New Roman" w:hAnsi="Times New Roman" w:eastAsia="宋体" w:cs="Times New Roman"/>
      <w:b/>
      <w:bCs/>
      <w:color w:val="000000"/>
      <w:sz w:val="24"/>
      <w:lang w:bidi="ar-SA"/>
    </w:rPr>
  </w:style>
  <w:style w:type="paragraph" w:styleId="5">
    <w:name w:val="heading 2"/>
    <w:basedOn w:val="1"/>
    <w:next w:val="1"/>
    <w:autoRedefine/>
    <w:qFormat/>
    <w:uiPriority w:val="0"/>
    <w:pPr>
      <w:keepNext/>
      <w:keepLines/>
      <w:autoSpaceDE/>
      <w:autoSpaceDN/>
      <w:adjustRightInd/>
      <w:spacing w:before="260" w:after="260" w:line="416" w:lineRule="auto"/>
      <w:outlineLvl w:val="1"/>
    </w:pPr>
    <w:rPr>
      <w:rFonts w:ascii="Arial" w:hAnsi="Arial" w:eastAsia="黑体"/>
      <w:b/>
      <w:bCs/>
      <w:color w:val="auto"/>
      <w:kern w:val="2"/>
      <w:sz w:val="32"/>
      <w:szCs w:val="32"/>
    </w:rPr>
  </w:style>
  <w:style w:type="paragraph" w:styleId="6">
    <w:name w:val="heading 3"/>
    <w:basedOn w:val="1"/>
    <w:next w:val="1"/>
    <w:autoRedefine/>
    <w:qFormat/>
    <w:uiPriority w:val="0"/>
    <w:pPr>
      <w:keepNext/>
      <w:keepLines/>
      <w:autoSpaceDE/>
      <w:autoSpaceDN/>
      <w:spacing w:before="260" w:after="260" w:line="416" w:lineRule="atLeast"/>
      <w:jc w:val="both"/>
      <w:outlineLvl w:val="2"/>
    </w:pPr>
    <w:rPr>
      <w:rFonts w:ascii="Times New Roman"/>
      <w:b/>
      <w:sz w:val="32"/>
    </w:rPr>
  </w:style>
  <w:style w:type="paragraph" w:styleId="7">
    <w:name w:val="heading 4"/>
    <w:basedOn w:val="1"/>
    <w:next w:val="1"/>
    <w:autoRedefine/>
    <w:qFormat/>
    <w:uiPriority w:val="0"/>
    <w:pPr>
      <w:keepNext/>
      <w:keepLines/>
      <w:autoSpaceDE/>
      <w:autoSpaceDN/>
      <w:adjustRightInd/>
      <w:spacing w:before="280" w:after="290" w:line="376" w:lineRule="auto"/>
      <w:jc w:val="both"/>
      <w:textAlignment w:val="auto"/>
      <w:outlineLvl w:val="3"/>
    </w:pPr>
    <w:rPr>
      <w:rFonts w:ascii="Arial" w:hAnsi="Arial" w:eastAsia="黑体" w:cs="Times New Roman"/>
      <w:b/>
      <w:kern w:val="2"/>
      <w:sz w:val="28"/>
    </w:rPr>
  </w:style>
  <w:style w:type="character" w:default="1" w:styleId="21">
    <w:name w:val="Default Paragraph Font"/>
    <w:autoRedefine/>
    <w:semiHidden/>
    <w:qFormat/>
    <w:uiPriority w:val="0"/>
  </w:style>
  <w:style w:type="table" w:default="1" w:styleId="20">
    <w:name w:val="Normal Table"/>
    <w:autoRedefine/>
    <w:semiHidden/>
    <w:qFormat/>
    <w:uiPriority w:val="0"/>
    <w:tblPr>
      <w:tblCellMar>
        <w:top w:w="0" w:type="dxa"/>
        <w:left w:w="108" w:type="dxa"/>
        <w:bottom w:w="0" w:type="dxa"/>
        <w:right w:w="108" w:type="dxa"/>
      </w:tblCellMar>
    </w:tblPr>
  </w:style>
  <w:style w:type="paragraph" w:styleId="2">
    <w:name w:val="Normal Indent"/>
    <w:basedOn w:val="1"/>
    <w:next w:val="3"/>
    <w:autoRedefine/>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Times New Roman" w:hAnsi="Times New Roman" w:eastAsia="宋体" w:cs="Times New Roman"/>
      <w:kern w:val="2"/>
      <w:sz w:val="21"/>
      <w:szCs w:val="21"/>
      <w:lang w:val="en-US" w:eastAsia="zh-CN" w:bidi="ar"/>
    </w:rPr>
  </w:style>
  <w:style w:type="paragraph" w:styleId="3">
    <w:name w:val="Body Text Indent"/>
    <w:basedOn w:val="1"/>
    <w:next w:val="2"/>
    <w:autoRedefine/>
    <w:qFormat/>
    <w:uiPriority w:val="0"/>
    <w:pPr>
      <w:adjustRightInd/>
      <w:spacing w:after="0"/>
      <w:ind w:firstLine="900"/>
      <w:jc w:val="both"/>
    </w:pPr>
    <w:rPr>
      <w:rFonts w:ascii="Times New Roman" w:hAnsi="Times New Roman" w:eastAsia="宋体" w:cs="Times New Roman"/>
      <w:kern w:val="2"/>
      <w:sz w:val="28"/>
      <w:lang w:val="en-US"/>
    </w:rPr>
  </w:style>
  <w:style w:type="paragraph" w:styleId="8">
    <w:name w:val="annotation text"/>
    <w:basedOn w:val="1"/>
    <w:autoRedefine/>
    <w:qFormat/>
    <w:uiPriority w:val="0"/>
    <w:pPr>
      <w:jc w:val="left"/>
    </w:pPr>
  </w:style>
  <w:style w:type="paragraph" w:styleId="9">
    <w:name w:val="Body Text"/>
    <w:basedOn w:val="1"/>
    <w:next w:val="10"/>
    <w:autoRedefine/>
    <w:qFormat/>
    <w:uiPriority w:val="0"/>
    <w:pPr>
      <w:widowControl w:val="0"/>
      <w:autoSpaceDE w:val="0"/>
      <w:autoSpaceDN w:val="0"/>
      <w:adjustRightInd w:val="0"/>
      <w:spacing w:after="0"/>
    </w:pPr>
    <w:rPr>
      <w:rFonts w:ascii="Times New Roman" w:hAnsi="Times New Roman" w:eastAsia="宋体" w:cs="Times New Roman"/>
      <w:sz w:val="28"/>
      <w:lang w:bidi="ar-SA"/>
    </w:rPr>
  </w:style>
  <w:style w:type="paragraph" w:styleId="10">
    <w:name w:val="Body Text First Indent"/>
    <w:basedOn w:val="9"/>
    <w:next w:val="11"/>
    <w:autoRedefine/>
    <w:qFormat/>
    <w:uiPriority w:val="0"/>
    <w:pPr>
      <w:widowControl w:val="0"/>
      <w:autoSpaceDE w:val="0"/>
      <w:autoSpaceDN w:val="0"/>
      <w:adjustRightInd w:val="0"/>
      <w:spacing w:after="0"/>
      <w:ind w:firstLine="420" w:firstLineChars="100"/>
    </w:pPr>
    <w:rPr>
      <w:rFonts w:ascii="Times New Roman" w:hAnsi="Times New Roman" w:eastAsia="宋体" w:cs="Times New Roman"/>
      <w:sz w:val="28"/>
      <w:lang w:bidi="ar-SA"/>
    </w:rPr>
  </w:style>
  <w:style w:type="paragraph" w:styleId="11">
    <w:name w:val="List"/>
    <w:basedOn w:val="1"/>
    <w:next w:val="1"/>
    <w:autoRedefine/>
    <w:qFormat/>
    <w:uiPriority w:val="0"/>
    <w:pPr>
      <w:ind w:left="200" w:hanging="200" w:hangingChars="200"/>
    </w:pPr>
    <w:rPr>
      <w:rFonts w:ascii="Times New Roman" w:hAnsi="Times New Roman" w:eastAsia="宋体" w:cs="Times New Roman"/>
    </w:rPr>
  </w:style>
  <w:style w:type="paragraph" w:styleId="12">
    <w:name w:val="Block Text"/>
    <w:basedOn w:val="1"/>
    <w:autoRedefine/>
    <w:unhideWhenUsed/>
    <w:qFormat/>
    <w:uiPriority w:val="99"/>
    <w:pPr>
      <w:adjustRightInd w:val="0"/>
      <w:spacing w:line="300" w:lineRule="auto"/>
      <w:ind w:left="958" w:right="-120" w:rightChars="-120"/>
      <w:jc w:val="left"/>
    </w:pPr>
    <w:rPr>
      <w:rFonts w:ascii="宋体" w:hAnsi="宋体"/>
      <w:sz w:val="28"/>
    </w:rPr>
  </w:style>
  <w:style w:type="paragraph" w:styleId="13">
    <w:name w:val="Plain Text"/>
    <w:basedOn w:val="1"/>
    <w:next w:val="1"/>
    <w:autoRedefine/>
    <w:qFormat/>
    <w:uiPriority w:val="0"/>
    <w:pPr>
      <w:widowControl w:val="0"/>
      <w:autoSpaceDE w:val="0"/>
      <w:autoSpaceDN w:val="0"/>
      <w:adjustRightInd w:val="0"/>
      <w:spacing w:after="0"/>
    </w:pPr>
    <w:rPr>
      <w:rFonts w:ascii="Times New Roman" w:hAnsi="Courier New" w:eastAsia="宋体" w:cs="Courier New"/>
      <w:sz w:val="34"/>
      <w:szCs w:val="21"/>
      <w:lang w:val="en-US" w:eastAsia="zh-CN" w:bidi="ar-SA"/>
    </w:rPr>
  </w:style>
  <w:style w:type="paragraph" w:styleId="14">
    <w:name w:val="footer"/>
    <w:basedOn w:val="1"/>
    <w:autoRedefine/>
    <w:qFormat/>
    <w:uiPriority w:val="0"/>
    <w:pPr>
      <w:widowControl w:val="0"/>
      <w:tabs>
        <w:tab w:val="center" w:pos="4140"/>
        <w:tab w:val="right" w:pos="8300"/>
      </w:tabs>
      <w:autoSpaceDE w:val="0"/>
      <w:autoSpaceDN w:val="0"/>
      <w:adjustRightInd w:val="0"/>
      <w:snapToGrid w:val="0"/>
      <w:spacing w:after="0"/>
    </w:pPr>
    <w:rPr>
      <w:rFonts w:ascii="Times New Roman" w:hAnsi="Times New Roman" w:eastAsia="宋体" w:cs="Times New Roman"/>
      <w:sz w:val="18"/>
      <w:lang w:bidi="ar-SA"/>
    </w:rPr>
  </w:style>
  <w:style w:type="paragraph" w:styleId="15">
    <w:name w:val="header"/>
    <w:basedOn w:val="1"/>
    <w:autoRedefine/>
    <w:qFormat/>
    <w:uiPriority w:val="0"/>
    <w:pPr>
      <w:widowControl w:val="0"/>
      <w:pBdr>
        <w:bottom w:val="single" w:color="000000" w:sz="6" w:space="1"/>
      </w:pBdr>
      <w:tabs>
        <w:tab w:val="center" w:pos="4140"/>
        <w:tab w:val="right" w:pos="8300"/>
      </w:tabs>
      <w:autoSpaceDE w:val="0"/>
      <w:autoSpaceDN w:val="0"/>
      <w:adjustRightInd w:val="0"/>
      <w:snapToGrid w:val="0"/>
      <w:spacing w:after="0"/>
      <w:jc w:val="center"/>
    </w:pPr>
    <w:rPr>
      <w:rFonts w:ascii="Times New Roman" w:hAnsi="Times New Roman" w:eastAsia="宋体" w:cs="Times New Roman"/>
      <w:sz w:val="18"/>
      <w:lang w:bidi="ar-SA"/>
    </w:rPr>
  </w:style>
  <w:style w:type="paragraph" w:styleId="16">
    <w:name w:val="toc 1"/>
    <w:basedOn w:val="1"/>
    <w:next w:val="1"/>
    <w:autoRedefine/>
    <w:qFormat/>
    <w:uiPriority w:val="0"/>
    <w:pPr>
      <w:widowControl w:val="0"/>
      <w:autoSpaceDE w:val="0"/>
      <w:autoSpaceDN w:val="0"/>
      <w:adjustRightInd w:val="0"/>
      <w:spacing w:before="120" w:after="120"/>
      <w:ind w:left="0" w:right="0"/>
    </w:pPr>
    <w:rPr>
      <w:rFonts w:ascii="Times New Roman" w:hAnsi="Times New Roman" w:eastAsia="宋体" w:cs="Times New Roman"/>
      <w:b/>
      <w:bCs/>
      <w:caps/>
      <w:sz w:val="20"/>
      <w:lang w:val="en-US" w:eastAsia="zh-CN" w:bidi="ar-SA"/>
    </w:rPr>
  </w:style>
  <w:style w:type="paragraph" w:styleId="17">
    <w:name w:val="toc 2"/>
    <w:basedOn w:val="1"/>
    <w:next w:val="1"/>
    <w:autoRedefine/>
    <w:qFormat/>
    <w:uiPriority w:val="0"/>
    <w:pPr>
      <w:widowControl w:val="0"/>
      <w:tabs>
        <w:tab w:val="right" w:leader="dot" w:pos="9440"/>
      </w:tabs>
      <w:autoSpaceDE w:val="0"/>
      <w:autoSpaceDN w:val="0"/>
      <w:adjustRightInd w:val="0"/>
      <w:spacing w:before="0" w:after="0" w:line="380" w:lineRule="atLeast"/>
      <w:ind w:left="0" w:right="-133" w:rightChars="-39"/>
      <w:jc w:val="both"/>
    </w:pPr>
    <w:rPr>
      <w:rFonts w:ascii="Times New Roman" w:hAnsi="Times New Roman" w:eastAsia="宋体" w:cs="Times New Roman"/>
      <w:smallCaps/>
      <w:color w:val="000000"/>
      <w:sz w:val="21"/>
      <w:szCs w:val="21"/>
      <w:lang w:bidi="ar-SA"/>
    </w:rPr>
  </w:style>
  <w:style w:type="paragraph" w:styleId="18">
    <w:name w:val="Normal (Web)"/>
    <w:basedOn w:val="1"/>
    <w:next w:val="1"/>
    <w:autoRedefine/>
    <w:qFormat/>
    <w:uiPriority w:val="0"/>
    <w:pPr>
      <w:widowControl/>
      <w:autoSpaceDE/>
      <w:autoSpaceDN/>
      <w:adjustRightInd/>
      <w:spacing w:before="100" w:beforeAutospacing="1" w:after="100" w:afterAutospacing="1"/>
      <w:textAlignment w:val="auto"/>
    </w:pPr>
    <w:rPr>
      <w:rFonts w:ascii="Times New Roman" w:hAnsi="宋体"/>
      <w:sz w:val="24"/>
      <w:szCs w:val="24"/>
    </w:rPr>
  </w:style>
  <w:style w:type="paragraph" w:styleId="19">
    <w:name w:val="Body Text First Indent 2"/>
    <w:basedOn w:val="3"/>
    <w:next w:val="12"/>
    <w:autoRedefine/>
    <w:qFormat/>
    <w:uiPriority w:val="0"/>
    <w:pPr>
      <w:adjustRightInd/>
      <w:spacing w:before="0" w:after="120" w:line="240" w:lineRule="auto"/>
      <w:ind w:left="420" w:leftChars="200" w:right="0" w:firstLine="420"/>
      <w:jc w:val="both"/>
    </w:pPr>
    <w:rPr>
      <w:rFonts w:ascii="Times New Roman" w:hAnsi="Times New Roman" w:eastAsia="宋体" w:cs="Times New Roman"/>
      <w:kern w:val="2"/>
      <w:sz w:val="28"/>
      <w:lang w:val="en-US"/>
    </w:rPr>
  </w:style>
  <w:style w:type="character" w:styleId="22">
    <w:name w:val="Strong"/>
    <w:autoRedefine/>
    <w:qFormat/>
    <w:uiPriority w:val="22"/>
    <w:rPr>
      <w:rFonts w:ascii="Times New Roman" w:hAnsi="Times New Roman" w:eastAsia="宋体" w:cs="Times New Roman"/>
      <w:b/>
      <w:bCs/>
    </w:rPr>
  </w:style>
  <w:style w:type="character" w:styleId="23">
    <w:name w:val="page number"/>
    <w:autoRedefine/>
    <w:qFormat/>
    <w:uiPriority w:val="0"/>
    <w:rPr>
      <w:rFonts w:ascii="Times New Roman" w:hAnsi="Times New Roman" w:eastAsia="宋体" w:cs="Times New Roman"/>
    </w:rPr>
  </w:style>
  <w:style w:type="character" w:styleId="24">
    <w:name w:val="Hyperlink"/>
    <w:basedOn w:val="21"/>
    <w:autoRedefine/>
    <w:qFormat/>
    <w:uiPriority w:val="0"/>
    <w:rPr>
      <w:color w:val="0000FF"/>
      <w:u w:val="single"/>
    </w:rPr>
  </w:style>
  <w:style w:type="paragraph" w:customStyle="1" w:styleId="25">
    <w:name w:val="xl53"/>
    <w:basedOn w:val="1"/>
    <w:next w:val="1"/>
    <w:autoRedefine/>
    <w:qFormat/>
    <w:uiPriority w:val="0"/>
    <w:pPr>
      <w:spacing w:before="280" w:after="280" w:line="100" w:lineRule="exact"/>
      <w:jc w:val="center"/>
    </w:pPr>
    <w:rPr>
      <w:b/>
      <w:sz w:val="20"/>
    </w:rPr>
  </w:style>
  <w:style w:type="paragraph" w:customStyle="1" w:styleId="26">
    <w:name w:val="样式2"/>
    <w:basedOn w:val="27"/>
    <w:next w:val="1"/>
    <w:autoRedefine/>
    <w:qFormat/>
    <w:uiPriority w:val="0"/>
    <w:pPr>
      <w:tabs>
        <w:tab w:val="left" w:pos="360"/>
      </w:tabs>
      <w:autoSpaceDE/>
      <w:autoSpaceDN/>
      <w:adjustRightInd/>
      <w:ind w:firstLine="420" w:firstLineChars="200"/>
      <w:jc w:val="both"/>
      <w:textAlignment w:val="auto"/>
    </w:pPr>
    <w:rPr>
      <w:rFonts w:ascii="Calibri" w:hAnsi="Calibri" w:eastAsia="宋体" w:cs="Times New Roman"/>
      <w:kern w:val="2"/>
      <w:sz w:val="21"/>
      <w:szCs w:val="22"/>
    </w:rPr>
  </w:style>
  <w:style w:type="paragraph" w:customStyle="1" w:styleId="27">
    <w:name w:val="标题4"/>
    <w:basedOn w:val="7"/>
    <w:autoRedefine/>
    <w:qFormat/>
    <w:uiPriority w:val="0"/>
    <w:pPr>
      <w:keepNext w:val="0"/>
      <w:keepLines w:val="0"/>
      <w:tabs>
        <w:tab w:val="left" w:pos="360"/>
      </w:tabs>
      <w:spacing w:before="100" w:beforeAutospacing="1" w:after="100" w:afterAutospacing="1" w:line="360" w:lineRule="auto"/>
    </w:pPr>
    <w:rPr>
      <w:rFonts w:ascii="幼圆" w:eastAsia="幼圆"/>
      <w:sz w:val="21"/>
      <w:szCs w:val="21"/>
    </w:rPr>
  </w:style>
  <w:style w:type="paragraph" w:customStyle="1" w:styleId="28">
    <w:name w:val="GP正文(首行缩进)"/>
    <w:basedOn w:val="1"/>
    <w:autoRedefine/>
    <w:qFormat/>
    <w:uiPriority w:val="0"/>
    <w:pPr>
      <w:jc w:val="left"/>
    </w:pPr>
    <w:rPr>
      <w:rFonts w:ascii="Times New Roman" w:hAnsi="Times New Roman" w:eastAsia="仿宋" w:cs="Times New Roman"/>
      <w:color w:val="000000"/>
      <w:kern w:val="0"/>
      <w:szCs w:val="21"/>
      <w:lang w:eastAsia="en-US" w:bidi="en-US"/>
    </w:rPr>
  </w:style>
  <w:style w:type="paragraph" w:customStyle="1" w:styleId="29">
    <w:name w:val="[Normal]"/>
    <w:autoRedefine/>
    <w:qFormat/>
    <w:uiPriority w:val="0"/>
    <w:pPr>
      <w:widowControl w:val="0"/>
      <w:autoSpaceDE w:val="0"/>
      <w:autoSpaceDN w:val="0"/>
      <w:adjustRightInd w:val="0"/>
    </w:pPr>
    <w:rPr>
      <w:rFonts w:ascii="宋体" w:hAnsi="Calibri" w:eastAsia="宋体" w:cs="宋体"/>
      <w:sz w:val="24"/>
      <w:szCs w:val="24"/>
      <w:lang w:val="en-US" w:eastAsia="zh-CN" w:bidi="ar-SA"/>
    </w:rPr>
  </w:style>
  <w:style w:type="paragraph" w:customStyle="1" w:styleId="30">
    <w:name w:val="F-正文"/>
    <w:autoRedefine/>
    <w:qFormat/>
    <w:uiPriority w:val="0"/>
    <w:pPr>
      <w:spacing w:line="560" w:lineRule="exact"/>
      <w:jc w:val="both"/>
    </w:pPr>
    <w:rPr>
      <w:rFonts w:ascii="Times" w:hAnsi="Times" w:eastAsia="仿宋" w:cs="Times New Roman"/>
      <w:kern w:val="2"/>
      <w:sz w:val="24"/>
      <w:lang w:val="en-US" w:eastAsia="zh-CN" w:bidi="ar-SA"/>
    </w:rPr>
  </w:style>
  <w:style w:type="character" w:customStyle="1" w:styleId="31">
    <w:name w:val="NormalCharacter"/>
    <w:autoRedefine/>
    <w:qFormat/>
    <w:uiPriority w:val="0"/>
    <w:rPr>
      <w:rFonts w:ascii="宋体" w:hAnsi="Times New Roman" w:eastAsia="宋体" w:cs="Times New Roman"/>
      <w:sz w:val="34"/>
      <w:lang w:val="en-US" w:eastAsia="zh-CN" w:bidi="ar-SA"/>
    </w:rPr>
  </w:style>
  <w:style w:type="paragraph" w:customStyle="1" w:styleId="32">
    <w:name w:val="纯文本1"/>
    <w:basedOn w:val="33"/>
    <w:autoRedefine/>
    <w:qFormat/>
    <w:uiPriority w:val="0"/>
    <w:rPr>
      <w:rFonts w:hint="default" w:ascii="宋体" w:hAnsi="Courier New"/>
      <w:kern w:val="0"/>
      <w:sz w:val="20"/>
      <w:szCs w:val="21"/>
    </w:rPr>
  </w:style>
  <w:style w:type="paragraph" w:customStyle="1" w:styleId="33">
    <w:name w:val="正文2"/>
    <w:autoRedefine/>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34">
    <w:name w:val="p0"/>
    <w:basedOn w:val="1"/>
    <w:autoRedefine/>
    <w:qFormat/>
    <w:uiPriority w:val="0"/>
    <w:pPr>
      <w:widowControl/>
      <w:autoSpaceDE/>
      <w:autoSpaceDN/>
      <w:adjustRightInd/>
      <w:jc w:val="both"/>
      <w:textAlignment w:val="auto"/>
    </w:pPr>
    <w:rPr>
      <w:rFonts w:hint="eastAsia" w:ascii="Courier" w:hAnsi="Courier" w:eastAsia="MingLiU" w:cs="Times New Roman"/>
      <w:sz w:val="21"/>
      <w:lang w:eastAsia="zh-TW"/>
    </w:rPr>
  </w:style>
  <w:style w:type="paragraph" w:customStyle="1" w:styleId="35">
    <w:name w:val="reader-word-layer"/>
    <w:basedOn w:val="1"/>
    <w:autoRedefine/>
    <w:qFormat/>
    <w:uiPriority w:val="0"/>
    <w:pPr>
      <w:widowControl/>
      <w:spacing w:before="100" w:beforeAutospacing="1" w:after="100" w:afterAutospacing="1"/>
    </w:pPr>
    <w:rPr>
      <w:rFonts w:ascii="Times New Roman" w:hAnsi="宋体" w:cs="宋体"/>
      <w:sz w:val="24"/>
      <w:szCs w:val="24"/>
    </w:rPr>
  </w:style>
  <w:style w:type="paragraph" w:customStyle="1" w:styleId="36">
    <w:name w:val="PlainText"/>
    <w:basedOn w:val="1"/>
    <w:autoRedefine/>
    <w:qFormat/>
    <w:uiPriority w:val="0"/>
    <w:rPr>
      <w:rFonts w:hAnsi="Courier New"/>
    </w:rPr>
  </w:style>
  <w:style w:type="paragraph" w:customStyle="1" w:styleId="37">
    <w:name w:val="BodyText3"/>
    <w:basedOn w:val="1"/>
    <w:autoRedefine/>
    <w:qFormat/>
    <w:uiPriority w:val="0"/>
    <w:pPr>
      <w:spacing w:line="640" w:lineRule="exact"/>
    </w:pPr>
    <w:rPr>
      <w:sz w:val="16"/>
      <w:szCs w:val="16"/>
    </w:rPr>
  </w:style>
  <w:style w:type="paragraph" w:customStyle="1" w:styleId="38">
    <w:name w:val="列表段落1"/>
    <w:basedOn w:val="1"/>
    <w:autoRedefine/>
    <w:qFormat/>
    <w:uiPriority w:val="0"/>
    <w:pPr>
      <w:ind w:firstLine="200" w:firstLineChars="200"/>
    </w:pPr>
    <w:rPr>
      <w:rFonts w:ascii="Calibri" w:hAnsi="Calibri" w:eastAsia="宋体" w:cs="Times New Roman"/>
      <w:sz w:val="28"/>
    </w:rPr>
  </w:style>
  <w:style w:type="paragraph" w:styleId="39">
    <w:name w:val="List Paragraph"/>
    <w:basedOn w:val="1"/>
    <w:autoRedefine/>
    <w:qFormat/>
    <w:uiPriority w:val="34"/>
    <w:pPr>
      <w:ind w:firstLine="420" w:firstLineChars="200"/>
    </w:pPr>
  </w:style>
  <w:style w:type="paragraph" w:customStyle="1" w:styleId="40">
    <w:name w:val="_Style 3"/>
    <w:autoRedefine/>
    <w:qFormat/>
    <w:uiPriority w:val="0"/>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9"/>
    <customShpInfo spid="_x0000_s4098"/>
    <customShpInfo spid="_x0000_s410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62</Pages>
  <Words>37627</Words>
  <Characters>39475</Characters>
  <Lines>0</Lines>
  <Paragraphs>0</Paragraphs>
  <TotalTime>27</TotalTime>
  <ScaleCrop>false</ScaleCrop>
  <LinksUpToDate>false</LinksUpToDate>
  <CharactersWithSpaces>40801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2023-05-19T02:31:00Z</dcterms:created>
  <dc:creator>。</dc:creator>
  <cp:lastModifiedBy>Lee</cp:lastModifiedBy>
  <cp:lastPrinted>2024-01-23T08:28:00Z</cp:lastPrinted>
  <dcterms:modified xsi:type="dcterms:W3CDTF">2024-01-25T02:16:53Z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118A53F571A64760B34559587CC07F06_13</vt:lpwstr>
  </property>
</Properties>
</file>