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Ansi="宋体" w:cs="宋体"/>
          <w:color w:val="auto"/>
          <w:highlight w:val="none"/>
        </w:rPr>
      </w:pPr>
      <w:r>
        <w:rPr>
          <w:rFonts w:hint="eastAsia" w:hAnsi="宋体" w:cs="宋体"/>
          <w:b/>
          <w:color w:val="auto"/>
          <w:sz w:val="52"/>
          <w:szCs w:val="52"/>
          <w:highlight w:val="none"/>
        </w:rPr>
        <w:tab/>
      </w:r>
      <w:r>
        <w:rPr>
          <w:rFonts w:hint="eastAsia" w:hAnsi="宋体" w:cs="宋体"/>
          <w:b/>
          <w:color w:val="auto"/>
          <w:sz w:val="52"/>
          <w:szCs w:val="52"/>
          <w:highlight w:val="none"/>
        </w:rPr>
        <w:tab/>
      </w:r>
      <w:r>
        <w:rPr>
          <w:rFonts w:hint="eastAsia" w:hAnsi="宋体" w:cs="宋体"/>
          <w:b/>
          <w:color w:val="auto"/>
          <w:sz w:val="52"/>
          <w:szCs w:val="52"/>
          <w:highlight w:val="none"/>
        </w:rPr>
        <w:tab/>
      </w:r>
    </w:p>
    <w:p>
      <w:pPr>
        <w:snapToGrid w:val="0"/>
        <w:spacing w:line="360" w:lineRule="auto"/>
        <w:jc w:val="center"/>
        <w:rPr>
          <w:rFonts w:hint="eastAsia" w:hAnsi="宋体" w:eastAsia="宋体" w:cs="宋体"/>
          <w:b/>
          <w:color w:val="auto"/>
          <w:sz w:val="48"/>
          <w:szCs w:val="48"/>
          <w:highlight w:val="none"/>
          <w:lang w:eastAsia="zh-CN"/>
        </w:rPr>
      </w:pPr>
      <w:r>
        <w:rPr>
          <w:rFonts w:hint="eastAsia" w:hAnsi="宋体" w:cs="宋体"/>
          <w:b/>
          <w:color w:val="auto"/>
          <w:sz w:val="48"/>
          <w:szCs w:val="48"/>
          <w:highlight w:val="none"/>
          <w:lang w:eastAsia="zh-CN"/>
        </w:rPr>
        <w:t>金华市区雨水管网排查</w:t>
      </w:r>
    </w:p>
    <w:p>
      <w:pPr>
        <w:spacing w:beforeLines="50"/>
        <w:jc w:val="center"/>
        <w:rPr>
          <w:rFonts w:hAnsi="宋体" w:cs="宋体"/>
          <w:b/>
          <w:color w:val="auto"/>
          <w:sz w:val="48"/>
          <w:szCs w:val="48"/>
          <w:highlight w:val="none"/>
        </w:rPr>
      </w:pPr>
    </w:p>
    <w:p>
      <w:pPr>
        <w:spacing w:beforeLines="50"/>
        <w:jc w:val="center"/>
        <w:rPr>
          <w:rFonts w:hAnsi="宋体" w:cs="宋体"/>
          <w:b/>
          <w:color w:val="auto"/>
          <w:sz w:val="48"/>
          <w:szCs w:val="48"/>
          <w:highlight w:val="none"/>
        </w:rPr>
      </w:pPr>
    </w:p>
    <w:p>
      <w:pPr>
        <w:spacing w:beforeLines="50"/>
        <w:jc w:val="center"/>
        <w:rPr>
          <w:rFonts w:hAnsi="宋体" w:cs="宋体"/>
          <w:b/>
          <w:color w:val="auto"/>
          <w:sz w:val="48"/>
          <w:szCs w:val="48"/>
          <w:highlight w:val="none"/>
        </w:rPr>
      </w:pPr>
    </w:p>
    <w:p>
      <w:pPr>
        <w:spacing w:beforeLines="50"/>
        <w:jc w:val="center"/>
        <w:rPr>
          <w:rFonts w:hAnsi="宋体" w:cs="宋体"/>
          <w:b/>
          <w:color w:val="auto"/>
          <w:sz w:val="52"/>
          <w:szCs w:val="52"/>
          <w:highlight w:val="none"/>
        </w:rPr>
      </w:pPr>
      <w:r>
        <w:rPr>
          <w:rFonts w:hint="eastAsia" w:hAnsi="宋体" w:cs="宋体"/>
          <w:b/>
          <w:color w:val="auto"/>
          <w:sz w:val="52"/>
          <w:szCs w:val="52"/>
          <w:highlight w:val="none"/>
        </w:rPr>
        <w:t>公开招标采购文件</w:t>
      </w:r>
    </w:p>
    <w:p>
      <w:pPr>
        <w:snapToGrid w:val="0"/>
        <w:spacing w:beforeLines="50" w:line="360" w:lineRule="auto"/>
        <w:rPr>
          <w:rFonts w:hAnsi="宋体" w:cs="宋体"/>
          <w:color w:val="auto"/>
          <w:sz w:val="30"/>
          <w:szCs w:val="72"/>
          <w:highlight w:val="none"/>
        </w:rPr>
      </w:pPr>
    </w:p>
    <w:p>
      <w:pPr>
        <w:snapToGrid w:val="0"/>
        <w:spacing w:beforeLines="50" w:line="360" w:lineRule="auto"/>
        <w:rPr>
          <w:rFonts w:hAnsi="宋体" w:cs="宋体"/>
          <w:color w:val="auto"/>
          <w:sz w:val="30"/>
          <w:szCs w:val="72"/>
          <w:highlight w:val="none"/>
        </w:rPr>
      </w:pPr>
    </w:p>
    <w:p>
      <w:pPr>
        <w:pStyle w:val="2"/>
        <w:ind w:left="680"/>
        <w:rPr>
          <w:rFonts w:ascii="宋体" w:hAnsi="宋体" w:cs="宋体"/>
          <w:color w:val="auto"/>
          <w:sz w:val="30"/>
          <w:szCs w:val="72"/>
          <w:highlight w:val="none"/>
        </w:rPr>
      </w:pPr>
    </w:p>
    <w:p>
      <w:pPr>
        <w:snapToGrid w:val="0"/>
        <w:spacing w:line="480" w:lineRule="auto"/>
        <w:rPr>
          <w:rFonts w:hAnsi="宋体" w:cs="宋体"/>
          <w:b/>
          <w:bCs/>
          <w:color w:val="auto"/>
          <w:w w:val="95"/>
          <w:sz w:val="30"/>
          <w:szCs w:val="30"/>
          <w:highlight w:val="none"/>
        </w:rPr>
      </w:pPr>
    </w:p>
    <w:p>
      <w:pPr>
        <w:snapToGrid w:val="0"/>
        <w:spacing w:line="480" w:lineRule="auto"/>
        <w:ind w:firstLine="572" w:firstLineChars="200"/>
        <w:rPr>
          <w:rFonts w:hint="eastAsia" w:hAnsi="宋体" w:eastAsia="宋体" w:cs="宋体"/>
          <w:b/>
          <w:bCs/>
          <w:color w:val="auto"/>
          <w:w w:val="95"/>
          <w:sz w:val="30"/>
          <w:szCs w:val="30"/>
          <w:highlight w:val="none"/>
          <w:lang w:eastAsia="zh-CN"/>
        </w:rPr>
      </w:pPr>
      <w:r>
        <w:rPr>
          <w:rFonts w:hint="eastAsia" w:hAnsi="宋体" w:cs="宋体"/>
          <w:b/>
          <w:bCs/>
          <w:color w:val="auto"/>
          <w:w w:val="95"/>
          <w:sz w:val="30"/>
          <w:szCs w:val="30"/>
          <w:highlight w:val="none"/>
        </w:rPr>
        <w:t>项目编号：</w:t>
      </w:r>
      <w:r>
        <w:rPr>
          <w:rFonts w:hint="eastAsia" w:hAnsi="宋体" w:cs="宋体"/>
          <w:b/>
          <w:bCs/>
          <w:color w:val="auto"/>
          <w:w w:val="95"/>
          <w:sz w:val="30"/>
          <w:szCs w:val="30"/>
          <w:highlight w:val="none"/>
          <w:lang w:eastAsia="zh-CN"/>
        </w:rPr>
        <w:t>TY2022-FW284-ZFCG284</w:t>
      </w:r>
    </w:p>
    <w:p>
      <w:pPr>
        <w:snapToGrid w:val="0"/>
        <w:spacing w:line="480" w:lineRule="auto"/>
        <w:ind w:firstLine="572" w:firstLineChars="200"/>
        <w:rPr>
          <w:rFonts w:hAnsi="宋体" w:cs="宋体"/>
          <w:b/>
          <w:bCs/>
          <w:color w:val="auto"/>
          <w:w w:val="95"/>
          <w:sz w:val="30"/>
          <w:szCs w:val="30"/>
          <w:highlight w:val="none"/>
        </w:rPr>
      </w:pPr>
      <w:r>
        <w:rPr>
          <w:rFonts w:hint="eastAsia" w:hAnsi="宋体" w:cs="宋体"/>
          <w:b/>
          <w:bCs/>
          <w:color w:val="auto"/>
          <w:w w:val="95"/>
          <w:sz w:val="30"/>
          <w:szCs w:val="30"/>
          <w:highlight w:val="none"/>
        </w:rPr>
        <w:t>采购单位：金华市城市建设服务中心</w:t>
      </w:r>
    </w:p>
    <w:p>
      <w:pPr>
        <w:snapToGrid w:val="0"/>
        <w:spacing w:line="480" w:lineRule="auto"/>
        <w:ind w:firstLine="572" w:firstLineChars="200"/>
        <w:rPr>
          <w:rFonts w:hAnsi="宋体" w:cs="宋体"/>
          <w:b/>
          <w:bCs/>
          <w:color w:val="auto"/>
          <w:w w:val="95"/>
          <w:sz w:val="30"/>
          <w:szCs w:val="30"/>
          <w:highlight w:val="none"/>
        </w:rPr>
      </w:pPr>
      <w:r>
        <w:rPr>
          <w:rFonts w:hint="eastAsia" w:hAnsi="宋体" w:cs="宋体"/>
          <w:b/>
          <w:bCs/>
          <w:color w:val="auto"/>
          <w:w w:val="95"/>
          <w:sz w:val="30"/>
          <w:szCs w:val="30"/>
          <w:highlight w:val="none"/>
        </w:rPr>
        <w:t>代理机构：金华市天盈财务咨询有限公司</w:t>
      </w:r>
    </w:p>
    <w:p>
      <w:pPr>
        <w:snapToGrid w:val="0"/>
        <w:spacing w:line="480" w:lineRule="auto"/>
        <w:ind w:firstLine="572" w:firstLineChars="200"/>
        <w:rPr>
          <w:rFonts w:hAnsi="宋体" w:cs="宋体"/>
          <w:b/>
          <w:bCs/>
          <w:color w:val="auto"/>
          <w:w w:val="95"/>
          <w:sz w:val="30"/>
          <w:szCs w:val="30"/>
          <w:highlight w:val="none"/>
        </w:rPr>
      </w:pPr>
      <w:r>
        <w:rPr>
          <w:rFonts w:hint="eastAsia" w:hAnsi="宋体" w:cs="宋体"/>
          <w:b/>
          <w:bCs/>
          <w:color w:val="auto"/>
          <w:w w:val="95"/>
          <w:sz w:val="30"/>
          <w:szCs w:val="30"/>
          <w:highlight w:val="none"/>
        </w:rPr>
        <w:t>监管单位：金华市财政局政府采购监督处</w:t>
      </w:r>
    </w:p>
    <w:p>
      <w:pPr>
        <w:snapToGrid w:val="0"/>
        <w:spacing w:line="480" w:lineRule="auto"/>
        <w:jc w:val="center"/>
        <w:rPr>
          <w:rFonts w:hAnsi="宋体" w:cs="宋体"/>
          <w:b/>
          <w:bCs/>
          <w:color w:val="auto"/>
          <w:w w:val="95"/>
          <w:sz w:val="30"/>
          <w:szCs w:val="30"/>
          <w:highlight w:val="none"/>
        </w:rPr>
      </w:pPr>
      <w:r>
        <w:rPr>
          <w:rFonts w:hint="eastAsia" w:hAnsi="宋体" w:cs="宋体"/>
          <w:b/>
          <w:bCs/>
          <w:color w:val="auto"/>
          <w:w w:val="95"/>
          <w:sz w:val="30"/>
          <w:szCs w:val="30"/>
          <w:highlight w:val="none"/>
        </w:rPr>
        <w:t xml:space="preserve">2 0 2 2 年 0 9 月  </w:t>
      </w:r>
    </w:p>
    <w:p>
      <w:pPr>
        <w:jc w:val="center"/>
        <w:rPr>
          <w:rFonts w:hAnsi="宋体" w:cs="宋体"/>
          <w:color w:val="auto"/>
          <w:highlight w:val="none"/>
        </w:rPr>
      </w:pPr>
    </w:p>
    <w:p>
      <w:pPr>
        <w:jc w:val="center"/>
        <w:rPr>
          <w:rFonts w:hAnsi="宋体" w:cs="宋体"/>
          <w:color w:val="auto"/>
          <w:highlight w:val="none"/>
        </w:rPr>
        <w:sectPr>
          <w:headerReference r:id="rId4" w:type="first"/>
          <w:headerReference r:id="rId3" w:type="default"/>
          <w:footerReference r:id="rId5" w:type="default"/>
          <w:footerReference r:id="rId6" w:type="even"/>
          <w:pgSz w:w="11906" w:h="16838"/>
          <w:pgMar w:top="1440" w:right="1304" w:bottom="1440" w:left="1304" w:header="567" w:footer="567" w:gutter="0"/>
          <w:pgNumType w:start="0"/>
          <w:cols w:space="720" w:num="1"/>
          <w:titlePg/>
          <w:docGrid w:type="lines" w:linePitch="634" w:charSpace="0"/>
        </w:sectPr>
      </w:pPr>
    </w:p>
    <w:p>
      <w:pPr>
        <w:jc w:val="center"/>
        <w:rPr>
          <w:rFonts w:hAnsi="宋体" w:cs="宋体"/>
          <w:b/>
          <w:color w:val="auto"/>
          <w:sz w:val="36"/>
          <w:szCs w:val="36"/>
          <w:highlight w:val="none"/>
        </w:rPr>
      </w:pPr>
      <w:r>
        <w:rPr>
          <w:rFonts w:hint="eastAsia" w:hAnsi="宋体" w:cs="宋体"/>
          <w:color w:val="auto"/>
          <w:highlight w:val="none"/>
        </w:rPr>
        <w:t>目        录</w:t>
      </w:r>
      <w:bookmarkStart w:id="0" w:name="_Toc237182500"/>
    </w:p>
    <w:p>
      <w:pPr>
        <w:pStyle w:val="36"/>
        <w:tabs>
          <w:tab w:val="right" w:leader="dot" w:pos="9452"/>
        </w:tabs>
        <w:snapToGrid w:val="0"/>
        <w:spacing w:before="0" w:after="0" w:line="480" w:lineRule="auto"/>
        <w:rPr>
          <w:rFonts w:ascii="宋体" w:hAnsi="宋体" w:cs="宋体"/>
          <w:b w:val="0"/>
          <w:bCs w:val="0"/>
          <w:caps w:val="0"/>
          <w:color w:val="auto"/>
          <w:kern w:val="2"/>
          <w:sz w:val="21"/>
          <w:szCs w:val="21"/>
          <w:highlight w:val="none"/>
        </w:rPr>
      </w:pPr>
      <w:r>
        <w:rPr>
          <w:rFonts w:hint="eastAsia" w:ascii="宋体" w:hAnsi="宋体" w:cs="宋体"/>
          <w:b w:val="0"/>
          <w:bCs w:val="0"/>
          <w:color w:val="auto"/>
          <w:sz w:val="21"/>
          <w:szCs w:val="21"/>
          <w:highlight w:val="none"/>
        </w:rPr>
        <w:fldChar w:fldCharType="begin"/>
      </w:r>
      <w:r>
        <w:rPr>
          <w:rFonts w:hint="eastAsia" w:ascii="宋体" w:hAnsi="宋体" w:cs="宋体"/>
          <w:b w:val="0"/>
          <w:bCs w:val="0"/>
          <w:color w:val="auto"/>
          <w:sz w:val="21"/>
          <w:szCs w:val="21"/>
          <w:highlight w:val="none"/>
        </w:rPr>
        <w:instrText xml:space="preserve"> TOC \o "1-3" \h \z \u </w:instrText>
      </w:r>
      <w:r>
        <w:rPr>
          <w:rFonts w:hint="eastAsia" w:ascii="宋体" w:hAnsi="宋体" w:cs="宋体"/>
          <w:b w:val="0"/>
          <w:bCs w:val="0"/>
          <w:color w:val="auto"/>
          <w:sz w:val="21"/>
          <w:szCs w:val="21"/>
          <w:highlight w:val="none"/>
        </w:rPr>
        <w:fldChar w:fldCharType="separate"/>
      </w:r>
      <w:r>
        <w:rPr>
          <w:color w:val="auto"/>
          <w:highlight w:val="none"/>
        </w:rPr>
        <w:fldChar w:fldCharType="begin"/>
      </w:r>
      <w:r>
        <w:rPr>
          <w:color w:val="auto"/>
          <w:highlight w:val="none"/>
        </w:rPr>
        <w:instrText xml:space="preserve"> HYPERLINK \l "_Toc351559940" </w:instrText>
      </w:r>
      <w:r>
        <w:rPr>
          <w:color w:val="auto"/>
          <w:highlight w:val="none"/>
        </w:rPr>
        <w:fldChar w:fldCharType="separate"/>
      </w:r>
      <w:r>
        <w:rPr>
          <w:rFonts w:hint="eastAsia" w:ascii="宋体" w:hAnsi="宋体" w:cs="宋体"/>
          <w:color w:val="auto"/>
          <w:sz w:val="21"/>
          <w:szCs w:val="21"/>
          <w:highlight w:val="none"/>
        </w:rPr>
        <w:t>第一章  公开招标采购公告</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_Toc351559940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1</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pPr>
        <w:pStyle w:val="36"/>
        <w:tabs>
          <w:tab w:val="right" w:leader="dot" w:pos="9452"/>
        </w:tabs>
        <w:snapToGrid w:val="0"/>
        <w:spacing w:before="0" w:after="0" w:line="480" w:lineRule="auto"/>
        <w:rPr>
          <w:rFonts w:ascii="宋体" w:hAnsi="宋体" w:cs="宋体"/>
          <w:b w:val="0"/>
          <w:bCs w:val="0"/>
          <w:caps w:val="0"/>
          <w:color w:val="auto"/>
          <w:kern w:val="2"/>
          <w:sz w:val="21"/>
          <w:szCs w:val="21"/>
          <w:highlight w:val="none"/>
        </w:rPr>
      </w:pPr>
      <w:r>
        <w:rPr>
          <w:color w:val="auto"/>
          <w:highlight w:val="none"/>
        </w:rPr>
        <w:fldChar w:fldCharType="begin"/>
      </w:r>
      <w:r>
        <w:rPr>
          <w:color w:val="auto"/>
          <w:highlight w:val="none"/>
        </w:rPr>
        <w:instrText xml:space="preserve"> HYPERLINK \l "_Toc351559941" </w:instrText>
      </w:r>
      <w:r>
        <w:rPr>
          <w:color w:val="auto"/>
          <w:highlight w:val="none"/>
        </w:rPr>
        <w:fldChar w:fldCharType="separate"/>
      </w:r>
      <w:r>
        <w:rPr>
          <w:rFonts w:hint="eastAsia" w:ascii="宋体" w:hAnsi="宋体" w:cs="宋体"/>
          <w:color w:val="auto"/>
          <w:sz w:val="21"/>
          <w:szCs w:val="21"/>
          <w:highlight w:val="none"/>
        </w:rPr>
        <w:t>第二章  招标需求</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_Toc351559941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6</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pPr>
        <w:pStyle w:val="36"/>
        <w:tabs>
          <w:tab w:val="right" w:leader="dot" w:pos="9452"/>
        </w:tabs>
        <w:snapToGrid w:val="0"/>
        <w:spacing w:before="0" w:after="0" w:line="480" w:lineRule="auto"/>
        <w:rPr>
          <w:rFonts w:ascii="宋体" w:hAnsi="宋体" w:cs="宋体"/>
          <w:b w:val="0"/>
          <w:bCs w:val="0"/>
          <w:caps w:val="0"/>
          <w:color w:val="auto"/>
          <w:kern w:val="2"/>
          <w:sz w:val="21"/>
          <w:szCs w:val="21"/>
          <w:highlight w:val="none"/>
        </w:rPr>
      </w:pPr>
      <w:r>
        <w:rPr>
          <w:color w:val="auto"/>
          <w:highlight w:val="none"/>
        </w:rPr>
        <w:fldChar w:fldCharType="begin"/>
      </w:r>
      <w:r>
        <w:rPr>
          <w:color w:val="auto"/>
          <w:highlight w:val="none"/>
        </w:rPr>
        <w:instrText xml:space="preserve"> HYPERLINK \l "_Toc351559942" </w:instrText>
      </w:r>
      <w:r>
        <w:rPr>
          <w:color w:val="auto"/>
          <w:highlight w:val="none"/>
        </w:rPr>
        <w:fldChar w:fldCharType="separate"/>
      </w:r>
      <w:r>
        <w:rPr>
          <w:rFonts w:hint="eastAsia" w:ascii="宋体" w:hAnsi="宋体" w:cs="宋体"/>
          <w:color w:val="auto"/>
          <w:sz w:val="21"/>
          <w:szCs w:val="21"/>
          <w:highlight w:val="none"/>
        </w:rPr>
        <w:t>第三章  投标人须知</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t>23</w:t>
      </w:r>
    </w:p>
    <w:p>
      <w:pPr>
        <w:pStyle w:val="29"/>
        <w:snapToGrid w:val="0"/>
        <w:spacing w:line="480" w:lineRule="auto"/>
        <w:rPr>
          <w:rFonts w:ascii="宋体" w:hAnsi="宋体" w:cs="宋体"/>
          <w:smallCaps w:val="0"/>
          <w:color w:val="auto"/>
          <w:kern w:val="2"/>
          <w:highlight w:val="none"/>
        </w:rPr>
      </w:pPr>
      <w:r>
        <w:rPr>
          <w:color w:val="auto"/>
          <w:highlight w:val="none"/>
        </w:rPr>
        <w:fldChar w:fldCharType="begin"/>
      </w:r>
      <w:r>
        <w:rPr>
          <w:color w:val="auto"/>
          <w:highlight w:val="none"/>
        </w:rPr>
        <w:instrText xml:space="preserve"> HYPERLINK \l "_Toc351559943" </w:instrText>
      </w:r>
      <w:r>
        <w:rPr>
          <w:color w:val="auto"/>
          <w:highlight w:val="none"/>
        </w:rPr>
        <w:fldChar w:fldCharType="separate"/>
      </w:r>
      <w:r>
        <w:rPr>
          <w:rFonts w:hint="eastAsia" w:ascii="宋体" w:hAnsi="宋体" w:cs="宋体"/>
          <w:b/>
          <w:color w:val="auto"/>
          <w:highlight w:val="none"/>
        </w:rPr>
        <w:t>前附表</w:t>
      </w:r>
      <w:r>
        <w:rPr>
          <w:rFonts w:hint="eastAsia" w:ascii="宋体" w:hAnsi="宋体" w:cs="宋体"/>
          <w:color w:val="auto"/>
          <w:highlight w:val="none"/>
        </w:rPr>
        <w:tab/>
      </w:r>
      <w:r>
        <w:rPr>
          <w:rFonts w:hint="eastAsia" w:ascii="宋体" w:hAnsi="宋体" w:cs="宋体"/>
          <w:color w:val="auto"/>
          <w:highlight w:val="none"/>
        </w:rPr>
        <w:fldChar w:fldCharType="end"/>
      </w:r>
      <w:r>
        <w:rPr>
          <w:rFonts w:hint="eastAsia" w:ascii="宋体" w:hAnsi="宋体" w:cs="宋体"/>
          <w:b/>
          <w:color w:val="auto"/>
          <w:highlight w:val="none"/>
        </w:rPr>
        <w:t>23</w:t>
      </w:r>
    </w:p>
    <w:p>
      <w:pPr>
        <w:pStyle w:val="36"/>
        <w:tabs>
          <w:tab w:val="right" w:leader="dot" w:pos="9452"/>
        </w:tabs>
        <w:snapToGrid w:val="0"/>
        <w:spacing w:before="0" w:after="0" w:line="480" w:lineRule="auto"/>
        <w:rPr>
          <w:rFonts w:ascii="宋体" w:hAnsi="宋体" w:cs="宋体"/>
          <w:b w:val="0"/>
          <w:bCs w:val="0"/>
          <w:caps w:val="0"/>
          <w:color w:val="auto"/>
          <w:kern w:val="2"/>
          <w:sz w:val="21"/>
          <w:szCs w:val="21"/>
          <w:highlight w:val="none"/>
        </w:rPr>
      </w:pPr>
      <w:r>
        <w:rPr>
          <w:color w:val="auto"/>
          <w:highlight w:val="none"/>
        </w:rPr>
        <w:fldChar w:fldCharType="begin"/>
      </w:r>
      <w:r>
        <w:rPr>
          <w:color w:val="auto"/>
          <w:highlight w:val="none"/>
        </w:rPr>
        <w:instrText xml:space="preserve"> HYPERLINK \l "_Toc351559944" </w:instrText>
      </w:r>
      <w:r>
        <w:rPr>
          <w:color w:val="auto"/>
          <w:highlight w:val="none"/>
        </w:rPr>
        <w:fldChar w:fldCharType="separate"/>
      </w:r>
      <w:r>
        <w:rPr>
          <w:rFonts w:hint="eastAsia" w:ascii="宋体" w:hAnsi="宋体" w:cs="宋体"/>
          <w:color w:val="auto"/>
          <w:sz w:val="21"/>
          <w:szCs w:val="21"/>
          <w:highlight w:val="none"/>
        </w:rPr>
        <w:t>第四章 评标</w:t>
      </w:r>
      <w:bookmarkStart w:id="1" w:name="_Hlt23505457"/>
      <w:bookmarkStart w:id="2" w:name="_Hlt23505456"/>
      <w:r>
        <w:rPr>
          <w:rFonts w:hint="eastAsia" w:ascii="宋体" w:hAnsi="宋体" w:cs="宋体"/>
          <w:color w:val="auto"/>
          <w:sz w:val="21"/>
          <w:szCs w:val="21"/>
          <w:highlight w:val="none"/>
        </w:rPr>
        <w:t>办</w:t>
      </w:r>
      <w:bookmarkEnd w:id="1"/>
      <w:bookmarkEnd w:id="2"/>
      <w:bookmarkStart w:id="3" w:name="_Hlt479276106"/>
      <w:bookmarkStart w:id="4" w:name="_Hlt479276105"/>
      <w:r>
        <w:rPr>
          <w:rFonts w:hint="eastAsia" w:ascii="宋体" w:hAnsi="宋体" w:cs="宋体"/>
          <w:color w:val="auto"/>
          <w:sz w:val="21"/>
          <w:szCs w:val="21"/>
          <w:highlight w:val="none"/>
        </w:rPr>
        <w:t>法</w:t>
      </w:r>
      <w:bookmarkEnd w:id="3"/>
      <w:bookmarkEnd w:id="4"/>
      <w:r>
        <w:rPr>
          <w:rFonts w:hint="eastAsia" w:ascii="宋体" w:hAnsi="宋体" w:cs="宋体"/>
          <w:color w:val="auto"/>
          <w:sz w:val="21"/>
          <w:szCs w:val="21"/>
          <w:highlight w:val="none"/>
        </w:rPr>
        <w:t>及</w:t>
      </w:r>
      <w:bookmarkStart w:id="5" w:name="_Hlt75430653"/>
      <w:bookmarkStart w:id="6" w:name="_Hlt75430652"/>
      <w:r>
        <w:rPr>
          <w:rFonts w:hint="eastAsia" w:ascii="宋体" w:hAnsi="宋体" w:cs="宋体"/>
          <w:color w:val="auto"/>
          <w:sz w:val="21"/>
          <w:szCs w:val="21"/>
          <w:highlight w:val="none"/>
        </w:rPr>
        <w:t>评</w:t>
      </w:r>
      <w:bookmarkEnd w:id="5"/>
      <w:bookmarkEnd w:id="6"/>
      <w:r>
        <w:rPr>
          <w:rFonts w:hint="eastAsia" w:ascii="宋体" w:hAnsi="宋体" w:cs="宋体"/>
          <w:color w:val="auto"/>
          <w:sz w:val="21"/>
          <w:szCs w:val="21"/>
          <w:highlight w:val="none"/>
        </w:rPr>
        <w:t>分标准</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t>36</w:t>
      </w:r>
    </w:p>
    <w:p>
      <w:pPr>
        <w:pStyle w:val="36"/>
        <w:tabs>
          <w:tab w:val="right" w:leader="dot" w:pos="9452"/>
        </w:tabs>
        <w:snapToGrid w:val="0"/>
        <w:spacing w:before="0" w:after="0" w:line="480" w:lineRule="auto"/>
        <w:rPr>
          <w:rFonts w:ascii="宋体" w:hAnsi="宋体" w:cs="宋体"/>
          <w:b w:val="0"/>
          <w:bCs w:val="0"/>
          <w:caps w:val="0"/>
          <w:color w:val="auto"/>
          <w:kern w:val="2"/>
          <w:sz w:val="21"/>
          <w:szCs w:val="21"/>
          <w:highlight w:val="none"/>
        </w:rPr>
      </w:pPr>
      <w:r>
        <w:rPr>
          <w:color w:val="auto"/>
          <w:highlight w:val="none"/>
        </w:rPr>
        <w:fldChar w:fldCharType="begin"/>
      </w:r>
      <w:r>
        <w:rPr>
          <w:color w:val="auto"/>
          <w:highlight w:val="none"/>
        </w:rPr>
        <w:instrText xml:space="preserve"> HYPERLINK \l "_Toc351559945" </w:instrText>
      </w:r>
      <w:r>
        <w:rPr>
          <w:color w:val="auto"/>
          <w:highlight w:val="none"/>
        </w:rPr>
        <w:fldChar w:fldCharType="separate"/>
      </w:r>
      <w:r>
        <w:rPr>
          <w:rFonts w:hint="eastAsia" w:ascii="宋体" w:hAnsi="宋体" w:cs="宋体"/>
          <w:color w:val="auto"/>
          <w:sz w:val="21"/>
          <w:szCs w:val="21"/>
          <w:highlight w:val="none"/>
        </w:rPr>
        <w:t>第五章  合同文本</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t>40</w:t>
      </w:r>
    </w:p>
    <w:p>
      <w:pPr>
        <w:pStyle w:val="36"/>
        <w:tabs>
          <w:tab w:val="right" w:leader="dot" w:pos="9452"/>
        </w:tabs>
        <w:snapToGrid w:val="0"/>
        <w:spacing w:before="0" w:after="0" w:line="480" w:lineRule="auto"/>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"_Toc351559946" </w:instrText>
      </w:r>
      <w:r>
        <w:rPr>
          <w:color w:val="auto"/>
          <w:highlight w:val="none"/>
        </w:rPr>
        <w:fldChar w:fldCharType="separate"/>
      </w:r>
      <w:r>
        <w:rPr>
          <w:rFonts w:hint="eastAsia" w:ascii="宋体" w:hAnsi="宋体" w:cs="宋体"/>
          <w:color w:val="auto"/>
          <w:sz w:val="21"/>
          <w:szCs w:val="21"/>
          <w:highlight w:val="none"/>
        </w:rPr>
        <w:t>第六章　投标文件格式</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t>45</w:t>
      </w:r>
    </w:p>
    <w:p>
      <w:pPr>
        <w:rPr>
          <w:rFonts w:hAnsi="宋体" w:cs="宋体"/>
          <w:color w:val="auto"/>
          <w:sz w:val="21"/>
          <w:szCs w:val="21"/>
          <w:highlight w:val="none"/>
        </w:rPr>
      </w:pPr>
    </w:p>
    <w:p>
      <w:pPr>
        <w:spacing w:line="380" w:lineRule="exact"/>
        <w:ind w:firstLine="211" w:firstLineChars="100"/>
        <w:jc w:val="both"/>
        <w:rPr>
          <w:rFonts w:hAnsi="宋体" w:cs="宋体"/>
          <w:b/>
          <w:bCs/>
          <w:color w:val="auto"/>
          <w:sz w:val="21"/>
          <w:szCs w:val="21"/>
          <w:highlight w:val="none"/>
        </w:rPr>
      </w:pPr>
      <w:r>
        <w:rPr>
          <w:rFonts w:hint="eastAsia" w:hAnsi="宋体" w:cs="宋体"/>
          <w:b/>
          <w:bCs/>
          <w:color w:val="auto"/>
          <w:sz w:val="21"/>
          <w:szCs w:val="21"/>
          <w:highlight w:val="none"/>
        </w:rPr>
        <w:fldChar w:fldCharType="end"/>
      </w:r>
    </w:p>
    <w:p>
      <w:pPr>
        <w:pStyle w:val="28"/>
        <w:pBdr>
          <w:top w:val="single" w:color="auto" w:sz="4" w:space="1"/>
          <w:left w:val="single" w:color="auto" w:sz="4" w:space="4"/>
          <w:bottom w:val="single" w:color="auto" w:sz="4" w:space="1"/>
          <w:right w:val="single" w:color="auto" w:sz="4" w:space="4"/>
        </w:pBdr>
        <w:snapToGrid w:val="0"/>
        <w:spacing w:line="460" w:lineRule="exact"/>
        <w:ind w:firstLine="422" w:firstLineChars="200"/>
        <w:outlineLvl w:val="0"/>
        <w:rPr>
          <w:rFonts w:ascii="宋体" w:hAnsi="宋体" w:cs="宋体"/>
          <w:b/>
          <w:color w:val="auto"/>
          <w:sz w:val="21"/>
          <w:highlight w:val="none"/>
        </w:rPr>
      </w:pPr>
      <w:r>
        <w:rPr>
          <w:rFonts w:hint="eastAsia" w:ascii="宋体" w:hAnsi="宋体" w:cs="宋体"/>
          <w:b/>
          <w:color w:val="auto"/>
          <w:sz w:val="21"/>
          <w:highlight w:val="none"/>
        </w:rPr>
        <w:t>为确保招投标活动的公开、公平、公正，切实维护各方合法权益，凡在招标投标、开标评标过程中，受到敲诈、勒索或发现围标串标、虚假投标、恶意竞标等涉黑涉恶线索者，请及时保留相关证据并向有关部门举报！</w:t>
      </w:r>
    </w:p>
    <w:p>
      <w:pPr>
        <w:pStyle w:val="28"/>
        <w:pBdr>
          <w:top w:val="single" w:color="auto" w:sz="4" w:space="1"/>
          <w:left w:val="single" w:color="auto" w:sz="4" w:space="4"/>
          <w:bottom w:val="single" w:color="auto" w:sz="4" w:space="1"/>
          <w:right w:val="single" w:color="auto" w:sz="4" w:space="4"/>
        </w:pBdr>
        <w:snapToGrid w:val="0"/>
        <w:spacing w:line="460" w:lineRule="exact"/>
        <w:ind w:firstLine="422" w:firstLineChars="200"/>
        <w:outlineLvl w:val="0"/>
        <w:rPr>
          <w:rFonts w:ascii="宋体" w:hAnsi="宋体" w:cs="宋体"/>
          <w:b/>
          <w:color w:val="auto"/>
          <w:sz w:val="21"/>
          <w:highlight w:val="none"/>
        </w:rPr>
      </w:pPr>
      <w:r>
        <w:rPr>
          <w:rFonts w:hint="eastAsia" w:ascii="宋体" w:hAnsi="宋体" w:cs="宋体"/>
          <w:b/>
          <w:color w:val="auto"/>
          <w:sz w:val="21"/>
          <w:highlight w:val="none"/>
        </w:rPr>
        <w:t>举报电话：</w:t>
      </w:r>
    </w:p>
    <w:p>
      <w:pPr>
        <w:pStyle w:val="28"/>
        <w:pBdr>
          <w:top w:val="single" w:color="auto" w:sz="4" w:space="1"/>
          <w:left w:val="single" w:color="auto" w:sz="4" w:space="4"/>
          <w:bottom w:val="single" w:color="auto" w:sz="4" w:space="1"/>
          <w:right w:val="single" w:color="auto" w:sz="4" w:space="4"/>
        </w:pBdr>
        <w:snapToGrid w:val="0"/>
        <w:spacing w:line="460" w:lineRule="exact"/>
        <w:ind w:firstLine="422" w:firstLineChars="200"/>
        <w:outlineLvl w:val="0"/>
        <w:rPr>
          <w:rFonts w:ascii="宋体" w:hAnsi="宋体" w:cs="宋体"/>
          <w:b/>
          <w:color w:val="auto"/>
          <w:sz w:val="21"/>
          <w:highlight w:val="none"/>
        </w:rPr>
      </w:pPr>
      <w:r>
        <w:rPr>
          <w:rFonts w:hint="eastAsia" w:ascii="宋体" w:hAnsi="宋体" w:cs="宋体"/>
          <w:b/>
          <w:color w:val="auto"/>
          <w:sz w:val="21"/>
          <w:highlight w:val="none"/>
        </w:rPr>
        <w:t>市扫黑办  0579-82495227</w:t>
      </w:r>
    </w:p>
    <w:p>
      <w:pPr>
        <w:pStyle w:val="28"/>
        <w:pBdr>
          <w:top w:val="single" w:color="auto" w:sz="4" w:space="1"/>
          <w:left w:val="single" w:color="auto" w:sz="4" w:space="4"/>
          <w:bottom w:val="single" w:color="auto" w:sz="4" w:space="1"/>
          <w:right w:val="single" w:color="auto" w:sz="4" w:space="4"/>
        </w:pBdr>
        <w:snapToGrid w:val="0"/>
        <w:spacing w:line="460" w:lineRule="exact"/>
        <w:ind w:firstLine="422" w:firstLineChars="200"/>
        <w:outlineLvl w:val="0"/>
        <w:rPr>
          <w:rFonts w:ascii="宋体" w:hAnsi="宋体" w:cs="宋体"/>
          <w:b/>
          <w:color w:val="auto"/>
          <w:sz w:val="21"/>
          <w:highlight w:val="none"/>
        </w:rPr>
      </w:pPr>
      <w:r>
        <w:rPr>
          <w:rFonts w:hint="eastAsia" w:ascii="宋体" w:hAnsi="宋体" w:cs="宋体"/>
          <w:b/>
          <w:color w:val="auto"/>
          <w:sz w:val="21"/>
          <w:highlight w:val="none"/>
        </w:rPr>
        <w:t>市公安局  110、0579-82512110</w:t>
      </w:r>
    </w:p>
    <w:p>
      <w:pPr>
        <w:pStyle w:val="28"/>
        <w:pBdr>
          <w:top w:val="single" w:color="auto" w:sz="4" w:space="1"/>
          <w:left w:val="single" w:color="auto" w:sz="4" w:space="4"/>
          <w:bottom w:val="single" w:color="auto" w:sz="4" w:space="1"/>
          <w:right w:val="single" w:color="auto" w:sz="4" w:space="4"/>
        </w:pBdr>
        <w:snapToGrid w:val="0"/>
        <w:spacing w:line="460" w:lineRule="exact"/>
        <w:ind w:firstLine="422" w:firstLineChars="200"/>
        <w:outlineLvl w:val="0"/>
        <w:rPr>
          <w:rFonts w:ascii="宋体" w:hAnsi="宋体" w:cs="宋体"/>
          <w:b/>
          <w:color w:val="auto"/>
          <w:sz w:val="21"/>
          <w:highlight w:val="none"/>
        </w:rPr>
      </w:pPr>
      <w:r>
        <w:rPr>
          <w:rFonts w:hint="eastAsia" w:ascii="宋体" w:hAnsi="宋体" w:cs="宋体"/>
          <w:b/>
          <w:color w:val="auto"/>
          <w:sz w:val="21"/>
          <w:highlight w:val="none"/>
        </w:rPr>
        <w:t>市检察院  0579-82537082</w:t>
      </w:r>
    </w:p>
    <w:p>
      <w:pPr>
        <w:pStyle w:val="28"/>
        <w:pBdr>
          <w:top w:val="single" w:color="auto" w:sz="4" w:space="1"/>
          <w:left w:val="single" w:color="auto" w:sz="4" w:space="4"/>
          <w:bottom w:val="single" w:color="auto" w:sz="4" w:space="1"/>
          <w:right w:val="single" w:color="auto" w:sz="4" w:space="4"/>
        </w:pBdr>
        <w:snapToGrid w:val="0"/>
        <w:spacing w:line="460" w:lineRule="exact"/>
        <w:ind w:firstLine="422" w:firstLineChars="200"/>
        <w:outlineLvl w:val="0"/>
        <w:rPr>
          <w:rFonts w:ascii="宋体" w:hAnsi="宋体" w:cs="宋体"/>
          <w:b/>
          <w:color w:val="auto"/>
          <w:sz w:val="21"/>
          <w:highlight w:val="none"/>
        </w:rPr>
      </w:pPr>
      <w:r>
        <w:rPr>
          <w:rFonts w:hint="eastAsia" w:ascii="宋体" w:hAnsi="宋体" w:cs="宋体"/>
          <w:b/>
          <w:color w:val="auto"/>
          <w:sz w:val="21"/>
          <w:highlight w:val="none"/>
        </w:rPr>
        <w:t>市 法 院  0579-82688725</w:t>
      </w:r>
    </w:p>
    <w:p>
      <w:pPr>
        <w:pStyle w:val="28"/>
        <w:pBdr>
          <w:top w:val="single" w:color="auto" w:sz="4" w:space="1"/>
          <w:left w:val="single" w:color="auto" w:sz="4" w:space="4"/>
          <w:bottom w:val="single" w:color="auto" w:sz="4" w:space="1"/>
          <w:right w:val="single" w:color="auto" w:sz="4" w:space="4"/>
        </w:pBdr>
        <w:snapToGrid w:val="0"/>
        <w:spacing w:line="460" w:lineRule="exact"/>
        <w:ind w:firstLine="422" w:firstLineChars="200"/>
        <w:outlineLvl w:val="0"/>
        <w:rPr>
          <w:rFonts w:ascii="宋体" w:hAnsi="宋体" w:cs="宋体"/>
          <w:b/>
          <w:color w:val="auto"/>
          <w:sz w:val="21"/>
          <w:highlight w:val="none"/>
        </w:rPr>
      </w:pPr>
      <w:r>
        <w:rPr>
          <w:rFonts w:hint="eastAsia" w:ascii="宋体" w:hAnsi="宋体" w:cs="宋体"/>
          <w:b/>
          <w:color w:val="auto"/>
          <w:sz w:val="21"/>
          <w:highlight w:val="none"/>
        </w:rPr>
        <w:t>市公共资源交易管理办公室  0579-82469285</w:t>
      </w:r>
    </w:p>
    <w:p>
      <w:pPr>
        <w:pStyle w:val="28"/>
        <w:pBdr>
          <w:top w:val="single" w:color="auto" w:sz="4" w:space="1"/>
          <w:left w:val="single" w:color="auto" w:sz="4" w:space="4"/>
          <w:bottom w:val="single" w:color="auto" w:sz="4" w:space="1"/>
          <w:right w:val="single" w:color="auto" w:sz="4" w:space="4"/>
        </w:pBdr>
        <w:snapToGrid w:val="0"/>
        <w:spacing w:line="460" w:lineRule="exact"/>
        <w:ind w:firstLine="422" w:firstLineChars="200"/>
        <w:outlineLvl w:val="0"/>
        <w:rPr>
          <w:rFonts w:ascii="宋体" w:hAnsi="宋体" w:cs="宋体"/>
          <w:b/>
          <w:bCs/>
          <w:color w:val="auto"/>
          <w:sz w:val="21"/>
          <w:highlight w:val="none"/>
        </w:rPr>
      </w:pPr>
      <w:r>
        <w:rPr>
          <w:rFonts w:hint="eastAsia" w:ascii="宋体" w:hAnsi="宋体" w:cs="宋体"/>
          <w:b/>
          <w:color w:val="auto"/>
          <w:sz w:val="21"/>
          <w:highlight w:val="none"/>
        </w:rPr>
        <w:t>市公共资源交易中心  0579-83187211</w:t>
      </w:r>
    </w:p>
    <w:p>
      <w:pPr>
        <w:spacing w:line="380" w:lineRule="exact"/>
        <w:ind w:firstLine="211" w:firstLineChars="100"/>
        <w:jc w:val="both"/>
        <w:rPr>
          <w:rFonts w:hAnsi="宋体" w:cs="宋体"/>
          <w:b/>
          <w:color w:val="auto"/>
          <w:sz w:val="21"/>
          <w:szCs w:val="21"/>
          <w:highlight w:val="none"/>
        </w:rPr>
      </w:pPr>
    </w:p>
    <w:p>
      <w:pPr>
        <w:pStyle w:val="22"/>
        <w:rPr>
          <w:color w:val="auto"/>
          <w:highlight w:val="none"/>
        </w:rPr>
      </w:pPr>
    </w:p>
    <w:p>
      <w:pPr>
        <w:spacing w:line="380" w:lineRule="exact"/>
        <w:ind w:firstLine="211" w:firstLineChars="100"/>
        <w:jc w:val="both"/>
        <w:rPr>
          <w:rFonts w:hAnsi="宋体" w:cs="宋体"/>
          <w:b/>
          <w:color w:val="auto"/>
          <w:sz w:val="21"/>
          <w:szCs w:val="21"/>
          <w:highlight w:val="none"/>
        </w:rPr>
      </w:pPr>
      <w:r>
        <w:rPr>
          <w:rFonts w:hint="eastAsia" w:hAnsi="宋体" w:cs="宋体"/>
          <w:b/>
          <w:color w:val="auto"/>
          <w:sz w:val="21"/>
          <w:szCs w:val="21"/>
          <w:highlight w:val="none"/>
        </w:rPr>
        <w:t>投标人不得向采购人、政府采购工作人员、评标专家行贿，违者一经查实，将列入政府采购黑名单！</w:t>
      </w:r>
    </w:p>
    <w:p>
      <w:pPr>
        <w:numPr>
          <w:ilvl w:val="0"/>
          <w:numId w:val="1"/>
        </w:numPr>
        <w:spacing w:line="380" w:lineRule="exact"/>
        <w:jc w:val="both"/>
        <w:textAlignment w:val="baseline"/>
        <w:rPr>
          <w:rFonts w:hAnsi="宋体" w:cs="宋体"/>
          <w:b/>
          <w:color w:val="auto"/>
          <w:sz w:val="21"/>
          <w:szCs w:val="21"/>
          <w:highlight w:val="none"/>
        </w:rPr>
      </w:pPr>
      <w:r>
        <w:rPr>
          <w:rFonts w:hint="eastAsia" w:hAnsi="宋体" w:cs="宋体"/>
          <w:b/>
          <w:color w:val="auto"/>
          <w:sz w:val="21"/>
          <w:szCs w:val="21"/>
          <w:highlight w:val="none"/>
        </w:rPr>
        <w:t>投标人须在政采云平台（http://zfcg.czt.zj.gov.cn/）进行免费注册，具体详见网站投标人注册要求，否则将可能无法上传投标文件。</w:t>
      </w:r>
    </w:p>
    <w:p>
      <w:pPr>
        <w:spacing w:line="380" w:lineRule="exact"/>
        <w:ind w:firstLine="211" w:firstLineChars="100"/>
        <w:jc w:val="both"/>
        <w:rPr>
          <w:rFonts w:hAnsi="宋体" w:cs="宋体"/>
          <w:b/>
          <w:bCs/>
          <w:color w:val="auto"/>
          <w:sz w:val="18"/>
          <w:szCs w:val="18"/>
          <w:highlight w:val="none"/>
        </w:rPr>
      </w:pPr>
      <w:r>
        <w:rPr>
          <w:rFonts w:hint="eastAsia" w:hAnsi="宋体" w:cs="宋体"/>
          <w:b/>
          <w:color w:val="auto"/>
          <w:sz w:val="21"/>
          <w:szCs w:val="21"/>
          <w:highlight w:val="none"/>
        </w:rPr>
        <w:t>（注：各投标人请认真阅读此招标文件，并按规定制作投标文件，否则大家的努力将是徒劳。）</w:t>
      </w:r>
    </w:p>
    <w:bookmarkEnd w:id="0"/>
    <w:p>
      <w:pPr>
        <w:pStyle w:val="5"/>
        <w:keepNext w:val="0"/>
        <w:spacing w:line="360" w:lineRule="auto"/>
        <w:jc w:val="center"/>
        <w:rPr>
          <w:rFonts w:ascii="宋体" w:hAnsi="宋体" w:cs="宋体"/>
          <w:color w:val="auto"/>
          <w:sz w:val="30"/>
          <w:szCs w:val="30"/>
          <w:highlight w:val="none"/>
        </w:rPr>
        <w:sectPr>
          <w:footerReference r:id="rId8" w:type="first"/>
          <w:footerReference r:id="rId7" w:type="default"/>
          <w:pgSz w:w="11906" w:h="16838"/>
          <w:pgMar w:top="1440" w:right="1304" w:bottom="1440" w:left="1304" w:header="567" w:footer="567" w:gutter="0"/>
          <w:pgNumType w:start="0"/>
          <w:cols w:space="720" w:num="1"/>
          <w:titlePg/>
          <w:docGrid w:type="lines" w:linePitch="634" w:charSpace="0"/>
        </w:sectPr>
      </w:pPr>
      <w:bookmarkStart w:id="7" w:name="_Toc351559940"/>
      <w:bookmarkStart w:id="8" w:name="_Toc184785918"/>
      <w:bookmarkStart w:id="9" w:name="_Toc205638623"/>
      <w:bookmarkStart w:id="10" w:name="_Toc217289129"/>
      <w:bookmarkStart w:id="11" w:name="_Toc237176505"/>
    </w:p>
    <w:p>
      <w:pPr>
        <w:pStyle w:val="5"/>
        <w:keepNext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第一章  公开招标采购公告</w:t>
      </w:r>
      <w:bookmarkEnd w:id="7"/>
    </w:p>
    <w:p>
      <w:pPr>
        <w:pBdr>
          <w:top w:val="single" w:color="auto" w:sz="4" w:space="1"/>
          <w:left w:val="single" w:color="auto" w:sz="4" w:space="4"/>
          <w:bottom w:val="single" w:color="auto" w:sz="4" w:space="1"/>
          <w:right w:val="single" w:color="auto" w:sz="4" w:space="4"/>
        </w:pBdr>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项目概况</w:t>
      </w:r>
    </w:p>
    <w:p>
      <w:pPr>
        <w:pBdr>
          <w:top w:val="single" w:color="auto" w:sz="4" w:space="1"/>
          <w:left w:val="single" w:color="auto" w:sz="4" w:space="4"/>
          <w:bottom w:val="single" w:color="auto" w:sz="4" w:space="1"/>
          <w:right w:val="single" w:color="auto" w:sz="4" w:space="4"/>
        </w:pBdr>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lang w:eastAsia="zh-CN"/>
        </w:rPr>
        <w:t>金华市区雨水管网排查</w:t>
      </w:r>
      <w:r>
        <w:rPr>
          <w:rFonts w:hint="eastAsia" w:hAnsi="宋体" w:cs="宋体"/>
          <w:color w:val="auto"/>
          <w:sz w:val="21"/>
          <w:szCs w:val="21"/>
          <w:highlight w:val="none"/>
        </w:rPr>
        <w:t>的潜在投标人应在浙江省“政采云”平台</w:t>
      </w:r>
      <w:r>
        <w:rPr>
          <w:rFonts w:hint="eastAsia" w:hAnsi="宋体" w:cs="宋体"/>
          <w:b/>
          <w:bCs/>
          <w:color w:val="auto"/>
          <w:sz w:val="21"/>
          <w:szCs w:val="21"/>
          <w:highlight w:val="none"/>
        </w:rPr>
        <w:t>获取招标文件</w:t>
      </w:r>
      <w:r>
        <w:rPr>
          <w:rFonts w:hint="eastAsia" w:hAnsi="宋体" w:cs="宋体"/>
          <w:color w:val="auto"/>
          <w:sz w:val="21"/>
          <w:szCs w:val="21"/>
          <w:highlight w:val="none"/>
        </w:rPr>
        <w:t>，并于 2022</w:t>
      </w:r>
      <w:r>
        <w:rPr>
          <w:rFonts w:hint="eastAsia" w:hAnsi="宋体" w:cs="宋体"/>
          <w:bCs/>
          <w:color w:val="auto"/>
          <w:sz w:val="21"/>
          <w:szCs w:val="21"/>
          <w:highlight w:val="none"/>
        </w:rPr>
        <w:t xml:space="preserve">年    </w:t>
      </w:r>
      <w:r>
        <w:rPr>
          <w:rFonts w:hint="eastAsia" w:hAnsi="宋体" w:cs="宋体"/>
          <w:bCs/>
          <w:color w:val="auto"/>
          <w:sz w:val="21"/>
          <w:szCs w:val="21"/>
          <w:highlight w:val="none"/>
          <w:lang w:val="en-US" w:eastAsia="zh-CN"/>
        </w:rPr>
        <w:t>10</w:t>
      </w:r>
      <w:r>
        <w:rPr>
          <w:rFonts w:hint="eastAsia" w:hAnsi="宋体" w:cs="宋体"/>
          <w:bCs/>
          <w:color w:val="auto"/>
          <w:sz w:val="21"/>
          <w:szCs w:val="21"/>
          <w:highlight w:val="none"/>
        </w:rPr>
        <w:t xml:space="preserve">月 </w:t>
      </w:r>
      <w:r>
        <w:rPr>
          <w:rFonts w:hint="eastAsia" w:hAnsi="宋体" w:cs="宋体"/>
          <w:bCs/>
          <w:color w:val="auto"/>
          <w:sz w:val="21"/>
          <w:szCs w:val="21"/>
          <w:highlight w:val="none"/>
          <w:lang w:val="en-US" w:eastAsia="zh-CN"/>
        </w:rPr>
        <w:t>21</w:t>
      </w:r>
      <w:r>
        <w:rPr>
          <w:rFonts w:hint="eastAsia" w:hAnsi="宋体" w:cs="宋体"/>
          <w:bCs/>
          <w:color w:val="auto"/>
          <w:sz w:val="21"/>
          <w:szCs w:val="21"/>
          <w:highlight w:val="none"/>
        </w:rPr>
        <w:t>日</w:t>
      </w:r>
      <w:r>
        <w:rPr>
          <w:rFonts w:hint="eastAsia" w:hAnsi="宋体" w:cs="宋体"/>
          <w:bCs/>
          <w:color w:val="auto"/>
          <w:sz w:val="21"/>
          <w:szCs w:val="21"/>
          <w:highlight w:val="none"/>
          <w:lang w:val="en-US" w:eastAsia="zh-CN"/>
        </w:rPr>
        <w:t>09</w:t>
      </w:r>
      <w:r>
        <w:rPr>
          <w:rFonts w:hint="eastAsia" w:hAnsi="宋体" w:cs="宋体"/>
          <w:bCs/>
          <w:color w:val="auto"/>
          <w:sz w:val="21"/>
          <w:szCs w:val="21"/>
          <w:highlight w:val="none"/>
        </w:rPr>
        <w:t>点</w:t>
      </w:r>
      <w:r>
        <w:rPr>
          <w:rFonts w:hint="eastAsia" w:hAnsi="宋体" w:cs="宋体"/>
          <w:bCs/>
          <w:color w:val="auto"/>
          <w:sz w:val="21"/>
          <w:szCs w:val="21"/>
          <w:highlight w:val="none"/>
          <w:lang w:val="en-US" w:eastAsia="zh-CN"/>
        </w:rPr>
        <w:t>30</w:t>
      </w:r>
      <w:r>
        <w:rPr>
          <w:rFonts w:hint="eastAsia" w:hAnsi="宋体" w:cs="宋体"/>
          <w:bCs/>
          <w:color w:val="auto"/>
          <w:sz w:val="21"/>
          <w:szCs w:val="21"/>
          <w:highlight w:val="none"/>
        </w:rPr>
        <w:t>分（北京时间）前上传投标文件</w:t>
      </w:r>
      <w:r>
        <w:rPr>
          <w:rFonts w:hint="eastAsia" w:hAnsi="宋体" w:cs="宋体"/>
          <w:color w:val="auto"/>
          <w:sz w:val="21"/>
          <w:szCs w:val="21"/>
          <w:highlight w:val="none"/>
        </w:rPr>
        <w:t>。</w:t>
      </w:r>
    </w:p>
    <w:p>
      <w:pPr>
        <w:tabs>
          <w:tab w:val="left" w:pos="1260"/>
        </w:tabs>
        <w:autoSpaceDE/>
        <w:autoSpaceDN/>
        <w:adjustRightInd/>
        <w:snapToGrid w:val="0"/>
        <w:spacing w:line="500" w:lineRule="exact"/>
        <w:ind w:firstLine="316" w:firstLineChars="150"/>
        <w:jc w:val="both"/>
        <w:rPr>
          <w:rFonts w:hAnsi="宋体" w:cs="宋体"/>
          <w:b/>
          <w:color w:val="auto"/>
          <w:sz w:val="21"/>
          <w:szCs w:val="21"/>
          <w:highlight w:val="none"/>
        </w:rPr>
      </w:pPr>
      <w:bookmarkStart w:id="12" w:name="_Toc28359002"/>
      <w:bookmarkStart w:id="13" w:name="_Toc35393621"/>
      <w:bookmarkStart w:id="14" w:name="_Toc35393790"/>
      <w:bookmarkStart w:id="15" w:name="_Toc28359079"/>
      <w:bookmarkStart w:id="16" w:name="_Hlk24379207"/>
      <w:r>
        <w:rPr>
          <w:rFonts w:hint="eastAsia" w:hAnsi="宋体" w:cs="宋体"/>
          <w:b/>
          <w:color w:val="auto"/>
          <w:sz w:val="21"/>
          <w:szCs w:val="21"/>
          <w:highlight w:val="none"/>
        </w:rPr>
        <w:t>一、项目基本情况</w:t>
      </w:r>
      <w:bookmarkEnd w:id="12"/>
      <w:bookmarkEnd w:id="13"/>
      <w:bookmarkEnd w:id="14"/>
      <w:bookmarkEnd w:id="15"/>
    </w:p>
    <w:p>
      <w:pPr>
        <w:tabs>
          <w:tab w:val="left" w:pos="1260"/>
        </w:tabs>
        <w:autoSpaceDE/>
        <w:autoSpaceDN/>
        <w:adjustRightInd/>
        <w:snapToGrid w:val="0"/>
        <w:spacing w:line="500" w:lineRule="exact"/>
        <w:ind w:firstLine="316" w:firstLineChars="150"/>
        <w:jc w:val="both"/>
        <w:rPr>
          <w:rFonts w:hint="eastAsia" w:hAnsi="宋体" w:eastAsia="宋体" w:cs="宋体"/>
          <w:b/>
          <w:color w:val="auto"/>
          <w:sz w:val="21"/>
          <w:szCs w:val="21"/>
          <w:highlight w:val="none"/>
          <w:lang w:eastAsia="zh-CN"/>
        </w:rPr>
      </w:pPr>
      <w:r>
        <w:rPr>
          <w:rFonts w:hint="eastAsia" w:hAnsi="宋体" w:cs="宋体"/>
          <w:b/>
          <w:color w:val="auto"/>
          <w:sz w:val="21"/>
          <w:szCs w:val="21"/>
          <w:highlight w:val="none"/>
        </w:rPr>
        <w:t>项目编号：</w:t>
      </w:r>
      <w:r>
        <w:rPr>
          <w:rFonts w:hint="eastAsia" w:hAnsi="宋体" w:cs="宋体"/>
          <w:b/>
          <w:color w:val="auto"/>
          <w:sz w:val="21"/>
          <w:szCs w:val="21"/>
          <w:highlight w:val="none"/>
          <w:lang w:eastAsia="zh-CN"/>
        </w:rPr>
        <w:t>TY2022-FW284-ZFCG284</w:t>
      </w:r>
    </w:p>
    <w:p>
      <w:pPr>
        <w:tabs>
          <w:tab w:val="left" w:pos="1260"/>
        </w:tabs>
        <w:autoSpaceDE/>
        <w:autoSpaceDN/>
        <w:adjustRightInd/>
        <w:snapToGrid w:val="0"/>
        <w:spacing w:line="500" w:lineRule="exact"/>
        <w:ind w:firstLine="316" w:firstLineChars="150"/>
        <w:jc w:val="both"/>
        <w:rPr>
          <w:rFonts w:hAnsi="宋体" w:cs="宋体"/>
          <w:b/>
          <w:color w:val="auto"/>
          <w:sz w:val="21"/>
          <w:szCs w:val="21"/>
          <w:highlight w:val="none"/>
        </w:rPr>
      </w:pPr>
      <w:r>
        <w:rPr>
          <w:rFonts w:hint="eastAsia" w:hAnsi="宋体" w:cs="宋体"/>
          <w:b/>
          <w:color w:val="auto"/>
          <w:sz w:val="21"/>
          <w:szCs w:val="21"/>
          <w:highlight w:val="none"/>
        </w:rPr>
        <w:t xml:space="preserve">政府采购计划文号：临[2022]12853号   </w:t>
      </w:r>
    </w:p>
    <w:p>
      <w:pPr>
        <w:tabs>
          <w:tab w:val="left" w:pos="1260"/>
        </w:tabs>
        <w:autoSpaceDE/>
        <w:autoSpaceDN/>
        <w:adjustRightInd/>
        <w:snapToGrid w:val="0"/>
        <w:spacing w:line="500" w:lineRule="exact"/>
        <w:ind w:firstLine="316" w:firstLineChars="150"/>
        <w:jc w:val="both"/>
        <w:rPr>
          <w:rFonts w:hAnsi="宋体" w:cs="宋体"/>
          <w:b/>
          <w:color w:val="auto"/>
          <w:sz w:val="21"/>
          <w:szCs w:val="21"/>
          <w:highlight w:val="none"/>
        </w:rPr>
      </w:pPr>
      <w:r>
        <w:rPr>
          <w:rFonts w:hint="eastAsia" w:hAnsi="宋体" w:cs="宋体"/>
          <w:b/>
          <w:color w:val="auto"/>
          <w:sz w:val="21"/>
          <w:szCs w:val="21"/>
          <w:highlight w:val="none"/>
        </w:rPr>
        <w:t>采购组织类型：分散采购委托代理</w:t>
      </w:r>
      <w:r>
        <w:rPr>
          <w:rFonts w:hint="eastAsia" w:hAnsi="宋体" w:cs="宋体"/>
          <w:b/>
          <w:color w:val="auto"/>
          <w:sz w:val="21"/>
          <w:szCs w:val="21"/>
          <w:highlight w:val="none"/>
        </w:rPr>
        <w:tab/>
      </w:r>
    </w:p>
    <w:p>
      <w:pPr>
        <w:tabs>
          <w:tab w:val="left" w:pos="1260"/>
        </w:tabs>
        <w:autoSpaceDE/>
        <w:autoSpaceDN/>
        <w:adjustRightInd/>
        <w:snapToGrid w:val="0"/>
        <w:spacing w:line="500" w:lineRule="exact"/>
        <w:ind w:firstLine="316" w:firstLineChars="150"/>
        <w:jc w:val="both"/>
        <w:rPr>
          <w:rFonts w:hAnsi="宋体" w:cs="宋体"/>
          <w:b/>
          <w:color w:val="auto"/>
          <w:sz w:val="21"/>
          <w:szCs w:val="21"/>
          <w:highlight w:val="none"/>
        </w:rPr>
      </w:pPr>
      <w:r>
        <w:rPr>
          <w:rFonts w:hint="eastAsia" w:hAnsi="宋体" w:cs="宋体"/>
          <w:b/>
          <w:color w:val="auto"/>
          <w:sz w:val="21"/>
          <w:szCs w:val="21"/>
          <w:highlight w:val="none"/>
        </w:rPr>
        <w:t>招标方式：公开招标</w:t>
      </w:r>
    </w:p>
    <w:p>
      <w:pPr>
        <w:tabs>
          <w:tab w:val="left" w:pos="1260"/>
        </w:tabs>
        <w:autoSpaceDE/>
        <w:autoSpaceDN/>
        <w:adjustRightInd/>
        <w:snapToGrid w:val="0"/>
        <w:spacing w:line="500" w:lineRule="exact"/>
        <w:ind w:firstLine="316" w:firstLineChars="150"/>
        <w:jc w:val="both"/>
        <w:rPr>
          <w:rFonts w:hint="eastAsia" w:hAnsi="宋体" w:eastAsia="宋体" w:cs="宋体"/>
          <w:color w:val="auto"/>
          <w:sz w:val="21"/>
          <w:szCs w:val="21"/>
          <w:highlight w:val="none"/>
          <w:lang w:eastAsia="zh-CN"/>
        </w:rPr>
      </w:pPr>
      <w:r>
        <w:rPr>
          <w:rFonts w:hint="eastAsia" w:hAnsi="宋体" w:cs="宋体"/>
          <w:b/>
          <w:color w:val="auto"/>
          <w:sz w:val="21"/>
          <w:szCs w:val="21"/>
          <w:highlight w:val="none"/>
        </w:rPr>
        <w:t>项目名称：</w:t>
      </w:r>
      <w:r>
        <w:rPr>
          <w:rFonts w:hint="eastAsia" w:hAnsi="宋体" w:cs="宋体"/>
          <w:b/>
          <w:bCs/>
          <w:color w:val="auto"/>
          <w:sz w:val="21"/>
          <w:szCs w:val="21"/>
          <w:highlight w:val="none"/>
          <w:lang w:eastAsia="zh-CN"/>
        </w:rPr>
        <w:t>金华市区雨水管网排查</w:t>
      </w:r>
    </w:p>
    <w:bookmarkEnd w:id="16"/>
    <w:p>
      <w:pPr>
        <w:tabs>
          <w:tab w:val="left" w:pos="1260"/>
        </w:tabs>
        <w:autoSpaceDE/>
        <w:autoSpaceDN/>
        <w:adjustRightInd/>
        <w:snapToGrid w:val="0"/>
        <w:spacing w:line="500" w:lineRule="exact"/>
        <w:ind w:firstLine="316" w:firstLineChars="150"/>
        <w:jc w:val="both"/>
        <w:rPr>
          <w:rFonts w:hint="eastAsia" w:hAnsi="宋体" w:eastAsia="宋体" w:cs="宋体"/>
          <w:b/>
          <w:color w:val="auto"/>
          <w:sz w:val="21"/>
          <w:szCs w:val="21"/>
          <w:highlight w:val="none"/>
          <w:lang w:eastAsia="zh-CN"/>
        </w:rPr>
      </w:pPr>
      <w:r>
        <w:rPr>
          <w:rFonts w:hint="eastAsia" w:hAnsi="宋体" w:cs="宋体"/>
          <w:b/>
          <w:color w:val="auto"/>
          <w:sz w:val="21"/>
          <w:szCs w:val="21"/>
          <w:highlight w:val="none"/>
        </w:rPr>
        <w:t>预算金额（人民币）：</w:t>
      </w:r>
      <w:r>
        <w:rPr>
          <w:rFonts w:hint="eastAsia" w:hAnsi="宋体" w:cs="宋体"/>
          <w:b/>
          <w:color w:val="auto"/>
          <w:sz w:val="21"/>
          <w:szCs w:val="21"/>
          <w:highlight w:val="none"/>
          <w:lang w:eastAsia="zh-CN"/>
        </w:rPr>
        <w:t>935万元</w:t>
      </w:r>
    </w:p>
    <w:p>
      <w:pPr>
        <w:tabs>
          <w:tab w:val="left" w:pos="1260"/>
        </w:tabs>
        <w:autoSpaceDE/>
        <w:autoSpaceDN/>
        <w:adjustRightInd/>
        <w:snapToGrid w:val="0"/>
        <w:spacing w:line="500" w:lineRule="exact"/>
        <w:ind w:firstLine="316" w:firstLineChars="150"/>
        <w:jc w:val="both"/>
        <w:rPr>
          <w:rFonts w:hint="eastAsia" w:hAnsi="宋体" w:eastAsia="宋体" w:cs="宋体"/>
          <w:b/>
          <w:color w:val="auto"/>
          <w:sz w:val="21"/>
          <w:szCs w:val="21"/>
          <w:highlight w:val="none"/>
          <w:lang w:eastAsia="zh-CN"/>
        </w:rPr>
      </w:pPr>
      <w:r>
        <w:rPr>
          <w:rFonts w:hint="eastAsia" w:hAnsi="宋体" w:cs="宋体"/>
          <w:b/>
          <w:color w:val="auto"/>
          <w:sz w:val="21"/>
          <w:szCs w:val="21"/>
          <w:highlight w:val="none"/>
        </w:rPr>
        <w:t>最高单价限价（人民币）：管网测绘：</w:t>
      </w:r>
      <w:r>
        <w:rPr>
          <w:rFonts w:hint="eastAsia" w:hAnsi="宋体" w:cs="宋体"/>
          <w:b/>
          <w:color w:val="auto"/>
          <w:sz w:val="21"/>
          <w:szCs w:val="21"/>
          <w:highlight w:val="none"/>
          <w:lang w:eastAsia="zh-CN"/>
        </w:rPr>
        <w:t>3.50元/米</w:t>
      </w:r>
      <w:r>
        <w:rPr>
          <w:rFonts w:hint="eastAsia" w:hAnsi="宋体" w:cs="宋体"/>
          <w:b/>
          <w:color w:val="auto"/>
          <w:sz w:val="21"/>
          <w:szCs w:val="21"/>
          <w:highlight w:val="none"/>
        </w:rPr>
        <w:t>；管道检测：</w:t>
      </w:r>
      <w:r>
        <w:rPr>
          <w:rFonts w:hint="eastAsia" w:hAnsi="宋体" w:cs="宋体"/>
          <w:b/>
          <w:color w:val="auto"/>
          <w:sz w:val="21"/>
          <w:szCs w:val="21"/>
          <w:highlight w:val="none"/>
          <w:lang w:eastAsia="zh-CN"/>
        </w:rPr>
        <w:t>21.00元/米</w:t>
      </w:r>
    </w:p>
    <w:p>
      <w:pPr>
        <w:tabs>
          <w:tab w:val="left" w:pos="1260"/>
        </w:tabs>
        <w:autoSpaceDE/>
        <w:autoSpaceDN/>
        <w:adjustRightInd/>
        <w:snapToGrid w:val="0"/>
        <w:spacing w:line="500" w:lineRule="exact"/>
        <w:ind w:firstLine="316" w:firstLineChars="150"/>
        <w:jc w:val="both"/>
        <w:rPr>
          <w:rFonts w:hAnsi="宋体" w:cs="宋体"/>
          <w:color w:val="auto"/>
          <w:sz w:val="21"/>
          <w:szCs w:val="21"/>
          <w:highlight w:val="none"/>
        </w:rPr>
      </w:pPr>
      <w:r>
        <w:rPr>
          <w:rFonts w:hint="eastAsia" w:hAnsi="宋体" w:cs="宋体"/>
          <w:b/>
          <w:color w:val="auto"/>
          <w:sz w:val="21"/>
          <w:szCs w:val="21"/>
          <w:highlight w:val="none"/>
        </w:rPr>
        <w:t>采购需求</w:t>
      </w:r>
      <w:r>
        <w:rPr>
          <w:rFonts w:hint="eastAsia" w:hAnsi="宋体" w:cs="宋体"/>
          <w:color w:val="auto"/>
          <w:sz w:val="21"/>
          <w:szCs w:val="21"/>
          <w:highlight w:val="none"/>
        </w:rPr>
        <w:t xml:space="preserve">： </w:t>
      </w:r>
    </w:p>
    <w:tbl>
      <w:tblPr>
        <w:tblStyle w:val="4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1941"/>
        <w:gridCol w:w="4004"/>
        <w:gridCol w:w="1066"/>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386" w:type="pct"/>
            <w:vAlign w:val="center"/>
          </w:tcPr>
          <w:p>
            <w:pPr>
              <w:tabs>
                <w:tab w:val="left" w:pos="1260"/>
              </w:tabs>
              <w:autoSpaceDE/>
              <w:autoSpaceDN/>
              <w:adjustRightInd/>
              <w:spacing w:line="460" w:lineRule="exact"/>
              <w:jc w:val="center"/>
              <w:rPr>
                <w:rFonts w:hAnsi="宋体" w:cs="宋体"/>
                <w:color w:val="auto"/>
                <w:sz w:val="21"/>
                <w:szCs w:val="21"/>
                <w:highlight w:val="none"/>
              </w:rPr>
            </w:pPr>
            <w:r>
              <w:rPr>
                <w:rFonts w:hint="eastAsia" w:hAnsi="宋体" w:cs="宋体"/>
                <w:color w:val="auto"/>
                <w:sz w:val="21"/>
                <w:szCs w:val="21"/>
                <w:highlight w:val="none"/>
              </w:rPr>
              <w:t>序号</w:t>
            </w:r>
          </w:p>
        </w:tc>
        <w:tc>
          <w:tcPr>
            <w:tcW w:w="1020" w:type="pct"/>
            <w:vAlign w:val="center"/>
          </w:tcPr>
          <w:p>
            <w:pPr>
              <w:tabs>
                <w:tab w:val="left" w:pos="1260"/>
              </w:tabs>
              <w:autoSpaceDE/>
              <w:autoSpaceDN/>
              <w:adjustRightInd/>
              <w:spacing w:line="460" w:lineRule="exact"/>
              <w:jc w:val="center"/>
              <w:rPr>
                <w:rFonts w:hAnsi="宋体" w:cs="宋体"/>
                <w:color w:val="auto"/>
                <w:sz w:val="21"/>
                <w:szCs w:val="21"/>
                <w:highlight w:val="none"/>
              </w:rPr>
            </w:pPr>
            <w:r>
              <w:rPr>
                <w:rFonts w:hint="eastAsia" w:hAnsi="宋体" w:cs="宋体"/>
                <w:color w:val="auto"/>
                <w:sz w:val="21"/>
                <w:szCs w:val="21"/>
                <w:highlight w:val="none"/>
              </w:rPr>
              <w:t>采购内容</w:t>
            </w:r>
          </w:p>
        </w:tc>
        <w:tc>
          <w:tcPr>
            <w:tcW w:w="2104" w:type="pct"/>
            <w:vAlign w:val="center"/>
          </w:tcPr>
          <w:p>
            <w:pPr>
              <w:tabs>
                <w:tab w:val="left" w:pos="1260"/>
              </w:tabs>
              <w:autoSpaceDE/>
              <w:autoSpaceDN/>
              <w:adjustRightInd/>
              <w:spacing w:line="460" w:lineRule="exact"/>
              <w:jc w:val="center"/>
              <w:rPr>
                <w:rFonts w:hAnsi="宋体" w:cs="宋体"/>
                <w:color w:val="auto"/>
                <w:sz w:val="21"/>
                <w:szCs w:val="21"/>
                <w:highlight w:val="none"/>
              </w:rPr>
            </w:pPr>
            <w:r>
              <w:rPr>
                <w:rFonts w:hint="eastAsia" w:hAnsi="宋体" w:cs="宋体"/>
                <w:color w:val="auto"/>
                <w:sz w:val="21"/>
                <w:szCs w:val="21"/>
                <w:highlight w:val="none"/>
              </w:rPr>
              <w:t>要求</w:t>
            </w:r>
          </w:p>
        </w:tc>
        <w:tc>
          <w:tcPr>
            <w:tcW w:w="560" w:type="pct"/>
            <w:vAlign w:val="center"/>
          </w:tcPr>
          <w:p>
            <w:pPr>
              <w:widowControl/>
              <w:spacing w:line="460" w:lineRule="exact"/>
              <w:jc w:val="center"/>
              <w:rPr>
                <w:rFonts w:hAnsi="宋体" w:cs="宋体"/>
                <w:color w:val="auto"/>
                <w:sz w:val="21"/>
                <w:szCs w:val="21"/>
                <w:highlight w:val="none"/>
              </w:rPr>
            </w:pPr>
            <w:r>
              <w:rPr>
                <w:rFonts w:hint="eastAsia" w:hAnsi="宋体" w:cs="宋体"/>
                <w:color w:val="auto"/>
                <w:sz w:val="21"/>
                <w:szCs w:val="21"/>
                <w:highlight w:val="none"/>
              </w:rPr>
              <w:t>数量</w:t>
            </w:r>
          </w:p>
        </w:tc>
        <w:tc>
          <w:tcPr>
            <w:tcW w:w="927" w:type="pct"/>
            <w:vAlign w:val="center"/>
          </w:tcPr>
          <w:p>
            <w:pPr>
              <w:widowControl/>
              <w:spacing w:line="460" w:lineRule="exact"/>
              <w:jc w:val="center"/>
              <w:rPr>
                <w:rFonts w:hAnsi="宋体" w:cs="宋体"/>
                <w:color w:val="auto"/>
                <w:sz w:val="21"/>
                <w:szCs w:val="21"/>
                <w:highlight w:val="none"/>
              </w:rPr>
            </w:pPr>
            <w:r>
              <w:rPr>
                <w:rFonts w:hint="eastAsia" w:hAnsi="宋体" w:cs="宋体"/>
                <w:color w:val="auto"/>
                <w:sz w:val="21"/>
                <w:szCs w:val="21"/>
                <w:highlight w:val="none"/>
              </w:rPr>
              <w:t>预算金额</w:t>
            </w:r>
          </w:p>
          <w:p>
            <w:pPr>
              <w:widowControl/>
              <w:spacing w:line="460" w:lineRule="exact"/>
              <w:jc w:val="center"/>
              <w:rPr>
                <w:rFonts w:hAnsi="宋体" w:cs="宋体"/>
                <w:color w:val="auto"/>
                <w:sz w:val="21"/>
                <w:szCs w:val="21"/>
                <w:highlight w:val="none"/>
              </w:rPr>
            </w:pPr>
            <w:r>
              <w:rPr>
                <w:rFonts w:hint="eastAsia" w:hAnsi="宋体" w:cs="宋体"/>
                <w:color w:val="auto"/>
                <w:sz w:val="21"/>
                <w:szCs w:val="21"/>
                <w:highlight w:val="none"/>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386" w:type="pct"/>
            <w:vAlign w:val="center"/>
          </w:tcPr>
          <w:p>
            <w:pPr>
              <w:tabs>
                <w:tab w:val="left" w:pos="1260"/>
              </w:tabs>
              <w:autoSpaceDE/>
              <w:autoSpaceDN/>
              <w:adjustRightInd/>
              <w:spacing w:line="460" w:lineRule="exact"/>
              <w:jc w:val="center"/>
              <w:rPr>
                <w:rFonts w:hAnsi="宋体" w:cs="宋体"/>
                <w:color w:val="auto"/>
                <w:sz w:val="21"/>
                <w:szCs w:val="21"/>
                <w:highlight w:val="none"/>
              </w:rPr>
            </w:pPr>
            <w:r>
              <w:rPr>
                <w:rFonts w:hint="eastAsia" w:hAnsi="宋体" w:cs="宋体"/>
                <w:color w:val="auto"/>
                <w:sz w:val="21"/>
                <w:szCs w:val="21"/>
                <w:highlight w:val="none"/>
              </w:rPr>
              <w:t>1</w:t>
            </w:r>
          </w:p>
        </w:tc>
        <w:tc>
          <w:tcPr>
            <w:tcW w:w="1020" w:type="pct"/>
            <w:vAlign w:val="center"/>
          </w:tcPr>
          <w:p>
            <w:pPr>
              <w:tabs>
                <w:tab w:val="left" w:pos="1260"/>
              </w:tabs>
              <w:autoSpaceDE/>
              <w:autoSpaceDN/>
              <w:adjustRightInd/>
              <w:spacing w:line="460" w:lineRule="exact"/>
              <w:jc w:val="center"/>
              <w:rPr>
                <w:rFonts w:hint="eastAsia" w:hAnsi="宋体" w:eastAsia="宋体" w:cs="宋体"/>
                <w:color w:val="auto"/>
                <w:sz w:val="21"/>
                <w:szCs w:val="21"/>
                <w:highlight w:val="none"/>
                <w:lang w:eastAsia="zh-CN"/>
              </w:rPr>
            </w:pPr>
            <w:r>
              <w:rPr>
                <w:rFonts w:hint="eastAsia" w:hAnsi="宋体" w:cs="宋体"/>
                <w:color w:val="auto"/>
                <w:sz w:val="21"/>
                <w:szCs w:val="21"/>
                <w:highlight w:val="none"/>
                <w:lang w:eastAsia="zh-CN"/>
              </w:rPr>
              <w:t>金华市区雨水管网排查</w:t>
            </w:r>
          </w:p>
        </w:tc>
        <w:tc>
          <w:tcPr>
            <w:tcW w:w="2104" w:type="pct"/>
            <w:vAlign w:val="center"/>
          </w:tcPr>
          <w:p>
            <w:pPr>
              <w:tabs>
                <w:tab w:val="left" w:pos="1260"/>
              </w:tabs>
              <w:autoSpaceDE/>
              <w:autoSpaceDN/>
              <w:adjustRightInd/>
              <w:spacing w:line="460" w:lineRule="exact"/>
              <w:jc w:val="center"/>
              <w:rPr>
                <w:rFonts w:hAnsi="宋体" w:cs="宋体"/>
                <w:color w:val="auto"/>
                <w:sz w:val="21"/>
                <w:szCs w:val="21"/>
                <w:highlight w:val="none"/>
              </w:rPr>
            </w:pPr>
            <w:r>
              <w:rPr>
                <w:rFonts w:hint="eastAsia" w:hAnsi="宋体" w:cs="宋体"/>
                <w:color w:val="auto"/>
                <w:sz w:val="21"/>
                <w:szCs w:val="21"/>
                <w:highlight w:val="none"/>
              </w:rPr>
              <w:t>对金华市区雨水管网进行排查，对市区雨水管网进行排查检测、疏通、测绘等，具体要求详见“第二章招标需求”</w:t>
            </w:r>
          </w:p>
        </w:tc>
        <w:tc>
          <w:tcPr>
            <w:tcW w:w="560" w:type="pct"/>
            <w:vAlign w:val="center"/>
          </w:tcPr>
          <w:p>
            <w:pPr>
              <w:widowControl/>
              <w:spacing w:line="460" w:lineRule="exact"/>
              <w:jc w:val="center"/>
              <w:rPr>
                <w:rFonts w:hAnsi="宋体" w:cs="宋体"/>
                <w:color w:val="auto"/>
                <w:sz w:val="21"/>
                <w:szCs w:val="21"/>
                <w:highlight w:val="none"/>
              </w:rPr>
            </w:pPr>
            <w:r>
              <w:rPr>
                <w:rFonts w:hint="eastAsia" w:hAnsi="宋体" w:cs="宋体"/>
                <w:color w:val="auto"/>
                <w:sz w:val="21"/>
                <w:szCs w:val="21"/>
                <w:highlight w:val="none"/>
              </w:rPr>
              <w:t>1家</w:t>
            </w:r>
          </w:p>
        </w:tc>
        <w:tc>
          <w:tcPr>
            <w:tcW w:w="927" w:type="pct"/>
            <w:vAlign w:val="center"/>
          </w:tcPr>
          <w:p>
            <w:pPr>
              <w:widowControl/>
              <w:tabs>
                <w:tab w:val="left" w:pos="1260"/>
              </w:tabs>
              <w:autoSpaceDE/>
              <w:autoSpaceDN/>
              <w:adjustRightInd/>
              <w:snapToGrid w:val="0"/>
              <w:spacing w:line="460" w:lineRule="exact"/>
              <w:jc w:val="center"/>
              <w:rPr>
                <w:rFonts w:hint="eastAsia" w:hAnsi="宋体" w:eastAsia="宋体" w:cs="宋体"/>
                <w:color w:val="auto"/>
                <w:sz w:val="21"/>
                <w:szCs w:val="21"/>
                <w:highlight w:val="none"/>
                <w:lang w:eastAsia="zh-CN"/>
              </w:rPr>
            </w:pPr>
            <w:r>
              <w:rPr>
                <w:rFonts w:hint="eastAsia" w:hAnsi="宋体" w:cs="宋体"/>
                <w:bCs/>
                <w:color w:val="auto"/>
                <w:sz w:val="21"/>
                <w:szCs w:val="21"/>
                <w:highlight w:val="none"/>
                <w:lang w:eastAsia="zh-CN"/>
              </w:rPr>
              <w:t>935万元</w:t>
            </w:r>
          </w:p>
        </w:tc>
      </w:tr>
    </w:tbl>
    <w:p>
      <w:pPr>
        <w:tabs>
          <w:tab w:val="left" w:pos="1260"/>
        </w:tabs>
        <w:autoSpaceDE/>
        <w:autoSpaceDN/>
        <w:snapToGrid w:val="0"/>
        <w:spacing w:line="500" w:lineRule="exact"/>
        <w:ind w:firstLine="422" w:firstLineChars="200"/>
        <w:rPr>
          <w:rFonts w:hAnsi="宋体" w:cs="宋体"/>
          <w:b/>
          <w:color w:val="auto"/>
          <w:sz w:val="21"/>
          <w:szCs w:val="21"/>
          <w:highlight w:val="none"/>
        </w:rPr>
      </w:pPr>
      <w:r>
        <w:rPr>
          <w:rFonts w:hint="eastAsia" w:hAnsi="宋体" w:cs="宋体"/>
          <w:b/>
          <w:color w:val="auto"/>
          <w:sz w:val="21"/>
          <w:szCs w:val="21"/>
          <w:highlight w:val="none"/>
        </w:rPr>
        <w:t>本项目不接受联合体投标。</w:t>
      </w:r>
    </w:p>
    <w:p>
      <w:pPr>
        <w:tabs>
          <w:tab w:val="left" w:pos="1260"/>
        </w:tabs>
        <w:autoSpaceDE/>
        <w:autoSpaceDN/>
        <w:snapToGrid w:val="0"/>
        <w:spacing w:line="500" w:lineRule="exact"/>
        <w:ind w:firstLine="422" w:firstLineChars="200"/>
        <w:rPr>
          <w:rFonts w:hAnsi="宋体" w:cs="宋体"/>
          <w:b/>
          <w:color w:val="auto"/>
          <w:sz w:val="21"/>
          <w:szCs w:val="21"/>
          <w:highlight w:val="none"/>
        </w:rPr>
      </w:pPr>
      <w:bookmarkStart w:id="17" w:name="_Toc35393622"/>
      <w:bookmarkStart w:id="18" w:name="_Toc35393791"/>
      <w:bookmarkStart w:id="19" w:name="_Toc28359003"/>
      <w:bookmarkStart w:id="20" w:name="_Toc28359080"/>
      <w:r>
        <w:rPr>
          <w:rFonts w:hint="eastAsia" w:hAnsi="宋体" w:cs="宋体"/>
          <w:b/>
          <w:color w:val="auto"/>
          <w:sz w:val="21"/>
          <w:szCs w:val="21"/>
          <w:highlight w:val="none"/>
        </w:rPr>
        <w:t>二、申请人的资格要求：</w:t>
      </w:r>
      <w:bookmarkEnd w:id="17"/>
      <w:bookmarkEnd w:id="18"/>
      <w:bookmarkEnd w:id="19"/>
      <w:bookmarkEnd w:id="20"/>
    </w:p>
    <w:p>
      <w:pPr>
        <w:tabs>
          <w:tab w:val="left" w:pos="1260"/>
        </w:tabs>
        <w:autoSpaceDE/>
        <w:autoSpaceDN/>
        <w:snapToGrid w:val="0"/>
        <w:spacing w:line="500" w:lineRule="exact"/>
        <w:ind w:firstLine="420" w:firstLineChars="200"/>
        <w:rPr>
          <w:rFonts w:hAnsi="宋体" w:cs="宋体"/>
          <w:color w:val="auto"/>
          <w:sz w:val="21"/>
          <w:szCs w:val="21"/>
          <w:highlight w:val="none"/>
        </w:rPr>
      </w:pPr>
      <w:bookmarkStart w:id="21" w:name="_Toc28359004"/>
      <w:bookmarkStart w:id="22" w:name="_Toc28359081"/>
      <w:r>
        <w:rPr>
          <w:rFonts w:hint="eastAsia" w:hAnsi="宋体" w:cs="宋体"/>
          <w:color w:val="auto"/>
          <w:sz w:val="21"/>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widowControl/>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2.落实政策：</w:t>
      </w:r>
    </w:p>
    <w:p>
      <w:pPr>
        <w:widowControl/>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（1）落实政府采购政策需满足的资格要求：</w:t>
      </w:r>
    </w:p>
    <w:p>
      <w:pPr>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sym w:font="Wingdings" w:char="F0FE"/>
      </w:r>
      <w:r>
        <w:rPr>
          <w:rFonts w:hint="eastAsia" w:hAnsi="宋体" w:cs="宋体"/>
          <w:color w:val="auto"/>
          <w:sz w:val="21"/>
          <w:szCs w:val="21"/>
          <w:highlight w:val="none"/>
        </w:rPr>
        <w:t>无；</w:t>
      </w:r>
    </w:p>
    <w:p>
      <w:pPr>
        <w:pStyle w:val="44"/>
        <w:adjustRightInd w:val="0"/>
        <w:snapToGrid w:val="0"/>
        <w:spacing w:before="0" w:beforeAutospacing="0" w:after="0" w:afterAutospacing="0" w:line="500" w:lineRule="exact"/>
        <w:ind w:firstLine="420" w:firstLineChars="200"/>
        <w:rPr>
          <w:rFonts w:ascii="宋体" w:cs="宋体"/>
          <w:color w:val="auto"/>
          <w:sz w:val="21"/>
          <w:szCs w:val="21"/>
          <w:highlight w:val="none"/>
        </w:rPr>
      </w:pPr>
      <w:r>
        <w:rPr>
          <w:rFonts w:hint="eastAsia" w:ascii="宋体" w:cs="宋体"/>
          <w:color w:val="auto"/>
          <w:sz w:val="21"/>
          <w:szCs w:val="21"/>
          <w:highlight w:val="none"/>
        </w:rPr>
        <w:t>（2）采购项目需要落实的政府采购政策：执行节约能源、保护环境相关的节能产品政府强制采购和优先采购政策，执行环境标志产品政府优先采购政策；执行扶持不发达地区和少数民族地区、促进中小企业发展、支持监狱企业发展、促进残疾人就业、支持中小企业信用融资等政府采购政策。 </w:t>
      </w:r>
    </w:p>
    <w:p>
      <w:pPr>
        <w:pStyle w:val="44"/>
        <w:adjustRightInd w:val="0"/>
        <w:snapToGrid w:val="0"/>
        <w:spacing w:before="0" w:beforeAutospacing="0" w:after="0" w:afterAutospacing="0" w:line="500" w:lineRule="exact"/>
        <w:ind w:firstLine="420" w:firstLineChars="200"/>
        <w:rPr>
          <w:rFonts w:ascii="宋体" w:cs="宋体"/>
          <w:color w:val="auto"/>
          <w:sz w:val="21"/>
          <w:szCs w:val="21"/>
          <w:highlight w:val="none"/>
        </w:rPr>
      </w:pPr>
      <w:r>
        <w:rPr>
          <w:rFonts w:hint="eastAsia" w:ascii="宋体" w:cs="宋体"/>
          <w:color w:val="auto"/>
          <w:sz w:val="21"/>
          <w:szCs w:val="21"/>
          <w:highlight w:val="none"/>
        </w:rPr>
        <w:t>3.本项目的特定资格要求：</w:t>
      </w:r>
      <w:bookmarkEnd w:id="21"/>
      <w:bookmarkEnd w:id="22"/>
      <w:bookmarkStart w:id="23" w:name="_Toc28359085"/>
      <w:bookmarkStart w:id="24" w:name="_Toc35393627"/>
      <w:bookmarkStart w:id="25" w:name="_Toc28359008"/>
      <w:bookmarkStart w:id="26" w:name="_Toc35393796"/>
      <w:r>
        <w:rPr>
          <w:rFonts w:hint="eastAsia" w:ascii="宋体" w:cs="宋体"/>
          <w:color w:val="auto"/>
          <w:sz w:val="21"/>
          <w:szCs w:val="21"/>
          <w:highlight w:val="none"/>
        </w:rPr>
        <w:t>投标人须具有测绘乙级及以上资质，且专业范围包括工程测量和地理信息系统工程（须在有效期内）。</w:t>
      </w:r>
    </w:p>
    <w:p>
      <w:pPr>
        <w:pStyle w:val="44"/>
        <w:adjustRightInd w:val="0"/>
        <w:snapToGrid w:val="0"/>
        <w:spacing w:before="0" w:beforeAutospacing="0" w:after="0" w:afterAutospacing="0" w:line="500" w:lineRule="exact"/>
        <w:ind w:firstLine="420" w:firstLineChars="200"/>
        <w:rPr>
          <w:rFonts w:ascii="宋体" w:cs="宋体"/>
          <w:color w:val="auto"/>
          <w:sz w:val="21"/>
          <w:szCs w:val="21"/>
          <w:highlight w:val="none"/>
        </w:rPr>
      </w:pPr>
      <w:r>
        <w:rPr>
          <w:rFonts w:hint="eastAsia" w:ascii="宋体" w:cs="宋体"/>
          <w:color w:val="auto"/>
          <w:sz w:val="21"/>
          <w:szCs w:val="21"/>
          <w:highlight w:val="none"/>
        </w:rPr>
        <w:t>4.公益一类事业单位不属于政府购买服务的承接主体，不得参与本项目投标。</w:t>
      </w:r>
    </w:p>
    <w:p>
      <w:pPr>
        <w:tabs>
          <w:tab w:val="left" w:pos="1260"/>
        </w:tabs>
        <w:autoSpaceDE/>
        <w:autoSpaceDN/>
        <w:snapToGrid w:val="0"/>
        <w:spacing w:line="500" w:lineRule="exact"/>
        <w:ind w:firstLine="422" w:firstLineChars="200"/>
        <w:rPr>
          <w:rFonts w:hAnsi="宋体" w:cs="宋体"/>
          <w:b/>
          <w:color w:val="auto"/>
          <w:sz w:val="21"/>
          <w:szCs w:val="21"/>
          <w:highlight w:val="none"/>
        </w:rPr>
      </w:pPr>
      <w:r>
        <w:rPr>
          <w:rFonts w:hint="eastAsia" w:hAnsi="宋体" w:cs="宋体"/>
          <w:b/>
          <w:color w:val="auto"/>
          <w:sz w:val="21"/>
          <w:szCs w:val="21"/>
          <w:highlight w:val="none"/>
        </w:rPr>
        <w:t>三、获取招标文件</w:t>
      </w:r>
    </w:p>
    <w:p>
      <w:pPr>
        <w:tabs>
          <w:tab w:val="left" w:pos="1260"/>
        </w:tabs>
        <w:autoSpaceDE/>
        <w:autoSpaceDN/>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 xml:space="preserve">1.时间：本项目公告发布之日起至2022年 </w:t>
      </w:r>
      <w:r>
        <w:rPr>
          <w:rFonts w:hint="eastAsia" w:hAnsi="宋体" w:cs="宋体"/>
          <w:color w:val="auto"/>
          <w:sz w:val="21"/>
          <w:szCs w:val="21"/>
          <w:highlight w:val="none"/>
          <w:lang w:val="en-US" w:eastAsia="zh-CN"/>
        </w:rPr>
        <w:t>10</w:t>
      </w:r>
      <w:r>
        <w:rPr>
          <w:rFonts w:hint="eastAsia" w:hAnsi="宋体" w:cs="宋体"/>
          <w:color w:val="auto"/>
          <w:sz w:val="21"/>
          <w:szCs w:val="21"/>
          <w:highlight w:val="none"/>
        </w:rPr>
        <w:t xml:space="preserve"> 月</w:t>
      </w:r>
      <w:r>
        <w:rPr>
          <w:rFonts w:hint="eastAsia" w:hAnsi="宋体" w:cs="宋体"/>
          <w:color w:val="auto"/>
          <w:sz w:val="21"/>
          <w:szCs w:val="21"/>
          <w:highlight w:val="none"/>
          <w:lang w:val="en-US" w:eastAsia="zh-CN"/>
        </w:rPr>
        <w:t>21</w:t>
      </w:r>
      <w:r>
        <w:rPr>
          <w:rFonts w:hint="eastAsia" w:hAnsi="宋体" w:cs="宋体"/>
          <w:color w:val="auto"/>
          <w:sz w:val="21"/>
          <w:szCs w:val="21"/>
          <w:highlight w:val="none"/>
        </w:rPr>
        <w:t xml:space="preserve"> 日止，每天上午00:00至12:00 ，下午12:00至23:59（北京时间）</w:t>
      </w:r>
    </w:p>
    <w:p>
      <w:pPr>
        <w:pStyle w:val="44"/>
        <w:adjustRightInd w:val="0"/>
        <w:snapToGrid w:val="0"/>
        <w:spacing w:before="0" w:beforeAutospacing="0" w:after="0" w:afterAutospacing="0" w:line="500" w:lineRule="exact"/>
        <w:ind w:firstLine="420" w:firstLineChars="200"/>
        <w:rPr>
          <w:rFonts w:ascii="宋体" w:cs="宋体"/>
          <w:color w:val="auto"/>
          <w:sz w:val="21"/>
          <w:szCs w:val="21"/>
          <w:highlight w:val="none"/>
        </w:rPr>
      </w:pPr>
      <w:r>
        <w:rPr>
          <w:rFonts w:hint="eastAsia" w:ascii="宋体" w:cs="宋体"/>
          <w:color w:val="auto"/>
          <w:sz w:val="21"/>
          <w:szCs w:val="21"/>
          <w:highlight w:val="none"/>
          <w:shd w:val="clear" w:color="auto" w:fill="FFFFFF"/>
        </w:rPr>
        <w:t xml:space="preserve">     地点（网址）：政采云平台线上获取。</w:t>
      </w:r>
    </w:p>
    <w:p>
      <w:pPr>
        <w:pStyle w:val="44"/>
        <w:adjustRightInd w:val="0"/>
        <w:snapToGrid w:val="0"/>
        <w:spacing w:before="0" w:beforeAutospacing="0" w:after="0" w:afterAutospacing="0" w:line="500" w:lineRule="exact"/>
        <w:ind w:firstLine="420" w:firstLineChars="200"/>
        <w:rPr>
          <w:rFonts w:ascii="宋体" w:cs="宋体"/>
          <w:color w:val="auto"/>
          <w:sz w:val="21"/>
          <w:szCs w:val="21"/>
          <w:highlight w:val="none"/>
          <w:shd w:val="clear" w:color="auto" w:fill="FFFFFF"/>
        </w:rPr>
      </w:pPr>
      <w:r>
        <w:rPr>
          <w:rFonts w:hint="eastAsia" w:ascii="宋体" w:cs="宋体"/>
          <w:color w:val="auto"/>
          <w:sz w:val="21"/>
          <w:szCs w:val="21"/>
          <w:highlight w:val="none"/>
          <w:shd w:val="clear" w:color="auto" w:fill="FFFFFF"/>
        </w:rPr>
        <w:t>2.招标文件获取地址：登录政采云平台--后台项目采购板块点击申请获取采购文件。</w:t>
      </w:r>
    </w:p>
    <w:p>
      <w:pPr>
        <w:pStyle w:val="44"/>
        <w:adjustRightInd w:val="0"/>
        <w:snapToGrid w:val="0"/>
        <w:spacing w:before="0" w:beforeAutospacing="0" w:after="0" w:afterAutospacing="0" w:line="500" w:lineRule="exact"/>
        <w:ind w:firstLine="420" w:firstLineChars="200"/>
        <w:rPr>
          <w:rFonts w:ascii="宋体" w:cs="宋体"/>
          <w:color w:val="auto"/>
          <w:sz w:val="21"/>
          <w:szCs w:val="21"/>
          <w:highlight w:val="none"/>
          <w:shd w:val="clear" w:color="auto" w:fill="FFFFFF"/>
        </w:rPr>
      </w:pPr>
      <w:r>
        <w:rPr>
          <w:rFonts w:hint="eastAsia" w:ascii="宋体" w:cs="宋体"/>
          <w:color w:val="auto"/>
          <w:sz w:val="21"/>
          <w:szCs w:val="21"/>
          <w:highlight w:val="none"/>
          <w:shd w:val="clear" w:color="auto" w:fill="FFFFFF"/>
        </w:rPr>
        <w:t>3.获取采购文件方式：投标人自行登录浙江省“政采云”平台（网址https://www.zcygov.cn）获取采购文件（投标人线上获取采购文件的流程：投标人登录浙江省“政采云”平台并进入【项目采购】应用模块，点击左侧菜单的【获取采购文件】，点击对应项目的【申请获取采购文件】按钮，填写获取采购文件申请信息后，点右下角【确定】按钮提交）。</w:t>
      </w:r>
    </w:p>
    <w:p>
      <w:pPr>
        <w:autoSpaceDE/>
        <w:autoSpaceDN/>
        <w:snapToGrid w:val="0"/>
        <w:spacing w:line="500" w:lineRule="exact"/>
        <w:ind w:firstLine="422" w:firstLineChars="200"/>
        <w:rPr>
          <w:rStyle w:val="50"/>
          <w:rFonts w:ascii="宋体" w:hAnsi="宋体" w:cs="宋体"/>
          <w:color w:val="auto"/>
          <w:sz w:val="21"/>
          <w:szCs w:val="21"/>
          <w:highlight w:val="none"/>
        </w:rPr>
      </w:pPr>
      <w:r>
        <w:rPr>
          <w:rStyle w:val="50"/>
          <w:rFonts w:hint="eastAsia" w:ascii="宋体" w:hAnsi="宋体" w:cs="宋体"/>
          <w:color w:val="auto"/>
          <w:sz w:val="21"/>
          <w:szCs w:val="21"/>
          <w:highlight w:val="none"/>
        </w:rPr>
        <w:t>注：</w:t>
      </w:r>
    </w:p>
    <w:p>
      <w:pPr>
        <w:pStyle w:val="2"/>
        <w:autoSpaceDE/>
        <w:autoSpaceDN/>
        <w:adjustRightInd w:val="0"/>
        <w:snapToGrid w:val="0"/>
        <w:spacing w:after="0" w:line="500" w:lineRule="exact"/>
        <w:ind w:left="0" w:leftChars="0" w:firstLine="422" w:firstLineChars="200"/>
        <w:jc w:val="left"/>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1）浙江政府采购网上随公告发布的采购文件仅供阅览；投标人应按上述方式获取采购文件；未按上述方式完成获取采购文件流程的，不得对采购文件提起质疑投诉。同时请投标人在参加投标前随时关注项目的可能更正公告情况。</w:t>
      </w:r>
    </w:p>
    <w:p>
      <w:pPr>
        <w:autoSpaceDE/>
        <w:autoSpaceDN/>
        <w:snapToGrid w:val="0"/>
        <w:spacing w:line="500" w:lineRule="exact"/>
        <w:ind w:firstLine="422" w:firstLineChars="200"/>
        <w:rPr>
          <w:rFonts w:hAnsi="宋体" w:cs="宋体"/>
          <w:color w:val="auto"/>
          <w:highlight w:val="none"/>
        </w:rPr>
      </w:pPr>
      <w:r>
        <w:rPr>
          <w:rFonts w:hint="eastAsia" w:hAnsi="宋体" w:cs="宋体"/>
          <w:b/>
          <w:bCs/>
          <w:color w:val="auto"/>
          <w:sz w:val="21"/>
          <w:szCs w:val="21"/>
          <w:highlight w:val="none"/>
        </w:rPr>
        <w:t>（2）采购代理机构将拒绝接</w:t>
      </w:r>
      <w:r>
        <w:rPr>
          <w:rStyle w:val="50"/>
          <w:rFonts w:hint="eastAsia" w:ascii="宋体" w:hAnsi="宋体" w:cs="宋体"/>
          <w:color w:val="auto"/>
          <w:sz w:val="21"/>
          <w:szCs w:val="21"/>
          <w:highlight w:val="none"/>
        </w:rPr>
        <w:t>受非报名人的投标文件。</w:t>
      </w:r>
    </w:p>
    <w:p>
      <w:pPr>
        <w:tabs>
          <w:tab w:val="left" w:pos="1260"/>
        </w:tabs>
        <w:autoSpaceDE/>
        <w:autoSpaceDN/>
        <w:snapToGrid w:val="0"/>
        <w:spacing w:line="500" w:lineRule="exact"/>
        <w:ind w:firstLine="422" w:firstLineChars="200"/>
        <w:rPr>
          <w:rFonts w:hAnsi="宋体" w:cs="宋体"/>
          <w:b/>
          <w:color w:val="auto"/>
          <w:sz w:val="21"/>
          <w:szCs w:val="21"/>
          <w:highlight w:val="none"/>
        </w:rPr>
      </w:pPr>
      <w:bookmarkStart w:id="27" w:name="_Toc28359082"/>
      <w:bookmarkStart w:id="28" w:name="_Toc28359005"/>
      <w:bookmarkStart w:id="29" w:name="_Toc35393793"/>
      <w:bookmarkStart w:id="30" w:name="_Toc35393624"/>
      <w:r>
        <w:rPr>
          <w:rFonts w:hint="eastAsia" w:hAnsi="宋体" w:cs="宋体"/>
          <w:b/>
          <w:color w:val="auto"/>
          <w:sz w:val="21"/>
          <w:szCs w:val="21"/>
          <w:highlight w:val="none"/>
        </w:rPr>
        <w:t>四、提交投标文件</w:t>
      </w:r>
      <w:bookmarkEnd w:id="27"/>
      <w:bookmarkEnd w:id="28"/>
      <w:r>
        <w:rPr>
          <w:rFonts w:hint="eastAsia" w:hAnsi="宋体" w:cs="宋体"/>
          <w:b/>
          <w:color w:val="auto"/>
          <w:sz w:val="21"/>
          <w:szCs w:val="21"/>
          <w:highlight w:val="none"/>
        </w:rPr>
        <w:t>截止时间、开标时间和地点</w:t>
      </w:r>
      <w:bookmarkEnd w:id="29"/>
      <w:bookmarkEnd w:id="30"/>
    </w:p>
    <w:p>
      <w:pPr>
        <w:tabs>
          <w:tab w:val="left" w:pos="1260"/>
        </w:tabs>
        <w:autoSpaceDE/>
        <w:autoSpaceDN/>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 xml:space="preserve">1.提交投标文件截止时间：2022年 </w:t>
      </w:r>
      <w:r>
        <w:rPr>
          <w:rFonts w:hint="eastAsia" w:hAnsi="宋体" w:cs="宋体"/>
          <w:color w:val="auto"/>
          <w:sz w:val="21"/>
          <w:szCs w:val="21"/>
          <w:highlight w:val="none"/>
          <w:lang w:val="en-US" w:eastAsia="zh-CN"/>
        </w:rPr>
        <w:t>10</w:t>
      </w:r>
      <w:r>
        <w:rPr>
          <w:rFonts w:hint="eastAsia" w:hAnsi="宋体" w:cs="宋体"/>
          <w:color w:val="auto"/>
          <w:sz w:val="21"/>
          <w:szCs w:val="21"/>
          <w:highlight w:val="none"/>
        </w:rPr>
        <w:t xml:space="preserve"> 月</w:t>
      </w:r>
      <w:r>
        <w:rPr>
          <w:rFonts w:hint="eastAsia" w:hAnsi="宋体" w:cs="宋体"/>
          <w:color w:val="auto"/>
          <w:sz w:val="21"/>
          <w:szCs w:val="21"/>
          <w:highlight w:val="none"/>
          <w:lang w:val="en-US" w:eastAsia="zh-CN"/>
        </w:rPr>
        <w:t>21</w:t>
      </w:r>
      <w:r>
        <w:rPr>
          <w:rFonts w:hint="eastAsia" w:hAnsi="宋体" w:cs="宋体"/>
          <w:color w:val="auto"/>
          <w:sz w:val="21"/>
          <w:szCs w:val="21"/>
          <w:highlight w:val="none"/>
        </w:rPr>
        <w:t xml:space="preserve"> 日</w:t>
      </w:r>
      <w:r>
        <w:rPr>
          <w:rFonts w:hint="eastAsia" w:hAnsi="宋体" w:cs="宋体"/>
          <w:color w:val="auto"/>
          <w:sz w:val="21"/>
          <w:szCs w:val="21"/>
          <w:highlight w:val="none"/>
          <w:lang w:val="en-US" w:eastAsia="zh-CN"/>
        </w:rPr>
        <w:t>09</w:t>
      </w:r>
      <w:r>
        <w:rPr>
          <w:rFonts w:hint="eastAsia" w:hAnsi="宋体" w:cs="宋体"/>
          <w:color w:val="auto"/>
          <w:sz w:val="21"/>
          <w:szCs w:val="21"/>
          <w:highlight w:val="none"/>
        </w:rPr>
        <w:t>：</w:t>
      </w:r>
      <w:r>
        <w:rPr>
          <w:rFonts w:hint="eastAsia" w:hAnsi="宋体" w:cs="宋体"/>
          <w:color w:val="auto"/>
          <w:sz w:val="21"/>
          <w:szCs w:val="21"/>
          <w:highlight w:val="none"/>
          <w:lang w:val="en-US" w:eastAsia="zh-CN"/>
        </w:rPr>
        <w:t>3</w:t>
      </w:r>
      <w:r>
        <w:rPr>
          <w:rFonts w:hint="eastAsia" w:hAnsi="宋体" w:cs="宋体"/>
          <w:color w:val="auto"/>
          <w:sz w:val="21"/>
          <w:szCs w:val="21"/>
          <w:highlight w:val="none"/>
        </w:rPr>
        <w:t>0时（北京时间）</w:t>
      </w:r>
    </w:p>
    <w:p>
      <w:pPr>
        <w:pStyle w:val="44"/>
        <w:adjustRightInd w:val="0"/>
        <w:snapToGrid w:val="0"/>
        <w:spacing w:before="0" w:beforeAutospacing="0" w:after="0" w:afterAutospacing="0" w:line="500" w:lineRule="exact"/>
        <w:ind w:firstLine="630" w:firstLineChars="300"/>
        <w:rPr>
          <w:rFonts w:ascii="宋体" w:cs="宋体"/>
          <w:color w:val="auto"/>
          <w:sz w:val="21"/>
          <w:szCs w:val="21"/>
          <w:highlight w:val="none"/>
        </w:rPr>
      </w:pPr>
      <w:r>
        <w:rPr>
          <w:rFonts w:hint="eastAsia" w:ascii="宋体" w:cs="宋体"/>
          <w:color w:val="auto"/>
          <w:sz w:val="21"/>
          <w:szCs w:val="21"/>
          <w:highlight w:val="none"/>
          <w:shd w:val="clear" w:color="auto" w:fill="FFFFFF"/>
        </w:rPr>
        <w:t>投标地点（网址）：通过浙江政府采购网政府采购云平台实行在线投标响应。</w:t>
      </w:r>
    </w:p>
    <w:p>
      <w:pPr>
        <w:pStyle w:val="44"/>
        <w:adjustRightInd w:val="0"/>
        <w:snapToGrid w:val="0"/>
        <w:spacing w:before="0" w:beforeAutospacing="0" w:after="0" w:afterAutospacing="0" w:line="500" w:lineRule="exact"/>
        <w:ind w:firstLine="420" w:firstLineChars="200"/>
        <w:rPr>
          <w:rFonts w:ascii="宋体" w:cs="宋体"/>
          <w:color w:val="auto"/>
          <w:sz w:val="21"/>
          <w:szCs w:val="21"/>
          <w:highlight w:val="none"/>
        </w:rPr>
      </w:pPr>
      <w:r>
        <w:rPr>
          <w:rFonts w:hint="eastAsia" w:ascii="宋体" w:cs="宋体"/>
          <w:color w:val="auto"/>
          <w:sz w:val="21"/>
          <w:szCs w:val="21"/>
          <w:highlight w:val="none"/>
          <w:shd w:val="clear" w:color="auto" w:fill="FFFFFF"/>
        </w:rPr>
        <w:t>  开标时间</w:t>
      </w:r>
      <w:r>
        <w:rPr>
          <w:rFonts w:hint="eastAsia" w:ascii="宋体" w:cs="宋体"/>
          <w:color w:val="auto"/>
          <w:sz w:val="21"/>
          <w:szCs w:val="21"/>
          <w:highlight w:val="none"/>
        </w:rPr>
        <w:t>：</w:t>
      </w:r>
      <w:r>
        <w:rPr>
          <w:rFonts w:hint="eastAsia" w:hAnsi="宋体" w:cs="宋体"/>
          <w:color w:val="auto"/>
          <w:sz w:val="21"/>
          <w:szCs w:val="21"/>
          <w:highlight w:val="none"/>
        </w:rPr>
        <w:t xml:space="preserve">2022年 </w:t>
      </w:r>
      <w:r>
        <w:rPr>
          <w:rFonts w:hint="eastAsia" w:hAnsi="宋体" w:cs="宋体"/>
          <w:color w:val="auto"/>
          <w:sz w:val="21"/>
          <w:szCs w:val="21"/>
          <w:highlight w:val="none"/>
          <w:lang w:val="en-US" w:eastAsia="zh-CN"/>
        </w:rPr>
        <w:t>10</w:t>
      </w:r>
      <w:r>
        <w:rPr>
          <w:rFonts w:hint="eastAsia" w:hAnsi="宋体" w:cs="宋体"/>
          <w:color w:val="auto"/>
          <w:sz w:val="21"/>
          <w:szCs w:val="21"/>
          <w:highlight w:val="none"/>
        </w:rPr>
        <w:t xml:space="preserve"> 月</w:t>
      </w:r>
      <w:r>
        <w:rPr>
          <w:rFonts w:hint="eastAsia" w:hAnsi="宋体" w:cs="宋体"/>
          <w:color w:val="auto"/>
          <w:sz w:val="21"/>
          <w:szCs w:val="21"/>
          <w:highlight w:val="none"/>
          <w:lang w:val="en-US" w:eastAsia="zh-CN"/>
        </w:rPr>
        <w:t>21</w:t>
      </w:r>
      <w:r>
        <w:rPr>
          <w:rFonts w:hint="eastAsia" w:hAnsi="宋体" w:cs="宋体"/>
          <w:color w:val="auto"/>
          <w:sz w:val="21"/>
          <w:szCs w:val="21"/>
          <w:highlight w:val="none"/>
        </w:rPr>
        <w:t xml:space="preserve"> 日</w:t>
      </w:r>
      <w:r>
        <w:rPr>
          <w:rFonts w:hint="eastAsia" w:hAnsi="宋体" w:cs="宋体"/>
          <w:color w:val="auto"/>
          <w:sz w:val="21"/>
          <w:szCs w:val="21"/>
          <w:highlight w:val="none"/>
          <w:lang w:val="en-US" w:eastAsia="zh-CN"/>
        </w:rPr>
        <w:t>09</w:t>
      </w:r>
      <w:r>
        <w:rPr>
          <w:rFonts w:hint="eastAsia" w:hAnsi="宋体" w:cs="宋体"/>
          <w:color w:val="auto"/>
          <w:sz w:val="21"/>
          <w:szCs w:val="21"/>
          <w:highlight w:val="none"/>
        </w:rPr>
        <w:t>：</w:t>
      </w:r>
      <w:r>
        <w:rPr>
          <w:rFonts w:hint="eastAsia" w:hAnsi="宋体" w:cs="宋体"/>
          <w:color w:val="auto"/>
          <w:sz w:val="21"/>
          <w:szCs w:val="21"/>
          <w:highlight w:val="none"/>
          <w:lang w:val="en-US" w:eastAsia="zh-CN"/>
        </w:rPr>
        <w:t>3</w:t>
      </w:r>
      <w:r>
        <w:rPr>
          <w:rFonts w:hint="eastAsia" w:hAnsi="宋体" w:cs="宋体"/>
          <w:color w:val="auto"/>
          <w:sz w:val="21"/>
          <w:szCs w:val="21"/>
          <w:highlight w:val="none"/>
        </w:rPr>
        <w:t>0</w:t>
      </w:r>
      <w:r>
        <w:rPr>
          <w:rFonts w:hint="eastAsia" w:ascii="宋体" w:cs="宋体"/>
          <w:color w:val="auto"/>
          <w:sz w:val="21"/>
          <w:szCs w:val="21"/>
          <w:highlight w:val="none"/>
          <w:shd w:val="clear" w:color="auto" w:fill="FFFFFF"/>
        </w:rPr>
        <w:t>时（北京时间）</w:t>
      </w:r>
    </w:p>
    <w:p>
      <w:pPr>
        <w:pStyle w:val="44"/>
        <w:adjustRightInd w:val="0"/>
        <w:snapToGrid w:val="0"/>
        <w:spacing w:before="0" w:beforeAutospacing="0" w:after="0" w:afterAutospacing="0" w:line="500" w:lineRule="exact"/>
        <w:ind w:firstLine="420" w:firstLineChars="200"/>
        <w:rPr>
          <w:rFonts w:ascii="宋体" w:cs="宋体"/>
          <w:color w:val="auto"/>
          <w:sz w:val="21"/>
          <w:szCs w:val="21"/>
          <w:highlight w:val="none"/>
        </w:rPr>
      </w:pPr>
      <w:r>
        <w:rPr>
          <w:rFonts w:hint="eastAsia" w:ascii="宋体" w:cs="宋体"/>
          <w:color w:val="auto"/>
          <w:sz w:val="21"/>
          <w:szCs w:val="21"/>
          <w:highlight w:val="none"/>
          <w:shd w:val="clear" w:color="auto" w:fill="FFFFFF"/>
        </w:rPr>
        <w:t>  开标地点（网址）：</w:t>
      </w:r>
      <w:r>
        <w:rPr>
          <w:rFonts w:hint="eastAsia" w:ascii="宋体" w:cs="宋体"/>
          <w:color w:val="auto"/>
          <w:sz w:val="21"/>
          <w:szCs w:val="21"/>
          <w:highlight w:val="none"/>
        </w:rPr>
        <w:t>金华市双龙南街858号金华财富大厦（金华市行政服务中心新办事大厅4楼开标</w:t>
      </w:r>
      <w:r>
        <w:rPr>
          <w:rFonts w:hint="eastAsia" w:ascii="宋体" w:cs="宋体"/>
          <w:color w:val="auto"/>
          <w:sz w:val="21"/>
          <w:szCs w:val="21"/>
          <w:highlight w:val="none"/>
          <w:lang w:val="en-US" w:eastAsia="zh-CN"/>
        </w:rPr>
        <w:t>1</w:t>
      </w:r>
      <w:r>
        <w:rPr>
          <w:rFonts w:hint="eastAsia" w:ascii="宋体" w:cs="宋体"/>
          <w:color w:val="auto"/>
          <w:sz w:val="21"/>
          <w:szCs w:val="21"/>
          <w:highlight w:val="none"/>
        </w:rPr>
        <w:t>室），本项目</w:t>
      </w:r>
      <w:r>
        <w:rPr>
          <w:rFonts w:hint="eastAsia" w:ascii="宋体" w:cs="宋体"/>
          <w:color w:val="auto"/>
          <w:sz w:val="21"/>
          <w:szCs w:val="21"/>
          <w:highlight w:val="none"/>
          <w:shd w:val="clear" w:color="auto" w:fill="FFFFFF"/>
        </w:rPr>
        <w:t>通过浙江政府采购网政府采</w:t>
      </w:r>
      <w:r>
        <w:rPr>
          <w:rFonts w:hint="eastAsia" w:ascii="宋体" w:cs="宋体"/>
          <w:color w:val="auto"/>
          <w:sz w:val="21"/>
          <w:szCs w:val="21"/>
          <w:highlight w:val="none"/>
        </w:rPr>
        <w:t>购云平台在线开标，</w:t>
      </w:r>
      <w:r>
        <w:rPr>
          <w:rStyle w:val="50"/>
          <w:rFonts w:hint="eastAsia" w:ascii="宋体" w:hAnsi="宋体" w:cs="宋体"/>
          <w:b w:val="0"/>
          <w:color w:val="auto"/>
          <w:sz w:val="21"/>
          <w:szCs w:val="21"/>
          <w:highlight w:val="none"/>
        </w:rPr>
        <w:t>投标人无须到开标现场，但须准时在线参加，</w:t>
      </w:r>
      <w:r>
        <w:rPr>
          <w:rStyle w:val="50"/>
          <w:rFonts w:hint="eastAsia" w:ascii="宋体" w:hAnsi="宋体" w:cs="宋体"/>
          <w:b w:val="0"/>
          <w:bCs w:val="0"/>
          <w:color w:val="auto"/>
          <w:sz w:val="21"/>
          <w:szCs w:val="21"/>
          <w:highlight w:val="none"/>
        </w:rPr>
        <w:t>直至评审结束。</w:t>
      </w:r>
      <w:r>
        <w:rPr>
          <w:rFonts w:hint="eastAsia" w:ascii="宋体" w:cs="宋体"/>
          <w:color w:val="auto"/>
          <w:sz w:val="21"/>
          <w:szCs w:val="21"/>
          <w:highlight w:val="none"/>
        </w:rPr>
        <w:t>开标截止时间后30分钟以内投标人登录“政采云”平台，用“项目采购-开标评标”功能进行解密投标文件。若投标人在规定时间内投标文件无法解密或解密失败（含未提交），则投标无效。</w:t>
      </w:r>
    </w:p>
    <w:p>
      <w:pPr>
        <w:pStyle w:val="44"/>
        <w:numPr>
          <w:ilvl w:val="0"/>
          <w:numId w:val="2"/>
        </w:numPr>
        <w:adjustRightInd w:val="0"/>
        <w:snapToGrid w:val="0"/>
        <w:spacing w:before="0" w:beforeAutospacing="0" w:after="0" w:afterAutospacing="0" w:line="500" w:lineRule="exact"/>
        <w:ind w:firstLine="422" w:firstLineChars="200"/>
        <w:rPr>
          <w:rStyle w:val="50"/>
          <w:rFonts w:ascii="宋体" w:hAnsi="宋体" w:cs="宋体"/>
          <w:color w:val="auto"/>
          <w:sz w:val="21"/>
          <w:szCs w:val="21"/>
          <w:highlight w:val="none"/>
          <w:shd w:val="clear" w:color="auto" w:fill="FFFFFF"/>
        </w:rPr>
      </w:pPr>
      <w:bookmarkStart w:id="31" w:name="_Toc28359007"/>
      <w:bookmarkStart w:id="32" w:name="_Toc35393794"/>
      <w:bookmarkStart w:id="33" w:name="_Toc35393625"/>
      <w:bookmarkStart w:id="34" w:name="_Toc28359084"/>
      <w:r>
        <w:rPr>
          <w:rStyle w:val="50"/>
          <w:rFonts w:hint="eastAsia" w:ascii="宋体" w:hAnsi="宋体" w:cs="宋体"/>
          <w:color w:val="auto"/>
          <w:sz w:val="21"/>
          <w:szCs w:val="21"/>
          <w:highlight w:val="none"/>
          <w:shd w:val="clear" w:color="auto" w:fill="FFFFFF"/>
        </w:rPr>
        <w:t>公告期限</w:t>
      </w:r>
    </w:p>
    <w:p>
      <w:pPr>
        <w:tabs>
          <w:tab w:val="left" w:pos="1260"/>
        </w:tabs>
        <w:autoSpaceDE/>
        <w:autoSpaceDN/>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自本公告发布之日起5个工作日。</w:t>
      </w:r>
    </w:p>
    <w:p>
      <w:pPr>
        <w:tabs>
          <w:tab w:val="left" w:pos="1260"/>
        </w:tabs>
        <w:autoSpaceDE/>
        <w:autoSpaceDN/>
        <w:snapToGrid w:val="0"/>
        <w:spacing w:line="500" w:lineRule="exact"/>
        <w:ind w:firstLine="422" w:firstLineChars="200"/>
        <w:rPr>
          <w:rFonts w:hAnsi="宋体" w:cs="宋体"/>
          <w:color w:val="auto"/>
          <w:highlight w:val="none"/>
        </w:rPr>
      </w:pPr>
      <w:r>
        <w:rPr>
          <w:rFonts w:hint="eastAsia" w:hAnsi="宋体" w:cs="宋体"/>
          <w:b/>
          <w:color w:val="auto"/>
          <w:sz w:val="21"/>
          <w:szCs w:val="21"/>
          <w:highlight w:val="none"/>
        </w:rPr>
        <w:t>六、公告地址：</w:t>
      </w:r>
      <w:r>
        <w:rPr>
          <w:rFonts w:hint="eastAsia" w:hAnsi="宋体" w:cs="宋体"/>
          <w:color w:val="auto"/>
          <w:sz w:val="21"/>
          <w:szCs w:val="21"/>
          <w:highlight w:val="none"/>
        </w:rPr>
        <w:t>浙江政府采购网(http://zfcg.czt.zj.gov.cn/)。</w:t>
      </w:r>
    </w:p>
    <w:p>
      <w:pPr>
        <w:tabs>
          <w:tab w:val="left" w:pos="1260"/>
        </w:tabs>
        <w:autoSpaceDE/>
        <w:autoSpaceDN/>
        <w:snapToGrid w:val="0"/>
        <w:spacing w:line="500" w:lineRule="exact"/>
        <w:ind w:firstLine="422" w:firstLineChars="200"/>
        <w:rPr>
          <w:rFonts w:hAnsi="宋体" w:cs="宋体"/>
          <w:color w:val="auto"/>
          <w:sz w:val="21"/>
          <w:szCs w:val="21"/>
          <w:highlight w:val="none"/>
        </w:rPr>
      </w:pPr>
      <w:r>
        <w:rPr>
          <w:rFonts w:hint="eastAsia" w:hAnsi="宋体" w:cs="宋体"/>
          <w:b/>
          <w:color w:val="auto"/>
          <w:sz w:val="21"/>
          <w:szCs w:val="21"/>
          <w:highlight w:val="none"/>
        </w:rPr>
        <w:t>七、其他补充事宜</w:t>
      </w:r>
    </w:p>
    <w:p>
      <w:pPr>
        <w:tabs>
          <w:tab w:val="left" w:pos="1260"/>
        </w:tabs>
        <w:adjustRightInd/>
        <w:spacing w:line="500" w:lineRule="exact"/>
        <w:ind w:firstLine="420" w:firstLineChars="200"/>
        <w:rPr>
          <w:rFonts w:hAnsi="宋体" w:cs="宋体"/>
          <w:bCs/>
          <w:color w:val="auto"/>
          <w:sz w:val="21"/>
          <w:szCs w:val="21"/>
          <w:highlight w:val="none"/>
        </w:rPr>
      </w:pPr>
      <w:r>
        <w:rPr>
          <w:rFonts w:hint="eastAsia" w:hAnsi="宋体" w:cs="宋体"/>
          <w:bCs/>
          <w:color w:val="auto"/>
          <w:sz w:val="21"/>
          <w:szCs w:val="21"/>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助力扎实稳住经济的通知》（浙财采监〔2022〕8号）已分别于2022年1月29日、2022年2月1日和2022年7月1日开始实施，此前有关规定与上述文件内容不一致的，按上述文件要求执行。</w:t>
      </w:r>
    </w:p>
    <w:p>
      <w:pPr>
        <w:tabs>
          <w:tab w:val="left" w:pos="1260"/>
        </w:tabs>
        <w:autoSpaceDE/>
        <w:autoSpaceDN/>
        <w:adjustRightInd/>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本项目面向</w:t>
      </w:r>
      <w:r>
        <w:rPr>
          <w:rFonts w:hint="eastAsia" w:hAnsi="宋体" w:cs="宋体"/>
          <w:color w:val="auto"/>
          <w:sz w:val="21"/>
          <w:szCs w:val="21"/>
          <w:highlight w:val="none"/>
          <w:lang w:val="en-US" w:eastAsia="zh-CN"/>
        </w:rPr>
        <w:t>大</w:t>
      </w:r>
      <w:r>
        <w:rPr>
          <w:rFonts w:hint="eastAsia" w:hAnsi="宋体" w:cs="宋体"/>
          <w:color w:val="auto"/>
          <w:sz w:val="21"/>
          <w:szCs w:val="21"/>
          <w:highlight w:val="none"/>
        </w:rPr>
        <w:t>中小企业</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公益二类事业单位采购</w:t>
      </w:r>
      <w:r>
        <w:rPr>
          <w:rFonts w:hint="eastAsia" w:hAnsi="宋体" w:cs="宋体"/>
          <w:color w:val="auto"/>
          <w:sz w:val="21"/>
          <w:szCs w:val="21"/>
          <w:highlight w:val="none"/>
        </w:rPr>
        <w:t>。采购单位、采购代理机构结合本项目实际，将对符合规定的小微企业报价给予20%的扣除，用扣除后的价格参加评审。</w:t>
      </w:r>
    </w:p>
    <w:p>
      <w:pPr>
        <w:tabs>
          <w:tab w:val="left" w:pos="1260"/>
        </w:tabs>
        <w:autoSpaceDE/>
        <w:autoSpaceDN/>
        <w:adjustRightInd/>
        <w:spacing w:line="500" w:lineRule="exact"/>
        <w:ind w:firstLine="420" w:firstLineChars="200"/>
        <w:rPr>
          <w:rFonts w:hAnsi="宋体" w:cs="宋体"/>
          <w:bCs/>
          <w:color w:val="auto"/>
          <w:sz w:val="21"/>
          <w:szCs w:val="21"/>
          <w:highlight w:val="none"/>
        </w:rPr>
      </w:pPr>
      <w:r>
        <w:rPr>
          <w:rFonts w:hint="eastAsia" w:hAnsi="宋体" w:cs="宋体"/>
          <w:bCs/>
          <w:color w:val="auto"/>
          <w:sz w:val="21"/>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44"/>
        <w:snapToGrid w:val="0"/>
        <w:spacing w:before="0" w:beforeAutospacing="0" w:after="0" w:afterAutospacing="0" w:line="500" w:lineRule="exact"/>
        <w:ind w:firstLine="420" w:firstLineChars="200"/>
        <w:rPr>
          <w:rStyle w:val="50"/>
          <w:rFonts w:ascii="宋体" w:hAnsi="宋体" w:cs="宋体"/>
          <w:b w:val="0"/>
          <w:bCs w:val="0"/>
          <w:color w:val="auto"/>
          <w:sz w:val="21"/>
          <w:szCs w:val="21"/>
          <w:highlight w:val="none"/>
          <w:shd w:val="clear" w:color="auto" w:fill="FFFFFF"/>
        </w:rPr>
      </w:pPr>
      <w:r>
        <w:rPr>
          <w:rFonts w:hint="eastAsia" w:ascii="宋体" w:cs="宋体"/>
          <w:bCs/>
          <w:color w:val="auto"/>
          <w:sz w:val="21"/>
          <w:szCs w:val="21"/>
          <w:highlight w:val="none"/>
        </w:rPr>
        <w:t>3.供应商认为采购文件使自己的权益受到损害的，可以自获取采购文件之日或者采购文件公告期限届满之日（公告期限届满后获取采购文件的，以公告期限届满之日为准）起7个工作日内，对采购文件</w:t>
      </w:r>
      <w:r>
        <w:rPr>
          <w:rFonts w:hint="eastAsia" w:ascii="宋体" w:cs="宋体"/>
          <w:b/>
          <w:color w:val="auto"/>
          <w:sz w:val="21"/>
          <w:szCs w:val="21"/>
          <w:highlight w:val="none"/>
        </w:rPr>
        <w:t>需求</w:t>
      </w:r>
      <w:r>
        <w:rPr>
          <w:rFonts w:hint="eastAsia" w:ascii="宋体" w:cs="宋体"/>
          <w:bCs/>
          <w:color w:val="auto"/>
          <w:sz w:val="21"/>
          <w:szCs w:val="21"/>
          <w:highlight w:val="none"/>
        </w:rPr>
        <w:t>的以书面形式向采购人提出质疑，对</w:t>
      </w:r>
      <w:r>
        <w:rPr>
          <w:rFonts w:hint="eastAsia" w:ascii="宋体" w:cs="宋体"/>
          <w:b/>
          <w:color w:val="auto"/>
          <w:sz w:val="21"/>
          <w:szCs w:val="21"/>
          <w:highlight w:val="none"/>
        </w:rPr>
        <w:t>其他内容</w:t>
      </w:r>
      <w:r>
        <w:rPr>
          <w:rFonts w:hint="eastAsia" w:ascii="宋体" w:cs="宋体"/>
          <w:bCs/>
          <w:color w:val="auto"/>
          <w:sz w:val="21"/>
          <w:szCs w:val="21"/>
          <w:highlight w:val="none"/>
        </w:rPr>
        <w:t>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供应商应在法定质疑期内一次性提出针对同一采购程序环节的质疑。</w:t>
      </w:r>
    </w:p>
    <w:p>
      <w:pPr>
        <w:tabs>
          <w:tab w:val="left" w:pos="1260"/>
        </w:tabs>
        <w:adjustRightInd/>
        <w:spacing w:line="500" w:lineRule="exact"/>
        <w:ind w:firstLine="420"/>
        <w:jc w:val="both"/>
        <w:rPr>
          <w:rFonts w:hAnsi="宋体" w:cs="宋体"/>
          <w:bCs/>
          <w:color w:val="auto"/>
          <w:sz w:val="21"/>
          <w:szCs w:val="21"/>
          <w:highlight w:val="none"/>
        </w:rPr>
      </w:pPr>
      <w:r>
        <w:rPr>
          <w:rFonts w:hint="eastAsia" w:hAnsi="宋体" w:cs="宋体"/>
          <w:bCs/>
          <w:color w:val="auto"/>
          <w:sz w:val="21"/>
          <w:szCs w:val="21"/>
          <w:highlight w:val="none"/>
        </w:rPr>
        <w:t>4.其他事项：见招标文件。 </w:t>
      </w:r>
    </w:p>
    <w:p>
      <w:pPr>
        <w:tabs>
          <w:tab w:val="left" w:pos="1260"/>
        </w:tabs>
        <w:adjustRightInd/>
        <w:spacing w:line="500" w:lineRule="exact"/>
        <w:ind w:firstLine="420"/>
        <w:jc w:val="both"/>
        <w:rPr>
          <w:rFonts w:hAnsi="宋体" w:cs="宋体"/>
          <w:bCs/>
          <w:color w:val="auto"/>
          <w:sz w:val="21"/>
          <w:szCs w:val="21"/>
          <w:highlight w:val="none"/>
        </w:rPr>
      </w:pPr>
      <w:r>
        <w:rPr>
          <w:rFonts w:hint="eastAsia" w:hAnsi="宋体" w:cs="宋体"/>
          <w:bCs/>
          <w:color w:val="auto"/>
          <w:sz w:val="21"/>
          <w:szCs w:val="21"/>
          <w:highlight w:val="none"/>
        </w:rPr>
        <w:t>5.企业信用融资: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网(https://zfcg. czt.zj. gov.cn/)的中小企业信用融资栏目了解相关信息。供应商可以通过浙江政府采购网(https://zfcg. czt.zj. gov.cn/)首页的“政采云金融服务”模块进入申请，还可以通过政府采购云平台(https://www.zcygov.cn/)首页的“金融服务”模块进入申请。</w:t>
      </w:r>
    </w:p>
    <w:p>
      <w:pPr>
        <w:widowControl/>
        <w:tabs>
          <w:tab w:val="left" w:pos="1260"/>
        </w:tabs>
        <w:autoSpaceDE/>
        <w:autoSpaceDN/>
        <w:adjustRightInd/>
        <w:spacing w:line="500" w:lineRule="exact"/>
        <w:ind w:firstLine="420"/>
        <w:jc w:val="both"/>
        <w:rPr>
          <w:rFonts w:hAnsi="宋体" w:cs="宋体"/>
          <w:bCs/>
          <w:color w:val="auto"/>
          <w:sz w:val="21"/>
          <w:szCs w:val="21"/>
          <w:highlight w:val="none"/>
        </w:rPr>
      </w:pPr>
      <w:r>
        <w:rPr>
          <w:rFonts w:hint="eastAsia" w:hAnsi="宋体" w:cs="宋体"/>
          <w:bCs/>
          <w:color w:val="auto"/>
          <w:sz w:val="21"/>
          <w:szCs w:val="21"/>
          <w:highlight w:val="none"/>
        </w:rPr>
        <w:t>6.根据《浙江省财政厅关于进一步加大政府采购支持中小企业力度 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pPr>
        <w:widowControl/>
        <w:tabs>
          <w:tab w:val="left" w:pos="1260"/>
        </w:tabs>
        <w:autoSpaceDE/>
        <w:autoSpaceDN/>
        <w:adjustRightInd/>
        <w:spacing w:line="500" w:lineRule="exact"/>
        <w:ind w:firstLine="420"/>
        <w:jc w:val="both"/>
        <w:rPr>
          <w:rFonts w:hAnsi="宋体" w:cs="宋体"/>
          <w:b/>
          <w:color w:val="auto"/>
          <w:sz w:val="21"/>
          <w:szCs w:val="21"/>
          <w:highlight w:val="none"/>
        </w:rPr>
      </w:pPr>
      <w:r>
        <w:rPr>
          <w:rFonts w:hint="eastAsia" w:hAnsi="宋体" w:cs="宋体"/>
          <w:b/>
          <w:color w:val="auto"/>
          <w:sz w:val="21"/>
          <w:szCs w:val="21"/>
          <w:highlight w:val="none"/>
        </w:rPr>
        <w:t>政府采购金融服务提示：</w:t>
      </w:r>
    </w:p>
    <w:p>
      <w:pPr>
        <w:spacing w:line="5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为扩大政府采购金融服务面，除政采云网上金融服务合作银行外，金华市范围增加线下合作银行两家，具体信息如下：</w:t>
      </w:r>
    </w:p>
    <w:p>
      <w:pPr>
        <w:spacing w:line="5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金华银行文创支行    联系人：  姜峰       联系电话：13905792828      0579-82479020</w:t>
      </w:r>
    </w:p>
    <w:p>
      <w:pPr>
        <w:spacing w:line="5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浙商银行金华分行   联系人：   朱晨祥     联系电话： 15857978811     0579-82999581</w:t>
      </w:r>
    </w:p>
    <w:p>
      <w:pPr>
        <w:pStyle w:val="44"/>
        <w:adjustRightInd w:val="0"/>
        <w:snapToGrid w:val="0"/>
        <w:spacing w:before="0" w:beforeAutospacing="0" w:after="0" w:afterAutospacing="0" w:line="500" w:lineRule="exact"/>
        <w:ind w:firstLine="422" w:firstLineChars="200"/>
        <w:rPr>
          <w:rFonts w:ascii="宋体" w:cs="宋体"/>
          <w:color w:val="auto"/>
          <w:sz w:val="21"/>
          <w:szCs w:val="21"/>
          <w:highlight w:val="none"/>
        </w:rPr>
      </w:pPr>
      <w:r>
        <w:rPr>
          <w:rStyle w:val="50"/>
          <w:rFonts w:hint="eastAsia" w:ascii="宋体" w:hAnsi="宋体" w:cs="宋体"/>
          <w:color w:val="auto"/>
          <w:sz w:val="21"/>
          <w:szCs w:val="21"/>
          <w:highlight w:val="none"/>
          <w:shd w:val="clear" w:color="auto" w:fill="FFFFFF"/>
        </w:rPr>
        <w:t>八、电子投标事项特别说明</w:t>
      </w:r>
    </w:p>
    <w:p>
      <w:pPr>
        <w:pStyle w:val="44"/>
        <w:adjustRightInd w:val="0"/>
        <w:snapToGrid w:val="0"/>
        <w:spacing w:before="0" w:beforeAutospacing="0" w:after="0" w:afterAutospacing="0" w:line="500" w:lineRule="exact"/>
        <w:ind w:firstLine="420" w:firstLineChars="200"/>
        <w:rPr>
          <w:rFonts w:ascii="宋体" w:cs="宋体"/>
          <w:color w:val="auto"/>
          <w:sz w:val="21"/>
          <w:szCs w:val="21"/>
          <w:highlight w:val="none"/>
          <w:shd w:val="clear" w:color="auto" w:fill="FFFFFF"/>
        </w:rPr>
      </w:pPr>
      <w:r>
        <w:rPr>
          <w:rFonts w:hint="eastAsia" w:ascii="宋体" w:cs="宋体"/>
          <w:color w:val="auto"/>
          <w:sz w:val="21"/>
          <w:szCs w:val="21"/>
          <w:highlight w:val="none"/>
          <w:shd w:val="clear" w:color="auto" w:fill="FFFFFF"/>
        </w:rPr>
        <w:t>1.本项目实行电子投标，投标人应按照本项目采购文件和政采云平台的要求编制、加密并递交响应文件。投标人在使用系统进行投标的过程中遇到涉及平台使用的任何问题，可致电政采云平台技术支持热线咨询，联系方式：400-881-7190。</w:t>
      </w:r>
    </w:p>
    <w:p>
      <w:pPr>
        <w:pStyle w:val="44"/>
        <w:adjustRightInd w:val="0"/>
        <w:snapToGrid w:val="0"/>
        <w:spacing w:before="0" w:beforeAutospacing="0" w:after="0" w:afterAutospacing="0" w:line="500" w:lineRule="exact"/>
        <w:ind w:firstLine="420" w:firstLineChars="200"/>
        <w:rPr>
          <w:rFonts w:ascii="宋体" w:cs="宋体"/>
          <w:color w:val="auto"/>
          <w:sz w:val="21"/>
          <w:szCs w:val="21"/>
          <w:highlight w:val="none"/>
          <w:shd w:val="clear" w:color="auto" w:fill="FFFFFF"/>
        </w:rPr>
      </w:pPr>
      <w:r>
        <w:rPr>
          <w:rFonts w:hint="eastAsia" w:ascii="宋体" w:cs="宋体"/>
          <w:color w:val="auto"/>
          <w:sz w:val="21"/>
          <w:szCs w:val="21"/>
          <w:highlight w:val="none"/>
          <w:shd w:val="clear" w:color="auto" w:fill="FFFFFF"/>
        </w:rPr>
        <w:t>2.投标人应在开标前完成 CA 数字证书办理。完成 CA 数字证书办理预计一周左右，建议各投标人抓紧时间办理。</w:t>
      </w:r>
    </w:p>
    <w:p>
      <w:pPr>
        <w:pStyle w:val="44"/>
        <w:adjustRightInd w:val="0"/>
        <w:snapToGrid w:val="0"/>
        <w:spacing w:before="0" w:beforeAutospacing="0" w:after="0" w:afterAutospacing="0" w:line="500" w:lineRule="exact"/>
        <w:ind w:firstLine="420" w:firstLineChars="200"/>
        <w:rPr>
          <w:rFonts w:ascii="宋体" w:cs="宋体"/>
          <w:color w:val="auto"/>
          <w:sz w:val="21"/>
          <w:szCs w:val="21"/>
          <w:highlight w:val="none"/>
          <w:shd w:val="clear" w:color="auto" w:fill="FFFFFF"/>
        </w:rPr>
      </w:pPr>
      <w:r>
        <w:rPr>
          <w:rFonts w:hint="eastAsia" w:ascii="宋体" w:cs="宋体"/>
          <w:color w:val="auto"/>
          <w:sz w:val="21"/>
          <w:szCs w:val="21"/>
          <w:highlight w:val="none"/>
          <w:shd w:val="clear" w:color="auto" w:fill="FFFFFF"/>
        </w:rPr>
        <w:t>3.投标人通过政采云平台“电子交易客户端”制作响应文件，电子投标工具请投标人自行前往浙江省政府采购网下载并安装。</w:t>
      </w:r>
    </w:p>
    <w:p>
      <w:pPr>
        <w:pStyle w:val="44"/>
        <w:adjustRightInd w:val="0"/>
        <w:snapToGrid w:val="0"/>
        <w:spacing w:before="0" w:beforeAutospacing="0" w:after="0" w:afterAutospacing="0" w:line="500" w:lineRule="exact"/>
        <w:ind w:firstLine="420" w:firstLineChars="200"/>
        <w:rPr>
          <w:rFonts w:ascii="宋体" w:cs="宋体"/>
          <w:color w:val="auto"/>
          <w:sz w:val="21"/>
          <w:szCs w:val="21"/>
          <w:highlight w:val="none"/>
          <w:shd w:val="clear" w:color="auto" w:fill="FFFFFF"/>
        </w:rPr>
      </w:pPr>
      <w:r>
        <w:rPr>
          <w:rFonts w:hint="eastAsia" w:ascii="宋体" w:cs="宋体"/>
          <w:color w:val="auto"/>
          <w:sz w:val="21"/>
          <w:szCs w:val="21"/>
          <w:highlight w:val="none"/>
          <w:shd w:val="clear" w:color="auto" w:fill="FFFFFF"/>
        </w:rPr>
        <w:t>4.投标人将加密的电子版响应文件于投标截止时间前上传到政采云系统中。</w:t>
      </w:r>
    </w:p>
    <w:p>
      <w:pPr>
        <w:pStyle w:val="44"/>
        <w:adjustRightInd w:val="0"/>
        <w:snapToGrid w:val="0"/>
        <w:spacing w:before="0" w:beforeAutospacing="0" w:after="0" w:afterAutospacing="0" w:line="500" w:lineRule="exact"/>
        <w:ind w:firstLine="420" w:firstLineChars="200"/>
        <w:rPr>
          <w:rFonts w:ascii="宋体" w:cs="宋体"/>
          <w:color w:val="auto"/>
          <w:sz w:val="21"/>
          <w:szCs w:val="21"/>
          <w:highlight w:val="none"/>
          <w:shd w:val="clear" w:color="auto" w:fill="FFFFFF"/>
        </w:rPr>
      </w:pPr>
      <w:r>
        <w:rPr>
          <w:rFonts w:hint="eastAsia" w:ascii="宋体" w:cs="宋体"/>
          <w:color w:val="auto"/>
          <w:sz w:val="21"/>
          <w:szCs w:val="21"/>
          <w:highlight w:val="none"/>
          <w:shd w:val="clear" w:color="auto" w:fill="FFFFFF"/>
        </w:rPr>
        <w:t>5.具体的响应文件加密上传等操作详见政采云平台操作指南。https://edu.zcygov.cn/luban/e-biding?utm=a0004.2ef5001f.0001.0109.da8b35e0da8611e98d8937b7ef8a3544 。</w:t>
      </w:r>
    </w:p>
    <w:p>
      <w:pPr>
        <w:pStyle w:val="44"/>
        <w:adjustRightInd w:val="0"/>
        <w:snapToGrid w:val="0"/>
        <w:spacing w:before="0" w:beforeAutospacing="0" w:after="0" w:afterAutospacing="0" w:line="500" w:lineRule="exact"/>
        <w:ind w:firstLine="420" w:firstLineChars="200"/>
        <w:rPr>
          <w:rFonts w:ascii="宋体" w:cs="宋体"/>
          <w:color w:val="auto"/>
          <w:sz w:val="21"/>
          <w:szCs w:val="21"/>
          <w:highlight w:val="none"/>
          <w:shd w:val="clear" w:color="auto" w:fill="FFFFFF"/>
        </w:rPr>
      </w:pPr>
      <w:r>
        <w:rPr>
          <w:rFonts w:hint="eastAsia" w:ascii="宋体" w:cs="宋体"/>
          <w:color w:val="auto"/>
          <w:sz w:val="21"/>
          <w:szCs w:val="21"/>
          <w:highlight w:val="none"/>
          <w:shd w:val="clear" w:color="auto" w:fill="FFFFFF"/>
        </w:rPr>
        <w:t>注：建议使用谷歌浏览器，使用其他浏览器可能发生无法解密等未知情况。</w:t>
      </w:r>
    </w:p>
    <w:p>
      <w:pPr>
        <w:pStyle w:val="44"/>
        <w:adjustRightInd w:val="0"/>
        <w:snapToGrid w:val="0"/>
        <w:spacing w:before="0" w:beforeAutospacing="0" w:after="0" w:afterAutospacing="0" w:line="500" w:lineRule="exact"/>
        <w:ind w:firstLine="420" w:firstLineChars="200"/>
        <w:rPr>
          <w:rFonts w:ascii="宋体" w:cs="宋体"/>
          <w:color w:val="auto"/>
          <w:sz w:val="21"/>
          <w:szCs w:val="21"/>
          <w:highlight w:val="none"/>
        </w:rPr>
      </w:pPr>
      <w:r>
        <w:rPr>
          <w:rFonts w:hint="eastAsia" w:ascii="宋体" w:cs="宋体"/>
          <w:color w:val="auto"/>
          <w:sz w:val="21"/>
          <w:szCs w:val="21"/>
          <w:highlight w:val="none"/>
          <w:shd w:val="clear" w:color="auto" w:fill="FFFFFF"/>
        </w:rPr>
        <w:t>6.投标人应当在投标截止时间前完成电子响应文件的传输递交，并可以补充、修改或者撤回电子响应文件。补充或者修改电子响应文件的，应当先行撤回原文件，补充、修改后重新传输递交。投标截止时间前未完成传输的，视为撤回响应文件。投标、响应截止时间后送达的投标、响应文件，将被政采云平台拒收。</w:t>
      </w:r>
      <w:bookmarkEnd w:id="31"/>
      <w:bookmarkEnd w:id="32"/>
      <w:bookmarkEnd w:id="33"/>
      <w:bookmarkEnd w:id="34"/>
    </w:p>
    <w:p>
      <w:pPr>
        <w:tabs>
          <w:tab w:val="left" w:pos="1260"/>
        </w:tabs>
        <w:autoSpaceDE/>
        <w:autoSpaceDN/>
        <w:snapToGrid w:val="0"/>
        <w:spacing w:line="500" w:lineRule="exact"/>
        <w:ind w:firstLine="422" w:firstLineChars="200"/>
        <w:rPr>
          <w:rFonts w:hAnsi="宋体" w:cs="宋体"/>
          <w:b/>
          <w:color w:val="auto"/>
          <w:sz w:val="21"/>
          <w:szCs w:val="21"/>
          <w:highlight w:val="none"/>
        </w:rPr>
      </w:pPr>
      <w:r>
        <w:rPr>
          <w:rFonts w:hint="eastAsia" w:hAnsi="宋体" w:cs="宋体"/>
          <w:b/>
          <w:color w:val="auto"/>
          <w:sz w:val="21"/>
          <w:szCs w:val="21"/>
          <w:highlight w:val="none"/>
        </w:rPr>
        <w:t>九、对本次招标提出询问，请按以下方式联系。</w:t>
      </w:r>
      <w:bookmarkEnd w:id="23"/>
      <w:bookmarkEnd w:id="24"/>
      <w:bookmarkEnd w:id="25"/>
      <w:bookmarkEnd w:id="26"/>
    </w:p>
    <w:p>
      <w:pPr>
        <w:tabs>
          <w:tab w:val="left" w:pos="1260"/>
        </w:tabs>
        <w:autoSpaceDE/>
        <w:autoSpaceDN/>
        <w:snapToGrid w:val="0"/>
        <w:spacing w:line="500" w:lineRule="exact"/>
        <w:ind w:firstLine="422" w:firstLineChars="200"/>
        <w:rPr>
          <w:rFonts w:hAnsi="宋体" w:cs="宋体"/>
          <w:b/>
          <w:color w:val="auto"/>
          <w:sz w:val="21"/>
          <w:szCs w:val="21"/>
          <w:highlight w:val="none"/>
        </w:rPr>
      </w:pPr>
      <w:r>
        <w:rPr>
          <w:rFonts w:hint="eastAsia" w:hAnsi="宋体" w:cs="宋体"/>
          <w:b/>
          <w:color w:val="auto"/>
          <w:sz w:val="21"/>
          <w:szCs w:val="21"/>
          <w:highlight w:val="none"/>
        </w:rPr>
        <w:t>1.采购人信息</w:t>
      </w:r>
    </w:p>
    <w:p>
      <w:pPr>
        <w:tabs>
          <w:tab w:val="left" w:pos="1260"/>
        </w:tabs>
        <w:autoSpaceDE/>
        <w:autoSpaceDN/>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名 称：金华市城市建设服务中心　　　　　　　　　　　</w:t>
      </w:r>
    </w:p>
    <w:p>
      <w:pPr>
        <w:tabs>
          <w:tab w:val="left" w:pos="1260"/>
        </w:tabs>
        <w:autoSpaceDE/>
        <w:autoSpaceDN/>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地址：</w:t>
      </w:r>
      <w:r>
        <w:rPr>
          <w:rFonts w:hint="eastAsia" w:hAnsi="宋体" w:cs="宋体"/>
          <w:color w:val="auto"/>
          <w:sz w:val="21"/>
          <w:szCs w:val="21"/>
          <w:highlight w:val="none"/>
          <w:lang w:eastAsia="zh-CN"/>
        </w:rPr>
        <w:t>金华市婺城区婺江东路</w:t>
      </w:r>
      <w:r>
        <w:rPr>
          <w:rFonts w:hint="eastAsia" w:hAnsi="宋体" w:cs="宋体"/>
          <w:color w:val="auto"/>
          <w:sz w:val="21"/>
          <w:szCs w:val="21"/>
          <w:highlight w:val="none"/>
          <w:lang w:val="en-US" w:eastAsia="zh-CN"/>
        </w:rPr>
        <w:t>271号</w:t>
      </w:r>
      <w:r>
        <w:rPr>
          <w:rFonts w:hint="eastAsia" w:hAnsi="宋体" w:cs="宋体"/>
          <w:color w:val="auto"/>
          <w:sz w:val="21"/>
          <w:szCs w:val="21"/>
          <w:highlight w:val="none"/>
        </w:rPr>
        <w:t>     　　</w:t>
      </w:r>
    </w:p>
    <w:p>
      <w:pPr>
        <w:tabs>
          <w:tab w:val="left" w:pos="1260"/>
        </w:tabs>
        <w:autoSpaceDE/>
        <w:autoSpaceDN/>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项目联系人（询问）：</w:t>
      </w:r>
      <w:r>
        <w:rPr>
          <w:rFonts w:hint="eastAsia" w:hAnsi="宋体" w:cs="宋体"/>
          <w:color w:val="auto"/>
          <w:sz w:val="21"/>
          <w:szCs w:val="21"/>
          <w:highlight w:val="none"/>
          <w:lang w:eastAsia="zh-CN"/>
        </w:rPr>
        <w:t>徐建娟</w:t>
      </w:r>
      <w:r>
        <w:rPr>
          <w:rFonts w:hint="eastAsia" w:hAnsi="宋体" w:cs="宋体"/>
          <w:color w:val="auto"/>
          <w:sz w:val="21"/>
          <w:szCs w:val="21"/>
          <w:highlight w:val="none"/>
        </w:rPr>
        <w:t xml:space="preserve">   　　　　　　　　　　</w:t>
      </w:r>
    </w:p>
    <w:p>
      <w:pPr>
        <w:tabs>
          <w:tab w:val="left" w:pos="1260"/>
        </w:tabs>
        <w:autoSpaceDE/>
        <w:autoSpaceDN/>
        <w:snapToGrid w:val="0"/>
        <w:spacing w:line="500" w:lineRule="exact"/>
        <w:ind w:firstLine="420" w:firstLineChars="200"/>
        <w:rPr>
          <w:rFonts w:hint="default" w:hAnsi="宋体" w:eastAsia="宋体" w:cs="宋体"/>
          <w:bCs/>
          <w:color w:val="auto"/>
          <w:kern w:val="2"/>
          <w:sz w:val="21"/>
          <w:szCs w:val="21"/>
          <w:highlight w:val="none"/>
          <w:lang w:val="en-US" w:eastAsia="zh-CN"/>
        </w:rPr>
      </w:pPr>
      <w:r>
        <w:rPr>
          <w:rFonts w:hint="eastAsia" w:hAnsi="宋体" w:cs="宋体"/>
          <w:color w:val="auto"/>
          <w:sz w:val="21"/>
          <w:szCs w:val="21"/>
          <w:highlight w:val="none"/>
        </w:rPr>
        <w:t>项目联系方式（询问）：0579-</w:t>
      </w:r>
      <w:r>
        <w:rPr>
          <w:rFonts w:hint="eastAsia" w:hAnsi="宋体" w:cs="宋体"/>
          <w:color w:val="auto"/>
          <w:sz w:val="21"/>
          <w:szCs w:val="21"/>
          <w:highlight w:val="none"/>
          <w:lang w:val="en-US" w:eastAsia="zh-CN"/>
        </w:rPr>
        <w:t>82328075</w:t>
      </w:r>
    </w:p>
    <w:p>
      <w:pPr>
        <w:tabs>
          <w:tab w:val="left" w:pos="1260"/>
        </w:tabs>
        <w:autoSpaceDE/>
        <w:autoSpaceDN/>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质疑联系人（询问）：</w:t>
      </w:r>
      <w:r>
        <w:rPr>
          <w:rFonts w:hint="eastAsia" w:hAnsi="宋体" w:cs="宋体"/>
          <w:color w:val="auto"/>
          <w:sz w:val="21"/>
          <w:szCs w:val="21"/>
          <w:highlight w:val="none"/>
          <w:lang w:eastAsia="zh-CN"/>
        </w:rPr>
        <w:t>张军</w:t>
      </w:r>
      <w:r>
        <w:rPr>
          <w:rFonts w:hint="eastAsia" w:hAnsi="宋体" w:cs="宋体"/>
          <w:color w:val="auto"/>
          <w:sz w:val="21"/>
          <w:szCs w:val="21"/>
          <w:highlight w:val="none"/>
        </w:rPr>
        <w:t xml:space="preserve"> 　　</w:t>
      </w:r>
    </w:p>
    <w:p>
      <w:pPr>
        <w:tabs>
          <w:tab w:val="left" w:pos="1260"/>
        </w:tabs>
        <w:autoSpaceDE/>
        <w:autoSpaceDN/>
        <w:snapToGrid w:val="0"/>
        <w:spacing w:line="500" w:lineRule="exact"/>
        <w:ind w:firstLine="420" w:firstLineChars="200"/>
        <w:rPr>
          <w:rFonts w:hint="default" w:hAnsi="宋体" w:eastAsia="宋体" w:cs="宋体"/>
          <w:b/>
          <w:color w:val="auto"/>
          <w:sz w:val="21"/>
          <w:szCs w:val="21"/>
          <w:highlight w:val="none"/>
          <w:lang w:val="en-US" w:eastAsia="zh-CN"/>
        </w:rPr>
      </w:pPr>
      <w:r>
        <w:rPr>
          <w:rFonts w:hint="eastAsia" w:hAnsi="宋体" w:cs="宋体"/>
          <w:color w:val="auto"/>
          <w:sz w:val="21"/>
          <w:szCs w:val="21"/>
          <w:highlight w:val="none"/>
        </w:rPr>
        <w:t>质疑联系方式（询问）：0579-</w:t>
      </w:r>
      <w:r>
        <w:rPr>
          <w:rFonts w:hint="eastAsia" w:hAnsi="宋体" w:cs="宋体"/>
          <w:color w:val="auto"/>
          <w:sz w:val="21"/>
          <w:szCs w:val="21"/>
          <w:highlight w:val="none"/>
          <w:lang w:val="en-US" w:eastAsia="zh-CN"/>
        </w:rPr>
        <w:t>82328081</w:t>
      </w:r>
    </w:p>
    <w:p>
      <w:pPr>
        <w:tabs>
          <w:tab w:val="left" w:pos="1260"/>
        </w:tabs>
        <w:autoSpaceDE/>
        <w:autoSpaceDN/>
        <w:snapToGrid w:val="0"/>
        <w:spacing w:line="500" w:lineRule="exact"/>
        <w:ind w:firstLine="422" w:firstLineChars="200"/>
        <w:rPr>
          <w:rFonts w:hAnsi="宋体" w:cs="宋体"/>
          <w:b/>
          <w:color w:val="auto"/>
          <w:sz w:val="21"/>
          <w:szCs w:val="21"/>
          <w:highlight w:val="none"/>
        </w:rPr>
      </w:pPr>
      <w:r>
        <w:rPr>
          <w:rFonts w:hint="eastAsia" w:hAnsi="宋体" w:cs="宋体"/>
          <w:b/>
          <w:color w:val="auto"/>
          <w:sz w:val="21"/>
          <w:szCs w:val="21"/>
          <w:highlight w:val="none"/>
        </w:rPr>
        <w:t>2.采购代理机构信息</w:t>
      </w:r>
    </w:p>
    <w:p>
      <w:pPr>
        <w:tabs>
          <w:tab w:val="left" w:pos="1260"/>
        </w:tabs>
        <w:autoSpaceDE/>
        <w:autoSpaceDN/>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名称：金华市天盈财务咨询有限公司 　　　　　　　　　　</w:t>
      </w:r>
    </w:p>
    <w:p>
      <w:pPr>
        <w:tabs>
          <w:tab w:val="left" w:pos="1260"/>
        </w:tabs>
        <w:autoSpaceDE/>
        <w:autoSpaceDN/>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地址：金华市创新街18号南楼四楼，农科教大楼西侧 　   </w:t>
      </w:r>
    </w:p>
    <w:p>
      <w:pPr>
        <w:tabs>
          <w:tab w:val="left" w:pos="1260"/>
        </w:tabs>
        <w:autoSpaceDE/>
        <w:autoSpaceDN/>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传真：0579-82460882   　</w:t>
      </w:r>
    </w:p>
    <w:p>
      <w:pPr>
        <w:tabs>
          <w:tab w:val="left" w:pos="1260"/>
        </w:tabs>
        <w:autoSpaceDE/>
        <w:autoSpaceDN/>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项目联系人（询问）：卢丽云   　　</w:t>
      </w:r>
    </w:p>
    <w:p>
      <w:pPr>
        <w:tabs>
          <w:tab w:val="left" w:pos="1260"/>
        </w:tabs>
        <w:autoSpaceDE/>
        <w:autoSpaceDN/>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项目联系方式（询问）：0579-81338925、82162067</w:t>
      </w:r>
    </w:p>
    <w:p>
      <w:pPr>
        <w:tabs>
          <w:tab w:val="left" w:pos="1260"/>
        </w:tabs>
        <w:autoSpaceDE/>
        <w:autoSpaceDN/>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质疑联系人（询问）：夏翰宇   　　</w:t>
      </w:r>
    </w:p>
    <w:p>
      <w:pPr>
        <w:tabs>
          <w:tab w:val="left" w:pos="1260"/>
        </w:tabs>
        <w:autoSpaceDE/>
        <w:autoSpaceDN/>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质疑联系方式（询问）：0579-82474058 </w:t>
      </w:r>
    </w:p>
    <w:p>
      <w:pPr>
        <w:tabs>
          <w:tab w:val="left" w:pos="1260"/>
        </w:tabs>
        <w:autoSpaceDE/>
        <w:autoSpaceDN/>
        <w:snapToGrid w:val="0"/>
        <w:spacing w:line="500" w:lineRule="exact"/>
        <w:ind w:firstLine="422" w:firstLineChars="200"/>
        <w:rPr>
          <w:rFonts w:hAnsi="宋体" w:cs="宋体"/>
          <w:b/>
          <w:color w:val="auto"/>
          <w:sz w:val="21"/>
          <w:szCs w:val="21"/>
          <w:highlight w:val="none"/>
        </w:rPr>
      </w:pPr>
      <w:r>
        <w:rPr>
          <w:rFonts w:hint="eastAsia" w:hAnsi="宋体" w:cs="宋体"/>
          <w:b/>
          <w:color w:val="auto"/>
          <w:sz w:val="21"/>
          <w:szCs w:val="21"/>
          <w:highlight w:val="none"/>
        </w:rPr>
        <w:t>3.同级政府采购监督管理部门</w:t>
      </w:r>
    </w:p>
    <w:p>
      <w:pPr>
        <w:tabs>
          <w:tab w:val="left" w:pos="1260"/>
        </w:tabs>
        <w:autoSpaceDE/>
        <w:autoSpaceDN/>
        <w:adjustRightInd/>
        <w:snapToGrid w:val="0"/>
        <w:spacing w:line="46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名称：金华市财政局政府采购监管处　　　　　　　　　　　</w:t>
      </w:r>
    </w:p>
    <w:p>
      <w:pPr>
        <w:tabs>
          <w:tab w:val="left" w:pos="1260"/>
        </w:tabs>
        <w:autoSpaceDE/>
        <w:autoSpaceDN/>
        <w:adjustRightInd/>
        <w:snapToGrid w:val="0"/>
        <w:spacing w:line="46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地址：金华市双龙南街801号 　　　　　　　　　　　 　   </w:t>
      </w:r>
    </w:p>
    <w:p>
      <w:pPr>
        <w:tabs>
          <w:tab w:val="left" w:pos="1260"/>
        </w:tabs>
        <w:autoSpaceDE/>
        <w:autoSpaceDN/>
        <w:adjustRightInd/>
        <w:snapToGrid w:val="0"/>
        <w:spacing w:line="46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联系人 ：徐女士　　　　　　　　　　　</w:t>
      </w:r>
    </w:p>
    <w:p>
      <w:pPr>
        <w:pStyle w:val="44"/>
        <w:adjustRightInd w:val="0"/>
        <w:snapToGrid w:val="0"/>
        <w:spacing w:before="0" w:beforeAutospacing="0" w:after="0" w:afterAutospacing="0" w:line="500" w:lineRule="exact"/>
        <w:ind w:firstLine="420" w:firstLineChars="200"/>
        <w:rPr>
          <w:rStyle w:val="50"/>
          <w:rFonts w:ascii="宋体" w:hAnsi="宋体" w:cs="宋体"/>
          <w:color w:val="auto"/>
          <w:sz w:val="21"/>
          <w:szCs w:val="21"/>
          <w:highlight w:val="none"/>
          <w:shd w:val="clear" w:color="auto" w:fill="FFFFFF"/>
        </w:rPr>
      </w:pPr>
      <w:r>
        <w:rPr>
          <w:rFonts w:hint="eastAsia" w:ascii="宋体" w:cs="宋体"/>
          <w:color w:val="auto"/>
          <w:sz w:val="21"/>
          <w:szCs w:val="21"/>
          <w:highlight w:val="none"/>
        </w:rPr>
        <w:t>监督投诉电话：0579-82468735　　</w:t>
      </w:r>
    </w:p>
    <w:bookmarkEnd w:id="8"/>
    <w:bookmarkEnd w:id="9"/>
    <w:bookmarkEnd w:id="10"/>
    <w:bookmarkEnd w:id="11"/>
    <w:p>
      <w:pPr>
        <w:pStyle w:val="5"/>
        <w:keepNext w:val="0"/>
        <w:spacing w:line="360" w:lineRule="auto"/>
        <w:jc w:val="center"/>
        <w:rPr>
          <w:rStyle w:val="50"/>
          <w:rFonts w:ascii="宋体" w:hAnsi="宋体" w:cs="宋体"/>
          <w:b/>
          <w:bCs/>
          <w:color w:val="auto"/>
          <w:sz w:val="21"/>
          <w:szCs w:val="21"/>
          <w:highlight w:val="none"/>
          <w:shd w:val="clear" w:color="auto" w:fill="FFFFFF"/>
        </w:rPr>
      </w:pPr>
      <w:bookmarkStart w:id="35" w:name="_Toc351559941"/>
    </w:p>
    <w:p>
      <w:pPr>
        <w:rPr>
          <w:rStyle w:val="50"/>
          <w:rFonts w:ascii="宋体" w:hAnsi="宋体" w:cs="宋体"/>
          <w:color w:val="auto"/>
          <w:sz w:val="21"/>
          <w:szCs w:val="21"/>
          <w:highlight w:val="none"/>
          <w:shd w:val="clear" w:color="auto" w:fill="FFFFFF"/>
        </w:rPr>
      </w:pPr>
      <w:r>
        <w:rPr>
          <w:rStyle w:val="50"/>
          <w:rFonts w:hint="eastAsia" w:ascii="宋体" w:hAnsi="宋体" w:cs="宋体"/>
          <w:color w:val="auto"/>
          <w:sz w:val="21"/>
          <w:szCs w:val="21"/>
          <w:highlight w:val="none"/>
          <w:shd w:val="clear" w:color="auto" w:fill="FFFFFF"/>
        </w:rPr>
        <w:br w:type="page"/>
      </w:r>
    </w:p>
    <w:p>
      <w:pPr>
        <w:pStyle w:val="5"/>
        <w:keepNext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第二章  招标需求</w:t>
      </w:r>
      <w:bookmarkEnd w:id="35"/>
    </w:p>
    <w:p>
      <w:pPr>
        <w:pStyle w:val="28"/>
        <w:snapToGrid w:val="0"/>
        <w:spacing w:line="500" w:lineRule="exact"/>
        <w:ind w:firstLine="422" w:firstLineChars="200"/>
        <w:rPr>
          <w:rFonts w:ascii="宋体" w:hAnsi="宋体" w:cs="宋体"/>
          <w:b/>
          <w:bCs/>
          <w:color w:val="auto"/>
          <w:sz w:val="21"/>
          <w:highlight w:val="none"/>
        </w:rPr>
      </w:pPr>
      <w:bookmarkStart w:id="36" w:name="_Toc351559942"/>
      <w:r>
        <w:rPr>
          <w:rFonts w:hint="eastAsia" w:ascii="宋体" w:hAnsi="宋体" w:cs="宋体"/>
          <w:b/>
          <w:bCs/>
          <w:color w:val="auto"/>
          <w:sz w:val="21"/>
          <w:highlight w:val="none"/>
        </w:rPr>
        <w:t>一、工作范围及工作量</w:t>
      </w:r>
    </w:p>
    <w:p>
      <w:pPr>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1.工作范围：</w:t>
      </w:r>
    </w:p>
    <w:p>
      <w:pPr>
        <w:pStyle w:val="94"/>
        <w:adjustRightInd w:val="0"/>
        <w:snapToGrid w:val="0"/>
        <w:spacing w:line="500" w:lineRule="exact"/>
        <w:rPr>
          <w:rFonts w:ascii="宋体"/>
          <w:color w:val="auto"/>
          <w:sz w:val="21"/>
          <w:szCs w:val="21"/>
          <w:highlight w:val="none"/>
        </w:rPr>
      </w:pPr>
      <w:r>
        <w:rPr>
          <w:rFonts w:hint="eastAsia" w:ascii="宋体"/>
          <w:color w:val="auto"/>
          <w:sz w:val="21"/>
          <w:szCs w:val="21"/>
          <w:highlight w:val="none"/>
        </w:rPr>
        <w:t>金华市市区二环内市政道路雨水管网（详见</w:t>
      </w:r>
      <w:r>
        <w:rPr>
          <w:rFonts w:hint="eastAsia" w:ascii="宋体"/>
          <w:color w:val="auto"/>
          <w:sz w:val="21"/>
          <w:szCs w:val="21"/>
          <w:highlight w:val="none"/>
          <w:lang w:val="en-US" w:eastAsia="zh-CN"/>
        </w:rPr>
        <w:t>管网清单</w:t>
      </w:r>
      <w:r>
        <w:rPr>
          <w:rFonts w:hint="eastAsia" w:ascii="宋体"/>
          <w:color w:val="auto"/>
          <w:sz w:val="21"/>
          <w:szCs w:val="21"/>
          <w:highlight w:val="none"/>
        </w:rPr>
        <w:t>附件）。</w:t>
      </w:r>
    </w:p>
    <w:p>
      <w:pPr>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2.预估工作量</w:t>
      </w:r>
    </w:p>
    <w:p>
      <w:pPr>
        <w:pStyle w:val="94"/>
        <w:adjustRightInd w:val="0"/>
        <w:snapToGrid w:val="0"/>
        <w:spacing w:line="500" w:lineRule="exact"/>
        <w:rPr>
          <w:rFonts w:ascii="宋体"/>
          <w:color w:val="auto"/>
          <w:sz w:val="21"/>
          <w:szCs w:val="21"/>
          <w:highlight w:val="none"/>
        </w:rPr>
      </w:pPr>
      <w:r>
        <w:rPr>
          <w:rFonts w:hint="eastAsia" w:ascii="宋体"/>
          <w:color w:val="auto"/>
          <w:sz w:val="21"/>
          <w:szCs w:val="21"/>
          <w:highlight w:val="none"/>
        </w:rPr>
        <w:t>工作量：预估管线长度</w:t>
      </w:r>
      <w:r>
        <w:rPr>
          <w:rFonts w:hint="eastAsia" w:ascii="宋体"/>
          <w:color w:val="auto"/>
          <w:sz w:val="21"/>
          <w:szCs w:val="21"/>
          <w:highlight w:val="none"/>
          <w:lang w:val="en-US" w:eastAsia="zh-CN"/>
        </w:rPr>
        <w:t>约380公里</w:t>
      </w:r>
      <w:r>
        <w:rPr>
          <w:rFonts w:hint="eastAsia" w:ascii="宋体"/>
          <w:color w:val="auto"/>
          <w:sz w:val="21"/>
          <w:szCs w:val="21"/>
          <w:highlight w:val="none"/>
          <w:lang w:eastAsia="zh-CN"/>
        </w:rPr>
        <w:t>，最终结算以实际完成工作量进行结算</w:t>
      </w:r>
      <w:r>
        <w:rPr>
          <w:rFonts w:hint="eastAsia" w:ascii="宋体"/>
          <w:color w:val="auto"/>
          <w:sz w:val="21"/>
          <w:szCs w:val="21"/>
          <w:highlight w:val="none"/>
        </w:rPr>
        <w:t>。</w:t>
      </w:r>
    </w:p>
    <w:p>
      <w:pPr>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3.项目预算</w:t>
      </w:r>
    </w:p>
    <w:tbl>
      <w:tblPr>
        <w:tblStyle w:val="47"/>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1186"/>
        <w:gridCol w:w="5216"/>
        <w:gridCol w:w="1394"/>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34" w:type="pct"/>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auto"/>
              <w:rPr>
                <w:rFonts w:hAnsi="宋体" w:cs="宋体"/>
                <w:b/>
                <w:color w:val="auto"/>
                <w:sz w:val="21"/>
                <w:szCs w:val="21"/>
                <w:highlight w:val="none"/>
              </w:rPr>
            </w:pPr>
            <w:r>
              <w:rPr>
                <w:rFonts w:hint="eastAsia" w:hAnsi="宋体" w:cs="宋体"/>
                <w:b/>
                <w:color w:val="auto"/>
                <w:sz w:val="21"/>
                <w:szCs w:val="21"/>
                <w:highlight w:val="none"/>
              </w:rPr>
              <w:t>序号</w:t>
            </w:r>
          </w:p>
        </w:tc>
        <w:tc>
          <w:tcPr>
            <w:tcW w:w="624" w:type="pct"/>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auto"/>
              <w:rPr>
                <w:rFonts w:hAnsi="宋体" w:cs="宋体"/>
                <w:b/>
                <w:color w:val="auto"/>
                <w:sz w:val="21"/>
                <w:szCs w:val="21"/>
                <w:highlight w:val="none"/>
              </w:rPr>
            </w:pPr>
            <w:r>
              <w:rPr>
                <w:rFonts w:hint="eastAsia" w:hAnsi="宋体" w:cs="宋体"/>
                <w:b/>
                <w:color w:val="auto"/>
                <w:sz w:val="21"/>
                <w:szCs w:val="21"/>
                <w:highlight w:val="none"/>
              </w:rPr>
              <w:t>采购内容</w:t>
            </w:r>
          </w:p>
        </w:tc>
        <w:tc>
          <w:tcPr>
            <w:tcW w:w="2743" w:type="pct"/>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auto"/>
              <w:rPr>
                <w:rFonts w:hAnsi="宋体" w:cs="宋体"/>
                <w:b/>
                <w:color w:val="auto"/>
                <w:sz w:val="21"/>
                <w:szCs w:val="21"/>
                <w:highlight w:val="none"/>
              </w:rPr>
            </w:pPr>
            <w:r>
              <w:rPr>
                <w:rFonts w:hint="eastAsia" w:hAnsi="宋体" w:cs="宋体"/>
                <w:b/>
                <w:color w:val="auto"/>
                <w:sz w:val="21"/>
                <w:szCs w:val="21"/>
                <w:highlight w:val="none"/>
              </w:rPr>
              <w:t>工作内容</w:t>
            </w:r>
          </w:p>
        </w:tc>
        <w:tc>
          <w:tcPr>
            <w:tcW w:w="733" w:type="pct"/>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auto"/>
              <w:rPr>
                <w:rFonts w:hAnsi="宋体" w:cs="宋体"/>
                <w:b/>
                <w:color w:val="auto"/>
                <w:sz w:val="21"/>
                <w:szCs w:val="21"/>
                <w:highlight w:val="none"/>
              </w:rPr>
            </w:pPr>
            <w:r>
              <w:rPr>
                <w:rFonts w:hint="eastAsia" w:hAnsi="宋体" w:cs="宋体"/>
                <w:b/>
                <w:color w:val="auto"/>
                <w:sz w:val="21"/>
                <w:szCs w:val="21"/>
                <w:highlight w:val="none"/>
              </w:rPr>
              <w:t>最高单价限价</w:t>
            </w:r>
          </w:p>
        </w:tc>
        <w:tc>
          <w:tcPr>
            <w:tcW w:w="464" w:type="pct"/>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auto"/>
              <w:rPr>
                <w:rFonts w:hAnsi="宋体" w:cs="宋体"/>
                <w:b/>
                <w:color w:val="auto"/>
                <w:sz w:val="21"/>
                <w:szCs w:val="21"/>
                <w:highlight w:val="none"/>
              </w:rPr>
            </w:pPr>
            <w:r>
              <w:rPr>
                <w:rFonts w:hint="eastAsia" w:hAnsi="宋体" w:cs="宋体"/>
                <w:b/>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4" w:type="pct"/>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auto"/>
              <w:rPr>
                <w:rFonts w:hAnsi="宋体" w:cs="宋体"/>
                <w:color w:val="auto"/>
                <w:sz w:val="21"/>
                <w:szCs w:val="21"/>
                <w:highlight w:val="none"/>
              </w:rPr>
            </w:pPr>
            <w:r>
              <w:rPr>
                <w:rFonts w:hint="eastAsia" w:hAnsi="宋体" w:cs="宋体"/>
                <w:color w:val="auto"/>
                <w:sz w:val="21"/>
                <w:szCs w:val="21"/>
                <w:highlight w:val="none"/>
              </w:rPr>
              <w:t>1</w:t>
            </w:r>
          </w:p>
        </w:tc>
        <w:tc>
          <w:tcPr>
            <w:tcW w:w="624" w:type="pct"/>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auto"/>
              <w:rPr>
                <w:rFonts w:hAnsi="宋体" w:cs="宋体"/>
                <w:color w:val="auto"/>
                <w:sz w:val="21"/>
                <w:szCs w:val="21"/>
                <w:highlight w:val="none"/>
              </w:rPr>
            </w:pPr>
            <w:r>
              <w:rPr>
                <w:rFonts w:hint="eastAsia" w:hAnsi="宋体" w:cs="宋体"/>
                <w:color w:val="auto"/>
                <w:sz w:val="21"/>
                <w:szCs w:val="21"/>
                <w:highlight w:val="none"/>
              </w:rPr>
              <w:t>管网测绘</w:t>
            </w:r>
          </w:p>
        </w:tc>
        <w:tc>
          <w:tcPr>
            <w:tcW w:w="2743" w:type="pct"/>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textAlignment w:val="auto"/>
              <w:rPr>
                <w:rFonts w:hAnsi="宋体" w:cs="宋体"/>
                <w:color w:val="auto"/>
                <w:sz w:val="21"/>
                <w:szCs w:val="21"/>
                <w:highlight w:val="none"/>
              </w:rPr>
            </w:pPr>
            <w:r>
              <w:rPr>
                <w:rFonts w:hint="eastAsia" w:hAnsi="宋体" w:cs="宋体"/>
                <w:color w:val="auto"/>
                <w:sz w:val="21"/>
                <w:szCs w:val="21"/>
                <w:highlight w:val="none"/>
              </w:rPr>
              <w:t>对市政雨水管网井盖（检查井）进行平面坐标、高程等基本信息的采集，与CCTV检测的数据相对应，形成</w:t>
            </w:r>
            <w:r>
              <w:rPr>
                <w:rFonts w:hint="eastAsia" w:hAnsi="宋体" w:cs="宋体"/>
                <w:color w:val="auto"/>
                <w:sz w:val="21"/>
                <w:szCs w:val="21"/>
                <w:highlight w:val="none"/>
                <w:lang w:eastAsia="zh-CN"/>
              </w:rPr>
              <w:t>的</w:t>
            </w:r>
            <w:r>
              <w:rPr>
                <w:rFonts w:hint="eastAsia" w:hAnsi="宋体" w:cs="宋体"/>
                <w:color w:val="auto"/>
                <w:sz w:val="21"/>
                <w:szCs w:val="21"/>
                <w:highlight w:val="none"/>
              </w:rPr>
              <w:t>点号、线段与视频影像相匹配，</w:t>
            </w:r>
            <w:r>
              <w:rPr>
                <w:rFonts w:hint="eastAsia" w:hAnsi="宋体" w:cs="宋体"/>
                <w:color w:val="auto"/>
                <w:sz w:val="21"/>
                <w:szCs w:val="21"/>
                <w:highlight w:val="none"/>
                <w:lang w:eastAsia="zh-CN"/>
              </w:rPr>
              <w:t>最终提交</w:t>
            </w:r>
            <w:r>
              <w:rPr>
                <w:rFonts w:hint="eastAsia" w:hAnsi="宋体" w:cs="宋体"/>
                <w:color w:val="auto"/>
                <w:sz w:val="21"/>
                <w:szCs w:val="21"/>
                <w:highlight w:val="none"/>
              </w:rPr>
              <w:t>完整的测绘成果数据</w:t>
            </w:r>
            <w:r>
              <w:rPr>
                <w:rFonts w:hint="eastAsia" w:hAnsi="宋体" w:cs="宋体"/>
                <w:color w:val="auto"/>
                <w:sz w:val="21"/>
                <w:szCs w:val="21"/>
                <w:highlight w:val="none"/>
                <w:lang w:eastAsia="zh-CN"/>
              </w:rPr>
              <w:t>并入库</w:t>
            </w:r>
            <w:r>
              <w:rPr>
                <w:rFonts w:hint="eastAsia" w:hAnsi="宋体" w:cs="宋体"/>
                <w:color w:val="auto"/>
                <w:sz w:val="21"/>
                <w:szCs w:val="21"/>
                <w:highlight w:val="none"/>
              </w:rPr>
              <w:t>。</w:t>
            </w:r>
          </w:p>
        </w:tc>
        <w:tc>
          <w:tcPr>
            <w:tcW w:w="733" w:type="pct"/>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auto"/>
              <w:rPr>
                <w:rFonts w:hAnsi="宋体" w:cs="宋体"/>
                <w:color w:val="auto"/>
                <w:sz w:val="21"/>
                <w:szCs w:val="21"/>
                <w:highlight w:val="none"/>
              </w:rPr>
            </w:pPr>
            <w:r>
              <w:rPr>
                <w:rFonts w:hint="eastAsia" w:hAnsi="宋体" w:cs="宋体"/>
                <w:color w:val="auto"/>
                <w:sz w:val="21"/>
                <w:szCs w:val="21"/>
                <w:highlight w:val="none"/>
                <w:lang w:val="en-US" w:eastAsia="zh-CN"/>
              </w:rPr>
              <w:t>3.5</w:t>
            </w:r>
            <w:r>
              <w:rPr>
                <w:rFonts w:hint="eastAsia" w:hAnsi="宋体" w:cs="宋体"/>
                <w:color w:val="auto"/>
                <w:sz w:val="21"/>
                <w:szCs w:val="21"/>
                <w:highlight w:val="none"/>
              </w:rPr>
              <w:t>元/米</w:t>
            </w:r>
          </w:p>
        </w:tc>
        <w:tc>
          <w:tcPr>
            <w:tcW w:w="464" w:type="pct"/>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textAlignment w:val="auto"/>
              <w:rPr>
                <w:rFonts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jc w:val="center"/>
        </w:trPr>
        <w:tc>
          <w:tcPr>
            <w:tcW w:w="434" w:type="pct"/>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auto"/>
              <w:rPr>
                <w:rFonts w:hAnsi="宋体" w:cs="宋体"/>
                <w:color w:val="auto"/>
                <w:sz w:val="21"/>
                <w:szCs w:val="21"/>
                <w:highlight w:val="none"/>
              </w:rPr>
            </w:pPr>
            <w:r>
              <w:rPr>
                <w:rFonts w:hint="eastAsia" w:hAnsi="宋体" w:cs="宋体"/>
                <w:color w:val="auto"/>
                <w:sz w:val="21"/>
                <w:szCs w:val="21"/>
                <w:highlight w:val="none"/>
              </w:rPr>
              <w:t>2</w:t>
            </w:r>
          </w:p>
        </w:tc>
        <w:tc>
          <w:tcPr>
            <w:tcW w:w="624" w:type="pct"/>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auto"/>
              <w:rPr>
                <w:rFonts w:hAnsi="宋体" w:cs="宋体"/>
                <w:color w:val="auto"/>
                <w:sz w:val="21"/>
                <w:szCs w:val="21"/>
                <w:highlight w:val="none"/>
              </w:rPr>
            </w:pPr>
            <w:r>
              <w:rPr>
                <w:rFonts w:hint="eastAsia" w:hAnsi="宋体" w:cs="宋体"/>
                <w:color w:val="auto"/>
                <w:sz w:val="21"/>
                <w:szCs w:val="21"/>
                <w:highlight w:val="none"/>
              </w:rPr>
              <w:t>管道检测</w:t>
            </w:r>
          </w:p>
        </w:tc>
        <w:tc>
          <w:tcPr>
            <w:tcW w:w="2743" w:type="pct"/>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textAlignment w:val="auto"/>
              <w:rPr>
                <w:rFonts w:hAnsi="宋体" w:cs="宋体"/>
                <w:color w:val="auto"/>
                <w:sz w:val="21"/>
                <w:szCs w:val="21"/>
                <w:highlight w:val="none"/>
              </w:rPr>
            </w:pPr>
            <w:r>
              <w:rPr>
                <w:rFonts w:hint="eastAsia" w:hAnsi="宋体" w:cs="宋体"/>
                <w:color w:val="auto"/>
                <w:sz w:val="21"/>
                <w:szCs w:val="21"/>
                <w:highlight w:val="none"/>
              </w:rPr>
              <w:t>（</w:t>
            </w:r>
            <w:r>
              <w:rPr>
                <w:rFonts w:hint="eastAsia" w:hAnsi="宋体" w:cs="宋体"/>
                <w:color w:val="auto"/>
                <w:sz w:val="21"/>
                <w:szCs w:val="21"/>
                <w:highlight w:val="none"/>
                <w:lang w:val="en-US" w:eastAsia="zh-CN"/>
              </w:rPr>
              <w:t>1</w:t>
            </w:r>
            <w:r>
              <w:rPr>
                <w:rFonts w:hint="eastAsia" w:hAnsi="宋体" w:cs="宋体"/>
                <w:color w:val="auto"/>
                <w:sz w:val="21"/>
                <w:szCs w:val="21"/>
                <w:highlight w:val="none"/>
              </w:rPr>
              <w:t>）管道CCTV</w:t>
            </w:r>
            <w:r>
              <w:rPr>
                <w:rFonts w:hint="eastAsia" w:hAnsi="宋体" w:cs="宋体"/>
                <w:color w:val="auto"/>
                <w:sz w:val="21"/>
                <w:szCs w:val="21"/>
                <w:highlight w:val="none"/>
                <w:lang w:eastAsia="zh-CN"/>
              </w:rPr>
              <w:t>、</w:t>
            </w:r>
            <w:r>
              <w:rPr>
                <w:rFonts w:hint="eastAsia" w:hAnsi="宋体" w:cs="宋体"/>
                <w:color w:val="auto"/>
                <w:sz w:val="21"/>
                <w:szCs w:val="21"/>
                <w:highlight w:val="none"/>
              </w:rPr>
              <w:t>QV检测；</w:t>
            </w:r>
          </w:p>
          <w:p>
            <w:pPr>
              <w:keepNext w:val="0"/>
              <w:keepLines w:val="0"/>
              <w:pageBreakBefore w:val="0"/>
              <w:widowControl w:val="0"/>
              <w:kinsoku/>
              <w:wordWrap/>
              <w:overflowPunct/>
              <w:topLinePunct w:val="0"/>
              <w:autoSpaceDE w:val="0"/>
              <w:autoSpaceDN w:val="0"/>
              <w:bidi w:val="0"/>
              <w:adjustRightInd w:val="0"/>
              <w:snapToGrid w:val="0"/>
              <w:spacing w:line="460" w:lineRule="exact"/>
              <w:textAlignment w:val="auto"/>
              <w:rPr>
                <w:rFonts w:hint="eastAsia" w:hAnsi="宋体" w:cs="宋体"/>
                <w:color w:val="auto"/>
                <w:sz w:val="21"/>
                <w:szCs w:val="21"/>
                <w:highlight w:val="none"/>
              </w:rPr>
            </w:pPr>
            <w:r>
              <w:rPr>
                <w:rFonts w:hint="eastAsia" w:hAnsi="宋体" w:cs="宋体"/>
                <w:color w:val="auto"/>
                <w:sz w:val="21"/>
                <w:szCs w:val="21"/>
                <w:highlight w:val="none"/>
              </w:rPr>
              <w:t>包括根据现场雨水管网具体情况如遇无法直接检测的管段，需进行封堵、降水、冲洗、疏通等作业。</w:t>
            </w:r>
          </w:p>
          <w:p>
            <w:pPr>
              <w:keepNext w:val="0"/>
              <w:keepLines w:val="0"/>
              <w:pageBreakBefore w:val="0"/>
              <w:widowControl w:val="0"/>
              <w:kinsoku/>
              <w:wordWrap/>
              <w:overflowPunct/>
              <w:topLinePunct w:val="0"/>
              <w:autoSpaceDE w:val="0"/>
              <w:autoSpaceDN w:val="0"/>
              <w:bidi w:val="0"/>
              <w:adjustRightInd w:val="0"/>
              <w:snapToGrid w:val="0"/>
              <w:spacing w:line="460" w:lineRule="exact"/>
              <w:textAlignment w:val="auto"/>
              <w:rPr>
                <w:rFonts w:hint="eastAsia" w:hAnsi="宋体" w:cs="宋体"/>
                <w:color w:val="auto"/>
                <w:sz w:val="21"/>
                <w:szCs w:val="21"/>
                <w:highlight w:val="none"/>
              </w:rPr>
            </w:pPr>
            <w:r>
              <w:rPr>
                <w:rFonts w:hint="eastAsia" w:hAnsi="宋体" w:cs="宋体"/>
                <w:color w:val="auto"/>
                <w:sz w:val="21"/>
                <w:szCs w:val="21"/>
                <w:highlight w:val="none"/>
              </w:rPr>
              <w:t>（</w:t>
            </w:r>
            <w:r>
              <w:rPr>
                <w:rFonts w:hint="eastAsia" w:hAnsi="宋体" w:cs="宋体"/>
                <w:color w:val="auto"/>
                <w:sz w:val="21"/>
                <w:szCs w:val="21"/>
                <w:highlight w:val="none"/>
                <w:lang w:val="en-US" w:eastAsia="zh-CN"/>
              </w:rPr>
              <w:t>2</w:t>
            </w:r>
            <w:r>
              <w:rPr>
                <w:rFonts w:hint="eastAsia" w:hAnsi="宋体" w:cs="宋体"/>
                <w:color w:val="auto"/>
                <w:sz w:val="21"/>
                <w:szCs w:val="21"/>
                <w:highlight w:val="none"/>
              </w:rPr>
              <w:t>）错接、混接点排查；</w:t>
            </w:r>
          </w:p>
          <w:p>
            <w:pPr>
              <w:keepNext w:val="0"/>
              <w:keepLines w:val="0"/>
              <w:pageBreakBefore w:val="0"/>
              <w:widowControl w:val="0"/>
              <w:kinsoku/>
              <w:wordWrap/>
              <w:overflowPunct/>
              <w:topLinePunct w:val="0"/>
              <w:autoSpaceDE w:val="0"/>
              <w:autoSpaceDN w:val="0"/>
              <w:bidi w:val="0"/>
              <w:adjustRightInd w:val="0"/>
              <w:snapToGrid w:val="0"/>
              <w:spacing w:line="460" w:lineRule="exact"/>
              <w:textAlignment w:val="auto"/>
              <w:rPr>
                <w:rFonts w:hAnsi="宋体" w:cs="宋体"/>
                <w:color w:val="auto"/>
                <w:sz w:val="21"/>
                <w:szCs w:val="21"/>
                <w:highlight w:val="none"/>
              </w:rPr>
            </w:pPr>
            <w:r>
              <w:rPr>
                <w:rFonts w:hint="eastAsia" w:hAnsi="宋体" w:cs="宋体"/>
                <w:color w:val="auto"/>
                <w:sz w:val="21"/>
                <w:szCs w:val="21"/>
                <w:highlight w:val="none"/>
              </w:rPr>
              <w:t>（</w:t>
            </w:r>
            <w:r>
              <w:rPr>
                <w:rFonts w:hint="eastAsia" w:hAnsi="宋体" w:cs="宋体"/>
                <w:color w:val="auto"/>
                <w:sz w:val="21"/>
                <w:szCs w:val="21"/>
                <w:highlight w:val="none"/>
                <w:lang w:val="en-US" w:eastAsia="zh-CN"/>
              </w:rPr>
              <w:t>3</w:t>
            </w:r>
            <w:r>
              <w:rPr>
                <w:rFonts w:hint="eastAsia" w:hAnsi="宋体" w:cs="宋体"/>
                <w:color w:val="auto"/>
                <w:sz w:val="21"/>
                <w:szCs w:val="21"/>
                <w:highlight w:val="none"/>
              </w:rPr>
              <w:t>）井盖破损</w:t>
            </w:r>
            <w:r>
              <w:rPr>
                <w:rFonts w:hint="eastAsia" w:hAnsi="宋体" w:cs="宋体"/>
                <w:color w:val="auto"/>
                <w:sz w:val="21"/>
                <w:szCs w:val="21"/>
                <w:highlight w:val="none"/>
                <w:lang w:eastAsia="zh-CN"/>
              </w:rPr>
              <w:t>调查、</w:t>
            </w:r>
            <w:r>
              <w:rPr>
                <w:rFonts w:hint="eastAsia" w:hAnsi="宋体" w:cs="宋体"/>
                <w:color w:val="auto"/>
                <w:sz w:val="21"/>
                <w:szCs w:val="21"/>
                <w:highlight w:val="none"/>
              </w:rPr>
              <w:t>井室破损调查</w:t>
            </w:r>
            <w:r>
              <w:rPr>
                <w:rFonts w:hint="eastAsia" w:hAnsi="宋体" w:cs="宋体"/>
                <w:color w:val="auto"/>
                <w:sz w:val="21"/>
                <w:szCs w:val="21"/>
                <w:highlight w:val="none"/>
                <w:lang w:eastAsia="zh-CN"/>
              </w:rPr>
              <w:t>、防坠网安装情况等。</w:t>
            </w:r>
          </w:p>
        </w:tc>
        <w:tc>
          <w:tcPr>
            <w:tcW w:w="733" w:type="pct"/>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auto"/>
              <w:rPr>
                <w:rFonts w:hint="eastAsia" w:hAnsi="宋体" w:eastAsia="宋体" w:cs="宋体"/>
                <w:color w:val="auto"/>
                <w:sz w:val="21"/>
                <w:szCs w:val="21"/>
                <w:highlight w:val="none"/>
                <w:lang w:eastAsia="zh-CN"/>
              </w:rPr>
            </w:pPr>
            <w:r>
              <w:rPr>
                <w:rFonts w:hint="eastAsia" w:hAnsi="宋体" w:cs="宋体"/>
                <w:color w:val="auto"/>
                <w:sz w:val="21"/>
                <w:szCs w:val="21"/>
                <w:highlight w:val="none"/>
                <w:lang w:eastAsia="zh-CN"/>
              </w:rPr>
              <w:t>21.00元/米</w:t>
            </w:r>
          </w:p>
        </w:tc>
        <w:tc>
          <w:tcPr>
            <w:tcW w:w="464" w:type="pct"/>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textAlignment w:val="auto"/>
              <w:rPr>
                <w:rFonts w:hint="eastAsia" w:hAnsi="宋体" w:eastAsia="宋体" w:cs="宋体"/>
                <w:color w:val="auto"/>
                <w:sz w:val="21"/>
                <w:szCs w:val="21"/>
                <w:highlight w:val="none"/>
                <w:lang w:eastAsia="zh-CN"/>
              </w:rPr>
            </w:pPr>
          </w:p>
        </w:tc>
      </w:tr>
    </w:tbl>
    <w:p>
      <w:pPr>
        <w:pStyle w:val="94"/>
        <w:widowControl w:val="0"/>
        <w:adjustRightInd w:val="0"/>
        <w:snapToGrid w:val="0"/>
        <w:spacing w:line="500" w:lineRule="exact"/>
        <w:rPr>
          <w:rFonts w:hint="eastAsia" w:ascii="宋体" w:eastAsia="宋体"/>
          <w:color w:val="auto"/>
          <w:sz w:val="21"/>
          <w:szCs w:val="21"/>
          <w:highlight w:val="none"/>
          <w:lang w:eastAsia="zh-CN"/>
        </w:rPr>
      </w:pPr>
      <w:r>
        <w:rPr>
          <w:rFonts w:hint="eastAsia" w:ascii="宋体"/>
          <w:color w:val="auto"/>
          <w:sz w:val="21"/>
          <w:szCs w:val="21"/>
          <w:highlight w:val="none"/>
        </w:rPr>
        <w:t>（1）本次采购项目采用固定单价方式，</w:t>
      </w:r>
      <w:r>
        <w:rPr>
          <w:rFonts w:hint="eastAsia" w:ascii="宋体"/>
          <w:color w:val="auto"/>
          <w:sz w:val="21"/>
          <w:szCs w:val="21"/>
          <w:highlight w:val="none"/>
          <w:lang w:eastAsia="zh-CN"/>
        </w:rPr>
        <w:t>工程量按实结算</w:t>
      </w:r>
      <w:r>
        <w:rPr>
          <w:rFonts w:hint="eastAsia" w:ascii="宋体"/>
          <w:color w:val="auto"/>
          <w:sz w:val="21"/>
          <w:szCs w:val="21"/>
          <w:highlight w:val="none"/>
        </w:rPr>
        <w:t>。最终结算总价若经计算超过本项目</w:t>
      </w:r>
      <w:r>
        <w:rPr>
          <w:rFonts w:hint="eastAsia" w:ascii="宋体"/>
          <w:color w:val="auto"/>
          <w:sz w:val="21"/>
          <w:szCs w:val="21"/>
          <w:highlight w:val="none"/>
          <w:lang w:eastAsia="zh-CN"/>
        </w:rPr>
        <w:t>预算金额</w:t>
      </w:r>
      <w:r>
        <w:rPr>
          <w:rFonts w:hint="eastAsia" w:ascii="宋体"/>
          <w:color w:val="auto"/>
          <w:sz w:val="21"/>
          <w:szCs w:val="21"/>
          <w:highlight w:val="none"/>
        </w:rPr>
        <w:t>的，则按</w:t>
      </w:r>
      <w:r>
        <w:rPr>
          <w:rFonts w:hint="eastAsia" w:ascii="宋体"/>
          <w:color w:val="auto"/>
          <w:sz w:val="21"/>
          <w:szCs w:val="21"/>
          <w:highlight w:val="none"/>
          <w:lang w:val="en-US" w:eastAsia="zh-CN"/>
        </w:rPr>
        <w:t>预算金额</w:t>
      </w:r>
      <w:r>
        <w:rPr>
          <w:rFonts w:hint="eastAsia" w:ascii="宋体"/>
          <w:color w:val="auto"/>
          <w:sz w:val="21"/>
          <w:szCs w:val="21"/>
          <w:highlight w:val="none"/>
        </w:rPr>
        <w:t>进行支付。即：本项目最终结算总额不得超过本项目的</w:t>
      </w:r>
      <w:r>
        <w:rPr>
          <w:rFonts w:hint="eastAsia" w:ascii="宋体"/>
          <w:color w:val="auto"/>
          <w:sz w:val="21"/>
          <w:szCs w:val="21"/>
          <w:highlight w:val="none"/>
          <w:lang w:eastAsia="zh-CN"/>
        </w:rPr>
        <w:t>预算金额</w:t>
      </w:r>
      <w:r>
        <w:rPr>
          <w:rFonts w:hint="eastAsia" w:ascii="宋体"/>
          <w:color w:val="auto"/>
          <w:sz w:val="21"/>
          <w:szCs w:val="21"/>
          <w:highlight w:val="none"/>
        </w:rPr>
        <w:t>。</w:t>
      </w:r>
    </w:p>
    <w:p>
      <w:pPr>
        <w:pStyle w:val="94"/>
        <w:spacing w:line="500" w:lineRule="exact"/>
        <w:rPr>
          <w:rFonts w:hint="eastAsia" w:ascii="Times New Roman" w:hAnsi="宋体"/>
          <w:b/>
          <w:color w:val="auto"/>
          <w:sz w:val="21"/>
          <w:szCs w:val="21"/>
          <w:highlight w:val="none"/>
        </w:rPr>
      </w:pPr>
      <w:r>
        <w:rPr>
          <w:rFonts w:hint="eastAsia" w:ascii="宋体"/>
          <w:color w:val="auto"/>
          <w:sz w:val="21"/>
          <w:szCs w:val="21"/>
          <w:highlight w:val="none"/>
        </w:rPr>
        <w:t>（2）单价为全费用单价，均已包括了实施合同项目所需的人工费、材料费（含燃料动力费等）、差旅费、调研费、资料收集、测试化验加工费、设备费（含设备折扣、租赁、使用费等）、措施费、知识产权费、会议费、保险、咨询费、出版印刷、管理费、不可预见费和采购代理服务费、利润、汇报材料/成果编制及印刷、税金、</w:t>
      </w:r>
      <w:r>
        <w:rPr>
          <w:rFonts w:hint="eastAsia" w:ascii="宋体" w:hAnsi="宋体" w:cs="宋体"/>
          <w:color w:val="auto"/>
          <w:sz w:val="21"/>
          <w:szCs w:val="21"/>
          <w:highlight w:val="none"/>
          <w:lang w:val="en-US" w:eastAsia="zh-CN"/>
        </w:rPr>
        <w:t>验收、验收时第三方机构的检测/检验费、</w:t>
      </w:r>
      <w:r>
        <w:rPr>
          <w:rFonts w:hint="eastAsia" w:ascii="宋体"/>
          <w:color w:val="auto"/>
          <w:sz w:val="21"/>
          <w:szCs w:val="21"/>
          <w:highlight w:val="none"/>
        </w:rPr>
        <w:t>政策性文件规定及合同包含的所有风险及责任等全部费用。</w:t>
      </w:r>
      <w:r>
        <w:rPr>
          <w:rFonts w:hint="eastAsia" w:ascii="宋体"/>
          <w:color w:val="auto"/>
          <w:sz w:val="21"/>
          <w:szCs w:val="21"/>
          <w:highlight w:val="none"/>
        </w:rPr>
        <w:br w:type="textWrapping"/>
      </w:r>
      <w:r>
        <w:rPr>
          <w:rFonts w:hint="eastAsia" w:ascii="宋体"/>
          <w:color w:val="auto"/>
          <w:sz w:val="21"/>
          <w:szCs w:val="21"/>
          <w:highlight w:val="none"/>
          <w:lang w:val="en-US" w:eastAsia="zh-CN"/>
        </w:rPr>
        <w:t xml:space="preserve">     </w:t>
      </w:r>
      <w:bookmarkStart w:id="37" w:name="_Toc361762430"/>
      <w:r>
        <w:rPr>
          <w:rFonts w:hint="eastAsia" w:ascii="宋体" w:hAnsi="宋体" w:cs="宋体"/>
          <w:b/>
          <w:bCs/>
          <w:color w:val="auto"/>
          <w:sz w:val="21"/>
          <w:szCs w:val="21"/>
          <w:highlight w:val="none"/>
          <w:lang w:eastAsia="zh-CN"/>
        </w:rPr>
        <w:t>二、</w:t>
      </w:r>
      <w:r>
        <w:rPr>
          <w:rFonts w:hint="eastAsia" w:ascii="宋体" w:hAnsi="宋体" w:cs="宋体"/>
          <w:b/>
          <w:bCs/>
          <w:color w:val="auto"/>
          <w:sz w:val="21"/>
          <w:szCs w:val="21"/>
          <w:highlight w:val="none"/>
        </w:rPr>
        <w:t>执行技术规范和</w:t>
      </w:r>
      <w:bookmarkEnd w:id="37"/>
      <w:r>
        <w:rPr>
          <w:rFonts w:hint="eastAsia" w:ascii="宋体" w:hAnsi="宋体" w:cs="宋体"/>
          <w:b/>
          <w:bCs/>
          <w:color w:val="auto"/>
          <w:sz w:val="21"/>
          <w:szCs w:val="21"/>
          <w:highlight w:val="none"/>
        </w:rPr>
        <w:t>依据</w:t>
      </w:r>
    </w:p>
    <w:p>
      <w:pPr>
        <w:pStyle w:val="94"/>
        <w:spacing w:line="560" w:lineRule="exact"/>
        <w:ind w:firstLine="420" w:firstLineChars="200"/>
        <w:jc w:val="both"/>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排水管道测绘、检测需要遵循包括但不限于以下规范要求（按最新版标准要求）：</w:t>
      </w:r>
    </w:p>
    <w:p>
      <w:pPr>
        <w:pStyle w:val="94"/>
        <w:spacing w:line="560" w:lineRule="exact"/>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《城镇排水管道检测与评估技术规程》；</w:t>
      </w:r>
    </w:p>
    <w:p>
      <w:pPr>
        <w:pStyle w:val="94"/>
        <w:spacing w:line="560" w:lineRule="exact"/>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《城市地下管线探测技术规程》；</w:t>
      </w:r>
    </w:p>
    <w:p>
      <w:pPr>
        <w:pStyle w:val="94"/>
        <w:spacing w:line="560" w:lineRule="exact"/>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《城镇排水管道维护安全技术规程》；</w:t>
      </w:r>
    </w:p>
    <w:p>
      <w:pPr>
        <w:pStyle w:val="94"/>
        <w:spacing w:line="560" w:lineRule="exact"/>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《爆炸性气体环境用电气设备》；</w:t>
      </w:r>
    </w:p>
    <w:p>
      <w:pPr>
        <w:pStyle w:val="94"/>
        <w:spacing w:line="560" w:lineRule="exact"/>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《城镇排水管渠与泵站维护技术规程》；</w:t>
      </w:r>
    </w:p>
    <w:p>
      <w:pPr>
        <w:pStyle w:val="94"/>
        <w:spacing w:line="560" w:lineRule="exact"/>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6.《城市地下空间测绘规范》；</w:t>
      </w:r>
    </w:p>
    <w:p>
      <w:pPr>
        <w:pStyle w:val="94"/>
        <w:spacing w:line="560" w:lineRule="exact"/>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《建设工程文件归档整理规范》；</w:t>
      </w:r>
    </w:p>
    <w:p>
      <w:pPr>
        <w:pStyle w:val="94"/>
        <w:spacing w:line="560" w:lineRule="exact"/>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《中华人民共和国道路交通安全法》</w:t>
      </w:r>
      <w:r>
        <w:rPr>
          <w:rFonts w:hint="eastAsia" w:ascii="宋体" w:hAnsi="宋体" w:eastAsia="宋体" w:cs="宋体"/>
          <w:color w:val="auto"/>
          <w:sz w:val="21"/>
          <w:szCs w:val="21"/>
          <w:highlight w:val="none"/>
          <w:lang w:val="en-US" w:eastAsia="zh-CN"/>
        </w:rPr>
        <w:t>。</w:t>
      </w:r>
    </w:p>
    <w:p>
      <w:pPr>
        <w:pStyle w:val="94"/>
        <w:widowControl w:val="0"/>
        <w:adjustRightInd w:val="0"/>
        <w:spacing w:line="500" w:lineRule="exact"/>
        <w:rPr>
          <w:rFonts w:ascii="宋体"/>
          <w:b/>
          <w:color w:val="auto"/>
          <w:sz w:val="21"/>
          <w:szCs w:val="21"/>
          <w:highlight w:val="none"/>
        </w:rPr>
      </w:pPr>
      <w:r>
        <w:rPr>
          <w:rFonts w:hint="eastAsia" w:ascii="宋体"/>
          <w:color w:val="auto"/>
          <w:sz w:val="21"/>
          <w:szCs w:val="21"/>
          <w:highlight w:val="none"/>
          <w:lang w:eastAsia="zh-CN"/>
        </w:rPr>
        <w:t>三</w:t>
      </w:r>
      <w:r>
        <w:rPr>
          <w:rFonts w:hint="eastAsia" w:ascii="宋体"/>
          <w:b/>
          <w:color w:val="auto"/>
          <w:sz w:val="21"/>
          <w:szCs w:val="21"/>
          <w:highlight w:val="none"/>
        </w:rPr>
        <w:t>、技术要求</w:t>
      </w:r>
    </w:p>
    <w:p>
      <w:pPr>
        <w:snapToGrid w:val="0"/>
        <w:spacing w:line="500" w:lineRule="exact"/>
        <w:ind w:firstLine="422" w:firstLineChars="200"/>
        <w:rPr>
          <w:rFonts w:hAnsi="宋体" w:cs="宋体"/>
          <w:b/>
          <w:color w:val="auto"/>
          <w:sz w:val="21"/>
          <w:szCs w:val="21"/>
          <w:highlight w:val="none"/>
        </w:rPr>
      </w:pPr>
      <w:r>
        <w:rPr>
          <w:rFonts w:hint="eastAsia" w:hAnsi="宋体" w:cs="宋体"/>
          <w:b/>
          <w:color w:val="auto"/>
          <w:sz w:val="21"/>
          <w:szCs w:val="21"/>
          <w:highlight w:val="none"/>
        </w:rPr>
        <w:t>1.雨水管</w:t>
      </w:r>
      <w:r>
        <w:rPr>
          <w:rFonts w:hint="eastAsia" w:hAnsi="宋体" w:cs="宋体"/>
          <w:b/>
          <w:color w:val="auto"/>
          <w:sz w:val="21"/>
          <w:szCs w:val="21"/>
          <w:highlight w:val="none"/>
          <w:lang w:eastAsia="zh-CN"/>
        </w:rPr>
        <w:t>网</w:t>
      </w:r>
      <w:r>
        <w:rPr>
          <w:rFonts w:hint="eastAsia" w:hAnsi="宋体" w:cs="宋体"/>
          <w:b/>
          <w:color w:val="auto"/>
          <w:sz w:val="21"/>
          <w:szCs w:val="21"/>
          <w:highlight w:val="none"/>
        </w:rPr>
        <w:t>测绘的工作内容及具体要求</w:t>
      </w:r>
    </w:p>
    <w:p>
      <w:pPr>
        <w:pStyle w:val="94"/>
        <w:keepNext w:val="0"/>
        <w:keepLines w:val="0"/>
        <w:pageBreakBefore w:val="0"/>
        <w:kinsoku/>
        <w:wordWrap/>
        <w:overflowPunct/>
        <w:topLinePunct w:val="0"/>
        <w:bidi w:val="0"/>
        <w:adjustRightInd w:val="0"/>
        <w:snapToGrid w:val="0"/>
        <w:spacing w:line="500" w:lineRule="exact"/>
        <w:ind w:left="0" w:leftChars="0" w:firstLine="420" w:firstLineChars="200"/>
        <w:jc w:val="both"/>
        <w:textAlignment w:val="auto"/>
        <w:rPr>
          <w:rFonts w:ascii="宋体"/>
          <w:color w:val="auto"/>
          <w:sz w:val="21"/>
          <w:szCs w:val="21"/>
          <w:highlight w:val="none"/>
        </w:rPr>
      </w:pPr>
      <w:r>
        <w:rPr>
          <w:rFonts w:hint="eastAsia" w:ascii="宋体"/>
          <w:color w:val="auto"/>
          <w:sz w:val="21"/>
          <w:szCs w:val="21"/>
          <w:highlight w:val="none"/>
        </w:rPr>
        <w:t>（1）雨水管</w:t>
      </w:r>
      <w:r>
        <w:rPr>
          <w:rFonts w:hint="eastAsia" w:ascii="宋体"/>
          <w:color w:val="auto"/>
          <w:sz w:val="21"/>
          <w:szCs w:val="21"/>
          <w:highlight w:val="none"/>
          <w:lang w:val="en-US" w:eastAsia="zh-CN"/>
        </w:rPr>
        <w:t>网</w:t>
      </w:r>
      <w:r>
        <w:rPr>
          <w:rFonts w:hint="eastAsia" w:ascii="宋体"/>
          <w:color w:val="auto"/>
          <w:sz w:val="21"/>
          <w:szCs w:val="21"/>
          <w:highlight w:val="none"/>
        </w:rPr>
        <w:t>实地调查项目</w:t>
      </w:r>
    </w:p>
    <w:p>
      <w:pPr>
        <w:pStyle w:val="94"/>
        <w:keepNext w:val="0"/>
        <w:keepLines w:val="0"/>
        <w:pageBreakBefore w:val="0"/>
        <w:kinsoku/>
        <w:wordWrap/>
        <w:overflowPunct/>
        <w:topLinePunct w:val="0"/>
        <w:bidi w:val="0"/>
        <w:adjustRightInd w:val="0"/>
        <w:snapToGrid w:val="0"/>
        <w:spacing w:line="500" w:lineRule="exact"/>
        <w:ind w:left="0" w:leftChars="0" w:firstLine="420" w:firstLineChars="200"/>
        <w:jc w:val="both"/>
        <w:textAlignment w:val="auto"/>
        <w:rPr>
          <w:rFonts w:ascii="宋体"/>
          <w:color w:val="auto"/>
          <w:sz w:val="21"/>
          <w:szCs w:val="21"/>
          <w:highlight w:val="none"/>
        </w:rPr>
      </w:pPr>
      <w:r>
        <w:rPr>
          <w:rFonts w:hint="eastAsia" w:ascii="宋体"/>
          <w:color w:val="auto"/>
          <w:sz w:val="21"/>
          <w:szCs w:val="21"/>
          <w:highlight w:val="none"/>
        </w:rPr>
        <w:t>雨水</w:t>
      </w:r>
      <w:r>
        <w:rPr>
          <w:rFonts w:hint="eastAsia" w:ascii="宋体" w:hAnsi="宋体" w:eastAsia="宋体" w:cs="宋体"/>
          <w:color w:val="auto"/>
          <w:sz w:val="21"/>
          <w:szCs w:val="21"/>
          <w:highlight w:val="none"/>
        </w:rPr>
        <w:t>管</w:t>
      </w:r>
      <w:r>
        <w:rPr>
          <w:rFonts w:hint="eastAsia" w:ascii="宋体" w:cs="宋体"/>
          <w:color w:val="auto"/>
          <w:sz w:val="21"/>
          <w:szCs w:val="21"/>
          <w:highlight w:val="none"/>
          <w:lang w:eastAsia="zh-CN"/>
        </w:rPr>
        <w:t>网</w:t>
      </w:r>
      <w:r>
        <w:rPr>
          <w:rFonts w:hint="eastAsia" w:ascii="宋体"/>
          <w:color w:val="auto"/>
          <w:sz w:val="21"/>
          <w:szCs w:val="21"/>
          <w:highlight w:val="none"/>
        </w:rPr>
        <w:t>查明</w:t>
      </w:r>
      <w:r>
        <w:rPr>
          <w:rFonts w:hint="eastAsia" w:ascii="宋体" w:hAnsi="宋体" w:eastAsia="宋体" w:cs="宋体"/>
          <w:color w:val="auto"/>
          <w:sz w:val="21"/>
          <w:szCs w:val="21"/>
          <w:highlight w:val="none"/>
        </w:rPr>
        <w:t>管</w:t>
      </w:r>
      <w:r>
        <w:rPr>
          <w:rFonts w:hint="eastAsia" w:ascii="宋体" w:cs="宋体"/>
          <w:color w:val="auto"/>
          <w:sz w:val="21"/>
          <w:szCs w:val="21"/>
          <w:highlight w:val="none"/>
          <w:lang w:val="en-US" w:eastAsia="zh-CN"/>
        </w:rPr>
        <w:t>道</w:t>
      </w:r>
      <w:r>
        <w:rPr>
          <w:rFonts w:hint="eastAsia" w:ascii="宋体"/>
          <w:color w:val="auto"/>
          <w:sz w:val="21"/>
          <w:szCs w:val="21"/>
          <w:highlight w:val="none"/>
        </w:rPr>
        <w:t>类型、平面位置、埋深、高程、流向、管径、特征、材质、井盖尺寸、井盖材质、井深、埋设方式、道路名称等。</w:t>
      </w:r>
    </w:p>
    <w:p>
      <w:pPr>
        <w:pStyle w:val="94"/>
        <w:keepNext w:val="0"/>
        <w:keepLines w:val="0"/>
        <w:pageBreakBefore w:val="0"/>
        <w:kinsoku/>
        <w:wordWrap/>
        <w:overflowPunct/>
        <w:topLinePunct w:val="0"/>
        <w:bidi w:val="0"/>
        <w:adjustRightInd w:val="0"/>
        <w:snapToGrid w:val="0"/>
        <w:spacing w:line="500" w:lineRule="exact"/>
        <w:ind w:left="0" w:leftChars="0" w:firstLine="420" w:firstLineChars="200"/>
        <w:jc w:val="both"/>
        <w:textAlignment w:val="auto"/>
        <w:rPr>
          <w:rFonts w:ascii="宋体"/>
          <w:color w:val="auto"/>
          <w:sz w:val="21"/>
          <w:szCs w:val="21"/>
          <w:highlight w:val="none"/>
        </w:rPr>
      </w:pPr>
      <w:r>
        <w:rPr>
          <w:rFonts w:hint="eastAsia" w:ascii="宋体"/>
          <w:color w:val="auto"/>
          <w:sz w:val="21"/>
          <w:szCs w:val="21"/>
          <w:highlight w:val="none"/>
        </w:rPr>
        <w:t>（2）雨水</w:t>
      </w:r>
      <w:r>
        <w:rPr>
          <w:rFonts w:hint="eastAsia" w:ascii="宋体" w:hAnsi="宋体" w:eastAsia="宋体" w:cs="宋体"/>
          <w:color w:val="auto"/>
          <w:sz w:val="21"/>
          <w:szCs w:val="21"/>
          <w:highlight w:val="none"/>
        </w:rPr>
        <w:t>管</w:t>
      </w:r>
      <w:r>
        <w:rPr>
          <w:rFonts w:hint="eastAsia" w:ascii="宋体" w:hAnsi="宋体" w:eastAsia="宋体" w:cs="宋体"/>
          <w:color w:val="auto"/>
          <w:sz w:val="21"/>
          <w:szCs w:val="21"/>
          <w:highlight w:val="none"/>
          <w:lang w:val="en-US" w:eastAsia="zh-CN"/>
        </w:rPr>
        <w:t>道</w:t>
      </w:r>
      <w:r>
        <w:rPr>
          <w:rFonts w:hint="eastAsia" w:ascii="宋体"/>
          <w:color w:val="auto"/>
          <w:sz w:val="21"/>
          <w:szCs w:val="21"/>
          <w:highlight w:val="none"/>
        </w:rPr>
        <w:t>探测取舍标准</w:t>
      </w:r>
    </w:p>
    <w:p>
      <w:pPr>
        <w:keepNext w:val="0"/>
        <w:keepLines w:val="0"/>
        <w:pageBreakBefore w:val="0"/>
        <w:kinsoku/>
        <w:wordWrap/>
        <w:overflowPunct/>
        <w:topLinePunct w:val="0"/>
        <w:bidi w:val="0"/>
        <w:adjustRightInd w:val="0"/>
        <w:snapToGrid w:val="0"/>
        <w:spacing w:line="500" w:lineRule="exact"/>
        <w:ind w:left="0" w:leftChars="0" w:firstLine="420" w:firstLineChars="200"/>
        <w:textAlignment w:val="auto"/>
        <w:rPr>
          <w:rFonts w:hAnsi="宋体" w:cs="宋体"/>
          <w:color w:val="auto"/>
          <w:sz w:val="21"/>
          <w:szCs w:val="21"/>
          <w:highlight w:val="none"/>
        </w:rPr>
      </w:pPr>
      <w:r>
        <w:rPr>
          <w:rFonts w:hint="eastAsia" w:hAnsi="宋体" w:cs="宋体"/>
          <w:color w:val="auto"/>
          <w:sz w:val="21"/>
          <w:szCs w:val="21"/>
          <w:highlight w:val="none"/>
        </w:rPr>
        <w:t>本次雨水</w:t>
      </w:r>
      <w:r>
        <w:rPr>
          <w:rFonts w:hint="eastAsia" w:ascii="宋体" w:hAnsi="宋体" w:eastAsia="宋体" w:cs="宋体"/>
          <w:color w:val="auto"/>
          <w:sz w:val="21"/>
          <w:szCs w:val="21"/>
          <w:highlight w:val="none"/>
          <w:lang w:val="en-US" w:eastAsia="zh-CN" w:bidi="ar-SA"/>
        </w:rPr>
        <w:t>管道</w:t>
      </w:r>
      <w:r>
        <w:rPr>
          <w:rFonts w:hint="eastAsia" w:hAnsi="宋体" w:cs="宋体"/>
          <w:color w:val="auto"/>
          <w:sz w:val="21"/>
          <w:szCs w:val="21"/>
          <w:highlight w:val="none"/>
        </w:rPr>
        <w:t>探测取舍标准：方沟≥300×300mm或内径≥300mm，主管连接雨水篦子方向的支管全测。</w:t>
      </w:r>
      <w:r>
        <w:rPr>
          <w:rFonts w:hint="eastAsia" w:hAnsi="宋体" w:cs="宋体"/>
          <w:color w:val="auto"/>
          <w:sz w:val="21"/>
          <w:szCs w:val="21"/>
          <w:highlight w:val="none"/>
        </w:rPr>
        <w:br w:type="textWrapping"/>
      </w:r>
      <w:r>
        <w:rPr>
          <w:rFonts w:hint="eastAsia" w:hAnsi="宋体" w:cs="宋体"/>
          <w:color w:val="auto"/>
          <w:sz w:val="21"/>
          <w:szCs w:val="21"/>
          <w:highlight w:val="none"/>
        </w:rPr>
        <w:t xml:space="preserve">   （3）测量精度指标</w:t>
      </w:r>
    </w:p>
    <w:p>
      <w:pPr>
        <w:pStyle w:val="94"/>
        <w:keepNext w:val="0"/>
        <w:keepLines w:val="0"/>
        <w:pageBreakBefore w:val="0"/>
        <w:numPr>
          <w:ilvl w:val="-1"/>
          <w:numId w:val="0"/>
        </w:numPr>
        <w:kinsoku/>
        <w:wordWrap/>
        <w:overflowPunct/>
        <w:topLinePunct w:val="0"/>
        <w:bidi w:val="0"/>
        <w:adjustRightInd w:val="0"/>
        <w:snapToGrid w:val="0"/>
        <w:spacing w:line="500" w:lineRule="exact"/>
        <w:ind w:left="0" w:leftChars="0" w:firstLine="420" w:firstLineChars="200"/>
        <w:jc w:val="both"/>
        <w:textAlignment w:val="auto"/>
        <w:rPr>
          <w:rFonts w:ascii="宋体"/>
          <w:color w:val="auto"/>
          <w:sz w:val="21"/>
          <w:szCs w:val="21"/>
          <w:highlight w:val="none"/>
        </w:rPr>
      </w:pPr>
      <w:r>
        <w:rPr>
          <w:rFonts w:hint="eastAsia" w:ascii="宋体"/>
          <w:color w:val="auto"/>
          <w:sz w:val="21"/>
          <w:szCs w:val="21"/>
          <w:highlight w:val="none"/>
        </w:rPr>
        <w:t>地下管</w:t>
      </w:r>
      <w:r>
        <w:rPr>
          <w:rFonts w:hint="eastAsia" w:ascii="宋体" w:hAnsi="宋体" w:eastAsia="宋体" w:cs="宋体"/>
          <w:color w:val="auto"/>
          <w:sz w:val="21"/>
          <w:szCs w:val="21"/>
          <w:highlight w:val="none"/>
          <w:lang w:val="en-US" w:eastAsia="zh-CN"/>
        </w:rPr>
        <w:t>道</w:t>
      </w:r>
      <w:r>
        <w:rPr>
          <w:rFonts w:hint="eastAsia" w:ascii="宋体"/>
          <w:color w:val="auto"/>
          <w:sz w:val="21"/>
          <w:szCs w:val="21"/>
          <w:highlight w:val="none"/>
        </w:rPr>
        <w:t>点的测量精度：平面位置测量中误差（指管线点相对于邻近平面控制点）不得大于±5 cm，高程测量中误差（指管</w:t>
      </w:r>
      <w:r>
        <w:rPr>
          <w:rFonts w:hint="eastAsia" w:ascii="宋体" w:hAnsi="宋体" w:eastAsia="宋体" w:cs="宋体"/>
          <w:color w:val="auto"/>
          <w:sz w:val="21"/>
          <w:szCs w:val="21"/>
          <w:highlight w:val="none"/>
          <w:lang w:val="en-US" w:eastAsia="zh-CN"/>
        </w:rPr>
        <w:t>道</w:t>
      </w:r>
      <w:r>
        <w:rPr>
          <w:rFonts w:hint="eastAsia" w:ascii="宋体"/>
          <w:color w:val="auto"/>
          <w:sz w:val="21"/>
          <w:szCs w:val="21"/>
          <w:highlight w:val="none"/>
        </w:rPr>
        <w:t>点相对邻近高程控制点）不得大于±3 cm。</w:t>
      </w:r>
    </w:p>
    <w:p>
      <w:pPr>
        <w:pStyle w:val="94"/>
        <w:keepNext w:val="0"/>
        <w:keepLines w:val="0"/>
        <w:pageBreakBefore w:val="0"/>
        <w:numPr>
          <w:ilvl w:val="-1"/>
          <w:numId w:val="0"/>
        </w:numPr>
        <w:kinsoku/>
        <w:wordWrap/>
        <w:overflowPunct/>
        <w:topLinePunct w:val="0"/>
        <w:bidi w:val="0"/>
        <w:adjustRightInd w:val="0"/>
        <w:snapToGrid w:val="0"/>
        <w:spacing w:line="500" w:lineRule="exact"/>
        <w:ind w:left="0" w:leftChars="0" w:firstLine="0" w:firstLineChars="0"/>
        <w:jc w:val="both"/>
        <w:textAlignment w:val="auto"/>
        <w:rPr>
          <w:rFonts w:ascii="宋体"/>
          <w:color w:val="auto"/>
          <w:sz w:val="21"/>
          <w:szCs w:val="21"/>
          <w:highlight w:val="none"/>
        </w:rPr>
      </w:pPr>
      <w:r>
        <w:rPr>
          <w:rFonts w:hint="eastAsia" w:ascii="宋体"/>
          <w:color w:val="auto"/>
          <w:sz w:val="21"/>
          <w:szCs w:val="21"/>
          <w:highlight w:val="none"/>
          <w:lang w:val="en-US" w:eastAsia="zh-CN"/>
        </w:rPr>
        <w:t xml:space="preserve">   </w:t>
      </w:r>
      <w:r>
        <w:rPr>
          <w:rFonts w:hint="eastAsia" w:hAnsi="宋体" w:cs="宋体"/>
          <w:color w:val="auto"/>
          <w:sz w:val="21"/>
          <w:szCs w:val="21"/>
          <w:highlight w:val="none"/>
        </w:rPr>
        <w:t>★</w:t>
      </w:r>
      <w:r>
        <w:rPr>
          <w:rFonts w:hint="eastAsia" w:ascii="宋体"/>
          <w:color w:val="auto"/>
          <w:sz w:val="21"/>
          <w:szCs w:val="21"/>
          <w:highlight w:val="none"/>
          <w:lang w:val="en-US" w:eastAsia="zh-CN"/>
        </w:rPr>
        <w:t>（4）测绘排查：根据采购人要求对辖区内的管网实施测绘和相关属性调查，按测绘标准规范、要求形成完整的测绘成果数据及测绘图纸</w:t>
      </w:r>
      <w:r>
        <w:rPr>
          <w:rFonts w:hint="eastAsia" w:ascii="宋体" w:hAnsi="宋体" w:eastAsia="宋体" w:cs="宋体"/>
          <w:color w:val="auto"/>
          <w:sz w:val="21"/>
          <w:szCs w:val="21"/>
          <w:highlight w:val="none"/>
          <w:lang w:val="en-US" w:eastAsia="zh-CN"/>
        </w:rPr>
        <w:t>，</w:t>
      </w:r>
      <w:r>
        <w:rPr>
          <w:rFonts w:hint="eastAsia" w:ascii="宋体"/>
          <w:color w:val="auto"/>
          <w:sz w:val="21"/>
          <w:szCs w:val="21"/>
          <w:highlight w:val="none"/>
          <w:lang w:val="en-US" w:eastAsia="zh-CN"/>
        </w:rPr>
        <w:t>最终成果纳入金华市地下管线综合管理信息系统。</w:t>
      </w:r>
    </w:p>
    <w:p>
      <w:pPr>
        <w:snapToGrid w:val="0"/>
        <w:spacing w:line="500" w:lineRule="exact"/>
        <w:ind w:firstLine="422" w:firstLineChars="200"/>
        <w:rPr>
          <w:rFonts w:hAnsi="宋体" w:cs="宋体"/>
          <w:b/>
          <w:color w:val="auto"/>
          <w:sz w:val="21"/>
          <w:szCs w:val="21"/>
          <w:highlight w:val="none"/>
        </w:rPr>
      </w:pPr>
      <w:r>
        <w:rPr>
          <w:rFonts w:hint="eastAsia" w:hAnsi="宋体" w:cs="宋体"/>
          <w:b/>
          <w:color w:val="auto"/>
          <w:sz w:val="21"/>
          <w:szCs w:val="21"/>
          <w:highlight w:val="none"/>
        </w:rPr>
        <w:t>2.雨水管</w:t>
      </w:r>
      <w:r>
        <w:rPr>
          <w:rFonts w:hint="eastAsia" w:hAnsi="宋体" w:cs="宋体"/>
          <w:b/>
          <w:color w:val="auto"/>
          <w:sz w:val="21"/>
          <w:szCs w:val="21"/>
          <w:highlight w:val="none"/>
          <w:lang w:eastAsia="zh-CN"/>
        </w:rPr>
        <w:t>网</w:t>
      </w:r>
      <w:r>
        <w:rPr>
          <w:rFonts w:hint="eastAsia" w:hAnsi="宋体" w:cs="宋体"/>
          <w:b/>
          <w:color w:val="auto"/>
          <w:sz w:val="21"/>
          <w:szCs w:val="21"/>
          <w:highlight w:val="none"/>
        </w:rPr>
        <w:t>检测工作内容及具体要求</w:t>
      </w:r>
    </w:p>
    <w:p>
      <w:pPr>
        <w:pStyle w:val="94"/>
        <w:spacing w:line="560" w:lineRule="exact"/>
        <w:jc w:val="both"/>
        <w:rPr>
          <w:rFonts w:hint="eastAsia" w:ascii="宋体"/>
          <w:color w:val="auto"/>
          <w:sz w:val="21"/>
          <w:szCs w:val="21"/>
          <w:highlight w:val="none"/>
        </w:rPr>
      </w:pPr>
      <w:r>
        <w:rPr>
          <w:rFonts w:hint="eastAsia" w:ascii="宋体"/>
          <w:color w:val="auto"/>
          <w:sz w:val="21"/>
          <w:szCs w:val="21"/>
          <w:highlight w:val="none"/>
        </w:rPr>
        <w:t>（1）雨水管网管道检测</w:t>
      </w:r>
    </w:p>
    <w:p>
      <w:pPr>
        <w:pStyle w:val="94"/>
        <w:spacing w:line="560" w:lineRule="exact"/>
        <w:jc w:val="both"/>
        <w:rPr>
          <w:rFonts w:hint="eastAsia" w:ascii="宋体"/>
          <w:color w:val="auto"/>
          <w:sz w:val="21"/>
          <w:szCs w:val="21"/>
          <w:highlight w:val="none"/>
        </w:rPr>
      </w:pPr>
      <w:r>
        <w:rPr>
          <w:rFonts w:hint="eastAsia" w:ascii="宋体"/>
          <w:color w:val="auto"/>
          <w:sz w:val="21"/>
          <w:szCs w:val="21"/>
          <w:highlight w:val="none"/>
        </w:rPr>
        <w:t>本次雨水管</w:t>
      </w:r>
      <w:r>
        <w:rPr>
          <w:rFonts w:hint="eastAsia" w:ascii="宋体"/>
          <w:color w:val="auto"/>
          <w:sz w:val="21"/>
          <w:szCs w:val="21"/>
          <w:highlight w:val="none"/>
          <w:lang w:val="en-US" w:eastAsia="zh-CN"/>
        </w:rPr>
        <w:t>网</w:t>
      </w:r>
      <w:r>
        <w:rPr>
          <w:rFonts w:hint="eastAsia" w:ascii="宋体"/>
          <w:color w:val="auto"/>
          <w:sz w:val="21"/>
          <w:szCs w:val="21"/>
          <w:highlight w:val="none"/>
        </w:rPr>
        <w:t>排查取舍标准：方沟≥300×300mm或内径≥300mm，主管连接雨水篦子方向的支管全测。</w:t>
      </w:r>
    </w:p>
    <w:p>
      <w:pPr>
        <w:pStyle w:val="94"/>
        <w:spacing w:line="560" w:lineRule="exact"/>
        <w:jc w:val="both"/>
        <w:rPr>
          <w:rFonts w:hint="eastAsia" w:ascii="宋体"/>
          <w:color w:val="auto"/>
          <w:sz w:val="21"/>
          <w:szCs w:val="21"/>
          <w:highlight w:val="none"/>
        </w:rPr>
      </w:pPr>
      <w:r>
        <w:rPr>
          <w:rFonts w:hint="eastAsia" w:ascii="宋体"/>
          <w:color w:val="auto"/>
          <w:sz w:val="21"/>
          <w:szCs w:val="21"/>
          <w:highlight w:val="none"/>
        </w:rPr>
        <w:t>检测方法的选择：</w:t>
      </w:r>
      <w:r>
        <w:rPr>
          <w:rFonts w:hint="eastAsia" w:ascii="宋体"/>
          <w:color w:val="auto"/>
          <w:sz w:val="21"/>
          <w:szCs w:val="21"/>
          <w:highlight w:val="none"/>
          <w:lang w:val="en-US" w:eastAsia="zh-CN"/>
        </w:rPr>
        <w:t>①</w:t>
      </w:r>
      <w:r>
        <w:rPr>
          <w:rFonts w:hint="eastAsia" w:ascii="宋体"/>
          <w:color w:val="auto"/>
          <w:sz w:val="21"/>
          <w:szCs w:val="21"/>
          <w:highlight w:val="none"/>
        </w:rPr>
        <w:t>原则上，雨水主管道及管径≥300mm的采用CCTV检测，管道变形或接口错位等缺陷造成检测车无法通过的可采用潜望镜（QV）进行检测。</w:t>
      </w:r>
      <w:r>
        <w:rPr>
          <w:rFonts w:hint="eastAsia" w:ascii="宋体"/>
          <w:color w:val="auto"/>
          <w:sz w:val="21"/>
          <w:szCs w:val="21"/>
          <w:highlight w:val="none"/>
          <w:lang w:val="en-US" w:eastAsia="zh-CN"/>
        </w:rPr>
        <w:t>②</w:t>
      </w:r>
      <w:r>
        <w:rPr>
          <w:rFonts w:hint="eastAsia" w:ascii="宋体"/>
          <w:color w:val="auto"/>
          <w:sz w:val="21"/>
          <w:szCs w:val="21"/>
          <w:highlight w:val="none"/>
        </w:rPr>
        <w:t>对于雨水篦管段，通过QV检测可查看整段管道状况，采用QV检测；对于无法查看整段管状况的情况下采用CCTV检测。</w:t>
      </w:r>
      <w:r>
        <w:rPr>
          <w:rFonts w:hint="eastAsia" w:ascii="宋体"/>
          <w:color w:val="auto"/>
          <w:sz w:val="21"/>
          <w:szCs w:val="21"/>
          <w:highlight w:val="none"/>
          <w:lang w:val="en-US" w:eastAsia="zh-CN"/>
        </w:rPr>
        <w:t>③</w:t>
      </w:r>
      <w:r>
        <w:rPr>
          <w:rFonts w:hint="eastAsia" w:ascii="宋体"/>
          <w:color w:val="auto"/>
          <w:sz w:val="21"/>
          <w:szCs w:val="21"/>
          <w:highlight w:val="none"/>
        </w:rPr>
        <w:t>管道检测方法应根据现场的具体情况和检测设备的适应性进行选择，当一种检测方法不能全面反映管道、沟渠状况时，可采用多种方法联合检测。</w:t>
      </w:r>
    </w:p>
    <w:p>
      <w:pPr>
        <w:pStyle w:val="94"/>
        <w:spacing w:line="560" w:lineRule="exact"/>
        <w:jc w:val="both"/>
        <w:rPr>
          <w:rFonts w:hint="eastAsia" w:ascii="宋体"/>
          <w:color w:val="auto"/>
          <w:sz w:val="21"/>
          <w:szCs w:val="21"/>
          <w:highlight w:val="none"/>
        </w:rPr>
      </w:pPr>
      <w:r>
        <w:rPr>
          <w:rFonts w:hint="eastAsia" w:ascii="宋体"/>
          <w:color w:val="auto"/>
          <w:sz w:val="21"/>
          <w:szCs w:val="21"/>
          <w:highlight w:val="none"/>
        </w:rPr>
        <w:t>主要是检测雨水管内部结构性状况（破裂、变形、渗漏、脱节等）和功能性情况（堵塞、淤积、结垢、障碍物等，包括雨污混流），排查雨水管网内存在的污染源，临时封堵排口。</w:t>
      </w:r>
    </w:p>
    <w:p>
      <w:pPr>
        <w:pStyle w:val="94"/>
        <w:spacing w:line="560" w:lineRule="exact"/>
        <w:jc w:val="both"/>
        <w:rPr>
          <w:rFonts w:hint="eastAsia" w:ascii="宋体"/>
          <w:color w:val="auto"/>
          <w:sz w:val="21"/>
          <w:szCs w:val="21"/>
          <w:highlight w:val="none"/>
        </w:rPr>
      </w:pPr>
      <w:r>
        <w:rPr>
          <w:rFonts w:hint="eastAsia" w:ascii="宋体"/>
          <w:color w:val="auto"/>
          <w:sz w:val="21"/>
          <w:szCs w:val="21"/>
          <w:highlight w:val="none"/>
        </w:rPr>
        <w:t>（2）错接、混接点排查：依据《城镇排水管道检测与评估技术规程》(CJJ 181—2012)等相关标准，根据排查现场错接、混接实际情况，结合电视检测（CCTV）、管道潜望镜检测(QV)等现代化排查手段，对项目范围内排水管网错接、混接点开展隐患排查工作。</w:t>
      </w:r>
    </w:p>
    <w:p>
      <w:pPr>
        <w:pStyle w:val="94"/>
        <w:spacing w:line="560" w:lineRule="exact"/>
        <w:jc w:val="both"/>
        <w:rPr>
          <w:rFonts w:hint="eastAsia" w:ascii="宋体"/>
          <w:color w:val="auto"/>
          <w:sz w:val="21"/>
          <w:szCs w:val="21"/>
          <w:highlight w:val="none"/>
        </w:rPr>
      </w:pPr>
      <w:r>
        <w:rPr>
          <w:rFonts w:hint="eastAsia" w:ascii="宋体"/>
          <w:color w:val="auto"/>
          <w:sz w:val="21"/>
          <w:szCs w:val="21"/>
          <w:highlight w:val="none"/>
        </w:rPr>
        <w:t>（3）井盖破损调查、防坠网安装情况；</w:t>
      </w:r>
    </w:p>
    <w:p>
      <w:pPr>
        <w:pStyle w:val="94"/>
        <w:spacing w:line="560" w:lineRule="exact"/>
        <w:jc w:val="both"/>
        <w:rPr>
          <w:rFonts w:hint="eastAsia" w:ascii="宋体"/>
          <w:color w:val="auto"/>
          <w:sz w:val="21"/>
          <w:szCs w:val="21"/>
          <w:highlight w:val="none"/>
        </w:rPr>
      </w:pPr>
      <w:r>
        <w:rPr>
          <w:rFonts w:hint="eastAsia" w:ascii="宋体"/>
          <w:color w:val="auto"/>
          <w:sz w:val="21"/>
          <w:szCs w:val="21"/>
          <w:highlight w:val="none"/>
        </w:rPr>
        <w:t>（4）封堵、降水、疏通清淤</w:t>
      </w:r>
    </w:p>
    <w:p>
      <w:pPr>
        <w:pStyle w:val="94"/>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color w:val="auto"/>
          <w:sz w:val="21"/>
          <w:szCs w:val="21"/>
          <w:highlight w:val="none"/>
        </w:rPr>
      </w:pPr>
      <w:r>
        <w:rPr>
          <w:rFonts w:hint="eastAsia" w:ascii="宋体"/>
          <w:color w:val="auto"/>
          <w:sz w:val="21"/>
          <w:szCs w:val="21"/>
          <w:highlight w:val="none"/>
        </w:rPr>
        <w:t>针对雨水管</w:t>
      </w:r>
      <w:r>
        <w:rPr>
          <w:rFonts w:hint="eastAsia" w:ascii="宋体"/>
          <w:color w:val="auto"/>
          <w:sz w:val="21"/>
          <w:szCs w:val="21"/>
          <w:highlight w:val="none"/>
          <w:lang w:eastAsia="zh-CN"/>
        </w:rPr>
        <w:t>道</w:t>
      </w:r>
      <w:r>
        <w:rPr>
          <w:rFonts w:hint="eastAsia" w:ascii="宋体"/>
          <w:color w:val="auto"/>
          <w:sz w:val="21"/>
          <w:szCs w:val="21"/>
          <w:highlight w:val="none"/>
        </w:rPr>
        <w:t>的具体情况，根据检测需要进行封堵、降水、疏通清淤等作业</w:t>
      </w:r>
      <w:r>
        <w:rPr>
          <w:rFonts w:hint="eastAsia" w:ascii="宋体"/>
          <w:color w:val="auto"/>
          <w:sz w:val="21"/>
          <w:szCs w:val="21"/>
          <w:highlight w:val="none"/>
          <w:lang w:eastAsia="zh-CN"/>
        </w:rPr>
        <w:t>，以保证</w:t>
      </w:r>
      <w:r>
        <w:rPr>
          <w:rFonts w:hint="eastAsia" w:ascii="宋体"/>
          <w:color w:val="auto"/>
          <w:sz w:val="21"/>
          <w:szCs w:val="21"/>
          <w:highlight w:val="none"/>
        </w:rPr>
        <w:t>检测</w:t>
      </w:r>
      <w:r>
        <w:rPr>
          <w:rFonts w:hint="eastAsia" w:ascii="宋体"/>
          <w:color w:val="auto"/>
          <w:sz w:val="21"/>
          <w:szCs w:val="21"/>
          <w:highlight w:val="none"/>
          <w:lang w:eastAsia="zh-CN"/>
        </w:rPr>
        <w:t>工作完整完成</w:t>
      </w:r>
      <w:r>
        <w:rPr>
          <w:rFonts w:hint="eastAsia" w:ascii="宋体"/>
          <w:color w:val="auto"/>
          <w:sz w:val="21"/>
          <w:szCs w:val="21"/>
          <w:highlight w:val="none"/>
        </w:rPr>
        <w:t>。</w:t>
      </w:r>
      <w:r>
        <w:rPr>
          <w:rFonts w:hint="eastAsia" w:ascii="宋体"/>
          <w:color w:val="auto"/>
          <w:sz w:val="21"/>
          <w:szCs w:val="21"/>
          <w:highlight w:val="none"/>
        </w:rPr>
        <w:br w:type="textWrapping"/>
      </w:r>
      <w:r>
        <w:rPr>
          <w:rFonts w:hint="eastAsia" w:ascii="宋体"/>
          <w:color w:val="auto"/>
          <w:sz w:val="21"/>
          <w:szCs w:val="21"/>
          <w:highlight w:val="none"/>
          <w:lang w:val="en-US" w:eastAsia="zh-CN"/>
        </w:rPr>
        <w:t xml:space="preserve">   （5）</w:t>
      </w:r>
      <w:r>
        <w:rPr>
          <w:rFonts w:hint="eastAsia" w:ascii="宋体"/>
          <w:color w:val="auto"/>
          <w:sz w:val="21"/>
          <w:szCs w:val="21"/>
          <w:highlight w:val="none"/>
        </w:rPr>
        <w:t>管道检测</w:t>
      </w:r>
      <w:r>
        <w:rPr>
          <w:rFonts w:hint="eastAsia" w:ascii="宋体"/>
          <w:color w:val="auto"/>
          <w:sz w:val="21"/>
          <w:szCs w:val="21"/>
          <w:highlight w:val="none"/>
          <w:lang w:val="en-US" w:eastAsia="zh-CN"/>
        </w:rPr>
        <w:t>实施过程中基本工作</w:t>
      </w:r>
      <w:r>
        <w:rPr>
          <w:rFonts w:hint="eastAsia" w:ascii="宋体"/>
          <w:color w:val="auto"/>
          <w:sz w:val="21"/>
          <w:szCs w:val="21"/>
          <w:highlight w:val="none"/>
        </w:rPr>
        <w:t>要求：</w:t>
      </w:r>
    </w:p>
    <w:p>
      <w:pPr>
        <w:pStyle w:val="94"/>
        <w:keepNext w:val="0"/>
        <w:keepLines w:val="0"/>
        <w:pageBreakBefore w:val="0"/>
        <w:widowControl w:val="0"/>
        <w:numPr>
          <w:ilvl w:val="0"/>
          <w:numId w:val="3"/>
        </w:numPr>
        <w:kinsoku/>
        <w:wordWrap/>
        <w:overflowPunct/>
        <w:topLinePunct w:val="0"/>
        <w:autoSpaceDE/>
        <w:autoSpaceDN/>
        <w:bidi w:val="0"/>
        <w:adjustRightInd w:val="0"/>
        <w:snapToGrid w:val="0"/>
        <w:spacing w:line="500" w:lineRule="exact"/>
        <w:ind w:left="0" w:leftChars="0" w:firstLine="400" w:firstLineChars="0"/>
        <w:textAlignment w:val="auto"/>
        <w:rPr>
          <w:rFonts w:hint="eastAsia" w:ascii="宋体"/>
          <w:color w:val="auto"/>
          <w:sz w:val="21"/>
          <w:szCs w:val="21"/>
          <w:highlight w:val="none"/>
        </w:rPr>
      </w:pPr>
      <w:r>
        <w:rPr>
          <w:rFonts w:hint="eastAsia" w:ascii="宋体"/>
          <w:color w:val="auto"/>
          <w:sz w:val="21"/>
          <w:szCs w:val="21"/>
          <w:highlight w:val="none"/>
        </w:rPr>
        <w:t>管道检测的基本程序要求：检测工作任务书下达，搜集资料，现场踏勘，编写技术检测方案，检测前的准备，现场检测及初步判读，内业影</w:t>
      </w:r>
      <w:r>
        <w:rPr>
          <w:rFonts w:hint="eastAsia" w:ascii="宋体"/>
          <w:color w:val="auto"/>
          <w:sz w:val="21"/>
          <w:szCs w:val="21"/>
          <w:highlight w:val="none"/>
          <w:lang w:val="en-US" w:eastAsia="zh-CN"/>
        </w:rPr>
        <w:t>像</w:t>
      </w:r>
      <w:r>
        <w:rPr>
          <w:rFonts w:hint="eastAsia" w:ascii="宋体"/>
          <w:color w:val="auto"/>
          <w:sz w:val="21"/>
          <w:szCs w:val="21"/>
          <w:highlight w:val="none"/>
        </w:rPr>
        <w:t>判读与处理，评估计算及图件编辑，编写检测报告书和成果验收。</w:t>
      </w:r>
    </w:p>
    <w:p>
      <w:pPr>
        <w:pStyle w:val="94"/>
        <w:keepNext w:val="0"/>
        <w:keepLines w:val="0"/>
        <w:pageBreakBefore w:val="0"/>
        <w:widowControl w:val="0"/>
        <w:numPr>
          <w:ilvl w:val="0"/>
          <w:numId w:val="3"/>
        </w:numPr>
        <w:kinsoku/>
        <w:wordWrap/>
        <w:overflowPunct/>
        <w:topLinePunct w:val="0"/>
        <w:autoSpaceDE/>
        <w:autoSpaceDN/>
        <w:bidi w:val="0"/>
        <w:adjustRightInd w:val="0"/>
        <w:snapToGrid w:val="0"/>
        <w:spacing w:line="500" w:lineRule="exact"/>
        <w:ind w:left="0" w:leftChars="0" w:firstLine="400" w:firstLineChars="0"/>
        <w:textAlignment w:val="auto"/>
        <w:rPr>
          <w:rFonts w:hint="eastAsia" w:ascii="宋体"/>
          <w:color w:val="auto"/>
          <w:sz w:val="21"/>
          <w:szCs w:val="21"/>
          <w:highlight w:val="none"/>
        </w:rPr>
      </w:pPr>
      <w:r>
        <w:rPr>
          <w:rFonts w:hint="eastAsia" w:ascii="宋体"/>
          <w:color w:val="auto"/>
          <w:sz w:val="21"/>
          <w:szCs w:val="21"/>
          <w:highlight w:val="none"/>
        </w:rPr>
        <w:t>管道检测前应搜集如下资料：</w:t>
      </w:r>
    </w:p>
    <w:p>
      <w:pPr>
        <w:pStyle w:val="94"/>
        <w:keepNext w:val="0"/>
        <w:keepLines w:val="0"/>
        <w:pageBreakBefore w:val="0"/>
        <w:widowControl w:val="0"/>
        <w:numPr>
          <w:ilvl w:val="0"/>
          <w:numId w:val="4"/>
        </w:numPr>
        <w:kinsoku/>
        <w:wordWrap/>
        <w:overflowPunct/>
        <w:topLinePunct w:val="0"/>
        <w:autoSpaceDE/>
        <w:autoSpaceDN/>
        <w:bidi w:val="0"/>
        <w:adjustRightInd w:val="0"/>
        <w:snapToGrid w:val="0"/>
        <w:spacing w:line="500" w:lineRule="exact"/>
        <w:ind w:left="0" w:leftChars="0" w:firstLine="420" w:firstLineChars="200"/>
        <w:textAlignment w:val="auto"/>
        <w:rPr>
          <w:rFonts w:hint="eastAsia" w:ascii="宋体"/>
          <w:color w:val="auto"/>
          <w:sz w:val="21"/>
          <w:szCs w:val="21"/>
          <w:highlight w:val="none"/>
        </w:rPr>
      </w:pPr>
      <w:r>
        <w:rPr>
          <w:rFonts w:hint="eastAsia" w:ascii="宋体"/>
          <w:color w:val="auto"/>
          <w:sz w:val="21"/>
          <w:szCs w:val="21"/>
          <w:highlight w:val="none"/>
        </w:rPr>
        <w:t>已有排水管</w:t>
      </w:r>
      <w:r>
        <w:rPr>
          <w:rFonts w:hint="eastAsia" w:ascii="宋体"/>
          <w:color w:val="auto"/>
          <w:sz w:val="21"/>
          <w:szCs w:val="21"/>
          <w:highlight w:val="none"/>
          <w:lang w:val="en-US" w:eastAsia="zh-CN"/>
        </w:rPr>
        <w:t>网</w:t>
      </w:r>
      <w:r>
        <w:rPr>
          <w:rFonts w:hint="eastAsia" w:ascii="宋体"/>
          <w:color w:val="auto"/>
          <w:sz w:val="21"/>
          <w:szCs w:val="21"/>
          <w:highlight w:val="none"/>
        </w:rPr>
        <w:t>图；</w:t>
      </w:r>
    </w:p>
    <w:p>
      <w:pPr>
        <w:pStyle w:val="94"/>
        <w:keepNext w:val="0"/>
        <w:keepLines w:val="0"/>
        <w:pageBreakBefore w:val="0"/>
        <w:widowControl w:val="0"/>
        <w:numPr>
          <w:ilvl w:val="0"/>
          <w:numId w:val="4"/>
        </w:numPr>
        <w:kinsoku/>
        <w:wordWrap/>
        <w:overflowPunct/>
        <w:topLinePunct w:val="0"/>
        <w:autoSpaceDE/>
        <w:autoSpaceDN/>
        <w:bidi w:val="0"/>
        <w:adjustRightInd w:val="0"/>
        <w:snapToGrid w:val="0"/>
        <w:spacing w:line="500" w:lineRule="exact"/>
        <w:ind w:left="0" w:leftChars="0" w:firstLine="420" w:firstLineChars="200"/>
        <w:textAlignment w:val="auto"/>
        <w:rPr>
          <w:rFonts w:hint="eastAsia" w:ascii="宋体"/>
          <w:color w:val="auto"/>
          <w:sz w:val="21"/>
          <w:szCs w:val="21"/>
          <w:highlight w:val="none"/>
        </w:rPr>
      </w:pPr>
      <w:r>
        <w:rPr>
          <w:rFonts w:hint="eastAsia" w:ascii="宋体"/>
          <w:color w:val="auto"/>
          <w:sz w:val="21"/>
          <w:szCs w:val="21"/>
          <w:highlight w:val="none"/>
        </w:rPr>
        <w:t>管道的竣工图或施工图等技术资料；</w:t>
      </w:r>
    </w:p>
    <w:p>
      <w:pPr>
        <w:pStyle w:val="94"/>
        <w:keepNext w:val="0"/>
        <w:keepLines w:val="0"/>
        <w:pageBreakBefore w:val="0"/>
        <w:widowControl w:val="0"/>
        <w:numPr>
          <w:ilvl w:val="0"/>
          <w:numId w:val="4"/>
        </w:numPr>
        <w:kinsoku/>
        <w:wordWrap/>
        <w:overflowPunct/>
        <w:topLinePunct w:val="0"/>
        <w:autoSpaceDE/>
        <w:autoSpaceDN/>
        <w:bidi w:val="0"/>
        <w:adjustRightInd w:val="0"/>
        <w:snapToGrid w:val="0"/>
        <w:spacing w:line="500" w:lineRule="exact"/>
        <w:ind w:left="0" w:leftChars="0" w:firstLine="420" w:firstLineChars="200"/>
        <w:textAlignment w:val="auto"/>
        <w:rPr>
          <w:rFonts w:hint="eastAsia" w:ascii="宋体"/>
          <w:color w:val="auto"/>
          <w:sz w:val="21"/>
          <w:szCs w:val="21"/>
          <w:highlight w:val="none"/>
        </w:rPr>
      </w:pPr>
      <w:r>
        <w:rPr>
          <w:rFonts w:hint="eastAsia" w:ascii="宋体"/>
          <w:color w:val="auto"/>
          <w:sz w:val="21"/>
          <w:szCs w:val="21"/>
          <w:highlight w:val="none"/>
        </w:rPr>
        <w:t>评估所需的相关资料。</w:t>
      </w:r>
    </w:p>
    <w:p>
      <w:pPr>
        <w:pStyle w:val="94"/>
        <w:keepNext w:val="0"/>
        <w:keepLines w:val="0"/>
        <w:pageBreakBefore w:val="0"/>
        <w:widowControl w:val="0"/>
        <w:numPr>
          <w:ilvl w:val="0"/>
          <w:numId w:val="3"/>
        </w:numPr>
        <w:kinsoku/>
        <w:wordWrap/>
        <w:overflowPunct/>
        <w:topLinePunct w:val="0"/>
        <w:autoSpaceDE/>
        <w:autoSpaceDN/>
        <w:bidi w:val="0"/>
        <w:adjustRightInd w:val="0"/>
        <w:snapToGrid w:val="0"/>
        <w:spacing w:line="500" w:lineRule="exact"/>
        <w:ind w:left="0" w:leftChars="0" w:firstLine="400" w:firstLineChars="0"/>
        <w:textAlignment w:val="auto"/>
        <w:rPr>
          <w:rFonts w:hint="eastAsia" w:ascii="宋体"/>
          <w:color w:val="auto"/>
          <w:sz w:val="21"/>
          <w:szCs w:val="21"/>
          <w:highlight w:val="none"/>
        </w:rPr>
      </w:pPr>
      <w:r>
        <w:rPr>
          <w:rFonts w:hint="eastAsia" w:ascii="宋体"/>
          <w:color w:val="auto"/>
          <w:sz w:val="21"/>
          <w:szCs w:val="21"/>
          <w:highlight w:val="none"/>
        </w:rPr>
        <w:t>现场踏勘应包括下列内容：</w:t>
      </w:r>
    </w:p>
    <w:p>
      <w:pPr>
        <w:pStyle w:val="94"/>
        <w:keepNext w:val="0"/>
        <w:keepLines w:val="0"/>
        <w:pageBreakBefore w:val="0"/>
        <w:widowControl w:val="0"/>
        <w:numPr>
          <w:ilvl w:val="0"/>
          <w:numId w:val="5"/>
        </w:numPr>
        <w:kinsoku/>
        <w:wordWrap/>
        <w:overflowPunct/>
        <w:topLinePunct w:val="0"/>
        <w:autoSpaceDE/>
        <w:autoSpaceDN/>
        <w:bidi w:val="0"/>
        <w:adjustRightInd w:val="0"/>
        <w:snapToGrid w:val="0"/>
        <w:spacing w:line="5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察看测区的地物、地貌、交通和管道分布情况；</w:t>
      </w:r>
    </w:p>
    <w:p>
      <w:pPr>
        <w:pStyle w:val="94"/>
        <w:keepNext w:val="0"/>
        <w:keepLines w:val="0"/>
        <w:pageBreakBefore w:val="0"/>
        <w:widowControl w:val="0"/>
        <w:numPr>
          <w:ilvl w:val="0"/>
          <w:numId w:val="5"/>
        </w:numPr>
        <w:kinsoku/>
        <w:wordWrap/>
        <w:overflowPunct/>
        <w:topLinePunct w:val="0"/>
        <w:autoSpaceDE/>
        <w:autoSpaceDN/>
        <w:bidi w:val="0"/>
        <w:adjustRightInd w:val="0"/>
        <w:snapToGrid w:val="0"/>
        <w:spacing w:line="5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开井目视检查管道的水位、淤泥和井内构造等情况；</w:t>
      </w:r>
    </w:p>
    <w:p>
      <w:pPr>
        <w:pStyle w:val="94"/>
        <w:keepNext w:val="0"/>
        <w:keepLines w:val="0"/>
        <w:pageBreakBefore w:val="0"/>
        <w:widowControl w:val="0"/>
        <w:numPr>
          <w:ilvl w:val="0"/>
          <w:numId w:val="5"/>
        </w:numPr>
        <w:kinsoku/>
        <w:wordWrap/>
        <w:overflowPunct/>
        <w:topLinePunct w:val="0"/>
        <w:autoSpaceDE/>
        <w:autoSpaceDN/>
        <w:bidi w:val="0"/>
        <w:adjustRightInd w:val="0"/>
        <w:snapToGrid w:val="0"/>
        <w:spacing w:line="5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核对所搜集资料中的管井位置、管径、材质、坐标等。</w:t>
      </w:r>
    </w:p>
    <w:p>
      <w:pPr>
        <w:pStyle w:val="94"/>
        <w:keepNext w:val="0"/>
        <w:keepLines w:val="0"/>
        <w:pageBreakBefore w:val="0"/>
        <w:widowControl w:val="0"/>
        <w:numPr>
          <w:ilvl w:val="0"/>
          <w:numId w:val="3"/>
        </w:numPr>
        <w:kinsoku/>
        <w:wordWrap/>
        <w:overflowPunct/>
        <w:topLinePunct w:val="0"/>
        <w:autoSpaceDE/>
        <w:autoSpaceDN/>
        <w:bidi w:val="0"/>
        <w:adjustRightInd w:val="0"/>
        <w:snapToGrid w:val="0"/>
        <w:spacing w:line="500" w:lineRule="exact"/>
        <w:ind w:left="0" w:leftChars="0" w:firstLine="400" w:firstLineChars="0"/>
        <w:textAlignment w:val="auto"/>
        <w:rPr>
          <w:rFonts w:hint="eastAsia" w:ascii="宋体"/>
          <w:color w:val="auto"/>
          <w:sz w:val="21"/>
          <w:szCs w:val="21"/>
          <w:highlight w:val="none"/>
        </w:rPr>
      </w:pPr>
      <w:r>
        <w:rPr>
          <w:rFonts w:hint="eastAsia" w:ascii="宋体"/>
          <w:color w:val="auto"/>
          <w:sz w:val="21"/>
          <w:szCs w:val="21"/>
          <w:highlight w:val="none"/>
        </w:rPr>
        <w:t>技术检测方案应包括下列内容：</w:t>
      </w:r>
    </w:p>
    <w:p>
      <w:pPr>
        <w:pStyle w:val="94"/>
        <w:keepNext w:val="0"/>
        <w:keepLines w:val="0"/>
        <w:pageBreakBefore w:val="0"/>
        <w:widowControl w:val="0"/>
        <w:numPr>
          <w:ilvl w:val="0"/>
          <w:numId w:val="6"/>
        </w:numPr>
        <w:kinsoku/>
        <w:wordWrap/>
        <w:overflowPunct/>
        <w:topLinePunct w:val="0"/>
        <w:autoSpaceDE/>
        <w:autoSpaceDN/>
        <w:bidi w:val="0"/>
        <w:adjustRightInd w:val="0"/>
        <w:snapToGrid w:val="0"/>
        <w:spacing w:line="5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检测任务的委托方、作业方，检测任务、目的和工期要求；</w:t>
      </w:r>
    </w:p>
    <w:p>
      <w:pPr>
        <w:pStyle w:val="94"/>
        <w:keepNext w:val="0"/>
        <w:keepLines w:val="0"/>
        <w:pageBreakBefore w:val="0"/>
        <w:widowControl w:val="0"/>
        <w:numPr>
          <w:ilvl w:val="0"/>
          <w:numId w:val="6"/>
        </w:numPr>
        <w:kinsoku/>
        <w:wordWrap/>
        <w:overflowPunct/>
        <w:topLinePunct w:val="0"/>
        <w:autoSpaceDE/>
        <w:autoSpaceDN/>
        <w:bidi w:val="0"/>
        <w:adjustRightInd w:val="0"/>
        <w:snapToGrid w:val="0"/>
        <w:spacing w:line="5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管道概况、现场交通条件及对已有资料的分析；</w:t>
      </w:r>
    </w:p>
    <w:p>
      <w:pPr>
        <w:pStyle w:val="94"/>
        <w:keepNext w:val="0"/>
        <w:keepLines w:val="0"/>
        <w:pageBreakBefore w:val="0"/>
        <w:widowControl w:val="0"/>
        <w:numPr>
          <w:ilvl w:val="0"/>
          <w:numId w:val="6"/>
        </w:numPr>
        <w:kinsoku/>
        <w:wordWrap/>
        <w:overflowPunct/>
        <w:topLinePunct w:val="0"/>
        <w:autoSpaceDE/>
        <w:autoSpaceDN/>
        <w:bidi w:val="0"/>
        <w:adjustRightInd w:val="0"/>
        <w:snapToGrid w:val="0"/>
        <w:spacing w:line="5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技术方案（包括管道检测及预处理）；</w:t>
      </w:r>
    </w:p>
    <w:p>
      <w:pPr>
        <w:pStyle w:val="94"/>
        <w:keepNext w:val="0"/>
        <w:keepLines w:val="0"/>
        <w:pageBreakBefore w:val="0"/>
        <w:widowControl w:val="0"/>
        <w:numPr>
          <w:ilvl w:val="0"/>
          <w:numId w:val="6"/>
        </w:numPr>
        <w:kinsoku/>
        <w:wordWrap/>
        <w:overflowPunct/>
        <w:topLinePunct w:val="0"/>
        <w:autoSpaceDE/>
        <w:autoSpaceDN/>
        <w:bidi w:val="0"/>
        <w:adjustRightInd w:val="0"/>
        <w:snapToGrid w:val="0"/>
        <w:spacing w:line="5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作业质量、健康、安全、交通组织、环保等保证体系与具体措施；</w:t>
      </w:r>
    </w:p>
    <w:p>
      <w:pPr>
        <w:pStyle w:val="94"/>
        <w:keepNext w:val="0"/>
        <w:keepLines w:val="0"/>
        <w:pageBreakBefore w:val="0"/>
        <w:widowControl w:val="0"/>
        <w:numPr>
          <w:ilvl w:val="0"/>
          <w:numId w:val="6"/>
        </w:numPr>
        <w:kinsoku/>
        <w:wordWrap/>
        <w:overflowPunct/>
        <w:topLinePunct w:val="0"/>
        <w:autoSpaceDE/>
        <w:autoSpaceDN/>
        <w:bidi w:val="0"/>
        <w:adjustRightInd w:val="0"/>
        <w:snapToGrid w:val="0"/>
        <w:spacing w:line="5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可能存在的问题和对策；</w:t>
      </w:r>
    </w:p>
    <w:p>
      <w:pPr>
        <w:pStyle w:val="94"/>
        <w:keepNext w:val="0"/>
        <w:keepLines w:val="0"/>
        <w:pageBreakBefore w:val="0"/>
        <w:widowControl w:val="0"/>
        <w:numPr>
          <w:ilvl w:val="0"/>
          <w:numId w:val="6"/>
        </w:numPr>
        <w:kinsoku/>
        <w:wordWrap/>
        <w:overflowPunct/>
        <w:topLinePunct w:val="0"/>
        <w:autoSpaceDE/>
        <w:autoSpaceDN/>
        <w:bidi w:val="0"/>
        <w:adjustRightInd w:val="0"/>
        <w:snapToGrid w:val="0"/>
        <w:spacing w:line="5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工作量估算及工作进度计划；</w:t>
      </w:r>
    </w:p>
    <w:p>
      <w:pPr>
        <w:pStyle w:val="94"/>
        <w:keepNext w:val="0"/>
        <w:keepLines w:val="0"/>
        <w:pageBreakBefore w:val="0"/>
        <w:widowControl w:val="0"/>
        <w:numPr>
          <w:ilvl w:val="0"/>
          <w:numId w:val="6"/>
        </w:numPr>
        <w:kinsoku/>
        <w:wordWrap/>
        <w:overflowPunct/>
        <w:topLinePunct w:val="0"/>
        <w:autoSpaceDE/>
        <w:autoSpaceDN/>
        <w:bidi w:val="0"/>
        <w:adjustRightInd w:val="0"/>
        <w:snapToGrid w:val="0"/>
        <w:spacing w:line="5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人员组织、设备、材料计划；</w:t>
      </w:r>
    </w:p>
    <w:p>
      <w:pPr>
        <w:pStyle w:val="94"/>
        <w:keepNext w:val="0"/>
        <w:keepLines w:val="0"/>
        <w:pageBreakBefore w:val="0"/>
        <w:widowControl w:val="0"/>
        <w:numPr>
          <w:ilvl w:val="0"/>
          <w:numId w:val="6"/>
        </w:numPr>
        <w:kinsoku/>
        <w:wordWrap/>
        <w:overflowPunct/>
        <w:topLinePunct w:val="0"/>
        <w:autoSpaceDE/>
        <w:autoSpaceDN/>
        <w:bidi w:val="0"/>
        <w:adjustRightInd w:val="0"/>
        <w:snapToGrid w:val="0"/>
        <w:spacing w:line="5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拟提交的成果资料。</w:t>
      </w:r>
    </w:p>
    <w:p>
      <w:pPr>
        <w:pStyle w:val="94"/>
        <w:keepNext w:val="0"/>
        <w:keepLines w:val="0"/>
        <w:pageBreakBefore w:val="0"/>
        <w:widowControl w:val="0"/>
        <w:numPr>
          <w:ilvl w:val="0"/>
          <w:numId w:val="3"/>
        </w:numPr>
        <w:kinsoku/>
        <w:wordWrap/>
        <w:overflowPunct/>
        <w:topLinePunct w:val="0"/>
        <w:autoSpaceDE/>
        <w:autoSpaceDN/>
        <w:bidi w:val="0"/>
        <w:adjustRightInd w:val="0"/>
        <w:snapToGrid w:val="0"/>
        <w:spacing w:line="500" w:lineRule="exact"/>
        <w:ind w:left="0" w:leftChars="0" w:firstLine="400" w:firstLineChars="0"/>
        <w:textAlignment w:val="auto"/>
        <w:rPr>
          <w:rFonts w:hint="eastAsia" w:ascii="宋体"/>
          <w:color w:val="auto"/>
          <w:sz w:val="21"/>
          <w:szCs w:val="21"/>
          <w:highlight w:val="none"/>
        </w:rPr>
      </w:pPr>
      <w:r>
        <w:rPr>
          <w:rFonts w:hint="eastAsia" w:ascii="宋体"/>
          <w:color w:val="auto"/>
          <w:sz w:val="21"/>
          <w:szCs w:val="21"/>
          <w:highlight w:val="none"/>
        </w:rPr>
        <w:t xml:space="preserve"> 现场管道检测应包括下列内容：</w:t>
      </w:r>
    </w:p>
    <w:p>
      <w:pPr>
        <w:pStyle w:val="94"/>
        <w:keepNext w:val="0"/>
        <w:keepLines w:val="0"/>
        <w:pageBreakBefore w:val="0"/>
        <w:widowControl w:val="0"/>
        <w:numPr>
          <w:ilvl w:val="0"/>
          <w:numId w:val="7"/>
        </w:numPr>
        <w:kinsoku/>
        <w:wordWrap/>
        <w:overflowPunct/>
        <w:topLinePunct w:val="0"/>
        <w:autoSpaceDE/>
        <w:autoSpaceDN/>
        <w:bidi w:val="0"/>
        <w:adjustRightInd w:val="0"/>
        <w:snapToGrid w:val="0"/>
        <w:spacing w:line="5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设立施工现场围栏和安全标志，必要时须按道路交通管理部门的指示封闭道路后再作业；</w:t>
      </w:r>
    </w:p>
    <w:p>
      <w:pPr>
        <w:pStyle w:val="94"/>
        <w:keepNext w:val="0"/>
        <w:keepLines w:val="0"/>
        <w:pageBreakBefore w:val="0"/>
        <w:widowControl w:val="0"/>
        <w:numPr>
          <w:ilvl w:val="0"/>
          <w:numId w:val="7"/>
        </w:numPr>
        <w:kinsoku/>
        <w:wordWrap/>
        <w:overflowPunct/>
        <w:topLinePunct w:val="0"/>
        <w:autoSpaceDE/>
        <w:autoSpaceDN/>
        <w:bidi w:val="0"/>
        <w:adjustRightInd w:val="0"/>
        <w:snapToGrid w:val="0"/>
        <w:spacing w:line="50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管道预处理，如封堵、抽水、清洗等；</w:t>
      </w:r>
    </w:p>
    <w:p>
      <w:pPr>
        <w:pStyle w:val="94"/>
        <w:keepNext w:val="0"/>
        <w:keepLines w:val="0"/>
        <w:pageBreakBefore w:val="0"/>
        <w:widowControl w:val="0"/>
        <w:numPr>
          <w:ilvl w:val="0"/>
          <w:numId w:val="7"/>
        </w:numPr>
        <w:kinsoku/>
        <w:wordWrap/>
        <w:overflowPunct/>
        <w:topLinePunct w:val="0"/>
        <w:autoSpaceDE/>
        <w:autoSpaceDN/>
        <w:bidi w:val="0"/>
        <w:adjustRightInd w:val="0"/>
        <w:snapToGrid w:val="0"/>
        <w:spacing w:line="500" w:lineRule="exact"/>
        <w:ind w:left="0" w:leftChars="0"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仪器设备自检（设备调试）；</w:t>
      </w:r>
    </w:p>
    <w:p>
      <w:pPr>
        <w:pStyle w:val="94"/>
        <w:keepNext w:val="0"/>
        <w:keepLines w:val="0"/>
        <w:pageBreakBefore w:val="0"/>
        <w:widowControl w:val="0"/>
        <w:numPr>
          <w:ilvl w:val="0"/>
          <w:numId w:val="7"/>
        </w:numPr>
        <w:kinsoku/>
        <w:wordWrap/>
        <w:overflowPunct/>
        <w:topLinePunct w:val="0"/>
        <w:autoSpaceDE/>
        <w:autoSpaceDN/>
        <w:bidi w:val="0"/>
        <w:adjustRightInd w:val="0"/>
        <w:snapToGrid w:val="0"/>
        <w:spacing w:line="5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管道实地检测与初步判读。对发现的重大缺陷问题应及时报知委托方或委托方指定的管理单位；</w:t>
      </w:r>
    </w:p>
    <w:p>
      <w:pPr>
        <w:pStyle w:val="94"/>
        <w:keepNext w:val="0"/>
        <w:keepLines w:val="0"/>
        <w:pageBreakBefore w:val="0"/>
        <w:widowControl w:val="0"/>
        <w:numPr>
          <w:ilvl w:val="0"/>
          <w:numId w:val="7"/>
        </w:numPr>
        <w:kinsoku/>
        <w:wordWrap/>
        <w:overflowPunct/>
        <w:topLinePunct w:val="0"/>
        <w:autoSpaceDE/>
        <w:autoSpaceDN/>
        <w:bidi w:val="0"/>
        <w:adjustRightInd w:val="0"/>
        <w:snapToGrid w:val="0"/>
        <w:spacing w:line="5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检测完成后应及时清理现场，保养设备；</w:t>
      </w:r>
    </w:p>
    <w:p>
      <w:pPr>
        <w:pStyle w:val="94"/>
        <w:keepNext w:val="0"/>
        <w:keepLines w:val="0"/>
        <w:pageBreakBefore w:val="0"/>
        <w:widowControl w:val="0"/>
        <w:numPr>
          <w:ilvl w:val="0"/>
          <w:numId w:val="3"/>
        </w:numPr>
        <w:kinsoku/>
        <w:wordWrap/>
        <w:overflowPunct/>
        <w:topLinePunct w:val="0"/>
        <w:autoSpaceDE/>
        <w:autoSpaceDN/>
        <w:bidi w:val="0"/>
        <w:adjustRightInd w:val="0"/>
        <w:snapToGrid w:val="0"/>
        <w:spacing w:line="500" w:lineRule="exact"/>
        <w:ind w:left="0" w:leftChars="0" w:firstLine="400" w:firstLineChars="0"/>
        <w:textAlignment w:val="auto"/>
        <w:rPr>
          <w:rFonts w:hint="eastAsia" w:ascii="宋体"/>
          <w:color w:val="auto"/>
          <w:sz w:val="21"/>
          <w:szCs w:val="21"/>
          <w:highlight w:val="none"/>
        </w:rPr>
      </w:pPr>
      <w:r>
        <w:rPr>
          <w:rFonts w:hint="eastAsia" w:ascii="宋体"/>
          <w:color w:val="auto"/>
          <w:sz w:val="21"/>
          <w:szCs w:val="21"/>
          <w:highlight w:val="none"/>
        </w:rPr>
        <w:t>缺陷分布图的编绘应符合下列要求：</w:t>
      </w:r>
    </w:p>
    <w:p>
      <w:pPr>
        <w:pStyle w:val="94"/>
        <w:keepNext w:val="0"/>
        <w:keepLines w:val="0"/>
        <w:pageBreakBefore w:val="0"/>
        <w:widowControl w:val="0"/>
        <w:numPr>
          <w:ilvl w:val="0"/>
          <w:numId w:val="8"/>
        </w:numPr>
        <w:kinsoku/>
        <w:wordWrap/>
        <w:overflowPunct/>
        <w:topLinePunct w:val="0"/>
        <w:autoSpaceDE/>
        <w:autoSpaceDN/>
        <w:bidi w:val="0"/>
        <w:adjustRightInd w:val="0"/>
        <w:snapToGrid w:val="0"/>
        <w:spacing w:line="5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缺陷分布图宜在已有的排水管线图基础上加绘缺陷要素。</w:t>
      </w:r>
    </w:p>
    <w:p>
      <w:pPr>
        <w:pStyle w:val="94"/>
        <w:keepNext w:val="0"/>
        <w:keepLines w:val="0"/>
        <w:pageBreakBefore w:val="0"/>
        <w:widowControl w:val="0"/>
        <w:numPr>
          <w:ilvl w:val="0"/>
          <w:numId w:val="8"/>
        </w:numPr>
        <w:kinsoku/>
        <w:wordWrap/>
        <w:overflowPunct/>
        <w:topLinePunct w:val="0"/>
        <w:autoSpaceDE/>
        <w:autoSpaceDN/>
        <w:bidi w:val="0"/>
        <w:adjustRightInd w:val="0"/>
        <w:snapToGrid w:val="0"/>
        <w:spacing w:line="5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管道缺陷图上必须注明的缺陷要素包括：录像文件（带）编号、检测方向、缺陷位置、代码及照片编号、管径和相对距离等；</w:t>
      </w:r>
    </w:p>
    <w:p>
      <w:pPr>
        <w:pStyle w:val="94"/>
        <w:keepNext w:val="0"/>
        <w:keepLines w:val="0"/>
        <w:pageBreakBefore w:val="0"/>
        <w:widowControl w:val="0"/>
        <w:numPr>
          <w:ilvl w:val="0"/>
          <w:numId w:val="8"/>
        </w:numPr>
        <w:kinsoku/>
        <w:wordWrap/>
        <w:overflowPunct/>
        <w:topLinePunct w:val="0"/>
        <w:autoSpaceDE/>
        <w:autoSpaceDN/>
        <w:bidi w:val="0"/>
        <w:adjustRightInd w:val="0"/>
        <w:snapToGrid w:val="0"/>
        <w:spacing w:line="5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图上的代码和颜色应按本规程规定执行。</w:t>
      </w:r>
    </w:p>
    <w:p>
      <w:pPr>
        <w:pStyle w:val="94"/>
        <w:keepNext w:val="0"/>
        <w:keepLines w:val="0"/>
        <w:pageBreakBefore w:val="0"/>
        <w:widowControl w:val="0"/>
        <w:numPr>
          <w:ilvl w:val="0"/>
          <w:numId w:val="3"/>
        </w:numPr>
        <w:kinsoku/>
        <w:wordWrap/>
        <w:overflowPunct/>
        <w:topLinePunct w:val="0"/>
        <w:autoSpaceDE/>
        <w:autoSpaceDN/>
        <w:bidi w:val="0"/>
        <w:adjustRightInd w:val="0"/>
        <w:snapToGrid w:val="0"/>
        <w:spacing w:line="500" w:lineRule="exact"/>
        <w:ind w:left="0" w:leftChars="0" w:firstLine="400" w:firstLineChars="0"/>
        <w:textAlignment w:val="auto"/>
        <w:rPr>
          <w:rFonts w:hint="eastAsia" w:ascii="宋体"/>
          <w:color w:val="auto"/>
          <w:sz w:val="21"/>
          <w:szCs w:val="21"/>
          <w:highlight w:val="none"/>
        </w:rPr>
      </w:pPr>
      <w:r>
        <w:rPr>
          <w:rFonts w:hint="eastAsia" w:ascii="宋体"/>
          <w:color w:val="auto"/>
          <w:sz w:val="21"/>
          <w:szCs w:val="21"/>
          <w:highlight w:val="none"/>
        </w:rPr>
        <w:t>管道检测记录应在现场按规定格式填写完成，不得事后补填，以保证资料的真实性、准确性。在描述管道缺陷或结构特征在管道环向上的位置时应采用时钟表示法。</w:t>
      </w:r>
    </w:p>
    <w:p>
      <w:pPr>
        <w:pStyle w:val="94"/>
        <w:keepNext w:val="0"/>
        <w:keepLines w:val="0"/>
        <w:pageBreakBefore w:val="0"/>
        <w:widowControl w:val="0"/>
        <w:numPr>
          <w:ilvl w:val="0"/>
          <w:numId w:val="3"/>
        </w:numPr>
        <w:kinsoku/>
        <w:wordWrap/>
        <w:overflowPunct/>
        <w:topLinePunct w:val="0"/>
        <w:autoSpaceDE/>
        <w:autoSpaceDN/>
        <w:bidi w:val="0"/>
        <w:adjustRightInd w:val="0"/>
        <w:snapToGrid w:val="0"/>
        <w:spacing w:line="500" w:lineRule="exact"/>
        <w:ind w:left="0" w:leftChars="0" w:firstLine="400" w:firstLineChars="0"/>
        <w:textAlignment w:val="auto"/>
        <w:rPr>
          <w:rFonts w:hint="eastAsia" w:ascii="宋体"/>
          <w:color w:val="auto"/>
          <w:sz w:val="21"/>
          <w:szCs w:val="21"/>
          <w:highlight w:val="none"/>
        </w:rPr>
      </w:pPr>
      <w:r>
        <w:rPr>
          <w:rFonts w:hint="eastAsia" w:ascii="宋体"/>
          <w:color w:val="auto"/>
          <w:sz w:val="21"/>
          <w:szCs w:val="21"/>
          <w:highlight w:val="none"/>
        </w:rPr>
        <w:t>管道检测成果报表必须包括：工程名称（或合同号）、检测时间、天气，地名、路名、录像文件（带）编号、管道用途、开始/结束井编号、形状、管径、材质、间距、流向、管井坐标（标高）、缺陷位置、分布时钟、代码级别及缺陷照片等，对于连续性缺陷还应注明起/止位置和长度。</w:t>
      </w:r>
    </w:p>
    <w:p>
      <w:pPr>
        <w:pStyle w:val="94"/>
        <w:keepNext w:val="0"/>
        <w:keepLines w:val="0"/>
        <w:pageBreakBefore w:val="0"/>
        <w:widowControl w:val="0"/>
        <w:numPr>
          <w:ilvl w:val="0"/>
          <w:numId w:val="3"/>
        </w:numPr>
        <w:kinsoku/>
        <w:wordWrap/>
        <w:overflowPunct/>
        <w:topLinePunct w:val="0"/>
        <w:autoSpaceDE/>
        <w:autoSpaceDN/>
        <w:bidi w:val="0"/>
        <w:adjustRightInd w:val="0"/>
        <w:snapToGrid w:val="0"/>
        <w:spacing w:line="500" w:lineRule="exact"/>
        <w:ind w:left="0" w:leftChars="0" w:firstLine="400" w:firstLineChars="0"/>
        <w:textAlignment w:val="auto"/>
        <w:rPr>
          <w:rFonts w:hint="eastAsia" w:ascii="宋体"/>
          <w:color w:val="auto"/>
          <w:sz w:val="21"/>
          <w:szCs w:val="21"/>
          <w:highlight w:val="none"/>
        </w:rPr>
      </w:pPr>
      <w:r>
        <w:rPr>
          <w:rFonts w:hint="eastAsia" w:ascii="宋体"/>
          <w:color w:val="auto"/>
          <w:sz w:val="21"/>
          <w:szCs w:val="21"/>
          <w:highlight w:val="none"/>
        </w:rPr>
        <w:t>管道检测成果资料应按档案管理中统一载体、装订规格的要求，分为文字、表、图（管网AutoCAD电子成果图）和光盘</w:t>
      </w:r>
      <w:r>
        <w:rPr>
          <w:rFonts w:hint="eastAsia" w:ascii="宋体"/>
          <w:color w:val="auto"/>
          <w:sz w:val="21"/>
          <w:szCs w:val="21"/>
          <w:highlight w:val="none"/>
          <w:lang w:val="en-US" w:eastAsia="zh-CN"/>
        </w:rPr>
        <w:t>及</w:t>
      </w:r>
      <w:r>
        <w:rPr>
          <w:rFonts w:hint="eastAsia" w:ascii="宋体"/>
          <w:color w:val="auto"/>
          <w:sz w:val="21"/>
          <w:szCs w:val="21"/>
          <w:highlight w:val="none"/>
        </w:rPr>
        <w:t>硬盘四大类进行编号和组卷。</w:t>
      </w:r>
    </w:p>
    <w:p>
      <w:pPr>
        <w:pStyle w:val="94"/>
        <w:keepNext w:val="0"/>
        <w:keepLines w:val="0"/>
        <w:pageBreakBefore w:val="0"/>
        <w:widowControl w:val="0"/>
        <w:numPr>
          <w:ilvl w:val="0"/>
          <w:numId w:val="3"/>
        </w:numPr>
        <w:kinsoku/>
        <w:wordWrap/>
        <w:overflowPunct/>
        <w:topLinePunct w:val="0"/>
        <w:autoSpaceDE/>
        <w:autoSpaceDN/>
        <w:bidi w:val="0"/>
        <w:adjustRightInd w:val="0"/>
        <w:snapToGrid w:val="0"/>
        <w:spacing w:line="500" w:lineRule="exact"/>
        <w:ind w:left="0" w:leftChars="0" w:firstLine="400" w:firstLineChars="0"/>
        <w:textAlignment w:val="auto"/>
        <w:rPr>
          <w:rFonts w:hint="eastAsia" w:ascii="宋体"/>
          <w:color w:val="auto"/>
          <w:sz w:val="21"/>
          <w:szCs w:val="21"/>
          <w:highlight w:val="none"/>
        </w:rPr>
      </w:pPr>
      <w:r>
        <w:rPr>
          <w:rFonts w:hint="eastAsia" w:ascii="宋体"/>
          <w:color w:val="auto"/>
          <w:sz w:val="21"/>
          <w:szCs w:val="21"/>
          <w:highlight w:val="none"/>
        </w:rPr>
        <w:t xml:space="preserve">管道检测现场施工必须执行现行的行业标准的有关规定。 </w:t>
      </w:r>
    </w:p>
    <w:p>
      <w:pPr>
        <w:pStyle w:val="28"/>
        <w:snapToGrid w:val="0"/>
        <w:spacing w:line="500" w:lineRule="exact"/>
        <w:ind w:firstLine="422" w:firstLineChars="200"/>
        <w:rPr>
          <w:rFonts w:ascii="宋体" w:hAnsi="宋体" w:cs="宋体"/>
          <w:b/>
          <w:color w:val="auto"/>
          <w:sz w:val="21"/>
          <w:highlight w:val="none"/>
        </w:rPr>
      </w:pPr>
      <w:r>
        <w:rPr>
          <w:rFonts w:hint="eastAsia" w:ascii="宋体" w:hAnsi="宋体" w:cs="宋体"/>
          <w:b/>
          <w:color w:val="auto"/>
          <w:sz w:val="21"/>
          <w:highlight w:val="none"/>
          <w:lang w:eastAsia="zh-CN"/>
        </w:rPr>
        <w:t>四</w:t>
      </w:r>
      <w:r>
        <w:rPr>
          <w:rFonts w:hint="eastAsia" w:ascii="宋体" w:hAnsi="宋体" w:cs="宋体"/>
          <w:b/>
          <w:color w:val="auto"/>
          <w:sz w:val="21"/>
          <w:highlight w:val="none"/>
        </w:rPr>
        <w:t>、提交成果资料</w:t>
      </w:r>
    </w:p>
    <w:p>
      <w:pPr>
        <w:pStyle w:val="94"/>
        <w:widowControl w:val="0"/>
        <w:adjustRightInd w:val="0"/>
        <w:snapToGrid w:val="0"/>
        <w:spacing w:line="500" w:lineRule="exact"/>
        <w:rPr>
          <w:rFonts w:ascii="宋体"/>
          <w:color w:val="auto"/>
          <w:sz w:val="21"/>
          <w:szCs w:val="21"/>
          <w:highlight w:val="none"/>
        </w:rPr>
      </w:pPr>
      <w:r>
        <w:rPr>
          <w:rFonts w:hint="eastAsia" w:ascii="宋体"/>
          <w:color w:val="auto"/>
          <w:sz w:val="21"/>
          <w:szCs w:val="21"/>
          <w:highlight w:val="none"/>
        </w:rPr>
        <w:t>本项目实施完成后，根据采购人要求</w:t>
      </w:r>
      <w:r>
        <w:rPr>
          <w:rFonts w:hint="eastAsia" w:ascii="宋体"/>
          <w:color w:val="auto"/>
          <w:sz w:val="21"/>
          <w:szCs w:val="21"/>
          <w:highlight w:val="none"/>
          <w:lang w:eastAsia="zh-CN"/>
        </w:rPr>
        <w:t>应</w:t>
      </w:r>
      <w:r>
        <w:rPr>
          <w:rFonts w:hint="eastAsia" w:ascii="宋体"/>
          <w:color w:val="auto"/>
          <w:sz w:val="21"/>
          <w:szCs w:val="21"/>
          <w:highlight w:val="none"/>
        </w:rPr>
        <w:t>提供</w:t>
      </w:r>
      <w:r>
        <w:rPr>
          <w:rFonts w:hint="eastAsia" w:ascii="宋体"/>
          <w:color w:val="auto"/>
          <w:sz w:val="21"/>
          <w:szCs w:val="21"/>
          <w:highlight w:val="none"/>
          <w:lang w:val="en-US" w:eastAsia="zh-CN"/>
        </w:rPr>
        <w:t>8套</w:t>
      </w:r>
      <w:r>
        <w:rPr>
          <w:rFonts w:hint="eastAsia" w:ascii="宋体"/>
          <w:color w:val="auto"/>
          <w:sz w:val="21"/>
          <w:szCs w:val="21"/>
          <w:highlight w:val="none"/>
          <w:lang w:eastAsia="zh-CN"/>
        </w:rPr>
        <w:t>纸质、</w:t>
      </w:r>
      <w:r>
        <w:rPr>
          <w:rFonts w:hint="eastAsia" w:ascii="宋体"/>
          <w:color w:val="auto"/>
          <w:sz w:val="21"/>
          <w:szCs w:val="21"/>
          <w:highlight w:val="none"/>
        </w:rPr>
        <w:t>电子版本成果</w:t>
      </w:r>
      <w:r>
        <w:rPr>
          <w:rFonts w:hint="eastAsia" w:ascii="宋体"/>
          <w:color w:val="auto"/>
          <w:sz w:val="21"/>
          <w:szCs w:val="21"/>
          <w:highlight w:val="none"/>
          <w:lang w:eastAsia="zh-CN"/>
        </w:rPr>
        <w:t>，以光盘及</w:t>
      </w:r>
      <w:r>
        <w:rPr>
          <w:rFonts w:hint="eastAsia" w:ascii="宋体"/>
          <w:color w:val="auto"/>
          <w:sz w:val="21"/>
          <w:szCs w:val="21"/>
          <w:highlight w:val="none"/>
        </w:rPr>
        <w:t>硬盘</w:t>
      </w:r>
      <w:r>
        <w:rPr>
          <w:rFonts w:hint="eastAsia" w:ascii="宋体"/>
          <w:color w:val="auto"/>
          <w:sz w:val="21"/>
          <w:szCs w:val="21"/>
          <w:highlight w:val="none"/>
          <w:lang w:eastAsia="zh-CN"/>
        </w:rPr>
        <w:t>刻录保存</w:t>
      </w:r>
      <w:r>
        <w:rPr>
          <w:rFonts w:hint="eastAsia" w:ascii="宋体"/>
          <w:color w:val="auto"/>
          <w:sz w:val="21"/>
          <w:szCs w:val="21"/>
          <w:highlight w:val="none"/>
          <w:lang w:val="en-US" w:eastAsia="zh-CN"/>
        </w:rPr>
        <w:t>。供应商</w:t>
      </w:r>
      <w:r>
        <w:rPr>
          <w:rFonts w:hint="eastAsia" w:ascii="宋体"/>
          <w:color w:val="auto"/>
          <w:sz w:val="21"/>
          <w:szCs w:val="21"/>
          <w:highlight w:val="none"/>
        </w:rPr>
        <w:t>对</w:t>
      </w:r>
      <w:r>
        <w:rPr>
          <w:rFonts w:hint="eastAsia" w:ascii="宋体"/>
          <w:color w:val="auto"/>
          <w:sz w:val="21"/>
          <w:szCs w:val="21"/>
          <w:highlight w:val="none"/>
          <w:lang w:eastAsia="zh-CN"/>
        </w:rPr>
        <w:t>其提交的</w:t>
      </w:r>
      <w:r>
        <w:rPr>
          <w:rFonts w:hint="eastAsia" w:ascii="宋体"/>
          <w:color w:val="auto"/>
          <w:sz w:val="21"/>
          <w:szCs w:val="21"/>
          <w:highlight w:val="none"/>
        </w:rPr>
        <w:t>成果承担相应责任</w:t>
      </w:r>
      <w:r>
        <w:rPr>
          <w:rFonts w:hint="eastAsia" w:ascii="宋体"/>
          <w:color w:val="auto"/>
          <w:sz w:val="21"/>
          <w:szCs w:val="21"/>
          <w:highlight w:val="none"/>
          <w:lang w:eastAsia="zh-CN"/>
        </w:rPr>
        <w:t>，并完成数据入库要求。须</w:t>
      </w:r>
      <w:r>
        <w:rPr>
          <w:rFonts w:hint="eastAsia" w:ascii="宋体"/>
          <w:color w:val="auto"/>
          <w:sz w:val="21"/>
          <w:szCs w:val="21"/>
          <w:highlight w:val="none"/>
        </w:rPr>
        <w:t>提交的成果包括:</w:t>
      </w:r>
    </w:p>
    <w:p>
      <w:pPr>
        <w:pStyle w:val="94"/>
        <w:widowControl w:val="0"/>
        <w:numPr>
          <w:ilvl w:val="255"/>
          <w:numId w:val="0"/>
        </w:numPr>
        <w:adjustRightInd w:val="0"/>
        <w:snapToGrid w:val="0"/>
        <w:spacing w:line="500" w:lineRule="exact"/>
        <w:ind w:firstLine="420" w:firstLineChars="200"/>
        <w:rPr>
          <w:rFonts w:ascii="宋体"/>
          <w:color w:val="auto"/>
          <w:sz w:val="21"/>
          <w:szCs w:val="21"/>
          <w:highlight w:val="none"/>
        </w:rPr>
      </w:pPr>
      <w:r>
        <w:rPr>
          <w:rFonts w:hint="eastAsia" w:ascii="宋体"/>
          <w:color w:val="auto"/>
          <w:sz w:val="21"/>
          <w:szCs w:val="21"/>
          <w:highlight w:val="none"/>
        </w:rPr>
        <w:t>（1）测绘测量数据资料；</w:t>
      </w:r>
    </w:p>
    <w:p>
      <w:pPr>
        <w:pStyle w:val="94"/>
        <w:widowControl w:val="0"/>
        <w:numPr>
          <w:ilvl w:val="255"/>
          <w:numId w:val="0"/>
        </w:numPr>
        <w:adjustRightInd w:val="0"/>
        <w:snapToGrid w:val="0"/>
        <w:spacing w:line="500" w:lineRule="exact"/>
        <w:ind w:firstLine="420" w:firstLineChars="200"/>
        <w:rPr>
          <w:rFonts w:hint="eastAsia" w:ascii="宋体" w:eastAsia="宋体"/>
          <w:color w:val="auto"/>
          <w:sz w:val="21"/>
          <w:szCs w:val="21"/>
          <w:highlight w:val="none"/>
          <w:lang w:val="en-US" w:eastAsia="zh-CN"/>
        </w:rPr>
      </w:pPr>
      <w:r>
        <w:rPr>
          <w:rFonts w:hint="eastAsia" w:ascii="宋体"/>
          <w:color w:val="auto"/>
          <w:sz w:val="21"/>
          <w:szCs w:val="21"/>
          <w:highlight w:val="none"/>
        </w:rPr>
        <w:t>（2）雨水管网AutoCAD电子成果图（成果须形成数据库格式，包含相关各类属性如管网材质、规格、口径、距离、标高、流向、问题情况、污水来源等）</w:t>
      </w:r>
      <w:r>
        <w:rPr>
          <w:rFonts w:hint="eastAsia" w:ascii="宋体"/>
          <w:color w:val="auto"/>
          <w:sz w:val="21"/>
          <w:szCs w:val="21"/>
          <w:highlight w:val="none"/>
          <w:lang w:val="en-US" w:eastAsia="zh-CN"/>
        </w:rPr>
        <w:t>；</w:t>
      </w:r>
    </w:p>
    <w:p>
      <w:pPr>
        <w:pStyle w:val="94"/>
        <w:widowControl w:val="0"/>
        <w:numPr>
          <w:ilvl w:val="255"/>
          <w:numId w:val="0"/>
        </w:numPr>
        <w:adjustRightInd w:val="0"/>
        <w:snapToGrid w:val="0"/>
        <w:spacing w:line="500" w:lineRule="exact"/>
        <w:ind w:firstLine="420" w:firstLineChars="200"/>
        <w:rPr>
          <w:rFonts w:hint="eastAsia" w:ascii="宋体"/>
          <w:color w:val="auto"/>
          <w:sz w:val="21"/>
          <w:szCs w:val="21"/>
          <w:highlight w:val="none"/>
          <w:lang w:val="en-US" w:eastAsia="zh-CN"/>
        </w:rPr>
      </w:pPr>
      <w:r>
        <w:rPr>
          <w:rFonts w:hint="eastAsia" w:ascii="宋体"/>
          <w:color w:val="auto"/>
          <w:sz w:val="21"/>
          <w:szCs w:val="21"/>
          <w:highlight w:val="none"/>
        </w:rPr>
        <w:t>（3）CCTV</w:t>
      </w:r>
      <w:r>
        <w:rPr>
          <w:rFonts w:hint="eastAsia" w:ascii="宋体"/>
          <w:color w:val="auto"/>
          <w:sz w:val="21"/>
          <w:szCs w:val="21"/>
          <w:highlight w:val="none"/>
          <w:lang w:eastAsia="zh-CN"/>
        </w:rPr>
        <w:t>、</w:t>
      </w:r>
      <w:r>
        <w:rPr>
          <w:rFonts w:hint="eastAsia" w:ascii="宋体"/>
          <w:color w:val="auto"/>
          <w:sz w:val="21"/>
          <w:szCs w:val="21"/>
          <w:highlight w:val="none"/>
        </w:rPr>
        <w:t>QV检测报告（包括成果表数据、检测录像数据、缺陷照片数据、缺陷分布图数据</w:t>
      </w:r>
      <w:r>
        <w:rPr>
          <w:rFonts w:hint="eastAsia" w:ascii="宋体"/>
          <w:color w:val="auto"/>
          <w:sz w:val="21"/>
          <w:szCs w:val="21"/>
          <w:highlight w:val="none"/>
          <w:lang w:eastAsia="zh-CN"/>
        </w:rPr>
        <w:t>等</w:t>
      </w:r>
      <w:r>
        <w:rPr>
          <w:rFonts w:hint="eastAsia" w:ascii="宋体"/>
          <w:color w:val="auto"/>
          <w:sz w:val="21"/>
          <w:szCs w:val="21"/>
          <w:highlight w:val="none"/>
        </w:rPr>
        <w:t>）</w:t>
      </w:r>
      <w:r>
        <w:rPr>
          <w:rFonts w:hint="eastAsia" w:ascii="宋体"/>
          <w:color w:val="auto"/>
          <w:sz w:val="21"/>
          <w:szCs w:val="21"/>
          <w:highlight w:val="none"/>
          <w:lang w:eastAsia="zh-CN"/>
        </w:rPr>
        <w:t>。</w:t>
      </w:r>
    </w:p>
    <w:p>
      <w:pPr>
        <w:pStyle w:val="94"/>
        <w:widowControl w:val="0"/>
        <w:numPr>
          <w:ilvl w:val="255"/>
          <w:numId w:val="0"/>
        </w:numPr>
        <w:adjustRightInd w:val="0"/>
        <w:snapToGrid w:val="0"/>
        <w:spacing w:line="500" w:lineRule="exact"/>
        <w:ind w:firstLine="422" w:firstLineChars="200"/>
        <w:rPr>
          <w:rFonts w:hAnsi="宋体" w:cs="宋体"/>
          <w:b/>
          <w:bCs/>
          <w:color w:val="auto"/>
          <w:sz w:val="21"/>
          <w:szCs w:val="21"/>
          <w:highlight w:val="none"/>
        </w:rPr>
      </w:pPr>
      <w:r>
        <w:rPr>
          <w:rFonts w:hint="eastAsia" w:cs="宋体"/>
          <w:b/>
          <w:bCs/>
          <w:color w:val="auto"/>
          <w:sz w:val="21"/>
          <w:szCs w:val="21"/>
          <w:highlight w:val="none"/>
          <w:lang w:eastAsia="zh-CN"/>
        </w:rPr>
        <w:t>五</w:t>
      </w:r>
      <w:r>
        <w:rPr>
          <w:rFonts w:hint="eastAsia" w:hAnsi="宋体" w:cs="宋体"/>
          <w:b/>
          <w:bCs/>
          <w:color w:val="auto"/>
          <w:sz w:val="21"/>
          <w:szCs w:val="21"/>
          <w:highlight w:val="none"/>
        </w:rPr>
        <w:t>、工期</w:t>
      </w:r>
    </w:p>
    <w:p>
      <w:pPr>
        <w:snapToGrid w:val="0"/>
        <w:spacing w:line="500" w:lineRule="exact"/>
        <w:ind w:firstLine="420" w:firstLineChars="200"/>
        <w:rPr>
          <w:rFonts w:hAnsi="宋体" w:cs="宋体"/>
          <w:color w:val="auto"/>
          <w:kern w:val="2"/>
          <w:sz w:val="21"/>
          <w:szCs w:val="21"/>
          <w:highlight w:val="none"/>
        </w:rPr>
      </w:pPr>
      <w:r>
        <w:rPr>
          <w:rFonts w:hint="eastAsia" w:hAnsi="宋体" w:cs="宋体"/>
          <w:color w:val="auto"/>
          <w:kern w:val="2"/>
          <w:sz w:val="21"/>
          <w:szCs w:val="21"/>
          <w:highlight w:val="none"/>
        </w:rPr>
        <w:t xml:space="preserve">2023年 </w:t>
      </w:r>
      <w:r>
        <w:rPr>
          <w:rFonts w:hint="eastAsia" w:hAnsi="宋体" w:cs="宋体"/>
          <w:color w:val="auto"/>
          <w:kern w:val="2"/>
          <w:sz w:val="21"/>
          <w:szCs w:val="21"/>
          <w:highlight w:val="none"/>
          <w:lang w:val="en-US" w:eastAsia="zh-CN"/>
        </w:rPr>
        <w:t>4</w:t>
      </w:r>
      <w:r>
        <w:rPr>
          <w:rFonts w:hint="eastAsia" w:hAnsi="宋体" w:cs="宋体"/>
          <w:color w:val="auto"/>
          <w:kern w:val="2"/>
          <w:sz w:val="21"/>
          <w:szCs w:val="21"/>
          <w:highlight w:val="none"/>
        </w:rPr>
        <w:t xml:space="preserve"> 月 </w:t>
      </w:r>
      <w:r>
        <w:rPr>
          <w:rFonts w:hint="eastAsia" w:hAnsi="宋体" w:cs="宋体"/>
          <w:color w:val="auto"/>
          <w:kern w:val="2"/>
          <w:sz w:val="21"/>
          <w:szCs w:val="21"/>
          <w:highlight w:val="none"/>
          <w:lang w:val="en-US" w:eastAsia="zh-CN"/>
        </w:rPr>
        <w:t>30</w:t>
      </w:r>
      <w:r>
        <w:rPr>
          <w:rFonts w:hint="eastAsia" w:hAnsi="宋体" w:cs="宋体"/>
          <w:color w:val="auto"/>
          <w:kern w:val="2"/>
          <w:sz w:val="21"/>
          <w:szCs w:val="21"/>
          <w:highlight w:val="none"/>
        </w:rPr>
        <w:t xml:space="preserve"> 日前，提交最终成果</w:t>
      </w:r>
      <w:r>
        <w:rPr>
          <w:rFonts w:hint="eastAsia" w:hAnsi="宋体" w:cs="宋体"/>
          <w:color w:val="auto"/>
          <w:kern w:val="2"/>
          <w:sz w:val="21"/>
          <w:szCs w:val="21"/>
          <w:highlight w:val="none"/>
          <w:lang w:val="en-US" w:eastAsia="zh-CN"/>
        </w:rPr>
        <w:t>报告</w:t>
      </w:r>
      <w:r>
        <w:rPr>
          <w:rFonts w:hint="eastAsia" w:hAnsi="宋体" w:cs="宋体"/>
          <w:color w:val="auto"/>
          <w:kern w:val="2"/>
          <w:sz w:val="21"/>
          <w:szCs w:val="21"/>
          <w:highlight w:val="none"/>
        </w:rPr>
        <w:t>。</w:t>
      </w:r>
    </w:p>
    <w:p>
      <w:pPr>
        <w:snapToGrid w:val="0"/>
        <w:spacing w:line="500" w:lineRule="exact"/>
        <w:ind w:firstLine="422" w:firstLineChars="200"/>
        <w:rPr>
          <w:rFonts w:hAnsi="宋体" w:cs="宋体"/>
          <w:b/>
          <w:bCs/>
          <w:color w:val="auto"/>
          <w:sz w:val="21"/>
          <w:szCs w:val="21"/>
          <w:highlight w:val="none"/>
        </w:rPr>
      </w:pPr>
      <w:r>
        <w:rPr>
          <w:rFonts w:hint="eastAsia" w:hAnsi="宋体" w:cs="宋体"/>
          <w:b/>
          <w:bCs/>
          <w:color w:val="auto"/>
          <w:sz w:val="21"/>
          <w:szCs w:val="21"/>
          <w:highlight w:val="none"/>
          <w:lang w:eastAsia="zh-CN"/>
        </w:rPr>
        <w:t>六</w:t>
      </w:r>
      <w:r>
        <w:rPr>
          <w:rFonts w:hint="eastAsia" w:hAnsi="宋体" w:cs="宋体"/>
          <w:b/>
          <w:bCs/>
          <w:color w:val="auto"/>
          <w:sz w:val="21"/>
          <w:szCs w:val="21"/>
          <w:highlight w:val="none"/>
        </w:rPr>
        <w:t>、其他服务要求</w:t>
      </w:r>
    </w:p>
    <w:p>
      <w:pPr>
        <w:numPr>
          <w:ilvl w:val="0"/>
          <w:numId w:val="9"/>
        </w:numPr>
        <w:snapToGrid w:val="0"/>
        <w:spacing w:line="500" w:lineRule="exact"/>
        <w:ind w:left="0" w:firstLine="420" w:firstLineChars="200"/>
        <w:rPr>
          <w:rFonts w:hAnsi="宋体" w:cs="宋体"/>
          <w:color w:val="auto"/>
          <w:sz w:val="21"/>
          <w:szCs w:val="21"/>
          <w:highlight w:val="none"/>
        </w:rPr>
      </w:pPr>
      <w:r>
        <w:rPr>
          <w:rFonts w:hint="eastAsia" w:hAnsi="宋体" w:cs="宋体"/>
          <w:color w:val="auto"/>
          <w:sz w:val="21"/>
          <w:szCs w:val="21"/>
          <w:highlight w:val="none"/>
        </w:rPr>
        <w:t>质量要求：符合国家相关规范、规程，满足业主要求。</w:t>
      </w:r>
      <w:r>
        <w:rPr>
          <w:rFonts w:hint="eastAsia" w:hAnsi="宋体" w:cs="宋体"/>
          <w:color w:val="auto"/>
          <w:sz w:val="21"/>
          <w:szCs w:val="21"/>
          <w:highlight w:val="none"/>
          <w:lang w:eastAsia="zh-CN"/>
        </w:rPr>
        <w:t>出具的测绘成果须通过第三方质检。（</w:t>
      </w:r>
      <w:r>
        <w:rPr>
          <w:rFonts w:hint="eastAsia" w:hAnsi="宋体" w:cs="宋体"/>
          <w:color w:val="auto"/>
          <w:sz w:val="21"/>
          <w:szCs w:val="21"/>
          <w:highlight w:val="none"/>
          <w:lang w:val="en-US" w:eastAsia="zh-CN"/>
        </w:rPr>
        <w:t>第三方质检单位由采购方委托</w:t>
      </w:r>
      <w:r>
        <w:rPr>
          <w:rFonts w:hint="eastAsia" w:hAnsi="宋体" w:cs="宋体"/>
          <w:color w:val="auto"/>
          <w:sz w:val="21"/>
          <w:szCs w:val="21"/>
          <w:highlight w:val="none"/>
          <w:lang w:eastAsia="zh-CN"/>
        </w:rPr>
        <w:t>）</w:t>
      </w:r>
    </w:p>
    <w:p>
      <w:pPr>
        <w:numPr>
          <w:ilvl w:val="0"/>
          <w:numId w:val="9"/>
        </w:numPr>
        <w:snapToGrid w:val="0"/>
        <w:spacing w:line="500" w:lineRule="exact"/>
        <w:ind w:left="0" w:firstLine="420" w:firstLineChars="200"/>
        <w:rPr>
          <w:rFonts w:hAnsi="宋体" w:cs="宋体"/>
          <w:color w:val="auto"/>
          <w:sz w:val="21"/>
          <w:szCs w:val="21"/>
          <w:highlight w:val="none"/>
        </w:rPr>
      </w:pPr>
      <w:r>
        <w:rPr>
          <w:rFonts w:hint="eastAsia" w:hAnsi="宋体" w:cs="宋体"/>
          <w:color w:val="auto"/>
          <w:sz w:val="21"/>
          <w:szCs w:val="21"/>
          <w:highlight w:val="none"/>
        </w:rPr>
        <w:t>安全要求：符合国家安全要求。</w:t>
      </w:r>
      <w:bookmarkStart w:id="51" w:name="_GoBack"/>
      <w:bookmarkEnd w:id="51"/>
    </w:p>
    <w:p>
      <w:pPr>
        <w:numPr>
          <w:ilvl w:val="0"/>
          <w:numId w:val="9"/>
        </w:numPr>
        <w:snapToGrid w:val="0"/>
        <w:spacing w:line="500" w:lineRule="exact"/>
        <w:ind w:left="0" w:firstLine="420" w:firstLineChars="200"/>
        <w:rPr>
          <w:rFonts w:hAnsi="宋体" w:cs="宋体"/>
          <w:color w:val="auto"/>
          <w:sz w:val="21"/>
          <w:szCs w:val="21"/>
          <w:highlight w:val="none"/>
        </w:rPr>
      </w:pPr>
      <w:r>
        <w:rPr>
          <w:rFonts w:hint="eastAsia" w:hAnsi="宋体" w:cs="宋体"/>
          <w:color w:val="auto"/>
          <w:sz w:val="21"/>
          <w:szCs w:val="21"/>
          <w:highlight w:val="none"/>
        </w:rPr>
        <w:t>验收标准：符合国家现行验收规范合格标准，通过</w:t>
      </w:r>
      <w:r>
        <w:rPr>
          <w:rFonts w:hint="eastAsia" w:hAnsi="宋体" w:cs="宋体"/>
          <w:color w:val="auto"/>
          <w:sz w:val="21"/>
          <w:szCs w:val="21"/>
          <w:highlight w:val="none"/>
          <w:lang w:eastAsia="zh-CN"/>
        </w:rPr>
        <w:t>采购单位</w:t>
      </w:r>
      <w:r>
        <w:rPr>
          <w:rFonts w:hint="eastAsia" w:hAnsi="宋体" w:cs="宋体"/>
          <w:color w:val="auto"/>
          <w:sz w:val="21"/>
          <w:szCs w:val="21"/>
          <w:highlight w:val="none"/>
        </w:rPr>
        <w:t>组织的验收。</w:t>
      </w:r>
    </w:p>
    <w:p>
      <w:pPr>
        <w:numPr>
          <w:ilvl w:val="0"/>
          <w:numId w:val="9"/>
        </w:numPr>
        <w:snapToGrid w:val="0"/>
        <w:spacing w:line="500" w:lineRule="exact"/>
        <w:ind w:left="0" w:firstLine="420" w:firstLineChars="200"/>
        <w:rPr>
          <w:rFonts w:hAnsi="宋体" w:cs="宋体"/>
          <w:color w:val="auto"/>
          <w:sz w:val="21"/>
          <w:szCs w:val="21"/>
          <w:highlight w:val="none"/>
        </w:rPr>
      </w:pPr>
      <w:r>
        <w:rPr>
          <w:rFonts w:hint="eastAsia" w:hAnsi="宋体" w:cs="宋体"/>
          <w:color w:val="auto"/>
          <w:sz w:val="21"/>
          <w:szCs w:val="21"/>
          <w:highlight w:val="none"/>
          <w:lang w:val="en-US" w:eastAsia="zh-CN"/>
        </w:rPr>
        <w:t>中标供应商</w:t>
      </w:r>
      <w:r>
        <w:rPr>
          <w:rFonts w:hint="eastAsia" w:hAnsi="宋体" w:cs="宋体"/>
          <w:color w:val="auto"/>
          <w:sz w:val="21"/>
          <w:szCs w:val="21"/>
          <w:highlight w:val="none"/>
        </w:rPr>
        <w:t>的检测工作应当严格遵守国家的有关法律、法规、制度规定、有关执业规范及</w:t>
      </w:r>
      <w:r>
        <w:rPr>
          <w:rFonts w:hint="eastAsia" w:hAnsi="宋体" w:cs="宋体"/>
          <w:color w:val="auto"/>
          <w:sz w:val="21"/>
          <w:szCs w:val="21"/>
          <w:highlight w:val="none"/>
          <w:lang w:eastAsia="zh-CN"/>
        </w:rPr>
        <w:t>采购单位</w:t>
      </w:r>
      <w:r>
        <w:rPr>
          <w:rFonts w:hint="eastAsia" w:hAnsi="宋体" w:cs="宋体"/>
          <w:color w:val="auto"/>
          <w:sz w:val="21"/>
          <w:szCs w:val="21"/>
          <w:highlight w:val="none"/>
        </w:rPr>
        <w:t>的要求，并按照相关要求做好质控措施，提供的检测报告符合相关技术规程要求。</w:t>
      </w:r>
    </w:p>
    <w:p>
      <w:pPr>
        <w:numPr>
          <w:ilvl w:val="0"/>
          <w:numId w:val="9"/>
        </w:numPr>
        <w:snapToGrid w:val="0"/>
        <w:spacing w:line="500" w:lineRule="exact"/>
        <w:ind w:left="0" w:firstLine="420" w:firstLineChars="200"/>
        <w:rPr>
          <w:rFonts w:hAnsi="宋体" w:cs="宋体"/>
          <w:color w:val="auto"/>
          <w:sz w:val="21"/>
          <w:szCs w:val="21"/>
          <w:highlight w:val="none"/>
        </w:rPr>
      </w:pPr>
      <w:r>
        <w:rPr>
          <w:rFonts w:hint="eastAsia" w:hAnsi="宋体" w:cs="宋体"/>
          <w:color w:val="auto"/>
          <w:sz w:val="21"/>
          <w:szCs w:val="21"/>
          <w:highlight w:val="none"/>
          <w:lang w:eastAsia="zh-CN"/>
        </w:rPr>
        <w:t>中标供应商</w:t>
      </w:r>
      <w:r>
        <w:rPr>
          <w:rFonts w:hint="eastAsia" w:hAnsi="宋体" w:cs="宋体"/>
          <w:color w:val="auto"/>
          <w:sz w:val="21"/>
          <w:szCs w:val="21"/>
          <w:highlight w:val="none"/>
        </w:rPr>
        <w:t>必须严格遵守廉政要求及职业操守，不受被检测单位的影响，保证检测数据和信息的代表性、正确性和完整性，严守检测秘密。</w:t>
      </w:r>
    </w:p>
    <w:p>
      <w:pPr>
        <w:numPr>
          <w:ilvl w:val="0"/>
          <w:numId w:val="9"/>
        </w:numPr>
        <w:snapToGrid w:val="0"/>
        <w:spacing w:line="500" w:lineRule="exact"/>
        <w:ind w:left="0" w:firstLine="420" w:firstLineChars="200"/>
        <w:rPr>
          <w:rFonts w:hAnsi="宋体" w:cs="宋体"/>
          <w:color w:val="auto"/>
          <w:sz w:val="21"/>
          <w:szCs w:val="21"/>
          <w:highlight w:val="none"/>
        </w:rPr>
      </w:pPr>
      <w:r>
        <w:rPr>
          <w:rFonts w:hint="eastAsia" w:hAnsi="宋体" w:cs="宋体"/>
          <w:color w:val="auto"/>
          <w:sz w:val="21"/>
          <w:szCs w:val="21"/>
          <w:highlight w:val="none"/>
        </w:rPr>
        <w:t>未经</w:t>
      </w:r>
      <w:r>
        <w:rPr>
          <w:rFonts w:hint="eastAsia" w:hAnsi="宋体" w:cs="宋体"/>
          <w:color w:val="auto"/>
          <w:sz w:val="21"/>
          <w:szCs w:val="21"/>
          <w:highlight w:val="none"/>
          <w:lang w:eastAsia="zh-CN"/>
        </w:rPr>
        <w:t>采购单位</w:t>
      </w:r>
      <w:r>
        <w:rPr>
          <w:rFonts w:hint="eastAsia" w:hAnsi="宋体" w:cs="宋体"/>
          <w:color w:val="auto"/>
          <w:sz w:val="21"/>
          <w:szCs w:val="21"/>
          <w:highlight w:val="none"/>
        </w:rPr>
        <w:t>允许，</w:t>
      </w:r>
      <w:r>
        <w:rPr>
          <w:rFonts w:hint="eastAsia" w:hAnsi="宋体" w:cs="宋体"/>
          <w:color w:val="auto"/>
          <w:sz w:val="21"/>
          <w:szCs w:val="21"/>
          <w:highlight w:val="none"/>
          <w:lang w:eastAsia="zh-CN"/>
        </w:rPr>
        <w:t>中标供应商</w:t>
      </w:r>
      <w:r>
        <w:rPr>
          <w:rFonts w:hint="eastAsia" w:hAnsi="宋体" w:cs="宋体"/>
          <w:color w:val="auto"/>
          <w:sz w:val="21"/>
          <w:szCs w:val="21"/>
          <w:highlight w:val="none"/>
        </w:rPr>
        <w:t>接受的业务不得外包，检测结果不得作其他用途，不得泄露或散布检测数据和结果。</w:t>
      </w:r>
    </w:p>
    <w:p>
      <w:pPr>
        <w:numPr>
          <w:ilvl w:val="0"/>
          <w:numId w:val="9"/>
        </w:numPr>
        <w:snapToGrid w:val="0"/>
        <w:spacing w:line="500" w:lineRule="exact"/>
        <w:ind w:left="0" w:firstLine="420" w:firstLineChars="200"/>
        <w:rPr>
          <w:rFonts w:hAnsi="宋体" w:cs="宋体"/>
          <w:color w:val="000000" w:themeColor="text1"/>
          <w:sz w:val="21"/>
          <w:szCs w:val="21"/>
          <w:highlight w:val="none"/>
          <w14:textFill>
            <w14:solidFill>
              <w14:schemeClr w14:val="tx1"/>
            </w14:solidFill>
          </w14:textFill>
        </w:rPr>
      </w:pPr>
      <w:r>
        <w:rPr>
          <w:rFonts w:hint="eastAsia" w:hAnsi="宋体" w:cs="宋体"/>
          <w:color w:val="auto"/>
          <w:sz w:val="21"/>
          <w:szCs w:val="21"/>
          <w:highlight w:val="none"/>
          <w:lang w:eastAsia="zh-CN"/>
        </w:rPr>
        <w:t>中标供应商</w:t>
      </w:r>
      <w:r>
        <w:rPr>
          <w:rFonts w:hint="eastAsia" w:hAnsi="宋体" w:cs="宋体"/>
          <w:color w:val="auto"/>
          <w:sz w:val="21"/>
          <w:szCs w:val="21"/>
          <w:highlight w:val="none"/>
        </w:rPr>
        <w:t>应按照相关</w:t>
      </w:r>
      <w:r>
        <w:rPr>
          <w:rFonts w:hint="eastAsia" w:hAnsi="宋体" w:cs="宋体"/>
          <w:color w:val="000000" w:themeColor="text1"/>
          <w:sz w:val="21"/>
          <w:szCs w:val="21"/>
          <w:highlight w:val="none"/>
          <w14:textFill>
            <w14:solidFill>
              <w14:schemeClr w14:val="tx1"/>
            </w14:solidFill>
          </w14:textFill>
        </w:rPr>
        <w:t>要求，做好检测服务过程中的安全生产工作，对安全生产全面负责。</w:t>
      </w:r>
    </w:p>
    <w:p>
      <w:pPr>
        <w:numPr>
          <w:ilvl w:val="0"/>
          <w:numId w:val="9"/>
        </w:numPr>
        <w:snapToGrid w:val="0"/>
        <w:spacing w:line="500" w:lineRule="exact"/>
        <w:ind w:left="0" w:firstLine="420" w:firstLineChars="20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因该项目施工点多、线长，部分位于繁华市区段，需按照采购人要求规范设置安全路锥，并安排专人指挥疏导交通等，其费用由投标供应商在报价时考虑。</w:t>
      </w:r>
    </w:p>
    <w:p>
      <w:pPr>
        <w:numPr>
          <w:ilvl w:val="0"/>
          <w:numId w:val="9"/>
        </w:numPr>
        <w:snapToGrid w:val="0"/>
        <w:spacing w:line="500" w:lineRule="exact"/>
        <w:ind w:left="0" w:firstLine="420" w:firstLineChars="200"/>
        <w:rPr>
          <w:rFonts w:hAnsi="宋体" w:cs="宋体"/>
          <w:color w:val="C00000"/>
          <w:sz w:val="21"/>
          <w:szCs w:val="21"/>
          <w:highlight w:val="none"/>
        </w:rPr>
      </w:pPr>
      <w:r>
        <w:rPr>
          <w:rFonts w:hint="eastAsia" w:hAnsi="宋体" w:cs="宋体"/>
          <w:color w:val="000000" w:themeColor="text1"/>
          <w:sz w:val="21"/>
          <w:szCs w:val="21"/>
          <w:highlight w:val="none"/>
          <w:lang w:val="en-US" w:eastAsia="zh-CN"/>
          <w14:textFill>
            <w14:solidFill>
              <w14:schemeClr w14:val="tx1"/>
            </w14:solidFill>
          </w14:textFill>
        </w:rPr>
        <w:t>供应商</w:t>
      </w:r>
      <w:r>
        <w:rPr>
          <w:rFonts w:hint="eastAsia" w:hAnsi="宋体" w:cs="宋体"/>
          <w:color w:val="000000" w:themeColor="text1"/>
          <w:sz w:val="21"/>
          <w:szCs w:val="21"/>
          <w:highlight w:val="none"/>
          <w14:textFill>
            <w14:solidFill>
              <w14:schemeClr w14:val="tx1"/>
            </w14:solidFill>
          </w14:textFill>
        </w:rPr>
        <w:t>须根据本项目服务要求投入管线探测仪、管道潜望镜（ QV ）、管道检测机器人 CCTV 、清淤车、吸污车等设备</w:t>
      </w:r>
      <w:r>
        <w:rPr>
          <w:rFonts w:hint="eastAsia" w:hAnsi="宋体" w:cs="宋体"/>
          <w:color w:val="000000" w:themeColor="text1"/>
          <w:sz w:val="21"/>
          <w:szCs w:val="21"/>
          <w:highlight w:val="none"/>
          <w:lang w:val="en-US" w:eastAsia="zh-CN"/>
          <w14:textFill>
            <w14:solidFill>
              <w14:schemeClr w14:val="tx1"/>
            </w14:solidFill>
          </w14:textFill>
        </w:rPr>
        <w:t>/车</w:t>
      </w:r>
      <w:r>
        <w:rPr>
          <w:rFonts w:hint="eastAsia" w:hAnsi="宋体" w:cs="宋体"/>
          <w:color w:val="auto"/>
          <w:sz w:val="21"/>
          <w:szCs w:val="21"/>
          <w:highlight w:val="none"/>
          <w:lang w:val="en-US" w:eastAsia="zh-CN"/>
        </w:rPr>
        <w:t>辆</w:t>
      </w:r>
      <w:r>
        <w:rPr>
          <w:rFonts w:hint="eastAsia" w:hAnsi="宋体" w:cs="宋体"/>
          <w:color w:val="auto"/>
          <w:sz w:val="21"/>
          <w:szCs w:val="21"/>
          <w:highlight w:val="none"/>
        </w:rPr>
        <w:t>，根据采购人要求完成雨水管网排查工作。</w:t>
      </w:r>
    </w:p>
    <w:p>
      <w:pPr>
        <w:numPr>
          <w:ilvl w:val="255"/>
          <w:numId w:val="0"/>
        </w:numPr>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10.服务响应及维护：提供实时支持响应服务。要求在12小时内响应采购人提出的疑问和修改意见。</w:t>
      </w:r>
    </w:p>
    <w:p>
      <w:pPr>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11.</w:t>
      </w:r>
      <w:r>
        <w:rPr>
          <w:rFonts w:hint="eastAsia" w:hAnsi="宋体" w:cs="宋体"/>
          <w:bCs/>
          <w:color w:val="auto"/>
          <w:position w:val="-2"/>
          <w:sz w:val="21"/>
          <w:szCs w:val="21"/>
          <w:highlight w:val="none"/>
        </w:rPr>
        <w:t>中标后项目负责人不得变动。项目负责人须全过程参与项目及各阶段项目成果的汇报工作，并配合采购人做好项目的咨询、评审等工</w:t>
      </w:r>
      <w:r>
        <w:rPr>
          <w:rFonts w:hint="eastAsia" w:hAnsi="宋体" w:cs="宋体"/>
          <w:color w:val="auto"/>
          <w:sz w:val="21"/>
          <w:szCs w:val="21"/>
          <w:highlight w:val="none"/>
        </w:rPr>
        <w:t>作。</w:t>
      </w:r>
    </w:p>
    <w:p>
      <w:pPr>
        <w:snapToGrid w:val="0"/>
        <w:spacing w:line="500" w:lineRule="exact"/>
        <w:ind w:firstLine="420" w:firstLineChars="200"/>
        <w:rPr>
          <w:rFonts w:hAnsi="宋体" w:cs="宋体"/>
          <w:b/>
          <w:color w:val="auto"/>
          <w:sz w:val="21"/>
          <w:szCs w:val="21"/>
          <w:highlight w:val="none"/>
        </w:rPr>
      </w:pPr>
      <w:r>
        <w:rPr>
          <w:rFonts w:hint="eastAsia" w:hAnsi="宋体" w:cs="宋体"/>
          <w:color w:val="auto"/>
          <w:sz w:val="21"/>
          <w:szCs w:val="21"/>
          <w:highlight w:val="none"/>
        </w:rPr>
        <w:t>1</w:t>
      </w:r>
      <w:r>
        <w:rPr>
          <w:rFonts w:hint="eastAsia" w:hAnsi="宋体" w:cs="宋体"/>
          <w:color w:val="auto"/>
          <w:sz w:val="21"/>
          <w:szCs w:val="21"/>
          <w:highlight w:val="none"/>
          <w:lang w:val="en-US" w:eastAsia="zh-CN"/>
        </w:rPr>
        <w:t>2</w:t>
      </w:r>
      <w:r>
        <w:rPr>
          <w:rFonts w:hint="eastAsia" w:hAnsi="宋体" w:cs="宋体"/>
          <w:color w:val="auto"/>
          <w:sz w:val="21"/>
          <w:szCs w:val="21"/>
          <w:highlight w:val="none"/>
        </w:rPr>
        <w:t>.</w:t>
      </w:r>
      <w:r>
        <w:rPr>
          <w:rFonts w:hint="eastAsia" w:hAnsi="宋体" w:cs="宋体"/>
          <w:bCs/>
          <w:color w:val="auto"/>
          <w:position w:val="-2"/>
          <w:sz w:val="21"/>
          <w:szCs w:val="21"/>
          <w:highlight w:val="none"/>
        </w:rPr>
        <w:t>保密要求</w:t>
      </w:r>
    </w:p>
    <w:p>
      <w:pPr>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（1）</w:t>
      </w:r>
      <w:r>
        <w:rPr>
          <w:rFonts w:hint="eastAsia" w:hAnsi="宋体" w:cs="宋体"/>
          <w:color w:val="auto"/>
          <w:sz w:val="21"/>
          <w:szCs w:val="21"/>
          <w:highlight w:val="none"/>
          <w:lang w:eastAsia="zh-CN"/>
        </w:rPr>
        <w:t>中标供应商</w:t>
      </w:r>
      <w:r>
        <w:rPr>
          <w:rFonts w:hint="eastAsia" w:hAnsi="宋体" w:cs="宋体"/>
          <w:color w:val="auto"/>
          <w:sz w:val="21"/>
          <w:szCs w:val="21"/>
          <w:highlight w:val="none"/>
        </w:rPr>
        <w:t>须建立严格的保密制度，并加强对工作人员的保密管理及保密知识教育。</w:t>
      </w:r>
    </w:p>
    <w:p>
      <w:pPr>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（2）</w:t>
      </w:r>
      <w:r>
        <w:rPr>
          <w:rFonts w:hint="eastAsia" w:hAnsi="宋体" w:cs="宋体"/>
          <w:color w:val="auto"/>
          <w:sz w:val="21"/>
          <w:szCs w:val="21"/>
          <w:highlight w:val="none"/>
          <w:lang w:eastAsia="zh-CN"/>
        </w:rPr>
        <w:t>中标供应商</w:t>
      </w:r>
      <w:r>
        <w:rPr>
          <w:rFonts w:hint="eastAsia" w:hAnsi="宋体" w:cs="宋体"/>
          <w:color w:val="auto"/>
          <w:sz w:val="21"/>
          <w:szCs w:val="21"/>
          <w:highlight w:val="none"/>
        </w:rPr>
        <w:t>须承担与此有关的技术情报和数据资料的保密责任。与本项目有关的资料及数据成果中涉及国家秘密的内容，均要求按照《国家保密法》及相关法律法规执行。</w:t>
      </w:r>
    </w:p>
    <w:p>
      <w:pPr>
        <w:spacing w:line="500" w:lineRule="exact"/>
        <w:ind w:firstLine="420" w:firstLineChars="200"/>
        <w:rPr>
          <w:rFonts w:hAnsi="宋体" w:cs="宋体"/>
          <w:b/>
          <w:bCs/>
          <w:color w:val="auto"/>
          <w:sz w:val="21"/>
          <w:szCs w:val="21"/>
          <w:highlight w:val="none"/>
        </w:rPr>
      </w:pPr>
      <w:r>
        <w:rPr>
          <w:rFonts w:hint="eastAsia" w:hAnsi="宋体" w:cs="宋体"/>
          <w:color w:val="auto"/>
          <w:sz w:val="21"/>
          <w:szCs w:val="21"/>
          <w:highlight w:val="none"/>
        </w:rPr>
        <w:t>1</w:t>
      </w:r>
      <w:r>
        <w:rPr>
          <w:rFonts w:hint="eastAsia" w:hAnsi="宋体" w:cs="宋体"/>
          <w:color w:val="auto"/>
          <w:sz w:val="21"/>
          <w:szCs w:val="21"/>
          <w:highlight w:val="none"/>
          <w:lang w:val="en-US" w:eastAsia="zh-CN"/>
        </w:rPr>
        <w:t>3</w:t>
      </w:r>
      <w:r>
        <w:rPr>
          <w:rFonts w:hint="eastAsia" w:hAnsi="宋体" w:cs="宋体"/>
          <w:color w:val="auto"/>
          <w:sz w:val="21"/>
          <w:szCs w:val="21"/>
          <w:highlight w:val="none"/>
        </w:rPr>
        <w:t>.</w:t>
      </w:r>
      <w:r>
        <w:rPr>
          <w:rFonts w:hint="eastAsia" w:hAnsi="宋体" w:cs="宋体"/>
          <w:color w:val="auto"/>
          <w:sz w:val="21"/>
          <w:szCs w:val="21"/>
          <w:highlight w:val="none"/>
          <w:lang w:eastAsia="zh-CN"/>
        </w:rPr>
        <w:t>中标供应商</w:t>
      </w:r>
      <w:r>
        <w:rPr>
          <w:rFonts w:hint="eastAsia" w:hAnsi="宋体" w:cs="宋体"/>
          <w:color w:val="auto"/>
          <w:sz w:val="21"/>
          <w:szCs w:val="21"/>
          <w:highlight w:val="none"/>
        </w:rPr>
        <w:t>须为全体作业人员购买社保及人身意外险，必须重视安全生产工作，确保</w:t>
      </w:r>
      <w:r>
        <w:rPr>
          <w:rFonts w:hint="eastAsia" w:hAnsi="宋体" w:cs="宋体"/>
          <w:color w:val="auto"/>
          <w:sz w:val="21"/>
          <w:szCs w:val="21"/>
          <w:highlight w:val="none"/>
          <w:lang w:eastAsia="zh-CN"/>
        </w:rPr>
        <w:t>项目实施期间</w:t>
      </w:r>
      <w:r>
        <w:rPr>
          <w:rFonts w:hint="eastAsia" w:hAnsi="宋体" w:cs="宋体"/>
          <w:color w:val="auto"/>
          <w:sz w:val="21"/>
          <w:szCs w:val="21"/>
          <w:highlight w:val="none"/>
        </w:rPr>
        <w:t>不出安全生产责任事故。</w:t>
      </w:r>
      <w:r>
        <w:rPr>
          <w:rFonts w:hint="eastAsia" w:hAnsi="宋体" w:cs="宋体"/>
          <w:color w:val="auto"/>
          <w:sz w:val="21"/>
          <w:szCs w:val="21"/>
          <w:highlight w:val="none"/>
        </w:rPr>
        <w:br w:type="textWrapping"/>
      </w:r>
      <w:r>
        <w:rPr>
          <w:rFonts w:hint="eastAsia" w:hAnsi="宋体" w:cs="宋体"/>
          <w:color w:val="auto"/>
          <w:sz w:val="21"/>
          <w:szCs w:val="21"/>
          <w:highlight w:val="none"/>
        </w:rPr>
        <w:t xml:space="preserve">    </w:t>
      </w:r>
      <w:r>
        <w:rPr>
          <w:rFonts w:hint="eastAsia" w:hAnsi="宋体" w:cs="宋体"/>
          <w:b/>
          <w:bCs/>
          <w:color w:val="auto"/>
          <w:sz w:val="21"/>
          <w:szCs w:val="21"/>
          <w:highlight w:val="none"/>
          <w:lang w:eastAsia="zh-CN"/>
        </w:rPr>
        <w:t>七</w:t>
      </w:r>
      <w:r>
        <w:rPr>
          <w:rFonts w:hint="eastAsia" w:hAnsi="宋体" w:cs="宋体"/>
          <w:b/>
          <w:bCs/>
          <w:color w:val="auto"/>
          <w:sz w:val="21"/>
          <w:szCs w:val="21"/>
          <w:highlight w:val="none"/>
        </w:rPr>
        <w:t>、付款方式</w:t>
      </w:r>
    </w:p>
    <w:p>
      <w:pPr>
        <w:snapToGrid w:val="0"/>
        <w:spacing w:line="500" w:lineRule="exact"/>
        <w:ind w:firstLine="420" w:firstLineChars="200"/>
        <w:rPr>
          <w:rFonts w:hAnsi="宋体" w:cs="宋体"/>
          <w:bCs/>
          <w:color w:val="auto"/>
          <w:position w:val="-2"/>
          <w:sz w:val="21"/>
          <w:szCs w:val="21"/>
          <w:highlight w:val="none"/>
        </w:rPr>
      </w:pPr>
      <w:r>
        <w:rPr>
          <w:rFonts w:hint="eastAsia" w:hAnsi="宋体" w:cs="宋体"/>
          <w:bCs/>
          <w:color w:val="auto"/>
          <w:position w:val="-2"/>
          <w:sz w:val="21"/>
          <w:szCs w:val="21"/>
          <w:highlight w:val="none"/>
        </w:rPr>
        <w:t>合同签订后，</w:t>
      </w:r>
      <w:r>
        <w:rPr>
          <w:rFonts w:hint="eastAsia" w:hAnsi="宋体" w:cs="宋体"/>
          <w:bCs/>
          <w:color w:val="auto"/>
          <w:position w:val="-2"/>
          <w:sz w:val="21"/>
          <w:szCs w:val="21"/>
          <w:highlight w:val="none"/>
          <w:lang w:eastAsia="zh-CN"/>
        </w:rPr>
        <w:t>中标</w:t>
      </w:r>
      <w:r>
        <w:rPr>
          <w:rFonts w:hint="eastAsia" w:hAnsi="宋体" w:cs="宋体"/>
          <w:bCs/>
          <w:color w:val="auto"/>
          <w:position w:val="-2"/>
          <w:sz w:val="21"/>
          <w:szCs w:val="21"/>
          <w:highlight w:val="none"/>
          <w:lang w:val="en-US" w:eastAsia="zh-CN"/>
        </w:rPr>
        <w:t>供应商</w:t>
      </w:r>
      <w:r>
        <w:rPr>
          <w:rFonts w:hint="eastAsia" w:hAnsi="宋体" w:cs="宋体"/>
          <w:bCs/>
          <w:color w:val="auto"/>
          <w:position w:val="-2"/>
          <w:sz w:val="21"/>
          <w:szCs w:val="21"/>
          <w:highlight w:val="none"/>
        </w:rPr>
        <w:t>须按付款进度开具发票，并承担由此产生的一切税金。约定付款进度如下：</w:t>
      </w:r>
    </w:p>
    <w:p>
      <w:pPr>
        <w:snapToGrid w:val="0"/>
        <w:spacing w:line="500" w:lineRule="exact"/>
        <w:ind w:firstLine="420" w:firstLineChars="200"/>
        <w:rPr>
          <w:rFonts w:hint="eastAsia" w:hAnsi="宋体" w:eastAsia="宋体" w:cs="宋体"/>
          <w:bCs/>
          <w:color w:val="auto"/>
          <w:position w:val="-2"/>
          <w:sz w:val="21"/>
          <w:szCs w:val="21"/>
          <w:highlight w:val="none"/>
          <w:lang w:eastAsia="zh-CN"/>
        </w:rPr>
      </w:pPr>
      <w:r>
        <w:rPr>
          <w:rFonts w:hint="eastAsia" w:hAnsi="宋体" w:cs="宋体"/>
          <w:bCs/>
          <w:color w:val="auto"/>
          <w:position w:val="-2"/>
          <w:sz w:val="21"/>
          <w:szCs w:val="21"/>
          <w:highlight w:val="none"/>
        </w:rPr>
        <w:t>1.合同签订生效且具备实施条件后，</w:t>
      </w:r>
      <w:r>
        <w:rPr>
          <w:rFonts w:hint="eastAsia" w:hAnsi="宋体" w:cs="宋体"/>
          <w:bCs/>
          <w:color w:val="auto"/>
          <w:position w:val="-2"/>
          <w:sz w:val="21"/>
          <w:szCs w:val="21"/>
          <w:highlight w:val="none"/>
          <w:lang w:eastAsia="zh-CN"/>
        </w:rPr>
        <w:t>中标供应商</w:t>
      </w:r>
      <w:r>
        <w:rPr>
          <w:rFonts w:hint="eastAsia" w:hAnsi="宋体" w:cs="宋体"/>
          <w:bCs/>
          <w:color w:val="auto"/>
          <w:position w:val="-2"/>
          <w:sz w:val="21"/>
          <w:szCs w:val="21"/>
          <w:highlight w:val="none"/>
        </w:rPr>
        <w:t>已向采购</w:t>
      </w:r>
      <w:r>
        <w:rPr>
          <w:rFonts w:hint="eastAsia" w:hAnsi="宋体" w:cs="宋体"/>
          <w:bCs/>
          <w:color w:val="auto"/>
          <w:position w:val="-2"/>
          <w:sz w:val="21"/>
          <w:szCs w:val="21"/>
          <w:highlight w:val="none"/>
          <w:lang w:eastAsia="zh-CN"/>
        </w:rPr>
        <w:t>单位</w:t>
      </w:r>
      <w:r>
        <w:rPr>
          <w:rFonts w:hint="eastAsia" w:hAnsi="宋体" w:cs="宋体"/>
          <w:bCs/>
          <w:color w:val="auto"/>
          <w:position w:val="-2"/>
          <w:sz w:val="21"/>
          <w:szCs w:val="21"/>
          <w:highlight w:val="none"/>
        </w:rPr>
        <w:t>提交银行、保险公司等金融机构出具的预付款保函（可在政采云平台购买，保函期限不少于1年）的前提下，采购单位向</w:t>
      </w:r>
      <w:r>
        <w:rPr>
          <w:rFonts w:hint="eastAsia" w:hAnsi="宋体" w:cs="宋体"/>
          <w:bCs/>
          <w:color w:val="auto"/>
          <w:position w:val="-2"/>
          <w:sz w:val="21"/>
          <w:szCs w:val="21"/>
          <w:highlight w:val="none"/>
          <w:lang w:eastAsia="zh-CN"/>
        </w:rPr>
        <w:t>中标供应商</w:t>
      </w:r>
      <w:r>
        <w:rPr>
          <w:rFonts w:hint="eastAsia" w:hAnsi="宋体" w:cs="宋体"/>
          <w:bCs/>
          <w:color w:val="auto"/>
          <w:position w:val="-2"/>
          <w:sz w:val="21"/>
          <w:szCs w:val="21"/>
          <w:highlight w:val="none"/>
        </w:rPr>
        <w:t>支付</w:t>
      </w:r>
      <w:r>
        <w:rPr>
          <w:rFonts w:hint="eastAsia" w:hAnsi="宋体" w:cs="宋体"/>
          <w:bCs/>
          <w:color w:val="auto"/>
          <w:position w:val="-2"/>
          <w:sz w:val="21"/>
          <w:szCs w:val="21"/>
          <w:highlight w:val="none"/>
          <w:lang w:eastAsia="zh-CN"/>
        </w:rPr>
        <w:t>预算金额</w:t>
      </w:r>
      <w:r>
        <w:rPr>
          <w:rFonts w:hint="eastAsia" w:hAnsi="宋体" w:cs="宋体"/>
          <w:bCs/>
          <w:color w:val="auto"/>
          <w:position w:val="-2"/>
          <w:sz w:val="21"/>
          <w:szCs w:val="21"/>
          <w:highlight w:val="none"/>
        </w:rPr>
        <w:t>的</w:t>
      </w:r>
      <w:r>
        <w:rPr>
          <w:rFonts w:hint="eastAsia" w:hAnsi="宋体" w:cs="宋体"/>
          <w:bCs/>
          <w:color w:val="auto"/>
          <w:position w:val="-2"/>
          <w:sz w:val="21"/>
          <w:szCs w:val="21"/>
          <w:highlight w:val="none"/>
          <w:lang w:val="en-US" w:eastAsia="zh-CN"/>
        </w:rPr>
        <w:t>55</w:t>
      </w:r>
      <w:r>
        <w:rPr>
          <w:rFonts w:hint="eastAsia" w:hAnsi="宋体" w:cs="宋体"/>
          <w:bCs/>
          <w:color w:val="auto"/>
          <w:position w:val="-2"/>
          <w:sz w:val="21"/>
          <w:szCs w:val="21"/>
          <w:highlight w:val="none"/>
        </w:rPr>
        <w:t>％作为预付款；</w:t>
      </w:r>
    </w:p>
    <w:p>
      <w:pPr>
        <w:snapToGrid w:val="0"/>
        <w:spacing w:line="500" w:lineRule="exact"/>
        <w:ind w:firstLine="420" w:firstLineChars="200"/>
        <w:rPr>
          <w:rFonts w:hint="eastAsia" w:hAnsi="宋体" w:cs="宋体"/>
          <w:bCs/>
          <w:color w:val="auto"/>
          <w:position w:val="-2"/>
          <w:sz w:val="21"/>
          <w:szCs w:val="21"/>
          <w:highlight w:val="none"/>
        </w:rPr>
      </w:pPr>
      <w:r>
        <w:rPr>
          <w:rFonts w:hint="eastAsia" w:hAnsi="宋体" w:cs="宋体"/>
          <w:bCs/>
          <w:color w:val="auto"/>
          <w:position w:val="-2"/>
          <w:sz w:val="21"/>
          <w:szCs w:val="21"/>
          <w:highlight w:val="none"/>
          <w:lang w:val="en-US" w:eastAsia="zh-CN"/>
        </w:rPr>
        <w:t>2</w:t>
      </w:r>
      <w:r>
        <w:rPr>
          <w:rFonts w:hint="eastAsia" w:hAnsi="宋体" w:cs="宋体"/>
          <w:bCs/>
          <w:color w:val="auto"/>
          <w:position w:val="-2"/>
          <w:sz w:val="21"/>
          <w:szCs w:val="21"/>
          <w:highlight w:val="none"/>
        </w:rPr>
        <w:t>.整体项目通过最终验收后，采购</w:t>
      </w:r>
      <w:r>
        <w:rPr>
          <w:rFonts w:hint="eastAsia" w:hAnsi="宋体" w:cs="宋体"/>
          <w:bCs/>
          <w:color w:val="auto"/>
          <w:position w:val="-2"/>
          <w:sz w:val="21"/>
          <w:szCs w:val="21"/>
          <w:highlight w:val="none"/>
          <w:lang w:eastAsia="zh-CN"/>
        </w:rPr>
        <w:t>单位</w:t>
      </w:r>
      <w:r>
        <w:rPr>
          <w:rFonts w:hint="eastAsia" w:hAnsi="宋体" w:cs="宋体"/>
          <w:bCs/>
          <w:color w:val="auto"/>
          <w:position w:val="-2"/>
          <w:sz w:val="21"/>
          <w:szCs w:val="21"/>
          <w:highlight w:val="none"/>
        </w:rPr>
        <w:t>根据</w:t>
      </w:r>
      <w:r>
        <w:rPr>
          <w:rFonts w:hint="eastAsia" w:hAnsi="宋体" w:cs="宋体"/>
          <w:bCs/>
          <w:color w:val="auto"/>
          <w:position w:val="-2"/>
          <w:sz w:val="21"/>
          <w:szCs w:val="21"/>
          <w:highlight w:val="none"/>
          <w:lang w:val="en-US" w:eastAsia="zh-CN"/>
        </w:rPr>
        <w:t>第三方审定金额</w:t>
      </w:r>
      <w:r>
        <w:rPr>
          <w:rFonts w:hint="eastAsia" w:hAnsi="宋体" w:cs="宋体"/>
          <w:bCs/>
          <w:color w:val="auto"/>
          <w:position w:val="-2"/>
          <w:sz w:val="21"/>
          <w:szCs w:val="21"/>
          <w:highlight w:val="none"/>
        </w:rPr>
        <w:t>支付</w:t>
      </w:r>
      <w:r>
        <w:rPr>
          <w:rFonts w:hint="eastAsia" w:hAnsi="宋体" w:cs="宋体"/>
          <w:bCs/>
          <w:color w:val="auto"/>
          <w:position w:val="-2"/>
          <w:sz w:val="21"/>
          <w:szCs w:val="21"/>
          <w:highlight w:val="none"/>
          <w:lang w:val="en-US" w:eastAsia="zh-CN"/>
        </w:rPr>
        <w:t>至最终结</w:t>
      </w:r>
      <w:r>
        <w:rPr>
          <w:rFonts w:hint="eastAsia" w:hAnsi="宋体" w:cs="宋体"/>
          <w:bCs/>
          <w:color w:val="auto"/>
          <w:position w:val="-2"/>
          <w:sz w:val="21"/>
          <w:szCs w:val="21"/>
          <w:highlight w:val="none"/>
        </w:rPr>
        <w:t>算价款</w:t>
      </w:r>
      <w:r>
        <w:rPr>
          <w:rFonts w:hint="eastAsia" w:hAnsi="宋体" w:cs="宋体"/>
          <w:bCs/>
          <w:color w:val="auto"/>
          <w:position w:val="-2"/>
          <w:sz w:val="21"/>
          <w:szCs w:val="21"/>
          <w:highlight w:val="none"/>
          <w:lang w:val="en-US" w:eastAsia="zh-CN"/>
        </w:rPr>
        <w:t>100%</w:t>
      </w:r>
      <w:r>
        <w:rPr>
          <w:rFonts w:hint="eastAsia" w:hAnsi="宋体" w:cs="宋体"/>
          <w:bCs/>
          <w:color w:val="auto"/>
          <w:position w:val="-2"/>
          <w:sz w:val="21"/>
          <w:szCs w:val="21"/>
          <w:highlight w:val="none"/>
        </w:rPr>
        <w:t>。</w:t>
      </w:r>
    </w:p>
    <w:p>
      <w:pPr>
        <w:snapToGrid w:val="0"/>
        <w:spacing w:line="500" w:lineRule="exact"/>
        <w:ind w:firstLine="420" w:firstLineChars="200"/>
        <w:rPr>
          <w:rFonts w:hAnsi="宋体" w:cs="宋体"/>
          <w:color w:val="auto"/>
          <w:sz w:val="21"/>
          <w:szCs w:val="21"/>
          <w:highlight w:val="none"/>
        </w:rPr>
      </w:pPr>
      <w:r>
        <w:rPr>
          <w:rFonts w:hint="eastAsia" w:hAnsi="宋体" w:cs="宋体"/>
          <w:bCs/>
          <w:color w:val="auto"/>
          <w:position w:val="-2"/>
          <w:sz w:val="21"/>
          <w:szCs w:val="21"/>
          <w:highlight w:val="none"/>
        </w:rPr>
        <w:t>备注：1.中标</w:t>
      </w:r>
      <w:r>
        <w:rPr>
          <w:rFonts w:hint="eastAsia" w:hAnsi="宋体" w:cs="宋体"/>
          <w:bCs/>
          <w:color w:val="auto"/>
          <w:position w:val="-2"/>
          <w:sz w:val="21"/>
          <w:szCs w:val="21"/>
          <w:highlight w:val="none"/>
          <w:lang w:eastAsia="zh-CN"/>
        </w:rPr>
        <w:t>供应商</w:t>
      </w:r>
      <w:r>
        <w:rPr>
          <w:rFonts w:hint="eastAsia" w:hAnsi="宋体" w:cs="宋体"/>
          <w:bCs/>
          <w:color w:val="auto"/>
          <w:position w:val="-2"/>
          <w:sz w:val="21"/>
          <w:szCs w:val="21"/>
          <w:highlight w:val="none"/>
        </w:rPr>
        <w:t>在办理合同款结算时须开具正式发票</w:t>
      </w:r>
      <w:r>
        <w:rPr>
          <w:rFonts w:hint="eastAsia" w:hAnsi="宋体" w:cs="宋体"/>
          <w:bCs/>
          <w:color w:val="auto"/>
          <w:position w:val="-2"/>
          <w:sz w:val="21"/>
          <w:szCs w:val="21"/>
          <w:highlight w:val="none"/>
          <w:lang w:eastAsia="zh-CN"/>
        </w:rPr>
        <w:t>。</w:t>
      </w:r>
      <w:r>
        <w:rPr>
          <w:rFonts w:hint="eastAsia" w:hAnsi="宋体" w:cs="宋体"/>
          <w:bCs/>
          <w:color w:val="auto"/>
          <w:position w:val="-2"/>
          <w:sz w:val="21"/>
          <w:szCs w:val="21"/>
          <w:highlight w:val="none"/>
        </w:rPr>
        <w:t>2.</w:t>
      </w:r>
      <w:r>
        <w:rPr>
          <w:rFonts w:hint="eastAsia" w:ascii="宋体" w:hAnsi="宋体" w:cs="宋体"/>
          <w:color w:val="auto"/>
          <w:sz w:val="21"/>
          <w:szCs w:val="21"/>
          <w:highlight w:val="none"/>
        </w:rPr>
        <w:t>最终结算总价若经计算超过本项目的</w:t>
      </w:r>
      <w:r>
        <w:rPr>
          <w:rFonts w:hint="eastAsia" w:hAnsi="宋体" w:cs="宋体"/>
          <w:color w:val="auto"/>
          <w:sz w:val="21"/>
          <w:szCs w:val="21"/>
          <w:highlight w:val="none"/>
          <w:lang w:val="en-US" w:eastAsia="zh-CN"/>
        </w:rPr>
        <w:t>预算金额</w:t>
      </w:r>
      <w:r>
        <w:rPr>
          <w:rFonts w:hint="eastAsia" w:ascii="宋体" w:hAnsi="宋体" w:cs="宋体"/>
          <w:color w:val="auto"/>
          <w:sz w:val="21"/>
          <w:szCs w:val="21"/>
          <w:highlight w:val="none"/>
        </w:rPr>
        <w:t>的，则按</w:t>
      </w:r>
      <w:r>
        <w:rPr>
          <w:rFonts w:hint="eastAsia" w:hAnsi="宋体" w:cs="宋体"/>
          <w:color w:val="auto"/>
          <w:sz w:val="21"/>
          <w:szCs w:val="21"/>
          <w:highlight w:val="none"/>
          <w:lang w:val="en-US" w:eastAsia="zh-CN"/>
        </w:rPr>
        <w:t>预算金额</w:t>
      </w:r>
      <w:r>
        <w:rPr>
          <w:rFonts w:hint="eastAsia" w:ascii="宋体" w:hAnsi="宋体" w:cs="宋体"/>
          <w:color w:val="auto"/>
          <w:sz w:val="21"/>
          <w:szCs w:val="21"/>
          <w:highlight w:val="none"/>
        </w:rPr>
        <w:t>进行支付。</w:t>
      </w:r>
      <w:r>
        <w:rPr>
          <w:rFonts w:hint="eastAsia" w:ascii="宋体" w:hAnsi="宋体" w:cs="宋体"/>
          <w:color w:val="auto"/>
          <w:sz w:val="21"/>
          <w:szCs w:val="21"/>
          <w:highlight w:val="none"/>
          <w:lang w:eastAsia="zh-CN"/>
        </w:rPr>
        <w:t>即：</w:t>
      </w:r>
      <w:r>
        <w:rPr>
          <w:rFonts w:hint="eastAsia" w:ascii="宋体" w:hAnsi="宋体" w:cs="宋体"/>
          <w:color w:val="auto"/>
          <w:sz w:val="21"/>
          <w:szCs w:val="21"/>
          <w:highlight w:val="none"/>
        </w:rPr>
        <w:t>本项目最终结算总额不得超过本项目的</w:t>
      </w:r>
      <w:r>
        <w:rPr>
          <w:rFonts w:hint="eastAsia" w:hAnsi="宋体" w:cs="宋体"/>
          <w:color w:val="auto"/>
          <w:sz w:val="21"/>
          <w:szCs w:val="21"/>
          <w:highlight w:val="none"/>
          <w:lang w:val="en-US" w:eastAsia="zh-CN"/>
        </w:rPr>
        <w:t>预算金额</w:t>
      </w:r>
      <w:r>
        <w:rPr>
          <w:rFonts w:hint="eastAsia" w:ascii="宋体" w:hAnsi="宋体" w:cs="宋体"/>
          <w:color w:val="auto"/>
          <w:sz w:val="21"/>
          <w:szCs w:val="21"/>
          <w:highlight w:val="none"/>
        </w:rPr>
        <w:t>。</w:t>
      </w:r>
      <w:r>
        <w:rPr>
          <w:rFonts w:hint="eastAsia" w:hAnsi="宋体" w:cs="宋体"/>
          <w:color w:val="auto"/>
          <w:sz w:val="21"/>
          <w:szCs w:val="21"/>
          <w:highlight w:val="none"/>
          <w:lang w:val="en-US" w:eastAsia="zh-CN"/>
        </w:rPr>
        <w:t>3.如已支付金额超过最终结算价款的，则超过部分中标供应商须在采购单位规定的日期内予以退回。4</w:t>
      </w:r>
      <w:r>
        <w:rPr>
          <w:rFonts w:hint="eastAsia" w:hAnsi="宋体" w:cs="宋体"/>
          <w:bCs/>
          <w:color w:val="auto"/>
          <w:position w:val="-2"/>
          <w:sz w:val="21"/>
          <w:szCs w:val="21"/>
          <w:highlight w:val="none"/>
        </w:rPr>
        <w:t>.如在签订合同时，中标</w:t>
      </w:r>
      <w:r>
        <w:rPr>
          <w:rFonts w:hint="eastAsia" w:hAnsi="宋体" w:cs="宋体"/>
          <w:bCs/>
          <w:color w:val="auto"/>
          <w:position w:val="-2"/>
          <w:sz w:val="21"/>
          <w:szCs w:val="21"/>
          <w:highlight w:val="none"/>
          <w:lang w:eastAsia="zh-CN"/>
        </w:rPr>
        <w:t>供应商</w:t>
      </w:r>
      <w:r>
        <w:rPr>
          <w:rFonts w:hint="eastAsia" w:hAnsi="宋体" w:cs="宋体"/>
          <w:bCs/>
          <w:color w:val="auto"/>
          <w:position w:val="-2"/>
          <w:sz w:val="21"/>
          <w:szCs w:val="21"/>
          <w:highlight w:val="none"/>
        </w:rPr>
        <w:t>明确表示无需预付款或者主动要求降低预付款比例的，可降低预付款比例（预付款保函同步调整）。</w:t>
      </w:r>
      <w:r>
        <w:rPr>
          <w:rFonts w:hint="eastAsia" w:hAnsi="宋体" w:cs="宋体"/>
          <w:bCs/>
          <w:color w:val="auto"/>
          <w:position w:val="-2"/>
          <w:sz w:val="21"/>
          <w:szCs w:val="21"/>
          <w:highlight w:val="none"/>
          <w:lang w:val="en-US" w:eastAsia="zh-CN"/>
        </w:rPr>
        <w:t>5</w:t>
      </w:r>
      <w:r>
        <w:rPr>
          <w:rFonts w:hint="eastAsia" w:hAnsi="宋体" w:cs="宋体"/>
          <w:bCs/>
          <w:color w:val="auto"/>
          <w:position w:val="-2"/>
          <w:sz w:val="21"/>
          <w:szCs w:val="21"/>
          <w:highlight w:val="none"/>
        </w:rPr>
        <w:t>.</w:t>
      </w:r>
      <w:r>
        <w:rPr>
          <w:rFonts w:hint="eastAsia" w:hAnsi="宋体" w:cs="宋体"/>
          <w:bCs/>
          <w:color w:val="auto"/>
          <w:position w:val="-2"/>
          <w:sz w:val="21"/>
          <w:szCs w:val="21"/>
          <w:highlight w:val="none"/>
          <w:lang w:val="zh-CN"/>
        </w:rPr>
        <w:t>为支持和促进中小企业发展，进一步发挥政府采购政策功能，浙江省财政厅出台浙财采监〔2020〕3 号文件，企业若有购买保险/保函或者融资意向，可登陆政采云平台融资服务（https://jinrong.zcygov.cn/），查看相应融资政策文件及各相关服务方案，咨询热线400-903-9583。</w:t>
      </w:r>
    </w:p>
    <w:p>
      <w:pPr>
        <w:snapToGrid w:val="0"/>
        <w:spacing w:line="500" w:lineRule="exact"/>
        <w:ind w:firstLine="600" w:firstLineChars="200"/>
        <w:rPr>
          <w:rFonts w:hAnsi="宋体" w:cs="宋体"/>
          <w:color w:val="auto"/>
          <w:sz w:val="30"/>
          <w:szCs w:val="30"/>
          <w:highlight w:val="none"/>
        </w:rPr>
      </w:pPr>
      <w:r>
        <w:rPr>
          <w:rFonts w:hint="eastAsia" w:hAnsi="宋体" w:cs="宋体"/>
          <w:color w:val="auto"/>
          <w:sz w:val="30"/>
          <w:szCs w:val="30"/>
          <w:highlight w:val="none"/>
        </w:rPr>
        <w:br w:type="page"/>
      </w:r>
    </w:p>
    <w:p>
      <w:pPr>
        <w:pStyle w:val="5"/>
        <w:keepNext w:val="0"/>
        <w:spacing w:line="460" w:lineRule="exact"/>
        <w:jc w:val="center"/>
        <w:rPr>
          <w:rFonts w:ascii="宋体" w:hAnsi="宋体" w:cs="宋体"/>
          <w:color w:val="auto"/>
          <w:sz w:val="30"/>
          <w:szCs w:val="30"/>
          <w:highlight w:val="none"/>
        </w:rPr>
      </w:pPr>
      <w:r>
        <w:rPr>
          <w:rFonts w:hint="eastAsia" w:ascii="宋体" w:hAnsi="宋体" w:cs="宋体"/>
          <w:color w:val="auto"/>
          <w:sz w:val="30"/>
          <w:szCs w:val="30"/>
          <w:highlight w:val="none"/>
        </w:rPr>
        <w:t>第三章  投标人须知</w:t>
      </w:r>
      <w:bookmarkEnd w:id="36"/>
    </w:p>
    <w:p>
      <w:pPr>
        <w:pStyle w:val="5"/>
        <w:spacing w:line="460" w:lineRule="exact"/>
        <w:jc w:val="center"/>
        <w:rPr>
          <w:rFonts w:ascii="宋体" w:hAnsi="宋体" w:cs="宋体"/>
          <w:color w:val="auto"/>
          <w:sz w:val="30"/>
          <w:szCs w:val="30"/>
          <w:highlight w:val="none"/>
        </w:rPr>
      </w:pPr>
      <w:bookmarkStart w:id="38" w:name="_Toc351559943"/>
      <w:r>
        <w:rPr>
          <w:rFonts w:hint="eastAsia" w:ascii="宋体" w:hAnsi="宋体" w:cs="宋体"/>
          <w:color w:val="auto"/>
          <w:sz w:val="30"/>
          <w:szCs w:val="30"/>
          <w:highlight w:val="none"/>
        </w:rPr>
        <w:t>前附表</w:t>
      </w:r>
      <w:bookmarkEnd w:id="38"/>
    </w:p>
    <w:tbl>
      <w:tblPr>
        <w:tblStyle w:val="47"/>
        <w:tblW w:w="937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8"/>
        <w:gridCol w:w="2503"/>
        <w:gridCol w:w="60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88"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序号</w:t>
            </w:r>
          </w:p>
        </w:tc>
        <w:tc>
          <w:tcPr>
            <w:tcW w:w="858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60" w:lineRule="exact"/>
              <w:ind w:firstLine="2940" w:firstLineChars="1400"/>
              <w:rPr>
                <w:rFonts w:hAnsi="宋体" w:cs="宋体"/>
                <w:color w:val="auto"/>
                <w:sz w:val="21"/>
                <w:szCs w:val="21"/>
                <w:highlight w:val="none"/>
              </w:rPr>
            </w:pPr>
            <w:r>
              <w:rPr>
                <w:rFonts w:hint="eastAsia" w:hAnsi="宋体" w:cs="宋体"/>
                <w:color w:val="auto"/>
                <w:sz w:val="21"/>
                <w:szCs w:val="21"/>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788"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1</w:t>
            </w:r>
          </w:p>
        </w:tc>
        <w:tc>
          <w:tcPr>
            <w:tcW w:w="858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60" w:lineRule="exact"/>
              <w:rPr>
                <w:rFonts w:hint="eastAsia" w:hAnsi="宋体" w:eastAsia="宋体" w:cs="宋体"/>
                <w:color w:val="auto"/>
                <w:sz w:val="21"/>
                <w:szCs w:val="21"/>
                <w:highlight w:val="none"/>
                <w:lang w:eastAsia="zh-CN"/>
              </w:rPr>
            </w:pPr>
            <w:r>
              <w:rPr>
                <w:rFonts w:hint="eastAsia" w:hAnsi="宋体" w:cs="宋体"/>
                <w:color w:val="auto"/>
                <w:sz w:val="21"/>
                <w:szCs w:val="21"/>
                <w:highlight w:val="none"/>
              </w:rPr>
              <w:t>项目名称：</w:t>
            </w:r>
            <w:r>
              <w:rPr>
                <w:rFonts w:hint="eastAsia" w:hAnsi="宋体" w:cs="宋体"/>
                <w:color w:val="auto"/>
                <w:sz w:val="21"/>
                <w:szCs w:val="21"/>
                <w:highlight w:val="none"/>
                <w:lang w:eastAsia="zh-CN"/>
              </w:rPr>
              <w:t>金华市区雨水管网排查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88"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2</w:t>
            </w:r>
          </w:p>
        </w:tc>
        <w:tc>
          <w:tcPr>
            <w:tcW w:w="858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60" w:lineRule="exact"/>
              <w:rPr>
                <w:rFonts w:hAnsi="宋体" w:cs="宋体"/>
                <w:b/>
                <w:bCs/>
                <w:color w:val="auto"/>
                <w:sz w:val="21"/>
                <w:szCs w:val="21"/>
                <w:highlight w:val="none"/>
              </w:rPr>
            </w:pPr>
            <w:r>
              <w:rPr>
                <w:rFonts w:hint="eastAsia" w:hAnsi="宋体" w:cs="宋体"/>
                <w:b/>
                <w:bCs/>
                <w:color w:val="auto"/>
                <w:sz w:val="21"/>
                <w:szCs w:val="21"/>
                <w:highlight w:val="none"/>
              </w:rPr>
              <w:t>投标报价及费用：</w:t>
            </w:r>
          </w:p>
          <w:p>
            <w:pPr>
              <w:snapToGrid w:val="0"/>
              <w:spacing w:line="460" w:lineRule="exact"/>
              <w:rPr>
                <w:rFonts w:hAnsi="宋体" w:cs="宋体"/>
                <w:b/>
                <w:bCs/>
                <w:color w:val="auto"/>
                <w:sz w:val="21"/>
                <w:szCs w:val="21"/>
                <w:highlight w:val="none"/>
              </w:rPr>
            </w:pPr>
            <w:r>
              <w:rPr>
                <w:rFonts w:hint="eastAsia" w:hAnsi="宋体" w:cs="宋体"/>
                <w:b/>
                <w:bCs/>
                <w:color w:val="auto"/>
                <w:sz w:val="21"/>
                <w:szCs w:val="21"/>
                <w:highlight w:val="none"/>
              </w:rPr>
              <w:t>1.</w:t>
            </w:r>
            <w:r>
              <w:rPr>
                <w:rFonts w:hint="eastAsia" w:hAnsi="宋体" w:cs="宋体"/>
                <w:b/>
                <w:color w:val="auto"/>
                <w:sz w:val="21"/>
                <w:szCs w:val="21"/>
                <w:highlight w:val="none"/>
              </w:rPr>
              <w:t>本项目投标应以人民币报价；</w:t>
            </w:r>
          </w:p>
          <w:p>
            <w:pPr>
              <w:snapToGrid w:val="0"/>
              <w:spacing w:line="460" w:lineRule="exact"/>
              <w:rPr>
                <w:rFonts w:hAnsi="宋体" w:cs="宋体"/>
                <w:b/>
                <w:bCs/>
                <w:color w:val="auto"/>
                <w:sz w:val="21"/>
                <w:szCs w:val="21"/>
                <w:highlight w:val="none"/>
              </w:rPr>
            </w:pPr>
            <w:r>
              <w:rPr>
                <w:rFonts w:hint="eastAsia" w:hAnsi="宋体" w:cs="宋体"/>
                <w:b/>
                <w:bCs/>
                <w:color w:val="auto"/>
                <w:sz w:val="21"/>
                <w:szCs w:val="21"/>
                <w:highlight w:val="none"/>
              </w:rPr>
              <w:t>2.不论投标结果如何，投标人均应自行承担所有与投标有关的全部费用；</w:t>
            </w:r>
          </w:p>
          <w:p>
            <w:pPr>
              <w:snapToGrid w:val="0"/>
              <w:spacing w:line="460" w:lineRule="exact"/>
              <w:rPr>
                <w:rFonts w:hAnsi="宋体" w:cs="宋体"/>
                <w:b/>
                <w:bCs/>
                <w:color w:val="auto"/>
                <w:sz w:val="21"/>
                <w:szCs w:val="21"/>
                <w:highlight w:val="none"/>
              </w:rPr>
            </w:pPr>
            <w:r>
              <w:rPr>
                <w:rFonts w:hint="eastAsia" w:hAnsi="宋体" w:cs="宋体"/>
                <w:b/>
                <w:color w:val="auto"/>
                <w:sz w:val="21"/>
                <w:szCs w:val="21"/>
                <w:highlight w:val="none"/>
              </w:rPr>
              <w:t>3.投标人取得中标资格后，须参照原国家计委的计价格（2002）1980号《关于招标代理服务收费管理暂行办法的通知》文件规定标准的</w:t>
            </w:r>
            <w:r>
              <w:rPr>
                <w:rFonts w:hint="eastAsia" w:hAnsi="宋体" w:cs="宋体"/>
                <w:b/>
                <w:color w:val="auto"/>
                <w:sz w:val="21"/>
                <w:szCs w:val="21"/>
                <w:highlight w:val="none"/>
                <w:lang w:val="en-US" w:eastAsia="zh-CN"/>
              </w:rPr>
              <w:t>50</w:t>
            </w:r>
            <w:r>
              <w:rPr>
                <w:rFonts w:hint="eastAsia" w:hAnsi="宋体" w:cs="宋体"/>
                <w:b/>
                <w:color w:val="auto"/>
                <w:sz w:val="21"/>
                <w:szCs w:val="21"/>
                <w:highlight w:val="none"/>
              </w:rPr>
              <w:t>%向采购代理机构支付代理服务费</w:t>
            </w:r>
            <w:r>
              <w:rPr>
                <w:rFonts w:hint="eastAsia" w:hAnsi="宋体" w:cs="宋体"/>
                <w:b/>
                <w:color w:val="auto"/>
                <w:sz w:val="21"/>
                <w:szCs w:val="21"/>
                <w:highlight w:val="none"/>
                <w:lang w:eastAsia="zh-CN"/>
              </w:rPr>
              <w:t>（以预算金额为计费基数）</w:t>
            </w:r>
            <w:r>
              <w:rPr>
                <w:rFonts w:hint="eastAsia" w:hAnsi="宋体" w:cs="宋体"/>
                <w:b/>
                <w:color w:val="auto"/>
                <w:sz w:val="21"/>
                <w:szCs w:val="21"/>
                <w:highlight w:val="none"/>
              </w:rPr>
              <w:t>，</w:t>
            </w:r>
            <w:r>
              <w:rPr>
                <w:rFonts w:hint="eastAsia" w:hAnsi="宋体" w:cs="宋体"/>
                <w:b/>
                <w:color w:val="auto"/>
                <w:sz w:val="21"/>
                <w:szCs w:val="21"/>
                <w:highlight w:val="none"/>
                <w:lang w:eastAsia="zh-CN"/>
              </w:rPr>
              <w:t>中标供应商</w:t>
            </w:r>
            <w:r>
              <w:rPr>
                <w:rFonts w:hint="eastAsia" w:hAnsi="宋体" w:cs="宋体"/>
                <w:b/>
                <w:color w:val="auto"/>
                <w:sz w:val="21"/>
                <w:szCs w:val="21"/>
                <w:highlight w:val="none"/>
              </w:rPr>
              <w:t>在收到中标通知书的同时向招标代理机构以银行转账等形式支付采购代理服务费：户名：金华市天盈财务咨询有限公司，开户银行：金华银行股份有限公司多湖支行，银行账号：0188990822000064。（汇款用途请注明“采购代理服务费”及项目编号 ：</w:t>
            </w:r>
            <w:r>
              <w:rPr>
                <w:rFonts w:hint="eastAsia" w:hAnsi="宋体" w:cs="宋体"/>
                <w:b/>
                <w:color w:val="auto"/>
                <w:sz w:val="21"/>
                <w:szCs w:val="21"/>
                <w:highlight w:val="none"/>
                <w:lang w:val="en-US" w:eastAsia="zh-CN"/>
              </w:rPr>
              <w:t>284</w:t>
            </w:r>
            <w:r>
              <w:rPr>
                <w:rFonts w:hint="eastAsia" w:hAnsi="宋体" w:cs="宋体"/>
                <w:b/>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88"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3</w:t>
            </w:r>
          </w:p>
        </w:tc>
        <w:tc>
          <w:tcPr>
            <w:tcW w:w="858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60" w:lineRule="exact"/>
              <w:rPr>
                <w:rFonts w:hAnsi="宋体" w:cs="宋体"/>
                <w:color w:val="auto"/>
                <w:sz w:val="21"/>
                <w:szCs w:val="21"/>
                <w:highlight w:val="none"/>
              </w:rPr>
            </w:pPr>
            <w:r>
              <w:rPr>
                <w:rFonts w:hint="eastAsia" w:hAnsi="宋体" w:cs="宋体"/>
                <w:color w:val="auto"/>
                <w:sz w:val="21"/>
                <w:szCs w:val="21"/>
                <w:highlight w:val="none"/>
              </w:rPr>
              <w:t>答疑与澄清：投标人如认为招标文件表述不清晰、存在歧视性、排他性或者其他违法内容的，应当自知道或者应知其权益受到损害之日起七个工作日内，以书面形式要求招标采购单位作出书面解释、澄清或者向招标采购单位提出书面质疑；招标采购单位对已发出的招标文件进行必要澄清、答复、修</w:t>
            </w:r>
            <w:r>
              <w:rPr>
                <w:rFonts w:hint="eastAsia" w:hAnsi="宋体" w:cs="宋体"/>
                <w:color w:val="000000" w:themeColor="text1"/>
                <w:sz w:val="21"/>
                <w:szCs w:val="21"/>
                <w:highlight w:val="none"/>
                <w14:textFill>
                  <w14:solidFill>
                    <w14:schemeClr w14:val="tx1"/>
                  </w14:solidFill>
                </w14:textFill>
              </w:rPr>
              <w:t>改</w:t>
            </w:r>
            <w:r>
              <w:rPr>
                <w:rFonts w:hint="eastAsia" w:hAnsi="宋体" w:cs="宋体"/>
                <w:color w:val="auto"/>
                <w:sz w:val="21"/>
                <w:szCs w:val="21"/>
                <w:highlight w:val="none"/>
              </w:rPr>
              <w:t>或补充的，在财政部门指定的政府采购信息发布媒体上发布更正公告，并以书面形式通知所有招标文件收受人。澄清或者修改的内容可能影响投标文件编制的，应当在投标截止时间至少15日前，以书面形式通知所有获取招标文件的潜在投标人；不足15日的，顺延提交投标文件的截止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88"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4</w:t>
            </w:r>
          </w:p>
        </w:tc>
        <w:tc>
          <w:tcPr>
            <w:tcW w:w="8588"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rPr>
                <w:rFonts w:hAnsi="宋体" w:cs="宋体"/>
                <w:b/>
                <w:bCs/>
                <w:color w:val="auto"/>
                <w:sz w:val="21"/>
                <w:szCs w:val="21"/>
                <w:highlight w:val="none"/>
              </w:rPr>
            </w:pPr>
            <w:r>
              <w:rPr>
                <w:rFonts w:hint="eastAsia" w:hAnsi="宋体" w:cs="宋体"/>
                <w:b/>
                <w:bCs/>
                <w:color w:val="auto"/>
                <w:sz w:val="21"/>
                <w:szCs w:val="21"/>
                <w:highlight w:val="none"/>
              </w:rPr>
              <w:t>政策落实：</w:t>
            </w:r>
          </w:p>
          <w:p>
            <w:pPr>
              <w:widowControl/>
              <w:snapToGrid w:val="0"/>
              <w:spacing w:line="46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1.扶持中小企业（监狱企业、残疾人福利性单位）：</w:t>
            </w:r>
          </w:p>
          <w:p>
            <w:pPr>
              <w:widowControl/>
              <w:snapToGrid w:val="0"/>
              <w:spacing w:line="46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pPr>
              <w:widowControl/>
              <w:snapToGrid w:val="0"/>
              <w:spacing w:line="46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（1）项目预算：</w:t>
            </w:r>
            <w:r>
              <w:rPr>
                <w:rFonts w:hint="eastAsia" w:hAnsi="宋体" w:cs="宋体"/>
                <w:color w:val="auto"/>
                <w:sz w:val="21"/>
                <w:szCs w:val="21"/>
                <w:highlight w:val="none"/>
                <w:u w:val="single"/>
              </w:rPr>
              <w:t xml:space="preserve">  9</w:t>
            </w:r>
            <w:r>
              <w:rPr>
                <w:rFonts w:hint="eastAsia" w:hAnsi="宋体" w:cs="宋体"/>
                <w:color w:val="auto"/>
                <w:sz w:val="21"/>
                <w:szCs w:val="21"/>
                <w:highlight w:val="none"/>
                <w:u w:val="single"/>
                <w:lang w:val="en-US" w:eastAsia="zh-CN"/>
              </w:rPr>
              <w:t>3</w:t>
            </w:r>
            <w:r>
              <w:rPr>
                <w:rFonts w:hint="eastAsia" w:hAnsi="宋体" w:cs="宋体"/>
                <w:color w:val="auto"/>
                <w:sz w:val="21"/>
                <w:szCs w:val="21"/>
                <w:highlight w:val="none"/>
                <w:u w:val="single"/>
              </w:rPr>
              <w:t xml:space="preserve">5 </w:t>
            </w:r>
            <w:r>
              <w:rPr>
                <w:rFonts w:hint="eastAsia" w:hAnsi="宋体" w:cs="宋体"/>
                <w:color w:val="auto"/>
                <w:sz w:val="21"/>
                <w:szCs w:val="21"/>
                <w:highlight w:val="none"/>
              </w:rPr>
              <w:t>万元</w:t>
            </w:r>
          </w:p>
          <w:p>
            <w:pPr>
              <w:widowControl/>
              <w:snapToGrid w:val="0"/>
              <w:spacing w:line="46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（2）项目属性：</w:t>
            </w:r>
            <w:r>
              <w:rPr>
                <w:rFonts w:hint="eastAsia" w:hAnsi="宋体" w:cs="宋体"/>
                <w:color w:val="auto"/>
                <w:sz w:val="21"/>
                <w:szCs w:val="21"/>
                <w:highlight w:val="none"/>
                <w:u w:val="single"/>
              </w:rPr>
              <w:t xml:space="preserve"> ②   </w:t>
            </w:r>
            <w:r>
              <w:rPr>
                <w:rFonts w:hint="eastAsia" w:hAnsi="宋体" w:cs="宋体"/>
                <w:color w:val="auto"/>
                <w:sz w:val="21"/>
                <w:szCs w:val="21"/>
                <w:highlight w:val="none"/>
              </w:rPr>
              <w:t>（①货物类/②服务类/③工程类）</w:t>
            </w:r>
          </w:p>
          <w:p>
            <w:pPr>
              <w:widowControl/>
              <w:snapToGrid w:val="0"/>
              <w:spacing w:line="46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（3）项目对应的中小企业划分标准所属行业：</w:t>
            </w:r>
            <w:r>
              <w:rPr>
                <w:rFonts w:hint="eastAsia" w:hAnsi="宋体" w:cs="宋体"/>
                <w:color w:val="auto"/>
                <w:sz w:val="21"/>
                <w:szCs w:val="21"/>
                <w:highlight w:val="none"/>
                <w:u w:val="single"/>
              </w:rPr>
              <w:t xml:space="preserve">其他未列明行业---科学研究和技术服务业  </w:t>
            </w:r>
            <w:r>
              <w:rPr>
                <w:rFonts w:hint="eastAsia" w:hAnsi="宋体" w:cs="宋体"/>
                <w:color w:val="auto"/>
                <w:sz w:val="21"/>
                <w:szCs w:val="21"/>
                <w:highlight w:val="none"/>
              </w:rPr>
              <w:t>（具体根据《中小企业划型标准规定》执行）</w:t>
            </w:r>
          </w:p>
          <w:p>
            <w:pPr>
              <w:widowControl/>
              <w:snapToGrid w:val="0"/>
              <w:spacing w:line="46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（4）本项目</w:t>
            </w:r>
            <w:r>
              <w:rPr>
                <w:rFonts w:hint="eastAsia" w:hAnsi="宋体" w:cs="宋体"/>
                <w:color w:val="auto"/>
                <w:sz w:val="21"/>
                <w:szCs w:val="21"/>
                <w:highlight w:val="none"/>
                <w:u w:val="single"/>
              </w:rPr>
              <w:t xml:space="preserve">  否  </w:t>
            </w:r>
            <w:r>
              <w:rPr>
                <w:rFonts w:hint="eastAsia" w:hAnsi="宋体" w:cs="宋体"/>
                <w:color w:val="auto"/>
                <w:sz w:val="21"/>
                <w:szCs w:val="21"/>
                <w:highlight w:val="none"/>
              </w:rPr>
              <w:t>（是/否）属于预留份额专门面向中小企业采购的项目。</w:t>
            </w:r>
          </w:p>
          <w:p>
            <w:pPr>
              <w:widowControl/>
              <w:snapToGrid w:val="0"/>
              <w:spacing w:line="46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 xml:space="preserve">（5）对于经主管预算单位统筹后未预留份额专门面向中小企业采购的采购项目，以及预留份额项目中的非预留部分采购包，对小微企业报价给予20%的扣除，用扣除后的价格参加评审。 </w:t>
            </w:r>
          </w:p>
          <w:p>
            <w:pPr>
              <w:widowControl/>
              <w:snapToGrid w:val="0"/>
              <w:spacing w:line="46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2.节能产品、环境标志产品的强制采购政策</w:t>
            </w:r>
          </w:p>
          <w:p>
            <w:pPr>
              <w:widowControl/>
              <w:snapToGrid w:val="0"/>
              <w:spacing w:line="46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（注：本项目不适用。）</w:t>
            </w:r>
          </w:p>
          <w:p>
            <w:pPr>
              <w:widowControl/>
              <w:snapToGrid w:val="0"/>
              <w:spacing w:line="46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3.节能产品、环境标志产品的优先采购政策</w:t>
            </w:r>
          </w:p>
          <w:p>
            <w:pPr>
              <w:snapToGrid w:val="0"/>
              <w:spacing w:line="46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（注：本项目不适用。）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88"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Ansi="宋体" w:cs="宋体"/>
                <w:color w:val="auto"/>
                <w:sz w:val="21"/>
                <w:szCs w:val="21"/>
                <w:highlight w:val="none"/>
              </w:rPr>
            </w:pPr>
            <w:r>
              <w:rPr>
                <w:rFonts w:hint="eastAsia" w:hAnsi="宋体" w:cs="宋体"/>
                <w:color w:val="auto"/>
                <w:sz w:val="21"/>
                <w:szCs w:val="21"/>
                <w:highlight w:val="none"/>
              </w:rPr>
              <w:t>5</w:t>
            </w:r>
          </w:p>
        </w:tc>
        <w:tc>
          <w:tcPr>
            <w:tcW w:w="858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60" w:lineRule="exact"/>
              <w:rPr>
                <w:rFonts w:hAnsi="宋体" w:cs="宋体"/>
                <w:color w:val="auto"/>
                <w:sz w:val="21"/>
                <w:szCs w:val="21"/>
                <w:highlight w:val="none"/>
              </w:rPr>
            </w:pPr>
            <w:r>
              <w:rPr>
                <w:rFonts w:hint="eastAsia" w:hAnsi="宋体" w:cs="宋体"/>
                <w:b/>
                <w:bCs/>
                <w:color w:val="auto"/>
                <w:sz w:val="21"/>
                <w:szCs w:val="21"/>
                <w:highlight w:val="none"/>
              </w:rPr>
              <w:t>信用查询：</w:t>
            </w:r>
          </w:p>
          <w:p>
            <w:pPr>
              <w:snapToGrid w:val="0"/>
              <w:spacing w:line="46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根据《关于在政府采购活动中查询及使用信用记录有关问题的通知》财库[2016]125号的规定：</w:t>
            </w:r>
          </w:p>
          <w:p>
            <w:pPr>
              <w:snapToGrid w:val="0"/>
              <w:spacing w:line="46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（1）</w:t>
            </w:r>
            <w:r>
              <w:rPr>
                <w:rFonts w:hint="eastAsia" w:hAnsi="宋体" w:cs="宋体"/>
                <w:color w:val="auto"/>
                <w:sz w:val="21"/>
                <w:szCs w:val="21"/>
                <w:highlight w:val="none"/>
                <w:lang w:eastAsia="zh-CN"/>
              </w:rPr>
              <w:t>采购</w:t>
            </w:r>
            <w:r>
              <w:rPr>
                <w:rFonts w:hint="eastAsia" w:hAnsi="宋体" w:cs="宋体"/>
                <w:color w:val="auto"/>
                <w:sz w:val="21"/>
                <w:szCs w:val="21"/>
                <w:highlight w:val="none"/>
                <w:lang w:val="en-US" w:eastAsia="zh-CN"/>
              </w:rPr>
              <w:t>人</w:t>
            </w:r>
            <w:r>
              <w:rPr>
                <w:rFonts w:hint="eastAsia" w:hAnsi="宋体" w:cs="宋体"/>
                <w:color w:val="auto"/>
                <w:sz w:val="21"/>
                <w:szCs w:val="21"/>
                <w:highlight w:val="none"/>
              </w:rPr>
              <w:t>或采购代理机构将对本项目供应商的信用记录进行查询。查询渠道为信用中国网站（www.creditchina.gov.cn）、中国政府采购网（www.ccgp.gov.cn）；</w:t>
            </w:r>
          </w:p>
          <w:p>
            <w:pPr>
              <w:snapToGrid w:val="0"/>
              <w:spacing w:line="46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（2）截止时点：提交投标文件（响应文件）截止时间前3年内；</w:t>
            </w:r>
          </w:p>
          <w:p>
            <w:pPr>
              <w:snapToGrid w:val="0"/>
              <w:spacing w:line="46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（3）查询记录和证据的留存：信用信息查询记录和证据以网页截图等方式留存。</w:t>
            </w:r>
          </w:p>
          <w:p>
            <w:pPr>
              <w:snapToGrid w:val="0"/>
              <w:spacing w:line="46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（4）使用规则：被列入失信被执行人、重大税收违法案件当事人名单、政府采购严重违法失信行为记录名单及其它不符合《中华人民共和国政府采购法》第二十二条规定条件的，其投标将被拒绝。</w:t>
            </w:r>
          </w:p>
          <w:p>
            <w:pPr>
              <w:snapToGrid w:val="0"/>
              <w:spacing w:line="46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（5）联合体成员任意一方存在不良信用记录的，视同联合体存在不良信用记录。（本项目不接受联合体）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88"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Ansi="宋体" w:cs="宋体"/>
                <w:color w:val="auto"/>
                <w:sz w:val="21"/>
                <w:szCs w:val="21"/>
                <w:highlight w:val="none"/>
              </w:rPr>
            </w:pPr>
            <w:r>
              <w:rPr>
                <w:rFonts w:hint="eastAsia" w:hAnsi="宋体" w:cs="宋体"/>
                <w:color w:val="auto"/>
                <w:sz w:val="21"/>
                <w:szCs w:val="21"/>
                <w:highlight w:val="none"/>
              </w:rPr>
              <w:t>6</w:t>
            </w:r>
          </w:p>
        </w:tc>
        <w:tc>
          <w:tcPr>
            <w:tcW w:w="2503"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rPr>
                <w:rFonts w:hAnsi="宋体" w:cs="宋体"/>
                <w:color w:val="auto"/>
                <w:sz w:val="21"/>
                <w:szCs w:val="21"/>
                <w:highlight w:val="none"/>
              </w:rPr>
            </w:pPr>
            <w:r>
              <w:rPr>
                <w:rFonts w:hint="eastAsia" w:hAnsi="宋体" w:cs="宋体"/>
                <w:snapToGrid w:val="0"/>
                <w:color w:val="auto"/>
                <w:sz w:val="21"/>
                <w:szCs w:val="21"/>
                <w:highlight w:val="none"/>
              </w:rPr>
              <w:t>本项目对应的中小企业划分标准所属行业</w:t>
            </w:r>
          </w:p>
        </w:tc>
        <w:tc>
          <w:tcPr>
            <w:tcW w:w="6085"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rPr>
                <w:rFonts w:hAnsi="宋体" w:cs="宋体"/>
                <w:color w:val="auto"/>
                <w:sz w:val="21"/>
                <w:szCs w:val="21"/>
                <w:highlight w:val="none"/>
              </w:rPr>
            </w:pPr>
            <w:r>
              <w:rPr>
                <w:rFonts w:hint="eastAsia" w:hAnsi="宋体" w:cs="宋体"/>
                <w:color w:val="auto"/>
                <w:sz w:val="21"/>
                <w:szCs w:val="21"/>
                <w:highlight w:val="none"/>
              </w:rPr>
              <w:t>根据《关于印发中小企业划型标准规定的通知》（工信部联企业〔2011〕300号），本项目</w:t>
            </w:r>
            <w:r>
              <w:rPr>
                <w:rFonts w:hint="eastAsia" w:hAnsi="宋体" w:cs="宋体"/>
                <w:snapToGrid w:val="0"/>
                <w:color w:val="auto"/>
                <w:sz w:val="21"/>
                <w:szCs w:val="21"/>
                <w:highlight w:val="none"/>
              </w:rPr>
              <w:t>对应的中小企业</w:t>
            </w:r>
            <w:r>
              <w:rPr>
                <w:rFonts w:hint="eastAsia" w:hAnsi="宋体" w:cs="宋体"/>
                <w:color w:val="auto"/>
                <w:sz w:val="21"/>
                <w:szCs w:val="21"/>
                <w:highlight w:val="none"/>
              </w:rPr>
              <w:t>按所属行业为“</w:t>
            </w:r>
            <w:r>
              <w:rPr>
                <w:rFonts w:hint="eastAsia" w:hAnsi="宋体" w:cs="宋体"/>
                <w:color w:val="auto"/>
                <w:sz w:val="21"/>
                <w:szCs w:val="21"/>
                <w:highlight w:val="none"/>
                <w:u w:val="single"/>
              </w:rPr>
              <w:t>其他未列明行业---科学研究和技术服务业</w:t>
            </w:r>
            <w:r>
              <w:rPr>
                <w:rFonts w:hint="eastAsia" w:hAnsi="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88"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Ansi="宋体" w:cs="宋体"/>
                <w:color w:val="auto"/>
                <w:sz w:val="21"/>
                <w:szCs w:val="21"/>
                <w:highlight w:val="none"/>
              </w:rPr>
            </w:pPr>
            <w:r>
              <w:rPr>
                <w:rFonts w:hint="eastAsia" w:hAnsi="宋体" w:cs="宋体"/>
                <w:color w:val="auto"/>
                <w:sz w:val="21"/>
                <w:szCs w:val="21"/>
                <w:highlight w:val="none"/>
              </w:rPr>
              <w:t>7</w:t>
            </w:r>
          </w:p>
        </w:tc>
        <w:tc>
          <w:tcPr>
            <w:tcW w:w="2503"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rPr>
                <w:rFonts w:hAnsi="宋体" w:cs="宋体"/>
                <w:color w:val="auto"/>
                <w:sz w:val="21"/>
                <w:szCs w:val="21"/>
                <w:highlight w:val="none"/>
              </w:rPr>
            </w:pPr>
            <w:r>
              <w:rPr>
                <w:rFonts w:hint="eastAsia" w:hAnsi="宋体" w:cs="宋体"/>
                <w:snapToGrid w:val="0"/>
                <w:color w:val="auto"/>
                <w:sz w:val="21"/>
                <w:szCs w:val="21"/>
                <w:highlight w:val="none"/>
              </w:rPr>
              <w:t>节能产品</w:t>
            </w:r>
          </w:p>
        </w:tc>
        <w:tc>
          <w:tcPr>
            <w:tcW w:w="6085"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rPr>
                <w:rFonts w:hAnsi="宋体" w:cs="宋体"/>
                <w:color w:val="auto"/>
                <w:sz w:val="21"/>
                <w:szCs w:val="21"/>
                <w:highlight w:val="none"/>
              </w:rPr>
            </w:pPr>
            <w:r>
              <w:rPr>
                <w:rFonts w:hint="eastAsia" w:hAnsi="宋体" w:cs="宋体"/>
                <w:color w:val="auto"/>
                <w:kern w:val="2"/>
                <w:sz w:val="21"/>
                <w:highlight w:val="none"/>
              </w:rPr>
              <w:t>□</w:t>
            </w:r>
            <w:r>
              <w:rPr>
                <w:rFonts w:hint="eastAsia" w:hAnsi="宋体" w:cs="宋体"/>
                <w:color w:val="auto"/>
                <w:sz w:val="21"/>
                <w:szCs w:val="21"/>
                <w:highlight w:val="none"/>
              </w:rPr>
              <w:t xml:space="preserve"> 强制采购节能产品</w:t>
            </w:r>
          </w:p>
          <w:p>
            <w:pPr>
              <w:pStyle w:val="109"/>
              <w:adjustRightInd w:val="0"/>
              <w:snapToGrid w:val="0"/>
              <w:spacing w:line="460" w:lineRule="exact"/>
              <w:jc w:val="left"/>
              <w:rPr>
                <w:rFonts w:hAnsi="宋体" w:cs="宋体"/>
                <w:color w:val="auto"/>
                <w:kern w:val="2"/>
                <w:sz w:val="21"/>
                <w:highlight w:val="none"/>
              </w:rPr>
            </w:pPr>
            <w:r>
              <w:rPr>
                <w:rFonts w:hint="eastAsia" w:hAnsi="宋体" w:cs="宋体"/>
                <w:color w:val="auto"/>
                <w:kern w:val="2"/>
                <w:sz w:val="21"/>
                <w:highlight w:val="none"/>
              </w:rPr>
              <w:t>□ 优先采购节能产品</w:t>
            </w:r>
          </w:p>
          <w:p>
            <w:pPr>
              <w:snapToGrid w:val="0"/>
              <w:spacing w:line="460" w:lineRule="exact"/>
              <w:rPr>
                <w:rFonts w:hAnsi="宋体" w:cs="宋体"/>
                <w:color w:val="auto"/>
                <w:sz w:val="21"/>
                <w:szCs w:val="21"/>
                <w:highlight w:val="none"/>
              </w:rPr>
            </w:pPr>
            <w:r>
              <w:rPr>
                <w:rFonts w:hint="eastAsia" w:hAnsi="宋体" w:cs="宋体"/>
                <w:color w:val="auto"/>
                <w:kern w:val="2"/>
                <w:sz w:val="21"/>
                <w:szCs w:val="21"/>
                <w:highlight w:val="none"/>
              </w:rPr>
              <w:sym w:font="Wingdings" w:char="00FE"/>
            </w:r>
            <w:r>
              <w:rPr>
                <w:rFonts w:hint="eastAsia" w:hAnsi="宋体" w:cs="宋体"/>
                <w:color w:val="auto"/>
                <w:kern w:val="2"/>
                <w:sz w:val="21"/>
                <w:szCs w:val="21"/>
                <w:highlight w:val="none"/>
              </w:rPr>
              <w:t xml:space="preserve"> 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88"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Ansi="宋体" w:cs="宋体"/>
                <w:color w:val="auto"/>
                <w:sz w:val="21"/>
                <w:szCs w:val="21"/>
                <w:highlight w:val="none"/>
              </w:rPr>
            </w:pPr>
            <w:r>
              <w:rPr>
                <w:rFonts w:hint="eastAsia" w:hAnsi="宋体" w:cs="宋体"/>
                <w:color w:val="auto"/>
                <w:sz w:val="21"/>
                <w:szCs w:val="21"/>
                <w:highlight w:val="none"/>
              </w:rPr>
              <w:t>8</w:t>
            </w:r>
          </w:p>
        </w:tc>
        <w:tc>
          <w:tcPr>
            <w:tcW w:w="2503"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rPr>
                <w:rFonts w:hAnsi="宋体" w:cs="宋体"/>
                <w:color w:val="auto"/>
                <w:sz w:val="21"/>
                <w:szCs w:val="21"/>
                <w:highlight w:val="none"/>
              </w:rPr>
            </w:pPr>
            <w:r>
              <w:rPr>
                <w:rFonts w:hint="eastAsia" w:hAnsi="宋体" w:cs="宋体"/>
                <w:snapToGrid w:val="0"/>
                <w:color w:val="auto"/>
                <w:sz w:val="21"/>
                <w:szCs w:val="21"/>
                <w:highlight w:val="none"/>
              </w:rPr>
              <w:t>环境标志产品</w:t>
            </w:r>
          </w:p>
        </w:tc>
        <w:tc>
          <w:tcPr>
            <w:tcW w:w="6085" w:type="dxa"/>
            <w:tcBorders>
              <w:top w:val="single" w:color="auto" w:sz="4" w:space="0"/>
              <w:left w:val="single" w:color="auto" w:sz="4" w:space="0"/>
              <w:bottom w:val="single" w:color="auto" w:sz="4" w:space="0"/>
              <w:right w:val="single" w:color="auto" w:sz="4" w:space="0"/>
            </w:tcBorders>
            <w:vAlign w:val="center"/>
          </w:tcPr>
          <w:p>
            <w:pPr>
              <w:pStyle w:val="109"/>
              <w:adjustRightInd w:val="0"/>
              <w:snapToGrid w:val="0"/>
              <w:spacing w:line="460" w:lineRule="exact"/>
              <w:jc w:val="left"/>
              <w:rPr>
                <w:rFonts w:hAnsi="宋体" w:cs="宋体"/>
                <w:color w:val="auto"/>
                <w:kern w:val="2"/>
                <w:sz w:val="21"/>
                <w:highlight w:val="none"/>
              </w:rPr>
            </w:pPr>
            <w:r>
              <w:rPr>
                <w:rFonts w:hint="eastAsia" w:hAnsi="宋体" w:cs="宋体"/>
                <w:color w:val="auto"/>
                <w:kern w:val="2"/>
                <w:sz w:val="21"/>
                <w:highlight w:val="none"/>
              </w:rPr>
              <w:t>□ 优先采购环境标志产品</w:t>
            </w:r>
          </w:p>
          <w:p>
            <w:pPr>
              <w:snapToGrid w:val="0"/>
              <w:spacing w:line="460" w:lineRule="exact"/>
              <w:rPr>
                <w:rFonts w:hAnsi="宋体" w:cs="宋体"/>
                <w:color w:val="auto"/>
                <w:sz w:val="21"/>
                <w:szCs w:val="21"/>
                <w:highlight w:val="none"/>
              </w:rPr>
            </w:pPr>
            <w:r>
              <w:rPr>
                <w:rFonts w:hint="eastAsia" w:hAnsi="宋体" w:cs="宋体"/>
                <w:color w:val="auto"/>
                <w:sz w:val="21"/>
                <w:szCs w:val="21"/>
                <w:highlight w:val="none"/>
              </w:rPr>
              <w:sym w:font="Wingdings" w:char="00FE"/>
            </w:r>
            <w:r>
              <w:rPr>
                <w:rFonts w:hint="eastAsia" w:hAnsi="宋体" w:cs="宋体"/>
                <w:color w:val="auto"/>
                <w:sz w:val="21"/>
                <w:szCs w:val="21"/>
                <w:highlight w:val="none"/>
              </w:rPr>
              <w:t xml:space="preserve"> 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88"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9</w:t>
            </w:r>
          </w:p>
        </w:tc>
        <w:tc>
          <w:tcPr>
            <w:tcW w:w="858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hAnsi="宋体" w:cs="宋体"/>
                <w:color w:val="auto"/>
                <w:sz w:val="21"/>
                <w:szCs w:val="21"/>
                <w:highlight w:val="none"/>
              </w:rPr>
            </w:pPr>
            <w:r>
              <w:rPr>
                <w:rFonts w:hint="eastAsia" w:hAnsi="宋体" w:cs="宋体"/>
                <w:color w:val="auto"/>
                <w:sz w:val="21"/>
                <w:szCs w:val="21"/>
                <w:highlight w:val="none"/>
              </w:rPr>
              <w:t>投标文件的递交：</w:t>
            </w:r>
          </w:p>
          <w:p>
            <w:pPr>
              <w:snapToGrid w:val="0"/>
              <w:spacing w:line="440" w:lineRule="exact"/>
              <w:rPr>
                <w:rFonts w:hAnsi="宋体" w:cs="宋体"/>
                <w:color w:val="auto"/>
                <w:sz w:val="21"/>
                <w:szCs w:val="21"/>
                <w:highlight w:val="none"/>
              </w:rPr>
            </w:pPr>
            <w:r>
              <w:rPr>
                <w:rFonts w:hint="eastAsia" w:hAnsi="宋体" w:cs="宋体"/>
                <w:color w:val="auto"/>
                <w:sz w:val="21"/>
                <w:szCs w:val="21"/>
                <w:highlight w:val="none"/>
              </w:rPr>
              <w:t>本项目投标文件分资格文件、商务技术文件、报价文件 三部分。投标人应以以下方式递交投标文件：</w:t>
            </w:r>
          </w:p>
          <w:p>
            <w:pPr>
              <w:spacing w:line="440" w:lineRule="exact"/>
              <w:rPr>
                <w:rFonts w:hAnsi="宋体" w:cs="宋体"/>
                <w:color w:val="auto"/>
                <w:sz w:val="21"/>
                <w:szCs w:val="21"/>
                <w:highlight w:val="none"/>
              </w:rPr>
            </w:pPr>
            <w:r>
              <w:rPr>
                <w:rFonts w:hint="eastAsia" w:hAnsi="宋体" w:cs="宋体"/>
                <w:color w:val="auto"/>
                <w:sz w:val="21"/>
                <w:szCs w:val="21"/>
                <w:highlight w:val="none"/>
              </w:rPr>
              <w:t>★1.本项目实行“网上电子投标、电子评标”，投标人应于投标截止时间前在“政采云”（ 电子交易客户端）上传输、递交电子版投标文件（包括资格文件、商务技术文件和报价文件）；</w:t>
            </w:r>
          </w:p>
          <w:p>
            <w:pPr>
              <w:spacing w:line="440" w:lineRule="exact"/>
              <w:rPr>
                <w:rFonts w:hAnsi="宋体" w:cs="宋体"/>
                <w:color w:val="auto"/>
                <w:sz w:val="21"/>
                <w:szCs w:val="21"/>
                <w:highlight w:val="none"/>
              </w:rPr>
            </w:pPr>
            <w:r>
              <w:rPr>
                <w:rFonts w:hint="eastAsia" w:hAnsi="宋体" w:cs="宋体"/>
                <w:color w:val="auto"/>
                <w:sz w:val="21"/>
                <w:szCs w:val="21"/>
                <w:highlight w:val="none"/>
              </w:rPr>
              <w:t>2.本招标文件所涉及的法定代表人或其授权代表签字或盖章的内容，如果投标人没有法定代表人电子签章，涉及到法定代表人或其授权代表签字或盖章的内容，投标人可以线下签字或盖章后扫描上传。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88"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Ansi="宋体" w:cs="宋体"/>
                <w:color w:val="auto"/>
                <w:sz w:val="21"/>
                <w:szCs w:val="21"/>
                <w:highlight w:val="none"/>
              </w:rPr>
            </w:pPr>
            <w:r>
              <w:rPr>
                <w:rFonts w:hint="eastAsia" w:hAnsi="宋体" w:cs="宋体"/>
                <w:color w:val="auto"/>
                <w:sz w:val="21"/>
                <w:szCs w:val="21"/>
                <w:highlight w:val="none"/>
              </w:rPr>
              <w:t>10</w:t>
            </w:r>
          </w:p>
        </w:tc>
        <w:tc>
          <w:tcPr>
            <w:tcW w:w="858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hAnsi="宋体" w:cs="宋体"/>
                <w:color w:val="auto"/>
                <w:sz w:val="21"/>
                <w:szCs w:val="21"/>
                <w:highlight w:val="none"/>
              </w:rPr>
            </w:pPr>
            <w:r>
              <w:rPr>
                <w:rFonts w:hint="eastAsia" w:hAnsi="宋体" w:cs="宋体"/>
                <w:color w:val="auto"/>
                <w:sz w:val="21"/>
                <w:szCs w:val="21"/>
                <w:highlight w:val="none"/>
              </w:rPr>
              <w:t>投标截止时间及地点：</w:t>
            </w:r>
          </w:p>
          <w:p>
            <w:pPr>
              <w:snapToGrid w:val="0"/>
              <w:spacing w:line="440" w:lineRule="exact"/>
              <w:rPr>
                <w:rFonts w:hAnsi="宋体" w:cs="宋体"/>
                <w:bCs/>
                <w:color w:val="auto"/>
                <w:sz w:val="21"/>
                <w:szCs w:val="21"/>
                <w:highlight w:val="none"/>
              </w:rPr>
            </w:pPr>
            <w:r>
              <w:rPr>
                <w:rFonts w:hint="eastAsia" w:hAnsi="宋体" w:cs="宋体"/>
                <w:color w:val="auto"/>
                <w:sz w:val="21"/>
                <w:szCs w:val="21"/>
                <w:highlight w:val="none"/>
              </w:rPr>
              <w:t>投标人应当在投标截止时间前在“政采云”（电子交易平台）上自行上传加密的电子投标（响应）文件。投标截止时间后递交的电子投标（响应）文件，将被政采云平台拒收。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88"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Ansi="宋体" w:cs="宋体"/>
                <w:color w:val="auto"/>
                <w:sz w:val="21"/>
                <w:szCs w:val="21"/>
                <w:highlight w:val="none"/>
              </w:rPr>
            </w:pPr>
            <w:r>
              <w:rPr>
                <w:rFonts w:hint="eastAsia" w:hAnsi="宋体" w:cs="宋体"/>
                <w:color w:val="auto"/>
                <w:sz w:val="21"/>
                <w:szCs w:val="21"/>
                <w:highlight w:val="none"/>
              </w:rPr>
              <w:t>11</w:t>
            </w:r>
          </w:p>
        </w:tc>
        <w:tc>
          <w:tcPr>
            <w:tcW w:w="858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both"/>
              <w:textAlignment w:val="bottom"/>
              <w:rPr>
                <w:rFonts w:hAnsi="宋体" w:cs="宋体"/>
                <w:color w:val="auto"/>
                <w:sz w:val="21"/>
                <w:szCs w:val="21"/>
                <w:highlight w:val="none"/>
              </w:rPr>
            </w:pPr>
            <w:r>
              <w:rPr>
                <w:rFonts w:hint="eastAsia" w:hAnsi="宋体" w:cs="宋体"/>
                <w:color w:val="auto"/>
                <w:sz w:val="21"/>
                <w:szCs w:val="21"/>
                <w:highlight w:val="none"/>
              </w:rPr>
              <w:t xml:space="preserve">开标时间及地点：2022年 </w:t>
            </w:r>
            <w:r>
              <w:rPr>
                <w:rFonts w:hint="eastAsia" w:hAnsi="宋体" w:cs="宋体"/>
                <w:color w:val="auto"/>
                <w:sz w:val="21"/>
                <w:szCs w:val="21"/>
                <w:highlight w:val="none"/>
                <w:lang w:val="en-US" w:eastAsia="zh-CN"/>
              </w:rPr>
              <w:t>10</w:t>
            </w:r>
            <w:r>
              <w:rPr>
                <w:rFonts w:hint="eastAsia" w:hAnsi="宋体" w:cs="宋体"/>
                <w:color w:val="auto"/>
                <w:sz w:val="21"/>
                <w:szCs w:val="21"/>
                <w:highlight w:val="none"/>
              </w:rPr>
              <w:t xml:space="preserve"> 月</w:t>
            </w:r>
            <w:r>
              <w:rPr>
                <w:rFonts w:hint="eastAsia" w:hAnsi="宋体" w:cs="宋体"/>
                <w:color w:val="auto"/>
                <w:sz w:val="21"/>
                <w:szCs w:val="21"/>
                <w:highlight w:val="none"/>
                <w:lang w:val="en-US" w:eastAsia="zh-CN"/>
              </w:rPr>
              <w:t>21</w:t>
            </w:r>
            <w:r>
              <w:rPr>
                <w:rFonts w:hint="eastAsia" w:hAnsi="宋体" w:cs="宋体"/>
                <w:color w:val="auto"/>
                <w:sz w:val="21"/>
                <w:szCs w:val="21"/>
                <w:highlight w:val="none"/>
              </w:rPr>
              <w:t xml:space="preserve"> 日</w:t>
            </w:r>
            <w:r>
              <w:rPr>
                <w:rFonts w:hint="eastAsia" w:hAnsi="宋体" w:cs="宋体"/>
                <w:color w:val="auto"/>
                <w:sz w:val="21"/>
                <w:szCs w:val="21"/>
                <w:highlight w:val="none"/>
                <w:lang w:val="en-US" w:eastAsia="zh-CN"/>
              </w:rPr>
              <w:t>09</w:t>
            </w:r>
            <w:r>
              <w:rPr>
                <w:rFonts w:hint="eastAsia" w:hAnsi="宋体" w:cs="宋体"/>
                <w:color w:val="auto"/>
                <w:sz w:val="21"/>
                <w:szCs w:val="21"/>
                <w:highlight w:val="none"/>
              </w:rPr>
              <w:t>：</w:t>
            </w:r>
            <w:r>
              <w:rPr>
                <w:rFonts w:hint="eastAsia" w:hAnsi="宋体" w:cs="宋体"/>
                <w:color w:val="auto"/>
                <w:sz w:val="21"/>
                <w:szCs w:val="21"/>
                <w:highlight w:val="none"/>
                <w:lang w:val="en-US" w:eastAsia="zh-CN"/>
              </w:rPr>
              <w:t>3</w:t>
            </w:r>
            <w:r>
              <w:rPr>
                <w:rFonts w:hint="eastAsia" w:hAnsi="宋体" w:cs="宋体"/>
                <w:color w:val="auto"/>
                <w:sz w:val="21"/>
                <w:szCs w:val="21"/>
                <w:highlight w:val="none"/>
              </w:rPr>
              <w:t>0 时，金华市双龙南街858号金华财富大厦（金华市行政服务中心新办事大厅4楼开标</w:t>
            </w:r>
            <w:r>
              <w:rPr>
                <w:rFonts w:hint="eastAsia" w:hAnsi="宋体" w:cs="宋体"/>
                <w:color w:val="auto"/>
                <w:sz w:val="21"/>
                <w:szCs w:val="21"/>
                <w:highlight w:val="none"/>
                <w:lang w:val="en-US" w:eastAsia="zh-CN"/>
              </w:rPr>
              <w:t>1</w:t>
            </w:r>
            <w:r>
              <w:rPr>
                <w:rFonts w:hint="eastAsia" w:hAnsi="宋体" w:cs="宋体"/>
                <w:color w:val="auto"/>
                <w:sz w:val="21"/>
                <w:szCs w:val="21"/>
                <w:highlight w:val="none"/>
              </w:rPr>
              <w:t xml:space="preserve"> 室）</w:t>
            </w:r>
          </w:p>
          <w:p>
            <w:pPr>
              <w:snapToGrid w:val="0"/>
              <w:spacing w:line="440" w:lineRule="exact"/>
              <w:jc w:val="both"/>
              <w:textAlignment w:val="bottom"/>
              <w:rPr>
                <w:rFonts w:hAnsi="宋体" w:cs="宋体"/>
                <w:bCs/>
                <w:color w:val="auto"/>
                <w:sz w:val="21"/>
                <w:szCs w:val="21"/>
                <w:highlight w:val="none"/>
              </w:rPr>
            </w:pPr>
            <w:r>
              <w:rPr>
                <w:rFonts w:hint="eastAsia" w:hAnsi="宋体" w:cs="宋体"/>
                <w:color w:val="auto"/>
                <w:sz w:val="21"/>
                <w:szCs w:val="21"/>
                <w:highlight w:val="none"/>
              </w:rPr>
              <w:t>截止开标时间，政采云（电子交易平台）自动提取所有投标文件，投标人须在解密时限内完成解密，解密时限为30分钟，投标人在规定的时间内都已解密完成，则系统自动结束解密，采购代理机构开启投标文件；除另有规定外，投标人未能在约定的解密时限内完成解密的，系统将默认其自动放弃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788"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12</w:t>
            </w:r>
          </w:p>
        </w:tc>
        <w:tc>
          <w:tcPr>
            <w:tcW w:w="858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60" w:lineRule="exact"/>
              <w:textAlignment w:val="bottom"/>
              <w:rPr>
                <w:rFonts w:hAnsi="宋体" w:cs="宋体"/>
                <w:color w:val="auto"/>
                <w:sz w:val="21"/>
                <w:szCs w:val="21"/>
                <w:highlight w:val="none"/>
              </w:rPr>
            </w:pPr>
            <w:r>
              <w:rPr>
                <w:rFonts w:hint="eastAsia" w:hAnsi="宋体" w:cs="宋体"/>
                <w:color w:val="auto"/>
                <w:sz w:val="21"/>
                <w:szCs w:val="21"/>
                <w:highlight w:val="none"/>
              </w:rPr>
              <w:t>评标办法：综合评分法。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88"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13</w:t>
            </w:r>
          </w:p>
        </w:tc>
        <w:tc>
          <w:tcPr>
            <w:tcW w:w="858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60" w:lineRule="exact"/>
              <w:textAlignment w:val="bottom"/>
              <w:rPr>
                <w:rFonts w:hAnsi="宋体" w:cs="宋体"/>
                <w:color w:val="auto"/>
                <w:sz w:val="21"/>
                <w:szCs w:val="21"/>
                <w:highlight w:val="none"/>
              </w:rPr>
            </w:pPr>
            <w:r>
              <w:rPr>
                <w:rFonts w:hint="eastAsia" w:hAnsi="宋体" w:cs="宋体"/>
                <w:color w:val="auto"/>
                <w:sz w:val="21"/>
                <w:szCs w:val="21"/>
                <w:highlight w:val="none"/>
              </w:rPr>
              <w:t>结果公示：结果公示于浙江政府采购网(</w:t>
            </w:r>
            <w:r>
              <w:rPr>
                <w:color w:val="auto"/>
                <w:highlight w:val="none"/>
              </w:rPr>
              <w:fldChar w:fldCharType="begin"/>
            </w:r>
            <w:r>
              <w:rPr>
                <w:color w:val="auto"/>
                <w:highlight w:val="none"/>
              </w:rPr>
              <w:instrText xml:space="preserve"> HYPERLINK "http://www.zjzfcg.gov.cn/" </w:instrText>
            </w:r>
            <w:r>
              <w:rPr>
                <w:color w:val="auto"/>
                <w:highlight w:val="none"/>
              </w:rPr>
              <w:fldChar w:fldCharType="separate"/>
            </w:r>
            <w:r>
              <w:rPr>
                <w:rFonts w:hint="eastAsia" w:hAnsi="宋体" w:cs="宋体"/>
                <w:color w:val="auto"/>
                <w:sz w:val="21"/>
                <w:szCs w:val="21"/>
                <w:highlight w:val="none"/>
              </w:rPr>
              <w:t>http://zfcg.czt.zj.gov.cn/</w:t>
            </w:r>
            <w:r>
              <w:rPr>
                <w:rFonts w:hint="eastAsia" w:hAnsi="宋体" w:cs="宋体"/>
                <w:color w:val="auto"/>
                <w:sz w:val="21"/>
                <w:szCs w:val="21"/>
                <w:highlight w:val="none"/>
              </w:rPr>
              <w:fldChar w:fldCharType="end"/>
            </w:r>
            <w:r>
              <w:rPr>
                <w:rFonts w:hint="eastAsia" w:hAnsi="宋体" w:cs="宋体"/>
                <w:color w:val="auto"/>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88"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14</w:t>
            </w:r>
          </w:p>
        </w:tc>
        <w:tc>
          <w:tcPr>
            <w:tcW w:w="858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60" w:lineRule="exact"/>
              <w:textAlignment w:val="bottom"/>
              <w:rPr>
                <w:rFonts w:hAnsi="宋体" w:cs="宋体"/>
                <w:color w:val="auto"/>
                <w:sz w:val="21"/>
                <w:szCs w:val="21"/>
                <w:highlight w:val="none"/>
              </w:rPr>
            </w:pPr>
            <w:r>
              <w:rPr>
                <w:rFonts w:hint="eastAsia" w:hAnsi="宋体" w:cs="宋体"/>
                <w:color w:val="auto"/>
                <w:sz w:val="21"/>
                <w:szCs w:val="21"/>
                <w:highlight w:val="none"/>
              </w:rPr>
              <w:t>签订合同时间：中标通知书发出后20日内。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8" w:hRule="atLeast"/>
        </w:trPr>
        <w:tc>
          <w:tcPr>
            <w:tcW w:w="788"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15</w:t>
            </w:r>
          </w:p>
        </w:tc>
        <w:tc>
          <w:tcPr>
            <w:tcW w:w="858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60" w:lineRule="exact"/>
              <w:textAlignment w:val="bottom"/>
              <w:rPr>
                <w:rFonts w:hAnsi="宋体" w:cs="宋体"/>
                <w:color w:val="auto"/>
                <w:sz w:val="21"/>
                <w:szCs w:val="21"/>
                <w:highlight w:val="none"/>
              </w:rPr>
            </w:pPr>
            <w:r>
              <w:rPr>
                <w:rFonts w:hint="eastAsia" w:hAnsi="宋体" w:cs="宋体"/>
                <w:b/>
                <w:color w:val="auto"/>
                <w:sz w:val="21"/>
                <w:szCs w:val="21"/>
                <w:highlight w:val="none"/>
              </w:rPr>
              <w:t xml:space="preserve">履约保证金的收取及退还: </w:t>
            </w:r>
          </w:p>
          <w:p>
            <w:pPr>
              <w:widowControl/>
              <w:autoSpaceDE/>
              <w:autoSpaceDN/>
              <w:spacing w:line="460" w:lineRule="exact"/>
              <w:rPr>
                <w:rFonts w:hAnsi="宋体" w:cs="宋体"/>
                <w:b/>
                <w:color w:val="auto"/>
                <w:sz w:val="21"/>
                <w:szCs w:val="21"/>
                <w:highlight w:val="none"/>
              </w:rPr>
            </w:pPr>
            <w:r>
              <w:rPr>
                <w:rFonts w:hint="eastAsia" w:hAnsi="宋体" w:cs="宋体"/>
                <w:b/>
                <w:color w:val="auto"/>
                <w:sz w:val="21"/>
                <w:szCs w:val="21"/>
                <w:highlight w:val="none"/>
              </w:rPr>
              <w:t>1.</w:t>
            </w:r>
            <w:r>
              <w:rPr>
                <w:rFonts w:hint="eastAsia" w:hAnsi="宋体" w:cs="宋体"/>
                <w:b/>
                <w:color w:val="auto"/>
                <w:sz w:val="21"/>
                <w:szCs w:val="21"/>
                <w:highlight w:val="none"/>
                <w:lang w:eastAsia="zh-CN"/>
              </w:rPr>
              <w:t>中标供应商</w:t>
            </w:r>
            <w:r>
              <w:rPr>
                <w:rFonts w:hint="eastAsia" w:hAnsi="宋体" w:cs="宋体"/>
                <w:b/>
                <w:color w:val="auto"/>
                <w:sz w:val="21"/>
                <w:szCs w:val="21"/>
                <w:highlight w:val="none"/>
              </w:rPr>
              <w:t>必须在合同签订</w:t>
            </w:r>
            <w:r>
              <w:rPr>
                <w:rFonts w:hint="eastAsia" w:hAnsi="宋体" w:cs="宋体"/>
                <w:b/>
                <w:color w:val="auto"/>
                <w:sz w:val="21"/>
                <w:szCs w:val="21"/>
                <w:highlight w:val="none"/>
                <w:lang w:val="en-US" w:eastAsia="zh-CN"/>
              </w:rPr>
              <w:t>时</w:t>
            </w:r>
            <w:r>
              <w:rPr>
                <w:rFonts w:hint="eastAsia" w:hAnsi="宋体" w:cs="宋体"/>
                <w:b/>
                <w:color w:val="auto"/>
                <w:sz w:val="21"/>
                <w:szCs w:val="21"/>
                <w:highlight w:val="none"/>
              </w:rPr>
              <w:t>向</w:t>
            </w:r>
            <w:r>
              <w:rPr>
                <w:rFonts w:hint="eastAsia" w:hAnsi="宋体" w:cs="宋体"/>
                <w:b/>
                <w:color w:val="auto"/>
                <w:sz w:val="21"/>
                <w:szCs w:val="21"/>
                <w:highlight w:val="none"/>
                <w:lang w:eastAsia="zh-CN"/>
              </w:rPr>
              <w:t>采购单位</w:t>
            </w:r>
            <w:r>
              <w:rPr>
                <w:rFonts w:hint="eastAsia" w:hAnsi="宋体" w:cs="宋体"/>
                <w:b/>
                <w:color w:val="auto"/>
                <w:sz w:val="21"/>
                <w:szCs w:val="21"/>
                <w:highlight w:val="none"/>
              </w:rPr>
              <w:t>缴纳</w:t>
            </w:r>
            <w:r>
              <w:rPr>
                <w:rFonts w:hint="eastAsia" w:hAnsi="宋体" w:cs="宋体"/>
                <w:b/>
                <w:color w:val="auto"/>
                <w:sz w:val="21"/>
                <w:szCs w:val="21"/>
                <w:highlight w:val="none"/>
                <w:lang w:val="en-US" w:eastAsia="zh-CN"/>
              </w:rPr>
              <w:t>预算金额</w:t>
            </w:r>
            <w:r>
              <w:rPr>
                <w:rFonts w:hint="eastAsia" w:hAnsi="宋体" w:cs="宋体"/>
                <w:b/>
                <w:color w:val="auto"/>
                <w:sz w:val="21"/>
                <w:szCs w:val="21"/>
                <w:highlight w:val="none"/>
              </w:rPr>
              <w:t>1%的履约保证金，可以支票、汇票、本票或者金融机构、保险公司、担保机构出具的保函/保险（可在政采云平台购买，咨询热线4009039583）等非现金形式提交。履约保证金（或履约保函）如无合同约定或依法认定的扣款情况，在</w:t>
            </w:r>
            <w:r>
              <w:rPr>
                <w:rFonts w:hint="eastAsia" w:hAnsi="宋体" w:cs="宋体"/>
                <w:b/>
                <w:color w:val="auto"/>
                <w:sz w:val="21"/>
                <w:szCs w:val="21"/>
                <w:highlight w:val="none"/>
                <w:lang w:eastAsia="zh-CN"/>
              </w:rPr>
              <w:t>中标供应商</w:t>
            </w:r>
            <w:r>
              <w:rPr>
                <w:rFonts w:hint="eastAsia" w:hAnsi="宋体" w:cs="宋体"/>
                <w:b/>
                <w:color w:val="auto"/>
                <w:sz w:val="21"/>
                <w:szCs w:val="21"/>
                <w:highlight w:val="none"/>
              </w:rPr>
              <w:t>按合同约定最终验收合格后于15日内予以无息退还（或撤销到期履约保函）</w:t>
            </w:r>
            <w:r>
              <w:rPr>
                <w:rFonts w:hint="eastAsia" w:hAnsi="宋体" w:cs="宋体"/>
                <w:b/>
                <w:bCs/>
                <w:color w:val="auto"/>
                <w:sz w:val="21"/>
                <w:szCs w:val="21"/>
                <w:highlight w:val="none"/>
              </w:rPr>
              <w:t>。</w:t>
            </w:r>
          </w:p>
          <w:p>
            <w:pPr>
              <w:snapToGrid w:val="0"/>
              <w:spacing w:line="460" w:lineRule="exact"/>
              <w:textAlignment w:val="bottom"/>
              <w:rPr>
                <w:rFonts w:hAnsi="宋体" w:cs="宋体"/>
                <w:b/>
                <w:color w:val="auto"/>
                <w:sz w:val="21"/>
                <w:szCs w:val="21"/>
                <w:highlight w:val="none"/>
              </w:rPr>
            </w:pPr>
            <w:r>
              <w:rPr>
                <w:rFonts w:hint="eastAsia" w:hAnsi="宋体" w:cs="宋体"/>
                <w:b/>
                <w:color w:val="auto"/>
                <w:sz w:val="21"/>
                <w:szCs w:val="21"/>
                <w:highlight w:val="none"/>
              </w:rPr>
              <w:t>2.为支持和促进中小企业发展，进一步发挥政府采购政策功能，浙江省财政厅出台浙财采监〔2020〕3 号文件，企业若有购买保险/保函或者融资意向，可登录政采云平台融资服务（https://jinrong.zcygov.cn/），查看相应融资政策文件及各相关服务方案，咨询热线400-903-9583。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788"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16</w:t>
            </w:r>
          </w:p>
        </w:tc>
        <w:tc>
          <w:tcPr>
            <w:tcW w:w="858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60" w:lineRule="exact"/>
              <w:rPr>
                <w:rFonts w:hAnsi="宋体" w:cs="宋体"/>
                <w:color w:val="auto"/>
                <w:sz w:val="21"/>
                <w:szCs w:val="21"/>
                <w:highlight w:val="none"/>
              </w:rPr>
            </w:pPr>
            <w:r>
              <w:rPr>
                <w:rFonts w:hint="eastAsia" w:hAnsi="宋体" w:cs="宋体"/>
                <w:color w:val="auto"/>
                <w:sz w:val="21"/>
                <w:szCs w:val="21"/>
                <w:highlight w:val="none"/>
              </w:rPr>
              <w:t>投标文件有效期：90天。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788"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17</w:t>
            </w:r>
          </w:p>
        </w:tc>
        <w:tc>
          <w:tcPr>
            <w:tcW w:w="858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60" w:lineRule="exact"/>
              <w:rPr>
                <w:rFonts w:hAnsi="宋体" w:cs="宋体"/>
                <w:color w:val="auto"/>
                <w:sz w:val="21"/>
                <w:szCs w:val="21"/>
                <w:highlight w:val="none"/>
              </w:rPr>
            </w:pPr>
            <w:r>
              <w:rPr>
                <w:rFonts w:hint="eastAsia" w:hAnsi="宋体" w:cs="宋体"/>
                <w:color w:val="auto"/>
                <w:sz w:val="21"/>
                <w:szCs w:val="21"/>
                <w:highlight w:val="none"/>
              </w:rPr>
              <w:t>解释：本招标文件的解释权属于招标采购单位。</w:t>
            </w:r>
          </w:p>
        </w:tc>
      </w:tr>
    </w:tbl>
    <w:p>
      <w:pPr>
        <w:autoSpaceDE/>
        <w:autoSpaceDN/>
        <w:adjustRightInd/>
        <w:spacing w:line="500" w:lineRule="exact"/>
        <w:ind w:firstLine="482" w:firstLineChars="200"/>
        <w:jc w:val="both"/>
        <w:rPr>
          <w:rFonts w:hAnsi="宋体" w:cs="宋体"/>
          <w:b/>
          <w:color w:val="auto"/>
          <w:sz w:val="24"/>
          <w:szCs w:val="24"/>
          <w:highlight w:val="none"/>
        </w:rPr>
      </w:pPr>
      <w:r>
        <w:rPr>
          <w:rFonts w:hint="eastAsia" w:hAnsi="宋体" w:cs="宋体"/>
          <w:b/>
          <w:color w:val="auto"/>
          <w:sz w:val="24"/>
          <w:szCs w:val="24"/>
          <w:highlight w:val="none"/>
        </w:rPr>
        <w:t>一、总则</w:t>
      </w:r>
    </w:p>
    <w:p>
      <w:pPr>
        <w:autoSpaceDE/>
        <w:autoSpaceDN/>
        <w:adjustRightInd/>
        <w:spacing w:line="500" w:lineRule="exact"/>
        <w:ind w:firstLine="422" w:firstLineChars="200"/>
        <w:jc w:val="both"/>
        <w:rPr>
          <w:rFonts w:hAnsi="宋体" w:cs="宋体"/>
          <w:b/>
          <w:color w:val="auto"/>
          <w:sz w:val="21"/>
          <w:szCs w:val="21"/>
          <w:highlight w:val="none"/>
        </w:rPr>
      </w:pPr>
      <w:r>
        <w:rPr>
          <w:rFonts w:hint="eastAsia" w:hAnsi="宋体" w:cs="宋体"/>
          <w:b/>
          <w:color w:val="auto"/>
          <w:sz w:val="21"/>
          <w:szCs w:val="21"/>
          <w:highlight w:val="none"/>
        </w:rPr>
        <w:t>（一）适用范围</w:t>
      </w:r>
    </w:p>
    <w:p>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本招标文件适用于</w:t>
      </w:r>
      <w:r>
        <w:rPr>
          <w:rFonts w:hint="eastAsia" w:hAnsi="宋体" w:cs="宋体"/>
          <w:color w:val="auto"/>
          <w:sz w:val="21"/>
          <w:szCs w:val="21"/>
          <w:highlight w:val="none"/>
          <w:lang w:eastAsia="zh-CN"/>
        </w:rPr>
        <w:t>金华市区雨水管网排查</w:t>
      </w:r>
      <w:r>
        <w:rPr>
          <w:rFonts w:hint="eastAsia" w:hAnsi="宋体" w:cs="宋体"/>
          <w:color w:val="auto"/>
          <w:sz w:val="21"/>
          <w:szCs w:val="21"/>
          <w:highlight w:val="none"/>
        </w:rPr>
        <w:t>的招标、投标、评标、定标、集体验收、合同履约、付款等行为（法律、法规另有规定的，从其规定）。</w:t>
      </w:r>
    </w:p>
    <w:p>
      <w:pPr>
        <w:autoSpaceDE/>
        <w:autoSpaceDN/>
        <w:adjustRightInd/>
        <w:spacing w:line="500" w:lineRule="exact"/>
        <w:ind w:firstLine="422" w:firstLineChars="200"/>
        <w:jc w:val="both"/>
        <w:rPr>
          <w:rFonts w:hAnsi="宋体" w:cs="宋体"/>
          <w:b/>
          <w:color w:val="auto"/>
          <w:sz w:val="21"/>
          <w:szCs w:val="21"/>
          <w:highlight w:val="none"/>
        </w:rPr>
      </w:pPr>
      <w:r>
        <w:rPr>
          <w:rFonts w:hint="eastAsia" w:hAnsi="宋体" w:cs="宋体"/>
          <w:b/>
          <w:color w:val="auto"/>
          <w:sz w:val="21"/>
          <w:szCs w:val="21"/>
          <w:highlight w:val="none"/>
        </w:rPr>
        <w:t>（二）定义</w:t>
      </w:r>
    </w:p>
    <w:p>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1.招标采购单位系指组织本次招标的代理机构和采购人（采购单位）。</w:t>
      </w:r>
    </w:p>
    <w:p>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2.“投标人”</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供应商</w:t>
      </w:r>
      <w:r>
        <w:rPr>
          <w:rFonts w:hint="eastAsia" w:hAnsi="宋体" w:cs="宋体"/>
          <w:color w:val="auto"/>
          <w:sz w:val="21"/>
          <w:szCs w:val="21"/>
          <w:highlight w:val="none"/>
          <w:lang w:eastAsia="zh-CN"/>
        </w:rPr>
        <w:t>”</w:t>
      </w:r>
      <w:r>
        <w:rPr>
          <w:rFonts w:hint="eastAsia" w:hAnsi="宋体" w:cs="宋体"/>
          <w:color w:val="auto"/>
          <w:sz w:val="21"/>
          <w:szCs w:val="21"/>
          <w:highlight w:val="none"/>
        </w:rPr>
        <w:t>系指向采购人提交投标文件的单位或个人，本次招标对合格投标人的具体要求见招标公告。</w:t>
      </w:r>
    </w:p>
    <w:p>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3.“服务” 系指</w:t>
      </w:r>
      <w:r>
        <w:rPr>
          <w:rFonts w:hint="eastAsia" w:hAnsi="宋体" w:cs="宋体"/>
          <w:color w:val="auto"/>
          <w:sz w:val="21"/>
          <w:szCs w:val="21"/>
          <w:highlight w:val="none"/>
          <w:lang w:eastAsia="zh-CN"/>
        </w:rPr>
        <w:t>中标供应商</w:t>
      </w:r>
      <w:r>
        <w:rPr>
          <w:rFonts w:hint="eastAsia" w:hAnsi="宋体" w:cs="宋体"/>
          <w:color w:val="auto"/>
          <w:sz w:val="21"/>
          <w:szCs w:val="21"/>
          <w:highlight w:val="none"/>
        </w:rPr>
        <w:t>受金华市城市建设服务中心委托提供的</w:t>
      </w:r>
      <w:r>
        <w:rPr>
          <w:rFonts w:hint="eastAsia" w:hAnsi="宋体" w:cs="宋体"/>
          <w:color w:val="auto"/>
          <w:sz w:val="21"/>
          <w:szCs w:val="21"/>
          <w:highlight w:val="none"/>
          <w:lang w:eastAsia="zh-CN"/>
        </w:rPr>
        <w:t>金华市区雨水管网排查</w:t>
      </w:r>
      <w:r>
        <w:rPr>
          <w:rFonts w:hint="eastAsia" w:hAnsi="宋体" w:cs="宋体"/>
          <w:color w:val="auto"/>
          <w:sz w:val="21"/>
          <w:szCs w:val="21"/>
          <w:highlight w:val="none"/>
        </w:rPr>
        <w:t>招标文件中约定的金华市区雨水管网排查以及其他相关的义务。</w:t>
      </w:r>
    </w:p>
    <w:p>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4.“项目”系指投标人按招标文件规定向采购人提供的专业服务并提交符合要求的服务成果报告。</w:t>
      </w:r>
    </w:p>
    <w:p>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5.“书面形式”包括信函、传真、电报等。</w:t>
      </w:r>
    </w:p>
    <w:p>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6.“</w:t>
      </w:r>
      <w:r>
        <w:rPr>
          <w:rFonts w:hint="eastAsia" w:hAnsi="宋体" w:cs="宋体"/>
          <w:bCs/>
          <w:color w:val="auto"/>
          <w:sz w:val="21"/>
          <w:szCs w:val="21"/>
          <w:highlight w:val="none"/>
        </w:rPr>
        <w:t>★</w:t>
      </w:r>
      <w:r>
        <w:rPr>
          <w:rFonts w:hint="eastAsia" w:hAnsi="宋体" w:cs="宋体"/>
          <w:color w:val="auto"/>
          <w:sz w:val="21"/>
          <w:szCs w:val="21"/>
          <w:highlight w:val="none"/>
        </w:rPr>
        <w:t>”系指实质性要求指标，“</w:t>
      </w:r>
      <w:r>
        <w:rPr>
          <w:rFonts w:hint="eastAsia" w:hAnsi="宋体" w:cs="宋体"/>
          <w:b/>
          <w:color w:val="auto"/>
          <w:sz w:val="21"/>
          <w:szCs w:val="21"/>
          <w:highlight w:val="none"/>
        </w:rPr>
        <w:t>▲</w:t>
      </w:r>
      <w:r>
        <w:rPr>
          <w:rFonts w:hint="eastAsia" w:hAnsi="宋体" w:cs="宋体"/>
          <w:color w:val="auto"/>
          <w:sz w:val="21"/>
          <w:szCs w:val="21"/>
          <w:highlight w:val="none"/>
        </w:rPr>
        <w:t>”系指重要性指标条款。</w:t>
      </w:r>
    </w:p>
    <w:p>
      <w:pPr>
        <w:autoSpaceDE/>
        <w:autoSpaceDN/>
        <w:adjustRightInd/>
        <w:spacing w:line="500" w:lineRule="exact"/>
        <w:ind w:firstLine="422" w:firstLineChars="200"/>
        <w:jc w:val="both"/>
        <w:rPr>
          <w:rFonts w:hAnsi="宋体" w:cs="宋体"/>
          <w:b/>
          <w:color w:val="auto"/>
          <w:sz w:val="21"/>
          <w:szCs w:val="21"/>
          <w:highlight w:val="none"/>
        </w:rPr>
      </w:pPr>
      <w:r>
        <w:rPr>
          <w:rFonts w:hint="eastAsia" w:hAnsi="宋体" w:cs="宋体"/>
          <w:b/>
          <w:color w:val="auto"/>
          <w:sz w:val="21"/>
          <w:szCs w:val="21"/>
          <w:highlight w:val="none"/>
        </w:rPr>
        <w:t>（三）招标方式</w:t>
      </w:r>
    </w:p>
    <w:p>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本次招标采用公开招标方式进行。</w:t>
      </w:r>
    </w:p>
    <w:p>
      <w:pPr>
        <w:autoSpaceDE/>
        <w:autoSpaceDN/>
        <w:adjustRightInd/>
        <w:spacing w:line="500" w:lineRule="exact"/>
        <w:ind w:firstLine="422" w:firstLineChars="200"/>
        <w:jc w:val="both"/>
        <w:rPr>
          <w:rFonts w:hAnsi="宋体" w:cs="宋体"/>
          <w:b/>
          <w:color w:val="auto"/>
          <w:sz w:val="21"/>
          <w:szCs w:val="21"/>
          <w:highlight w:val="none"/>
        </w:rPr>
      </w:pPr>
      <w:r>
        <w:rPr>
          <w:rFonts w:hint="eastAsia" w:hAnsi="宋体" w:cs="宋体"/>
          <w:b/>
          <w:color w:val="auto"/>
          <w:sz w:val="21"/>
          <w:szCs w:val="21"/>
          <w:highlight w:val="none"/>
        </w:rPr>
        <w:t>（四）投标委托</w:t>
      </w:r>
    </w:p>
    <w:p>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如投标人代表不是法定代表人，须有法定代表人出具的授权委托书。</w:t>
      </w:r>
    </w:p>
    <w:p>
      <w:pPr>
        <w:autoSpaceDE/>
        <w:autoSpaceDN/>
        <w:adjustRightInd/>
        <w:spacing w:line="500" w:lineRule="exact"/>
        <w:ind w:firstLine="422" w:firstLineChars="200"/>
        <w:jc w:val="both"/>
        <w:rPr>
          <w:rFonts w:hAnsi="宋体" w:cs="宋体"/>
          <w:b/>
          <w:color w:val="auto"/>
          <w:sz w:val="21"/>
          <w:szCs w:val="21"/>
          <w:highlight w:val="none"/>
        </w:rPr>
      </w:pPr>
      <w:r>
        <w:rPr>
          <w:rFonts w:hint="eastAsia" w:hAnsi="宋体" w:cs="宋体"/>
          <w:b/>
          <w:color w:val="auto"/>
          <w:sz w:val="21"/>
          <w:szCs w:val="21"/>
          <w:highlight w:val="none"/>
        </w:rPr>
        <w:t>（五）投标费用</w:t>
      </w:r>
    </w:p>
    <w:p>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不论投标结果如何，投标人均应自行承担所有与投标有关的全部费用（招标文件有相反规定的除外）。</w:t>
      </w:r>
    </w:p>
    <w:p>
      <w:pPr>
        <w:autoSpaceDE/>
        <w:autoSpaceDN/>
        <w:adjustRightInd/>
        <w:spacing w:line="500" w:lineRule="exact"/>
        <w:ind w:firstLine="422" w:firstLineChars="200"/>
        <w:jc w:val="both"/>
        <w:rPr>
          <w:rFonts w:hAnsi="宋体" w:cs="宋体"/>
          <w:b/>
          <w:color w:val="auto"/>
          <w:sz w:val="21"/>
          <w:szCs w:val="21"/>
          <w:highlight w:val="none"/>
        </w:rPr>
      </w:pPr>
      <w:r>
        <w:rPr>
          <w:rFonts w:hint="eastAsia" w:hAnsi="宋体" w:cs="宋体"/>
          <w:b/>
          <w:color w:val="auto"/>
          <w:sz w:val="21"/>
          <w:szCs w:val="21"/>
          <w:highlight w:val="none"/>
        </w:rPr>
        <w:t>（六）勘察现场</w:t>
      </w:r>
    </w:p>
    <w:p>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1.投标人可进行现场考察，以获取有关投标、签署合同和其他所需的资料。采购单位和代理机构不组织集中考察，由各投标人自行安排，但必须在开标5天前进行。投标人在考察过程中发生的各类事件和所发生的各项费用，均由投标人自行承担，采购人和代理机构概不负责。</w:t>
      </w:r>
    </w:p>
    <w:p>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2.采购人向投标人提供的有关现场的数据和资料，是采购人现有的能被投标人利用的资料，采购人对投标人据此做出的任何推论、理解和结论不负责任。</w:t>
      </w:r>
    </w:p>
    <w:p>
      <w:pPr>
        <w:autoSpaceDE/>
        <w:autoSpaceDN/>
        <w:adjustRightInd/>
        <w:spacing w:line="500" w:lineRule="exact"/>
        <w:ind w:firstLine="422" w:firstLineChars="200"/>
        <w:jc w:val="both"/>
        <w:rPr>
          <w:rFonts w:hAnsi="宋体" w:cs="宋体"/>
          <w:b/>
          <w:color w:val="auto"/>
          <w:sz w:val="21"/>
          <w:szCs w:val="21"/>
          <w:highlight w:val="none"/>
        </w:rPr>
      </w:pPr>
      <w:r>
        <w:rPr>
          <w:rFonts w:hint="eastAsia" w:hAnsi="宋体" w:cs="宋体"/>
          <w:b/>
          <w:color w:val="auto"/>
          <w:sz w:val="21"/>
          <w:szCs w:val="21"/>
          <w:highlight w:val="none"/>
        </w:rPr>
        <w:t>（七）知识产权</w:t>
      </w:r>
    </w:p>
    <w:p>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1.投标人须保证，采购人在中华人民共和国境内使用投标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如因此导致采购人损失的，投标人须承担全部赔偿责任。</w:t>
      </w:r>
    </w:p>
    <w:p>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2.所有投标文件不论中标与否均不退还。</w:t>
      </w:r>
    </w:p>
    <w:p>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3.在招标过程中，本项目由采购人提供的所有基础资料（包括文字、图纸、电子数据）的版权均受法律保护，投标人应按国家要求做好所有基础资料的保密工作，除为本项目本身使用外，不做其他用途，任何未经采购人同意的修改、拷贝、传播、公开发布等行为都将承担由此引起的一切经济、法律责任。</w:t>
      </w:r>
    </w:p>
    <w:p>
      <w:pPr>
        <w:autoSpaceDE/>
        <w:autoSpaceDN/>
        <w:adjustRightInd/>
        <w:spacing w:line="500" w:lineRule="exact"/>
        <w:ind w:firstLine="422" w:firstLineChars="200"/>
        <w:jc w:val="both"/>
        <w:rPr>
          <w:rFonts w:hAnsi="宋体" w:cs="宋体"/>
          <w:b/>
          <w:color w:val="auto"/>
          <w:sz w:val="21"/>
          <w:szCs w:val="21"/>
          <w:highlight w:val="none"/>
        </w:rPr>
      </w:pPr>
      <w:r>
        <w:rPr>
          <w:rFonts w:hint="eastAsia" w:hAnsi="宋体" w:cs="宋体"/>
          <w:b/>
          <w:color w:val="auto"/>
          <w:sz w:val="21"/>
          <w:szCs w:val="21"/>
          <w:highlight w:val="none"/>
        </w:rPr>
        <w:t>（八）联合体投标</w:t>
      </w:r>
    </w:p>
    <w:p>
      <w:pPr>
        <w:widowControl/>
        <w:shd w:val="clear" w:color="auto" w:fill="FFFFFF"/>
        <w:autoSpaceDE/>
        <w:autoSpaceDN/>
        <w:snapToGrid w:val="0"/>
        <w:spacing w:line="500" w:lineRule="exact"/>
        <w:ind w:firstLine="420" w:firstLineChars="200"/>
        <w:rPr>
          <w:rFonts w:hAnsi="宋体" w:cs="宋体"/>
          <w:b/>
          <w:color w:val="auto"/>
          <w:sz w:val="21"/>
          <w:szCs w:val="21"/>
          <w:highlight w:val="none"/>
        </w:rPr>
      </w:pPr>
      <w:r>
        <w:rPr>
          <w:rFonts w:hint="eastAsia" w:hAnsi="宋体" w:cs="宋体"/>
          <w:color w:val="auto"/>
          <w:sz w:val="21"/>
          <w:szCs w:val="21"/>
          <w:highlight w:val="none"/>
        </w:rPr>
        <w:t>1.本项目不允许联合体形式投标。</w:t>
      </w:r>
    </w:p>
    <w:p>
      <w:pPr>
        <w:autoSpaceDE/>
        <w:autoSpaceDN/>
        <w:adjustRightInd/>
        <w:spacing w:line="500" w:lineRule="exact"/>
        <w:ind w:left="415" w:leftChars="122"/>
        <w:jc w:val="both"/>
        <w:rPr>
          <w:rFonts w:hAnsi="宋体" w:cs="宋体"/>
          <w:b/>
          <w:color w:val="auto"/>
          <w:sz w:val="21"/>
          <w:szCs w:val="21"/>
          <w:highlight w:val="none"/>
        </w:rPr>
      </w:pPr>
      <w:r>
        <w:rPr>
          <w:rFonts w:hint="eastAsia" w:hAnsi="宋体" w:cs="宋体"/>
          <w:b/>
          <w:color w:val="auto"/>
          <w:sz w:val="21"/>
          <w:szCs w:val="21"/>
          <w:highlight w:val="none"/>
        </w:rPr>
        <w:t>（九）转包与分包</w:t>
      </w:r>
    </w:p>
    <w:p>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1.本项目不允许转包。</w:t>
      </w:r>
    </w:p>
    <w:p>
      <w:pPr>
        <w:autoSpaceDE/>
        <w:autoSpaceDN/>
        <w:adjustRightInd/>
        <w:snapToGrid w:val="0"/>
        <w:spacing w:line="500" w:lineRule="exact"/>
        <w:ind w:firstLine="420" w:firstLineChars="200"/>
        <w:jc w:val="both"/>
        <w:rPr>
          <w:rFonts w:hAnsi="宋体" w:cs="宋体"/>
          <w:b/>
          <w:color w:val="auto"/>
          <w:sz w:val="21"/>
          <w:szCs w:val="21"/>
          <w:highlight w:val="none"/>
        </w:rPr>
      </w:pPr>
      <w:r>
        <w:rPr>
          <w:rFonts w:hint="eastAsia" w:hAnsi="宋体" w:cs="宋体"/>
          <w:color w:val="auto"/>
          <w:sz w:val="21"/>
          <w:szCs w:val="21"/>
          <w:highlight w:val="none"/>
        </w:rPr>
        <w:t>2.本项目非经采购人同意，不允许分包。</w:t>
      </w:r>
    </w:p>
    <w:p>
      <w:pPr>
        <w:autoSpaceDE/>
        <w:autoSpaceDN/>
        <w:adjustRightInd/>
        <w:spacing w:line="500" w:lineRule="exact"/>
        <w:ind w:firstLine="422" w:firstLineChars="200"/>
        <w:jc w:val="both"/>
        <w:rPr>
          <w:rFonts w:hAnsi="宋体" w:cs="宋体"/>
          <w:b/>
          <w:color w:val="auto"/>
          <w:sz w:val="21"/>
          <w:szCs w:val="21"/>
          <w:highlight w:val="none"/>
        </w:rPr>
      </w:pPr>
      <w:r>
        <w:rPr>
          <w:rFonts w:hint="eastAsia" w:hAnsi="宋体" w:cs="宋体"/>
          <w:b/>
          <w:color w:val="auto"/>
          <w:sz w:val="21"/>
          <w:szCs w:val="21"/>
          <w:highlight w:val="none"/>
        </w:rPr>
        <w:t>（十）特别说明</w:t>
      </w:r>
    </w:p>
    <w:p>
      <w:pPr>
        <w:autoSpaceDE/>
        <w:autoSpaceDN/>
        <w:adjustRightInd/>
        <w:spacing w:line="460" w:lineRule="exact"/>
        <w:ind w:firstLine="420" w:firstLineChars="200"/>
        <w:jc w:val="both"/>
        <w:rPr>
          <w:rFonts w:hAnsi="宋体" w:cs="宋体"/>
          <w:color w:val="auto"/>
          <w:sz w:val="21"/>
          <w:szCs w:val="21"/>
          <w:highlight w:val="none"/>
        </w:rPr>
      </w:pPr>
      <w:r>
        <w:rPr>
          <w:rFonts w:hint="eastAsia" w:hAnsi="宋体" w:cs="宋体"/>
          <w:bCs/>
          <w:color w:val="auto"/>
          <w:sz w:val="21"/>
          <w:szCs w:val="21"/>
          <w:highlight w:val="none"/>
        </w:rPr>
        <w:t>★</w:t>
      </w:r>
      <w:r>
        <w:rPr>
          <w:rFonts w:hint="eastAsia" w:hAnsi="宋体" w:cs="宋体"/>
          <w:color w:val="auto"/>
          <w:sz w:val="21"/>
          <w:szCs w:val="21"/>
          <w:highlight w:val="none"/>
        </w:rPr>
        <w:t>1.投标单位负责人为同一人或者存在直接控股、管理关系的不同投标人，不得参加同一合同项下的政府采购活动。如在评标过程（或标后质疑投诉期内）中发现投标人间存在上述关系，存在上述关系的全部投标人均做无效投标（或无效中标）处理。</w:t>
      </w:r>
    </w:p>
    <w:p>
      <w:pPr>
        <w:autoSpaceDE/>
        <w:autoSpaceDN/>
        <w:adjustRightInd/>
        <w:spacing w:line="500" w:lineRule="exact"/>
        <w:ind w:firstLine="422" w:firstLineChars="200"/>
        <w:jc w:val="both"/>
        <w:rPr>
          <w:rFonts w:hAnsi="宋体" w:cs="宋体"/>
          <w:b/>
          <w:color w:val="auto"/>
          <w:sz w:val="21"/>
          <w:szCs w:val="21"/>
          <w:highlight w:val="none"/>
        </w:rPr>
      </w:pPr>
      <w:r>
        <w:rPr>
          <w:rFonts w:hint="eastAsia" w:hAnsi="宋体" w:cs="宋体"/>
          <w:b/>
          <w:color w:val="auto"/>
          <w:sz w:val="21"/>
          <w:highlight w:val="none"/>
        </w:rPr>
        <w:t>2.</w:t>
      </w:r>
      <w:r>
        <w:rPr>
          <w:rFonts w:hint="eastAsia" w:hAnsi="宋体" w:cs="宋体"/>
          <w:b/>
          <w:color w:val="auto"/>
          <w:sz w:val="21"/>
          <w:szCs w:val="21"/>
          <w:highlight w:val="none"/>
        </w:rPr>
        <w:t>“政采云”平台运营机构，以及与该机构有直接控股或者管理关系可能影响采购公正性的任何单位和个人，不得在该平台进行的政府采购项目电子交易中投标、响应政府采购项目。</w:t>
      </w:r>
    </w:p>
    <w:p>
      <w:pPr>
        <w:autoSpaceDE/>
        <w:autoSpaceDN/>
        <w:adjustRightInd/>
        <w:spacing w:line="46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3.投标人投标所使用的资格、信誉、荣誉、业绩与企业认证必须为本法人所拥有。投标人投标所使用的采购项目实施人员必须为本法人员工（或必须为本法人或控股公司正式员工）。</w:t>
      </w:r>
    </w:p>
    <w:p>
      <w:pPr>
        <w:autoSpaceDE/>
        <w:autoSpaceDN/>
        <w:adjustRightInd/>
        <w:spacing w:line="46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4.投标人应仔细阅读招标文件的所有内容，按照招标文件的要求提交投标文件。投标人必须对投标文件所提供的全部资料的真实性承担法律责任，并无条件接受采购代理机构、采购人及政府采购监督管理部门等对其中任何资料进行核实的要求。</w:t>
      </w:r>
    </w:p>
    <w:p>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5.投标人在投标活动中提供任何虚假材料，其投标无效，并报监管部门查处。</w:t>
      </w:r>
    </w:p>
    <w:p>
      <w:pPr>
        <w:autoSpaceDE/>
        <w:autoSpaceDN/>
        <w:adjustRightInd/>
        <w:spacing w:line="500" w:lineRule="exact"/>
        <w:ind w:firstLine="422" w:firstLineChars="200"/>
        <w:jc w:val="both"/>
        <w:rPr>
          <w:rFonts w:hAnsi="宋体" w:cs="宋体"/>
          <w:b/>
          <w:color w:val="auto"/>
          <w:sz w:val="21"/>
          <w:szCs w:val="21"/>
          <w:highlight w:val="none"/>
        </w:rPr>
      </w:pPr>
      <w:r>
        <w:rPr>
          <w:rFonts w:hint="eastAsia" w:hAnsi="宋体" w:cs="宋体"/>
          <w:b/>
          <w:color w:val="auto"/>
          <w:sz w:val="21"/>
          <w:szCs w:val="21"/>
          <w:highlight w:val="none"/>
        </w:rPr>
        <w:t>（十一）质疑和投诉</w:t>
      </w:r>
    </w:p>
    <w:p>
      <w:pPr>
        <w:autoSpaceDE/>
        <w:autoSpaceDN/>
        <w:adjustRightInd/>
        <w:spacing w:line="46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1.投标人认为招标文件、招标过程或中标结果使自己的合法权益受到损害的，应当在知道或者应知其权益受到损害之日起七个工作日内，以书面形式向采购人、采购代理机构提出质疑。投标人对招标采购单位的质疑答复不满意或者招标采购单位未在规定时间内作出答复的，可以在答复期满后十五个工作日内向同级采购监管部门投诉。</w:t>
      </w:r>
    </w:p>
    <w:p>
      <w:pPr>
        <w:autoSpaceDE/>
        <w:autoSpaceDN/>
        <w:adjustRightInd/>
        <w:spacing w:line="460" w:lineRule="exact"/>
        <w:ind w:firstLine="420" w:firstLineChars="200"/>
        <w:jc w:val="both"/>
        <w:rPr>
          <w:rFonts w:hAnsi="宋体" w:cs="宋体"/>
          <w:color w:val="auto"/>
          <w:sz w:val="21"/>
          <w:szCs w:val="21"/>
          <w:highlight w:val="none"/>
          <w:lang w:eastAsia="zh-TW"/>
        </w:rPr>
      </w:pPr>
      <w:r>
        <w:rPr>
          <w:rFonts w:hint="eastAsia" w:hAnsi="宋体" w:cs="宋体"/>
          <w:color w:val="auto"/>
          <w:sz w:val="21"/>
          <w:szCs w:val="21"/>
          <w:highlight w:val="none"/>
        </w:rPr>
        <w:t>2.质疑、投诉应当符合中华人民共和国财政部令第94号《政府采购质疑和投诉办法》的规定，并分别采用财政部发布的《政府采购供应商质疑函范本》和《政府采购供应商投诉书范本》等书面形式，质疑书、投诉书均应明确阐述招标文件、招标过程或中标结果中使自己合法权益受到损害的实质性内容，提供相关事实、依据和证据及其来源或线索，便于有关单位调查、答复和处理。</w:t>
      </w:r>
      <w:r>
        <w:rPr>
          <w:rFonts w:hint="eastAsia" w:hAnsi="宋体" w:cs="宋体"/>
          <w:bCs/>
          <w:color w:val="auto"/>
          <w:sz w:val="21"/>
          <w:szCs w:val="21"/>
          <w:highlight w:val="none"/>
        </w:rPr>
        <w:t>质疑函范本、投诉书范本请到浙江政府采购网下载专区下载。</w:t>
      </w:r>
    </w:p>
    <w:p>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3.</w:t>
      </w:r>
      <w:r>
        <w:rPr>
          <w:rFonts w:hint="eastAsia" w:hAnsi="宋体" w:cs="宋体"/>
          <w:color w:val="auto"/>
          <w:sz w:val="21"/>
          <w:szCs w:val="21"/>
          <w:highlight w:val="none"/>
          <w:lang w:val="zh-CN"/>
        </w:rPr>
        <w:t>投标人须在法定质疑期内一次性提出针对同一采购程序环节的质疑。未按上述要求提供的质疑函，采购代理机构有权不予受理。</w:t>
      </w:r>
    </w:p>
    <w:p>
      <w:pPr>
        <w:autoSpaceDE/>
        <w:autoSpaceDN/>
        <w:adjustRightInd/>
        <w:spacing w:line="500" w:lineRule="exact"/>
        <w:ind w:firstLine="482" w:firstLineChars="200"/>
        <w:jc w:val="both"/>
        <w:rPr>
          <w:rFonts w:hAnsi="宋体" w:cs="宋体"/>
          <w:b/>
          <w:color w:val="auto"/>
          <w:sz w:val="24"/>
          <w:szCs w:val="24"/>
          <w:highlight w:val="none"/>
        </w:rPr>
      </w:pPr>
      <w:r>
        <w:rPr>
          <w:rFonts w:hint="eastAsia" w:hAnsi="宋体" w:cs="宋体"/>
          <w:b/>
          <w:color w:val="auto"/>
          <w:sz w:val="24"/>
          <w:szCs w:val="24"/>
          <w:highlight w:val="none"/>
        </w:rPr>
        <w:t>二、招标文件</w:t>
      </w:r>
    </w:p>
    <w:p>
      <w:pPr>
        <w:autoSpaceDE/>
        <w:autoSpaceDN/>
        <w:adjustRightInd/>
        <w:spacing w:line="500" w:lineRule="exact"/>
        <w:ind w:firstLine="422" w:firstLineChars="200"/>
        <w:jc w:val="both"/>
        <w:rPr>
          <w:rFonts w:hAnsi="宋体" w:cs="宋体"/>
          <w:b/>
          <w:color w:val="auto"/>
          <w:sz w:val="21"/>
          <w:szCs w:val="21"/>
          <w:highlight w:val="none"/>
        </w:rPr>
      </w:pPr>
      <w:r>
        <w:rPr>
          <w:rFonts w:hint="eastAsia" w:hAnsi="宋体" w:cs="宋体"/>
          <w:b/>
          <w:color w:val="auto"/>
          <w:sz w:val="21"/>
          <w:szCs w:val="21"/>
          <w:highlight w:val="none"/>
        </w:rPr>
        <w:t>（一）招标文件的构成。本招标文件由以下部份组成：</w:t>
      </w:r>
    </w:p>
    <w:p>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1.招标公告</w:t>
      </w:r>
    </w:p>
    <w:p>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2.招标需求</w:t>
      </w:r>
    </w:p>
    <w:p>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3.投标人须知</w:t>
      </w:r>
    </w:p>
    <w:p>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4.评标办法及标准</w:t>
      </w:r>
    </w:p>
    <w:p>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5.合同主要条款</w:t>
      </w:r>
    </w:p>
    <w:p>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6.投标文件格式</w:t>
      </w:r>
    </w:p>
    <w:p>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7.本项目招标文件的澄清、答复、修改、补充的内容（如有）</w:t>
      </w:r>
    </w:p>
    <w:p>
      <w:pPr>
        <w:autoSpaceDE/>
        <w:autoSpaceDN/>
        <w:adjustRightInd/>
        <w:spacing w:line="500" w:lineRule="exact"/>
        <w:ind w:firstLine="422" w:firstLineChars="200"/>
        <w:jc w:val="both"/>
        <w:rPr>
          <w:rFonts w:hAnsi="宋体" w:cs="宋体"/>
          <w:b/>
          <w:color w:val="auto"/>
          <w:sz w:val="21"/>
          <w:szCs w:val="21"/>
          <w:highlight w:val="none"/>
        </w:rPr>
      </w:pPr>
      <w:r>
        <w:rPr>
          <w:rFonts w:hint="eastAsia" w:hAnsi="宋体" w:cs="宋体"/>
          <w:b/>
          <w:color w:val="auto"/>
          <w:sz w:val="21"/>
          <w:szCs w:val="21"/>
          <w:highlight w:val="none"/>
        </w:rPr>
        <w:t>（二）投标人的风险</w:t>
      </w:r>
    </w:p>
    <w:p>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投标人没有按照招标文件要求提供全部资料，或者投标人没有对招标文件在各方面作出实质性响应是投标人的风险，并可能导致其投标被拒绝。</w:t>
      </w:r>
    </w:p>
    <w:p>
      <w:pPr>
        <w:autoSpaceDE/>
        <w:autoSpaceDN/>
        <w:adjustRightInd/>
        <w:spacing w:line="500" w:lineRule="exact"/>
        <w:ind w:firstLine="420" w:firstLineChars="200"/>
        <w:jc w:val="both"/>
        <w:rPr>
          <w:rFonts w:hint="eastAsia" w:hAnsi="宋体" w:eastAsia="宋体" w:cs="宋体"/>
          <w:color w:val="auto"/>
          <w:sz w:val="21"/>
          <w:szCs w:val="21"/>
          <w:highlight w:val="none"/>
          <w:lang w:eastAsia="zh-CN"/>
        </w:rPr>
      </w:pPr>
      <w:r>
        <w:rPr>
          <w:rFonts w:hint="eastAsia" w:hAnsi="宋体" w:cs="宋体"/>
          <w:color w:val="auto"/>
          <w:sz w:val="21"/>
          <w:szCs w:val="21"/>
          <w:highlight w:val="none"/>
        </w:rPr>
        <w:t>采购人、采购代理机构不保证所有已完成报名的投标人都符合资格要求。</w:t>
      </w:r>
    </w:p>
    <w:p>
      <w:pPr>
        <w:autoSpaceDE/>
        <w:autoSpaceDN/>
        <w:adjustRightInd/>
        <w:spacing w:line="500" w:lineRule="exact"/>
        <w:ind w:firstLine="422" w:firstLineChars="200"/>
        <w:jc w:val="both"/>
        <w:rPr>
          <w:rFonts w:hAnsi="宋体" w:cs="宋体"/>
          <w:b/>
          <w:color w:val="auto"/>
          <w:sz w:val="21"/>
          <w:szCs w:val="21"/>
          <w:highlight w:val="none"/>
        </w:rPr>
      </w:pPr>
      <w:r>
        <w:rPr>
          <w:rFonts w:hint="eastAsia" w:hAnsi="宋体" w:cs="宋体"/>
          <w:b/>
          <w:color w:val="auto"/>
          <w:sz w:val="21"/>
          <w:szCs w:val="21"/>
          <w:highlight w:val="none"/>
        </w:rPr>
        <w:t>（三）招标文件的澄清与修改</w:t>
      </w:r>
    </w:p>
    <w:p>
      <w:pPr>
        <w:autoSpaceDE/>
        <w:autoSpaceDN/>
        <w:adjustRightInd/>
        <w:spacing w:line="46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1.投标人应认真阅读本招标文件，发现其中有误或有不合理要求的，应当自知道或者应知其权益受到损害之日起七个工作日内，以书面形式要求招标采购单位作出书面解释、澄清或者向招标采购单位提出书面质疑；招标采购单位对已发出的招标文件进行必要澄清、答复、修改或补充的，在财政部门指定的政府采购信息发布媒体上发布更正公告，并以书面形式通知所有招标文件收受人。澄清或者修改的内容可能影响投标文件编制的，应当在投标截止时间至少15日前，以书面形式通知所有获取招标文件的潜在投标人；不足15日的，顺延提交投标文件的截止时间。</w:t>
      </w:r>
    </w:p>
    <w:p>
      <w:pPr>
        <w:autoSpaceDE/>
        <w:autoSpaceDN/>
        <w:adjustRightInd/>
        <w:spacing w:line="46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2.采购代理机构必须以书面形式答复投标人要求澄清的问题，并将不包含问题来源的答复书面通知所有购买招标文件的投标人，除书面答复以外的其他澄清方式及澄清内容均无效。</w:t>
      </w:r>
    </w:p>
    <w:p>
      <w:pPr>
        <w:autoSpaceDE/>
        <w:autoSpaceDN/>
        <w:adjustRightInd/>
        <w:spacing w:line="46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3.招标文件澄清、答复、修改、补充的内容为招标文件的组成部分。当招标文件与招标文件的答复、澄清、修改、补充通知就同一内容的表述不一致时，以最后发出的书面文件为准。</w:t>
      </w:r>
    </w:p>
    <w:p>
      <w:pPr>
        <w:autoSpaceDE/>
        <w:autoSpaceDN/>
        <w:adjustRightInd/>
        <w:spacing w:line="46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4.招标文件的澄清、答复、修改或补充都应该通过本代理机构以法定形式发布，采购人非通过本机构，不得擅自澄清、答复、修改或补充招标文件。</w:t>
      </w:r>
    </w:p>
    <w:p>
      <w:pPr>
        <w:autoSpaceDE/>
        <w:autoSpaceDN/>
        <w:adjustRightInd/>
        <w:spacing w:line="500" w:lineRule="exact"/>
        <w:ind w:firstLine="482" w:firstLineChars="200"/>
        <w:jc w:val="both"/>
        <w:rPr>
          <w:rFonts w:hAnsi="宋体" w:cs="宋体"/>
          <w:b/>
          <w:color w:val="auto"/>
          <w:sz w:val="24"/>
          <w:szCs w:val="24"/>
          <w:highlight w:val="none"/>
        </w:rPr>
      </w:pPr>
      <w:r>
        <w:rPr>
          <w:rFonts w:hint="eastAsia" w:hAnsi="宋体" w:cs="宋体"/>
          <w:b/>
          <w:color w:val="auto"/>
          <w:sz w:val="24"/>
          <w:szCs w:val="24"/>
          <w:highlight w:val="none"/>
        </w:rPr>
        <w:t>三、投标文件的编制</w:t>
      </w:r>
    </w:p>
    <w:p>
      <w:pPr>
        <w:snapToGrid w:val="0"/>
        <w:spacing w:line="500" w:lineRule="exact"/>
        <w:ind w:firstLine="422" w:firstLineChars="200"/>
        <w:rPr>
          <w:rFonts w:hAnsi="宋体" w:cs="宋体"/>
          <w:b/>
          <w:color w:val="auto"/>
          <w:sz w:val="21"/>
          <w:szCs w:val="21"/>
          <w:highlight w:val="none"/>
        </w:rPr>
      </w:pPr>
      <w:r>
        <w:rPr>
          <w:rFonts w:hint="eastAsia" w:hAnsi="宋体" w:cs="宋体"/>
          <w:b/>
          <w:color w:val="auto"/>
          <w:sz w:val="21"/>
          <w:szCs w:val="21"/>
          <w:highlight w:val="none"/>
        </w:rPr>
        <w:t>注：投标人应保证所提供文件资料的真实性，所有文件资料必须是针对本次投标的。如发现投标人提供了虚假文件资料，其投标将被拒绝，并自行承担相应的法律责任。</w:t>
      </w:r>
    </w:p>
    <w:p>
      <w:pPr>
        <w:tabs>
          <w:tab w:val="left" w:pos="6955"/>
        </w:tabs>
        <w:snapToGrid w:val="0"/>
        <w:spacing w:line="500" w:lineRule="exact"/>
        <w:ind w:firstLine="422" w:firstLineChars="200"/>
        <w:outlineLvl w:val="0"/>
        <w:rPr>
          <w:rFonts w:hAnsi="宋体" w:cs="宋体"/>
          <w:b/>
          <w:color w:val="auto"/>
          <w:sz w:val="21"/>
          <w:szCs w:val="21"/>
          <w:highlight w:val="none"/>
        </w:rPr>
      </w:pPr>
      <w:r>
        <w:rPr>
          <w:rFonts w:hint="eastAsia" w:hAnsi="宋体" w:cs="宋体"/>
          <w:b/>
          <w:color w:val="auto"/>
          <w:sz w:val="21"/>
          <w:szCs w:val="21"/>
          <w:highlight w:val="none"/>
        </w:rPr>
        <w:t>（一）投标文件的形式</w:t>
      </w:r>
      <w:r>
        <w:rPr>
          <w:rFonts w:hint="eastAsia" w:hAnsi="宋体" w:cs="宋体"/>
          <w:b/>
          <w:color w:val="auto"/>
          <w:sz w:val="21"/>
          <w:szCs w:val="21"/>
          <w:highlight w:val="none"/>
        </w:rPr>
        <w:tab/>
      </w:r>
    </w:p>
    <w:p>
      <w:pPr>
        <w:snapToGrid w:val="0"/>
        <w:spacing w:line="500" w:lineRule="exact"/>
        <w:ind w:firstLine="422" w:firstLineChars="200"/>
        <w:outlineLvl w:val="0"/>
        <w:rPr>
          <w:rFonts w:hAnsi="宋体" w:cs="宋体"/>
          <w:b/>
          <w:color w:val="auto"/>
          <w:sz w:val="21"/>
          <w:szCs w:val="21"/>
          <w:highlight w:val="none"/>
        </w:rPr>
      </w:pPr>
      <w:r>
        <w:rPr>
          <w:rFonts w:hint="eastAsia" w:hAnsi="宋体" w:cs="宋体"/>
          <w:b/>
          <w:color w:val="auto"/>
          <w:sz w:val="21"/>
          <w:szCs w:val="21"/>
          <w:highlight w:val="none"/>
        </w:rPr>
        <w:t>投标文件为电子投标文件。</w:t>
      </w:r>
    </w:p>
    <w:p>
      <w:pPr>
        <w:wordWrap w:val="0"/>
        <w:snapToGrid w:val="0"/>
        <w:spacing w:line="460" w:lineRule="exact"/>
        <w:ind w:firstLine="422" w:firstLineChars="200"/>
        <w:outlineLvl w:val="0"/>
        <w:rPr>
          <w:rFonts w:hAnsi="宋体" w:cs="宋体"/>
          <w:b/>
          <w:color w:val="auto"/>
          <w:sz w:val="21"/>
          <w:szCs w:val="21"/>
          <w:highlight w:val="none"/>
        </w:rPr>
      </w:pPr>
      <w:bookmarkStart w:id="39" w:name="_Toc1321"/>
      <w:r>
        <w:rPr>
          <w:rFonts w:hint="eastAsia" w:hAnsi="宋体" w:cs="宋体"/>
          <w:b/>
          <w:color w:val="auto"/>
          <w:sz w:val="21"/>
          <w:szCs w:val="21"/>
          <w:highlight w:val="none"/>
        </w:rPr>
        <w:t>电子投标文件：电子投标文件按政采云平台供应商项目采购-电子交易操作指南（https://edu.zcygov.cn/luban/e-biding?utm=a0004.2ef5001f.0001.0109.da8b35e0da8611e98d8937b7ef8a3544）及本招标文件要求制作、加密并递交</w:t>
      </w:r>
      <w:bookmarkEnd w:id="39"/>
      <w:r>
        <w:rPr>
          <w:rFonts w:hint="eastAsia" w:hAnsi="宋体" w:cs="宋体"/>
          <w:b/>
          <w:color w:val="auto"/>
          <w:sz w:val="21"/>
          <w:szCs w:val="21"/>
          <w:highlight w:val="none"/>
        </w:rPr>
        <w:t>。</w:t>
      </w:r>
    </w:p>
    <w:p>
      <w:pPr>
        <w:snapToGrid w:val="0"/>
        <w:spacing w:line="500" w:lineRule="exact"/>
        <w:ind w:firstLine="422" w:firstLineChars="200"/>
        <w:outlineLvl w:val="0"/>
        <w:rPr>
          <w:rFonts w:hAnsi="宋体" w:cs="宋体"/>
          <w:b/>
          <w:color w:val="auto"/>
          <w:sz w:val="21"/>
          <w:szCs w:val="21"/>
          <w:highlight w:val="none"/>
        </w:rPr>
      </w:pPr>
      <w:r>
        <w:rPr>
          <w:rFonts w:hint="eastAsia" w:hAnsi="宋体" w:cs="宋体"/>
          <w:b/>
          <w:color w:val="auto"/>
          <w:sz w:val="21"/>
          <w:szCs w:val="21"/>
          <w:highlight w:val="none"/>
        </w:rPr>
        <w:t>（二）投标文件的组成</w:t>
      </w:r>
    </w:p>
    <w:p>
      <w:pPr>
        <w:snapToGrid w:val="0"/>
        <w:spacing w:line="500" w:lineRule="exact"/>
        <w:ind w:firstLine="422" w:firstLineChars="200"/>
        <w:outlineLvl w:val="0"/>
        <w:rPr>
          <w:rFonts w:hAnsi="宋体" w:cs="宋体"/>
          <w:b/>
          <w:color w:val="auto"/>
          <w:sz w:val="21"/>
          <w:szCs w:val="21"/>
          <w:highlight w:val="none"/>
        </w:rPr>
      </w:pPr>
      <w:r>
        <w:rPr>
          <w:rFonts w:hint="eastAsia" w:hAnsi="宋体" w:cs="宋体"/>
          <w:b/>
          <w:color w:val="auto"/>
          <w:sz w:val="21"/>
          <w:szCs w:val="21"/>
          <w:highlight w:val="none"/>
        </w:rPr>
        <w:t>投标文件（电子投标文件）由资格文件、商务技术文件和报价文件三部份组成。</w:t>
      </w:r>
    </w:p>
    <w:p>
      <w:pPr>
        <w:snapToGrid w:val="0"/>
        <w:spacing w:line="500" w:lineRule="exact"/>
        <w:ind w:firstLine="422" w:firstLineChars="200"/>
        <w:outlineLvl w:val="0"/>
        <w:rPr>
          <w:rFonts w:hAnsi="宋体" w:cs="宋体"/>
          <w:color w:val="auto"/>
          <w:sz w:val="21"/>
          <w:szCs w:val="21"/>
          <w:highlight w:val="none"/>
        </w:rPr>
      </w:pPr>
      <w:r>
        <w:rPr>
          <w:rFonts w:hint="eastAsia" w:hAnsi="宋体" w:cs="宋体"/>
          <w:b/>
          <w:color w:val="auto"/>
          <w:sz w:val="21"/>
          <w:szCs w:val="21"/>
          <w:highlight w:val="none"/>
        </w:rPr>
        <w:t>注：本项目投标价格的信息只允许出现在“报价文件”中，不得出现在资格文件、商务技术文件中。</w:t>
      </w:r>
    </w:p>
    <w:p>
      <w:pPr>
        <w:snapToGrid w:val="0"/>
        <w:spacing w:line="500" w:lineRule="exact"/>
        <w:ind w:firstLine="422" w:firstLineChars="200"/>
        <w:textAlignment w:val="bottom"/>
        <w:rPr>
          <w:rFonts w:hAnsi="宋体" w:cs="宋体"/>
          <w:b/>
          <w:color w:val="auto"/>
          <w:sz w:val="21"/>
          <w:szCs w:val="21"/>
          <w:highlight w:val="none"/>
        </w:rPr>
      </w:pPr>
      <w:r>
        <w:rPr>
          <w:rFonts w:hint="eastAsia" w:hAnsi="宋体" w:cs="宋体"/>
          <w:b/>
          <w:color w:val="auto"/>
          <w:sz w:val="21"/>
          <w:szCs w:val="21"/>
          <w:highlight w:val="none"/>
        </w:rPr>
        <w:t>1.资格文件部分</w:t>
      </w:r>
    </w:p>
    <w:p>
      <w:pPr>
        <w:autoSpaceDE/>
        <w:autoSpaceDN/>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（1）投标人有效期内的营业执照及其他相关资质证书（复印件加盖有效公章）；</w:t>
      </w:r>
    </w:p>
    <w:p>
      <w:pPr>
        <w:autoSpaceDE/>
        <w:autoSpaceDN/>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（2）投标人法定代表人授权委托书(格式见附件，如法定代表人本人参加的，则提供法定代表人身份证明及法定代表人身份证复印件)；</w:t>
      </w:r>
    </w:p>
    <w:p>
      <w:pPr>
        <w:widowControl/>
        <w:autoSpaceDE/>
        <w:autoSpaceDN/>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（3）符合参加政府采购活动应当具备的一般条件的承诺函（格式见附件）；</w:t>
      </w:r>
    </w:p>
    <w:p>
      <w:pPr>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（4）本项目的特定资格要求（格式见附件）。</w:t>
      </w:r>
    </w:p>
    <w:p>
      <w:pPr>
        <w:autoSpaceDE/>
        <w:autoSpaceDN/>
        <w:snapToGrid w:val="0"/>
        <w:spacing w:line="500" w:lineRule="exact"/>
        <w:ind w:firstLine="422" w:firstLineChars="200"/>
        <w:jc w:val="both"/>
        <w:rPr>
          <w:rFonts w:hAnsi="宋体" w:cs="宋体"/>
          <w:b/>
          <w:color w:val="auto"/>
          <w:sz w:val="21"/>
          <w:szCs w:val="21"/>
          <w:highlight w:val="none"/>
        </w:rPr>
      </w:pPr>
      <w:r>
        <w:rPr>
          <w:rFonts w:hint="eastAsia" w:hAnsi="宋体" w:cs="宋体"/>
          <w:b/>
          <w:color w:val="auto"/>
          <w:sz w:val="21"/>
          <w:szCs w:val="21"/>
          <w:highlight w:val="none"/>
        </w:rPr>
        <w:t>2.</w:t>
      </w:r>
      <w:r>
        <w:rPr>
          <w:rFonts w:hint="eastAsia" w:hAnsi="宋体" w:cs="宋体"/>
          <w:b/>
          <w:bCs/>
          <w:color w:val="auto"/>
          <w:sz w:val="21"/>
          <w:szCs w:val="21"/>
          <w:highlight w:val="none"/>
        </w:rPr>
        <w:t>商务技术文件</w:t>
      </w:r>
    </w:p>
    <w:p>
      <w:pPr>
        <w:autoSpaceDE/>
        <w:autoSpaceDN/>
        <w:snapToGrid w:val="0"/>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（1）投标人技术商务标自评得分汇总表（格式见附件）；</w:t>
      </w:r>
    </w:p>
    <w:p>
      <w:pPr>
        <w:autoSpaceDE/>
        <w:autoSpaceDN/>
        <w:snapToGrid w:val="0"/>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（2）投标人情况表（格式见附件）；</w:t>
      </w:r>
    </w:p>
    <w:p>
      <w:pPr>
        <w:autoSpaceDE/>
        <w:autoSpaceDN/>
        <w:snapToGrid w:val="0"/>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（3）投标人相关资质证书及获得的相关荣誉证书（扫描件或复印件加盖单位公章）；</w:t>
      </w:r>
    </w:p>
    <w:p>
      <w:pPr>
        <w:autoSpaceDE/>
        <w:autoSpaceDN/>
        <w:snapToGrid w:val="0"/>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（4）投标人2019年1月1日以来类似案例成功的业绩（须提供对应采购合同复印件/扫描件等相关资料）（加盖公章）（格式见附件）；</w:t>
      </w:r>
    </w:p>
    <w:p>
      <w:pPr>
        <w:autoSpaceDE/>
        <w:autoSpaceDN/>
        <w:snapToGrid w:val="0"/>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（5）拟投入本项目的服务人员配置表（格式见附件）；</w:t>
      </w:r>
    </w:p>
    <w:p>
      <w:pPr>
        <w:autoSpaceDE/>
        <w:autoSpaceDN/>
        <w:snapToGrid w:val="0"/>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（6）商务技术偏离表（格式见附件）；</w:t>
      </w:r>
    </w:p>
    <w:p>
      <w:pPr>
        <w:autoSpaceDE/>
        <w:autoSpaceDN/>
        <w:snapToGrid w:val="0"/>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（7）针对本项目的服务方案（格式自拟）；</w:t>
      </w:r>
    </w:p>
    <w:p>
      <w:pPr>
        <w:autoSpaceDE/>
        <w:autoSpaceDN/>
        <w:snapToGrid w:val="0"/>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（8）投标人需要说明的其他文件和说明（格式略）。</w:t>
      </w:r>
    </w:p>
    <w:p>
      <w:pPr>
        <w:autoSpaceDE/>
        <w:autoSpaceDN/>
        <w:snapToGrid w:val="0"/>
        <w:spacing w:line="500" w:lineRule="exact"/>
        <w:ind w:firstLine="420" w:firstLineChars="200"/>
        <w:jc w:val="both"/>
        <w:rPr>
          <w:rFonts w:hAnsi="宋体" w:cs="宋体"/>
          <w:b/>
          <w:color w:val="auto"/>
          <w:sz w:val="21"/>
          <w:szCs w:val="21"/>
          <w:highlight w:val="none"/>
        </w:rPr>
      </w:pPr>
      <w:r>
        <w:rPr>
          <w:rFonts w:hint="eastAsia" w:hAnsi="宋体" w:cs="宋体"/>
          <w:bCs/>
          <w:color w:val="auto"/>
          <w:sz w:val="21"/>
          <w:szCs w:val="21"/>
          <w:highlight w:val="none"/>
        </w:rPr>
        <w:t>★</w:t>
      </w:r>
      <w:r>
        <w:rPr>
          <w:rFonts w:hint="eastAsia" w:hAnsi="宋体" w:cs="宋体"/>
          <w:b/>
          <w:color w:val="auto"/>
          <w:sz w:val="21"/>
          <w:szCs w:val="21"/>
          <w:highlight w:val="none"/>
        </w:rPr>
        <w:t>注：资格文件、</w:t>
      </w:r>
      <w:r>
        <w:rPr>
          <w:rFonts w:hint="eastAsia" w:hAnsi="宋体" w:cs="宋体"/>
          <w:b/>
          <w:bCs/>
          <w:color w:val="auto"/>
          <w:sz w:val="21"/>
          <w:szCs w:val="21"/>
          <w:highlight w:val="none"/>
        </w:rPr>
        <w:t>商务技术标</w:t>
      </w:r>
      <w:r>
        <w:rPr>
          <w:rFonts w:hint="eastAsia" w:hAnsi="宋体" w:cs="宋体"/>
          <w:b/>
          <w:color w:val="auto"/>
          <w:sz w:val="21"/>
          <w:szCs w:val="21"/>
          <w:highlight w:val="none"/>
        </w:rPr>
        <w:t>中不得含有报价的信息，否则按废标处理。</w:t>
      </w:r>
    </w:p>
    <w:p>
      <w:pPr>
        <w:snapToGrid w:val="0"/>
        <w:spacing w:line="500" w:lineRule="exact"/>
        <w:ind w:firstLine="422" w:firstLineChars="200"/>
        <w:rPr>
          <w:rFonts w:hAnsi="宋体" w:cs="宋体"/>
          <w:b/>
          <w:color w:val="auto"/>
          <w:sz w:val="21"/>
          <w:szCs w:val="21"/>
          <w:highlight w:val="none"/>
        </w:rPr>
      </w:pPr>
      <w:r>
        <w:rPr>
          <w:rFonts w:hint="eastAsia" w:hAnsi="宋体" w:cs="宋体"/>
          <w:b/>
          <w:color w:val="auto"/>
          <w:sz w:val="21"/>
          <w:szCs w:val="21"/>
          <w:highlight w:val="none"/>
        </w:rPr>
        <w:t>3.报价文件</w:t>
      </w:r>
    </w:p>
    <w:p>
      <w:pPr>
        <w:autoSpaceDE/>
        <w:autoSpaceDN/>
        <w:snapToGrid w:val="0"/>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（1）投标函（格式见附件）；</w:t>
      </w:r>
    </w:p>
    <w:p>
      <w:pPr>
        <w:autoSpaceDE/>
        <w:autoSpaceDN/>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（2）</w:t>
      </w:r>
      <w:r>
        <w:rPr>
          <w:rFonts w:hint="eastAsia" w:hAnsi="宋体" w:cs="宋体"/>
          <w:color w:val="auto"/>
          <w:sz w:val="21"/>
          <w:szCs w:val="21"/>
          <w:highlight w:val="none"/>
          <w:lang w:eastAsia="zh-CN"/>
        </w:rPr>
        <w:t>开标（报价）一览表</w:t>
      </w:r>
      <w:r>
        <w:rPr>
          <w:rFonts w:hint="eastAsia" w:hAnsi="宋体" w:cs="宋体"/>
          <w:color w:val="auto"/>
          <w:sz w:val="21"/>
          <w:szCs w:val="21"/>
          <w:highlight w:val="none"/>
        </w:rPr>
        <w:t>（格式见附件）；</w:t>
      </w:r>
    </w:p>
    <w:p>
      <w:pPr>
        <w:autoSpaceDE/>
        <w:autoSpaceDN/>
        <w:snapToGrid w:val="0"/>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（3）《中小企业声明函》（如有）；（本项目采购标的对应的中小企业划分标准所属行业为“其他未列明行业--科学研究和技术服务业”；格式见附件，如未提供的，评审时不给予政策性价格扣除）；</w:t>
      </w:r>
    </w:p>
    <w:p>
      <w:pPr>
        <w:autoSpaceDE/>
        <w:autoSpaceDN/>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（4）投标人针对报价需要说明的其他文件和说明（格式自拟）。</w:t>
      </w:r>
    </w:p>
    <w:p>
      <w:pPr>
        <w:autoSpaceDE/>
        <w:autoSpaceDN/>
        <w:adjustRightInd/>
        <w:spacing w:line="500" w:lineRule="exact"/>
        <w:ind w:firstLine="422" w:firstLineChars="200"/>
        <w:jc w:val="both"/>
        <w:rPr>
          <w:rFonts w:hAnsi="宋体" w:cs="宋体"/>
          <w:b/>
          <w:color w:val="auto"/>
          <w:sz w:val="21"/>
          <w:szCs w:val="21"/>
          <w:highlight w:val="none"/>
        </w:rPr>
      </w:pPr>
      <w:r>
        <w:rPr>
          <w:rFonts w:hint="eastAsia" w:hAnsi="宋体" w:cs="宋体"/>
          <w:b/>
          <w:color w:val="auto"/>
          <w:sz w:val="21"/>
          <w:szCs w:val="21"/>
          <w:highlight w:val="none"/>
        </w:rPr>
        <w:t>（三）投标文件的语言及计量</w:t>
      </w:r>
    </w:p>
    <w:p>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1.投标文件以及投标人与采购人就有关投标事宜的所有来往函电，均应以中文汉语书写。除签名、盖章、专用名称等特殊情形外，以中文汉语以外的文字表述的投标文件视同未提供。</w:t>
      </w:r>
    </w:p>
    <w:p>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2.投标计量单位，招标文件已有明确规定的，使用招标文件规定的计量单位。招标文件没有规定的，应采用中华人民共和国法定计量单位（货币单位：人民币元），否则视同未响应。</w:t>
      </w:r>
    </w:p>
    <w:p>
      <w:pPr>
        <w:autoSpaceDE/>
        <w:autoSpaceDN/>
        <w:adjustRightInd/>
        <w:snapToGrid w:val="0"/>
        <w:spacing w:line="500" w:lineRule="exact"/>
        <w:ind w:firstLine="422" w:firstLineChars="200"/>
        <w:jc w:val="both"/>
        <w:rPr>
          <w:rFonts w:hAnsi="宋体" w:cs="宋体"/>
          <w:b/>
          <w:color w:val="auto"/>
          <w:sz w:val="21"/>
          <w:szCs w:val="21"/>
          <w:highlight w:val="none"/>
        </w:rPr>
      </w:pPr>
      <w:r>
        <w:rPr>
          <w:rFonts w:hint="eastAsia" w:hAnsi="宋体" w:cs="宋体"/>
          <w:b/>
          <w:color w:val="auto"/>
          <w:sz w:val="21"/>
          <w:szCs w:val="21"/>
          <w:highlight w:val="none"/>
        </w:rPr>
        <w:t>（四）投标报价</w:t>
      </w:r>
    </w:p>
    <w:p>
      <w:pPr>
        <w:autoSpaceDE/>
        <w:autoSpaceDN/>
        <w:adjustRightInd/>
        <w:snapToGrid w:val="0"/>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1.投标报价应按招标文件中相关附表格式填写。</w:t>
      </w:r>
    </w:p>
    <w:p>
      <w:pPr>
        <w:autoSpaceDE/>
        <w:autoSpaceDN/>
        <w:adjustRightInd/>
        <w:snapToGrid w:val="0"/>
        <w:spacing w:line="500" w:lineRule="exact"/>
        <w:ind w:firstLine="420" w:firstLineChars="200"/>
        <w:jc w:val="both"/>
        <w:rPr>
          <w:rFonts w:hAnsi="宋体" w:cs="宋体"/>
          <w:bCs/>
          <w:color w:val="auto"/>
          <w:sz w:val="21"/>
          <w:szCs w:val="21"/>
          <w:highlight w:val="none"/>
        </w:rPr>
      </w:pPr>
      <w:r>
        <w:rPr>
          <w:rFonts w:hint="eastAsia" w:hAnsi="宋体" w:cs="宋体"/>
          <w:bCs/>
          <w:color w:val="auto"/>
          <w:sz w:val="21"/>
          <w:szCs w:val="21"/>
          <w:highlight w:val="none"/>
        </w:rPr>
        <w:t>★</w:t>
      </w:r>
      <w:r>
        <w:rPr>
          <w:rFonts w:hint="eastAsia" w:hAnsi="宋体" w:cs="宋体"/>
          <w:b/>
          <w:bCs/>
          <w:color w:val="auto"/>
          <w:sz w:val="21"/>
          <w:szCs w:val="21"/>
          <w:highlight w:val="none"/>
        </w:rPr>
        <w:t>2.</w:t>
      </w:r>
      <w:r>
        <w:rPr>
          <w:rFonts w:hint="eastAsia" w:hAnsi="宋体" w:cs="宋体"/>
          <w:color w:val="auto"/>
          <w:sz w:val="21"/>
          <w:szCs w:val="21"/>
          <w:highlight w:val="none"/>
        </w:rPr>
        <w:t>本项目投标报价应以人民币为结算货币。投标报价是</w:t>
      </w:r>
      <w:r>
        <w:rPr>
          <w:rFonts w:hAnsi="宋体" w:cs="Arial"/>
          <w:color w:val="auto"/>
          <w:sz w:val="21"/>
          <w:szCs w:val="21"/>
          <w:highlight w:val="none"/>
        </w:rPr>
        <w:t>履行合同的最终</w:t>
      </w:r>
      <w:r>
        <w:rPr>
          <w:rFonts w:hint="eastAsia" w:hAnsi="宋体" w:cs="Arial"/>
          <w:color w:val="auto"/>
          <w:sz w:val="21"/>
          <w:szCs w:val="21"/>
          <w:highlight w:val="none"/>
        </w:rPr>
        <w:t>综合单价</w:t>
      </w:r>
      <w:r>
        <w:rPr>
          <w:rFonts w:hint="eastAsia" w:hAnsi="宋体" w:cs="宋体"/>
          <w:color w:val="auto"/>
          <w:sz w:val="21"/>
          <w:szCs w:val="21"/>
          <w:highlight w:val="none"/>
        </w:rPr>
        <w:t>，须包括实施合同所需的人工费、材料费（含燃料动力费等）、差旅费、调研费、资料收集、测试化验加工费、设备费（含设备折扣、租赁、使用费等）、措施费、知识产权费、会议费、保险、咨询费、出版印刷、管理费、不可预见费和采购代理服务费、利润、汇报材料/成果编制及印刷、税金、</w:t>
      </w:r>
      <w:r>
        <w:rPr>
          <w:rFonts w:hint="eastAsia" w:hAnsi="宋体" w:cs="宋体"/>
          <w:color w:val="auto"/>
          <w:sz w:val="21"/>
          <w:szCs w:val="21"/>
          <w:highlight w:val="none"/>
          <w:lang w:val="en-US" w:eastAsia="zh-CN"/>
        </w:rPr>
        <w:t>验收、验收时第三方机构的检测/检验费、</w:t>
      </w:r>
      <w:r>
        <w:rPr>
          <w:rFonts w:hint="eastAsia" w:hAnsi="宋体" w:cs="宋体"/>
          <w:color w:val="auto"/>
          <w:sz w:val="21"/>
          <w:szCs w:val="21"/>
          <w:highlight w:val="none"/>
        </w:rPr>
        <w:t>政策性文件规定及合同包含的所有风险及责任等全部费用。</w:t>
      </w:r>
      <w:r>
        <w:rPr>
          <w:rFonts w:hint="eastAsia" w:hAnsi="宋体" w:cs="宋体"/>
          <w:bCs/>
          <w:color w:val="auto"/>
          <w:sz w:val="21"/>
          <w:szCs w:val="21"/>
          <w:highlight w:val="none"/>
        </w:rPr>
        <w:t>投标人应参照国家的相应标准</w:t>
      </w:r>
      <w:r>
        <w:rPr>
          <w:rFonts w:hint="eastAsia" w:hAnsi="宋体" w:cs="宋体"/>
          <w:color w:val="auto"/>
          <w:sz w:val="21"/>
          <w:szCs w:val="21"/>
          <w:highlight w:val="none"/>
        </w:rPr>
        <w:t>，结合自身综合实力、市场行情、本项目具体特点和技术要求自</w:t>
      </w:r>
      <w:r>
        <w:rPr>
          <w:rFonts w:hint="eastAsia" w:hAnsi="宋体" w:cs="宋体"/>
          <w:bCs/>
          <w:color w:val="auto"/>
          <w:sz w:val="21"/>
          <w:szCs w:val="21"/>
          <w:highlight w:val="none"/>
        </w:rPr>
        <w:t>行报价，投标人所投报的最终报价（单价）为投标人所能承受的整个项目的一次性报价（单价），如有漏项，视同已包含在其它项目中，合同价格（单价）不做调整。</w:t>
      </w:r>
      <w:r>
        <w:rPr>
          <w:rFonts w:hint="eastAsia" w:hAnsi="宋体" w:cs="宋体"/>
          <w:color w:val="auto"/>
          <w:sz w:val="21"/>
          <w:szCs w:val="21"/>
          <w:highlight w:val="none"/>
        </w:rPr>
        <w:t>结算时，</w:t>
      </w:r>
      <w:r>
        <w:rPr>
          <w:rFonts w:hint="eastAsia" w:hAnsi="宋体" w:cs="宋体"/>
          <w:color w:val="auto"/>
          <w:sz w:val="21"/>
          <w:szCs w:val="21"/>
          <w:highlight w:val="none"/>
          <w:lang w:eastAsia="zh-CN"/>
        </w:rPr>
        <w:t>中标供应商</w:t>
      </w:r>
      <w:r>
        <w:rPr>
          <w:rFonts w:hint="eastAsia" w:hAnsi="宋体" w:cs="宋体"/>
          <w:color w:val="auto"/>
          <w:sz w:val="21"/>
          <w:szCs w:val="21"/>
          <w:highlight w:val="none"/>
        </w:rPr>
        <w:t>须随付款进度提供正式税务发票。</w:t>
      </w:r>
    </w:p>
    <w:p>
      <w:pPr>
        <w:autoSpaceDE/>
        <w:autoSpaceDN/>
        <w:adjustRightInd/>
        <w:snapToGrid w:val="0"/>
        <w:spacing w:line="500" w:lineRule="exact"/>
        <w:ind w:firstLine="420" w:firstLineChars="200"/>
        <w:jc w:val="both"/>
        <w:rPr>
          <w:rFonts w:hAnsi="宋体" w:cs="宋体"/>
          <w:color w:val="auto"/>
          <w:sz w:val="21"/>
          <w:szCs w:val="21"/>
          <w:highlight w:val="none"/>
        </w:rPr>
      </w:pPr>
      <w:r>
        <w:rPr>
          <w:rFonts w:hint="eastAsia" w:hAnsi="宋体" w:cs="宋体"/>
          <w:bCs/>
          <w:color w:val="auto"/>
          <w:sz w:val="21"/>
          <w:szCs w:val="21"/>
          <w:highlight w:val="none"/>
        </w:rPr>
        <w:t>★</w:t>
      </w:r>
      <w:r>
        <w:rPr>
          <w:rFonts w:hint="eastAsia" w:hAnsi="宋体" w:cs="宋体"/>
          <w:color w:val="auto"/>
          <w:sz w:val="21"/>
          <w:szCs w:val="21"/>
          <w:highlight w:val="none"/>
        </w:rPr>
        <w:t>3.投标文件中各项的报价均只允许有一个报价，有选择的或有条件的报价将不予接受。</w:t>
      </w:r>
    </w:p>
    <w:p>
      <w:pPr>
        <w:autoSpaceDE/>
        <w:autoSpaceDN/>
        <w:snapToGrid w:val="0"/>
        <w:spacing w:line="46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4.本项目设有最高单价限价（即详见下表），任何一项投标报价超过最高单价限价的均做无效投标处理。</w:t>
      </w:r>
    </w:p>
    <w:tbl>
      <w:tblPr>
        <w:tblStyle w:val="4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9"/>
        <w:gridCol w:w="3392"/>
        <w:gridCol w:w="4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pct"/>
            <w:vAlign w:val="center"/>
          </w:tcPr>
          <w:p>
            <w:pPr>
              <w:snapToGrid w:val="0"/>
              <w:spacing w:line="460" w:lineRule="exact"/>
              <w:jc w:val="center"/>
              <w:textAlignment w:val="baseline"/>
              <w:rPr>
                <w:rFonts w:hAnsi="宋体" w:cs="宋体"/>
                <w:color w:val="auto"/>
                <w:sz w:val="21"/>
                <w:szCs w:val="21"/>
                <w:highlight w:val="none"/>
              </w:rPr>
            </w:pPr>
            <w:r>
              <w:rPr>
                <w:rFonts w:hint="eastAsia" w:hAnsi="宋体" w:cs="宋体"/>
                <w:color w:val="auto"/>
                <w:sz w:val="21"/>
                <w:szCs w:val="21"/>
                <w:highlight w:val="none"/>
              </w:rPr>
              <w:t>序号</w:t>
            </w:r>
          </w:p>
        </w:tc>
        <w:tc>
          <w:tcPr>
            <w:tcW w:w="1783" w:type="pct"/>
            <w:vAlign w:val="center"/>
          </w:tcPr>
          <w:p>
            <w:pPr>
              <w:snapToGrid w:val="0"/>
              <w:spacing w:line="460" w:lineRule="exact"/>
              <w:jc w:val="center"/>
              <w:textAlignment w:val="baseline"/>
              <w:rPr>
                <w:rFonts w:hAnsi="宋体" w:cs="宋体"/>
                <w:color w:val="auto"/>
                <w:sz w:val="21"/>
                <w:szCs w:val="21"/>
                <w:highlight w:val="none"/>
              </w:rPr>
            </w:pPr>
            <w:r>
              <w:rPr>
                <w:rFonts w:hint="eastAsia" w:hAnsi="宋体" w:cs="宋体"/>
                <w:color w:val="auto"/>
                <w:sz w:val="21"/>
                <w:szCs w:val="21"/>
                <w:highlight w:val="none"/>
              </w:rPr>
              <w:t>采购内容</w:t>
            </w:r>
          </w:p>
        </w:tc>
        <w:tc>
          <w:tcPr>
            <w:tcW w:w="2244" w:type="pct"/>
            <w:vAlign w:val="center"/>
          </w:tcPr>
          <w:p>
            <w:pPr>
              <w:autoSpaceDE/>
              <w:autoSpaceDN/>
              <w:snapToGrid w:val="0"/>
              <w:spacing w:line="460" w:lineRule="exact"/>
              <w:jc w:val="center"/>
              <w:textAlignment w:val="baseline"/>
              <w:rPr>
                <w:rFonts w:hAnsi="宋体" w:cs="宋体"/>
                <w:color w:val="auto"/>
                <w:sz w:val="21"/>
                <w:szCs w:val="21"/>
                <w:highlight w:val="none"/>
              </w:rPr>
            </w:pPr>
            <w:r>
              <w:rPr>
                <w:rFonts w:hint="eastAsia" w:hAnsi="宋体" w:cs="宋体"/>
                <w:color w:val="auto"/>
                <w:sz w:val="21"/>
                <w:szCs w:val="21"/>
                <w:highlight w:val="none"/>
              </w:rPr>
              <w:t>最高单价限价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pct"/>
            <w:vAlign w:val="center"/>
          </w:tcPr>
          <w:p>
            <w:pPr>
              <w:snapToGrid w:val="0"/>
              <w:spacing w:line="460" w:lineRule="exact"/>
              <w:jc w:val="center"/>
              <w:textAlignment w:val="baseline"/>
              <w:rPr>
                <w:color w:val="auto"/>
                <w:sz w:val="21"/>
                <w:szCs w:val="21"/>
                <w:highlight w:val="none"/>
              </w:rPr>
            </w:pPr>
            <w:r>
              <w:rPr>
                <w:rFonts w:hint="eastAsia"/>
                <w:color w:val="auto"/>
                <w:sz w:val="21"/>
                <w:szCs w:val="21"/>
                <w:highlight w:val="none"/>
              </w:rPr>
              <w:t>1</w:t>
            </w:r>
          </w:p>
        </w:tc>
        <w:tc>
          <w:tcPr>
            <w:tcW w:w="3392" w:type="dxa"/>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auto"/>
              <w:rPr>
                <w:rFonts w:hAnsi="宋体" w:cs="宋体"/>
                <w:color w:val="auto"/>
                <w:sz w:val="21"/>
                <w:szCs w:val="21"/>
                <w:highlight w:val="none"/>
              </w:rPr>
            </w:pPr>
            <w:r>
              <w:rPr>
                <w:rFonts w:hint="eastAsia" w:hAnsi="宋体" w:cs="宋体"/>
                <w:color w:val="auto"/>
                <w:sz w:val="21"/>
                <w:szCs w:val="21"/>
                <w:highlight w:val="none"/>
              </w:rPr>
              <w:t>管网测绘</w:t>
            </w:r>
          </w:p>
        </w:tc>
        <w:tc>
          <w:tcPr>
            <w:tcW w:w="2244" w:type="pct"/>
            <w:vAlign w:val="center"/>
          </w:tcPr>
          <w:p>
            <w:pPr>
              <w:snapToGrid w:val="0"/>
              <w:spacing w:line="460" w:lineRule="exact"/>
              <w:jc w:val="center"/>
              <w:textAlignment w:val="baseline"/>
              <w:rPr>
                <w:rFonts w:hint="eastAsia" w:hAnsi="宋体" w:eastAsia="宋体" w:cs="宋体"/>
                <w:color w:val="auto"/>
                <w:sz w:val="21"/>
                <w:szCs w:val="21"/>
                <w:highlight w:val="none"/>
                <w:lang w:eastAsia="zh-CN"/>
              </w:rPr>
            </w:pPr>
            <w:r>
              <w:rPr>
                <w:rFonts w:hint="eastAsia" w:hAnsi="宋体" w:cs="宋体"/>
                <w:color w:val="auto"/>
                <w:sz w:val="21"/>
                <w:szCs w:val="21"/>
                <w:highlight w:val="none"/>
                <w:lang w:eastAsia="zh-CN"/>
              </w:rPr>
              <w:t>3.50元/米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pct"/>
            <w:vAlign w:val="center"/>
          </w:tcPr>
          <w:p>
            <w:pPr>
              <w:snapToGrid w:val="0"/>
              <w:spacing w:line="460" w:lineRule="exact"/>
              <w:jc w:val="center"/>
              <w:textAlignment w:val="baseline"/>
              <w:rPr>
                <w:rFonts w:hAnsi="宋体" w:cs="宋体"/>
                <w:color w:val="auto"/>
                <w:sz w:val="21"/>
                <w:szCs w:val="21"/>
                <w:highlight w:val="none"/>
              </w:rPr>
            </w:pPr>
            <w:r>
              <w:rPr>
                <w:rFonts w:hint="eastAsia" w:hAnsi="宋体" w:cs="宋体"/>
                <w:color w:val="auto"/>
                <w:sz w:val="21"/>
                <w:szCs w:val="21"/>
                <w:highlight w:val="none"/>
              </w:rPr>
              <w:t>2</w:t>
            </w:r>
          </w:p>
        </w:tc>
        <w:tc>
          <w:tcPr>
            <w:tcW w:w="3392" w:type="dxa"/>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auto"/>
              <w:rPr>
                <w:rFonts w:hAnsi="宋体" w:cs="宋体"/>
                <w:color w:val="auto"/>
                <w:sz w:val="21"/>
                <w:szCs w:val="21"/>
                <w:highlight w:val="none"/>
              </w:rPr>
            </w:pPr>
            <w:r>
              <w:rPr>
                <w:rFonts w:hint="eastAsia" w:hAnsi="宋体" w:cs="宋体"/>
                <w:color w:val="auto"/>
                <w:sz w:val="21"/>
                <w:szCs w:val="21"/>
                <w:highlight w:val="none"/>
              </w:rPr>
              <w:t>管道检测</w:t>
            </w:r>
          </w:p>
        </w:tc>
        <w:tc>
          <w:tcPr>
            <w:tcW w:w="2244" w:type="pct"/>
            <w:vAlign w:val="center"/>
          </w:tcPr>
          <w:p>
            <w:pPr>
              <w:snapToGrid w:val="0"/>
              <w:spacing w:line="460" w:lineRule="exact"/>
              <w:jc w:val="center"/>
              <w:textAlignment w:val="baseline"/>
              <w:rPr>
                <w:rFonts w:hint="eastAsia" w:hAnsi="宋体" w:eastAsia="宋体" w:cs="宋体"/>
                <w:color w:val="auto"/>
                <w:sz w:val="21"/>
                <w:szCs w:val="21"/>
                <w:highlight w:val="none"/>
                <w:lang w:eastAsia="zh-CN"/>
              </w:rPr>
            </w:pPr>
            <w:r>
              <w:rPr>
                <w:rFonts w:hint="eastAsia" w:hAnsi="宋体" w:cs="宋体"/>
                <w:color w:val="auto"/>
                <w:sz w:val="21"/>
                <w:szCs w:val="21"/>
                <w:highlight w:val="none"/>
                <w:lang w:eastAsia="zh-CN"/>
              </w:rPr>
              <w:t>21.00元/米</w:t>
            </w:r>
          </w:p>
        </w:tc>
      </w:tr>
    </w:tbl>
    <w:p>
      <w:pPr>
        <w:pStyle w:val="2"/>
        <w:adjustRightInd w:val="0"/>
        <w:snapToGrid w:val="0"/>
        <w:spacing w:after="0" w:line="500" w:lineRule="exact"/>
        <w:ind w:left="0" w:leftChars="0" w:firstLineChars="200"/>
        <w:rPr>
          <w:rFonts w:ascii="宋体" w:hAnsi="宋体" w:cs="宋体"/>
          <w:color w:val="auto"/>
          <w:sz w:val="21"/>
          <w:szCs w:val="21"/>
          <w:highlight w:val="none"/>
        </w:rPr>
      </w:pPr>
      <w:r>
        <w:rPr>
          <w:rFonts w:hint="eastAsia" w:ascii="宋体" w:hAnsi="宋体" w:cs="宋体"/>
          <w:bCs/>
          <w:color w:val="auto"/>
          <w:sz w:val="21"/>
          <w:szCs w:val="21"/>
          <w:highlight w:val="none"/>
        </w:rPr>
        <w:t>★</w:t>
      </w:r>
      <w:r>
        <w:rPr>
          <w:rFonts w:hint="eastAsia" w:ascii="宋体" w:hAnsi="宋体" w:cs="宋体"/>
          <w:color w:val="auto"/>
          <w:sz w:val="21"/>
          <w:szCs w:val="21"/>
          <w:highlight w:val="none"/>
        </w:rPr>
        <w:t>备注：</w:t>
      </w:r>
      <w:r>
        <w:rPr>
          <w:rFonts w:hint="eastAsia" w:ascii="宋体" w:hAnsi="宋体" w:cs="宋体"/>
          <w:color w:val="auto"/>
          <w:sz w:val="21"/>
          <w:szCs w:val="21"/>
          <w:highlight w:val="none"/>
          <w:lang w:eastAsia="zh-CN"/>
        </w:rPr>
        <w:t>中标供应商</w:t>
      </w:r>
      <w:r>
        <w:rPr>
          <w:rFonts w:hint="eastAsia" w:ascii="宋体" w:hAnsi="宋体" w:cs="宋体"/>
          <w:color w:val="auto"/>
          <w:sz w:val="21"/>
          <w:szCs w:val="21"/>
          <w:highlight w:val="none"/>
        </w:rPr>
        <w:t>的最终结算总价若经计算超过本项目的</w:t>
      </w:r>
      <w:r>
        <w:rPr>
          <w:rFonts w:hint="eastAsia" w:ascii="宋体" w:hAnsi="宋体" w:cs="宋体"/>
          <w:color w:val="auto"/>
          <w:sz w:val="21"/>
          <w:szCs w:val="21"/>
          <w:highlight w:val="none"/>
          <w:lang w:val="en-US" w:eastAsia="zh-CN"/>
        </w:rPr>
        <w:t>预算金额</w:t>
      </w:r>
      <w:r>
        <w:rPr>
          <w:rFonts w:hint="eastAsia" w:ascii="宋体" w:hAnsi="宋体" w:cs="宋体"/>
          <w:color w:val="auto"/>
          <w:sz w:val="21"/>
          <w:szCs w:val="21"/>
          <w:highlight w:val="none"/>
        </w:rPr>
        <w:t>的，则按</w:t>
      </w:r>
      <w:r>
        <w:rPr>
          <w:rFonts w:hint="eastAsia" w:ascii="宋体" w:hAnsi="宋体" w:cs="宋体"/>
          <w:color w:val="auto"/>
          <w:sz w:val="21"/>
          <w:szCs w:val="21"/>
          <w:highlight w:val="none"/>
          <w:lang w:eastAsia="zh-CN"/>
        </w:rPr>
        <w:t>预算金额</w:t>
      </w:r>
      <w:r>
        <w:rPr>
          <w:rFonts w:hint="eastAsia" w:ascii="宋体" w:hAnsi="宋体" w:cs="宋体"/>
          <w:color w:val="auto"/>
          <w:sz w:val="21"/>
          <w:szCs w:val="21"/>
          <w:highlight w:val="none"/>
        </w:rPr>
        <w:t>进行支付。</w:t>
      </w:r>
      <w:r>
        <w:rPr>
          <w:rFonts w:hint="eastAsia" w:ascii="宋体" w:hAnsi="宋体" w:cs="宋体"/>
          <w:color w:val="auto"/>
          <w:sz w:val="21"/>
          <w:szCs w:val="21"/>
          <w:highlight w:val="none"/>
          <w:lang w:eastAsia="zh-CN"/>
        </w:rPr>
        <w:t>即：</w:t>
      </w:r>
      <w:r>
        <w:rPr>
          <w:rFonts w:hint="eastAsia" w:ascii="宋体" w:hAnsi="宋体" w:cs="宋体"/>
          <w:color w:val="auto"/>
          <w:sz w:val="21"/>
          <w:szCs w:val="21"/>
          <w:highlight w:val="none"/>
        </w:rPr>
        <w:t>本项目最终结算总额不得超过本项目的</w:t>
      </w:r>
      <w:r>
        <w:rPr>
          <w:rFonts w:hint="eastAsia" w:ascii="宋体" w:hAnsi="宋体" w:cs="宋体"/>
          <w:color w:val="auto"/>
          <w:sz w:val="21"/>
          <w:szCs w:val="21"/>
          <w:highlight w:val="none"/>
          <w:lang w:val="en-US" w:eastAsia="zh-CN"/>
        </w:rPr>
        <w:t>预算金额</w:t>
      </w:r>
      <w:r>
        <w:rPr>
          <w:rFonts w:hint="eastAsia" w:ascii="宋体" w:hAnsi="宋体" w:cs="宋体"/>
          <w:color w:val="auto"/>
          <w:sz w:val="21"/>
          <w:szCs w:val="21"/>
          <w:highlight w:val="none"/>
        </w:rPr>
        <w:t>。</w:t>
      </w:r>
    </w:p>
    <w:p>
      <w:pPr>
        <w:pStyle w:val="2"/>
        <w:snapToGrid w:val="0"/>
        <w:spacing w:after="0" w:line="500" w:lineRule="exact"/>
        <w:ind w:left="0" w:leftChars="0"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（五）投标文件的有效期</w:t>
      </w:r>
    </w:p>
    <w:p>
      <w:pPr>
        <w:autoSpaceDE/>
        <w:autoSpaceDN/>
        <w:adjustRightInd/>
        <w:snapToGrid w:val="0"/>
        <w:spacing w:line="500" w:lineRule="exact"/>
        <w:ind w:firstLine="420" w:firstLineChars="200"/>
        <w:jc w:val="both"/>
        <w:rPr>
          <w:rFonts w:hAnsi="宋体" w:cs="宋体"/>
          <w:color w:val="auto"/>
          <w:sz w:val="21"/>
          <w:szCs w:val="21"/>
          <w:highlight w:val="none"/>
        </w:rPr>
      </w:pPr>
      <w:r>
        <w:rPr>
          <w:rFonts w:hint="eastAsia" w:hAnsi="宋体" w:cs="宋体"/>
          <w:bCs/>
          <w:color w:val="auto"/>
          <w:sz w:val="21"/>
          <w:szCs w:val="21"/>
          <w:highlight w:val="none"/>
        </w:rPr>
        <w:t>★</w:t>
      </w:r>
      <w:r>
        <w:rPr>
          <w:rFonts w:hint="eastAsia" w:hAnsi="宋体" w:cs="宋体"/>
          <w:color w:val="auto"/>
          <w:sz w:val="21"/>
          <w:szCs w:val="21"/>
          <w:highlight w:val="none"/>
        </w:rPr>
        <w:t>1.自投标截止日起90天投标文件应保持有效。有效期不足的投标文件将被拒绝。</w:t>
      </w:r>
    </w:p>
    <w:p>
      <w:pPr>
        <w:autoSpaceDE/>
        <w:autoSpaceDN/>
        <w:adjustRightInd/>
        <w:snapToGrid w:val="0"/>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2.在特殊情况下，采购人可与投标人协商延长投标书的有效期，这种要求和答复均以书面形式进行。</w:t>
      </w:r>
    </w:p>
    <w:p>
      <w:pPr>
        <w:spacing w:line="500" w:lineRule="exact"/>
        <w:ind w:firstLine="420" w:firstLineChars="200"/>
        <w:rPr>
          <w:rFonts w:hAnsi="宋体" w:cs="宋体"/>
          <w:color w:val="auto"/>
          <w:highlight w:val="none"/>
        </w:rPr>
      </w:pPr>
      <w:r>
        <w:rPr>
          <w:rFonts w:hint="eastAsia" w:hAnsi="宋体" w:cs="宋体"/>
          <w:color w:val="auto"/>
          <w:sz w:val="21"/>
          <w:szCs w:val="21"/>
          <w:highlight w:val="none"/>
        </w:rPr>
        <w:t>3.投标人可拒绝接受延期要求。同意延长有效期的，不能以此为由修改投标文件。</w:t>
      </w:r>
    </w:p>
    <w:p>
      <w:pPr>
        <w:autoSpaceDE/>
        <w:autoSpaceDN/>
        <w:adjustRightInd/>
        <w:snapToGrid w:val="0"/>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4.</w:t>
      </w:r>
      <w:r>
        <w:rPr>
          <w:rFonts w:hint="eastAsia" w:hAnsi="宋体" w:cs="宋体"/>
          <w:color w:val="auto"/>
          <w:sz w:val="21"/>
          <w:szCs w:val="21"/>
          <w:highlight w:val="none"/>
          <w:lang w:eastAsia="zh-CN"/>
        </w:rPr>
        <w:t>中标供应商</w:t>
      </w:r>
      <w:r>
        <w:rPr>
          <w:rFonts w:hint="eastAsia" w:hAnsi="宋体" w:cs="宋体"/>
          <w:color w:val="auto"/>
          <w:sz w:val="21"/>
          <w:szCs w:val="21"/>
          <w:highlight w:val="none"/>
        </w:rPr>
        <w:t>的投标文件自开标之日起至合同履行完毕止均应保持有效。</w:t>
      </w:r>
    </w:p>
    <w:p>
      <w:pPr>
        <w:autoSpaceDE/>
        <w:autoSpaceDN/>
        <w:adjustRightInd/>
        <w:spacing w:line="500" w:lineRule="exact"/>
        <w:ind w:firstLine="422" w:firstLineChars="200"/>
        <w:jc w:val="both"/>
        <w:rPr>
          <w:rFonts w:hAnsi="宋体" w:cs="宋体"/>
          <w:b/>
          <w:color w:val="auto"/>
          <w:sz w:val="21"/>
          <w:szCs w:val="21"/>
          <w:highlight w:val="none"/>
        </w:rPr>
      </w:pPr>
      <w:r>
        <w:rPr>
          <w:rFonts w:hint="eastAsia" w:hAnsi="宋体" w:cs="宋体"/>
          <w:b/>
          <w:color w:val="auto"/>
          <w:sz w:val="21"/>
          <w:szCs w:val="21"/>
          <w:highlight w:val="none"/>
        </w:rPr>
        <w:t>（六）投标文件的签署和份数</w:t>
      </w:r>
    </w:p>
    <w:p>
      <w:pPr>
        <w:widowControl/>
        <w:snapToGrid w:val="0"/>
        <w:spacing w:line="460" w:lineRule="exact"/>
        <w:ind w:firstLine="420"/>
        <w:rPr>
          <w:rFonts w:hAnsi="宋体" w:cs="宋体"/>
          <w:color w:val="auto"/>
          <w:sz w:val="21"/>
          <w:highlight w:val="none"/>
        </w:rPr>
      </w:pPr>
      <w:r>
        <w:rPr>
          <w:rFonts w:hint="eastAsia" w:hAnsi="宋体" w:cs="宋体"/>
          <w:color w:val="auto"/>
          <w:sz w:val="21"/>
          <w:szCs w:val="24"/>
          <w:highlight w:val="none"/>
        </w:rPr>
        <w:t>1.</w:t>
      </w:r>
      <w:r>
        <w:rPr>
          <w:rFonts w:hint="eastAsia" w:hAnsi="宋体" w:cs="宋体"/>
          <w:color w:val="auto"/>
          <w:sz w:val="21"/>
          <w:highlight w:val="none"/>
        </w:rPr>
        <w:t>电子投标文件部分：</w:t>
      </w:r>
    </w:p>
    <w:p>
      <w:pPr>
        <w:widowControl/>
        <w:snapToGrid w:val="0"/>
        <w:spacing w:line="460" w:lineRule="exact"/>
        <w:ind w:firstLine="420"/>
        <w:rPr>
          <w:rFonts w:hAnsi="宋体" w:cs="宋体"/>
          <w:color w:val="auto"/>
          <w:sz w:val="21"/>
          <w:highlight w:val="none"/>
        </w:rPr>
      </w:pPr>
      <w:r>
        <w:rPr>
          <w:rFonts w:hint="eastAsia" w:hAnsi="宋体" w:cs="宋体"/>
          <w:color w:val="auto"/>
          <w:sz w:val="21"/>
          <w:highlight w:val="none"/>
        </w:rPr>
        <w:t>投标人应根据“政采云供应商项目采购-电子交易操作指南”及本招标文件规定的格式和顺序编制电子投标文件并进行关联定位。</w:t>
      </w:r>
    </w:p>
    <w:p>
      <w:pPr>
        <w:widowControl/>
        <w:autoSpaceDE/>
        <w:autoSpaceDN/>
        <w:adjustRightInd/>
        <w:snapToGrid w:val="0"/>
        <w:spacing w:line="500" w:lineRule="exact"/>
        <w:ind w:firstLine="420" w:firstLineChars="200"/>
        <w:rPr>
          <w:rFonts w:hAnsi="宋体" w:cs="宋体"/>
          <w:color w:val="auto"/>
          <w:sz w:val="21"/>
          <w:highlight w:val="none"/>
        </w:rPr>
      </w:pPr>
      <w:r>
        <w:rPr>
          <w:rFonts w:hint="eastAsia" w:hAnsi="宋体" w:cs="宋体"/>
          <w:color w:val="auto"/>
          <w:sz w:val="21"/>
          <w:highlight w:val="none"/>
        </w:rPr>
        <w:t>2.投标文件的盖章：投标文件中所涉及的加盖公章均可采用CA电子签章，或投标单位可以线下盖章后扫描上传。</w:t>
      </w:r>
    </w:p>
    <w:p>
      <w:pPr>
        <w:widowControl/>
        <w:snapToGrid w:val="0"/>
        <w:spacing w:line="460" w:lineRule="exact"/>
        <w:ind w:firstLine="420"/>
        <w:rPr>
          <w:rFonts w:hAnsi="宋体" w:cs="宋体"/>
          <w:color w:val="auto"/>
          <w:sz w:val="21"/>
          <w:highlight w:val="none"/>
        </w:rPr>
      </w:pPr>
      <w:r>
        <w:rPr>
          <w:rFonts w:hint="eastAsia" w:hAnsi="宋体" w:cs="宋体"/>
          <w:color w:val="auto"/>
          <w:sz w:val="21"/>
          <w:highlight w:val="none"/>
        </w:rPr>
        <w:t>3.法定代表人或其授权代表签字或盖章：本招标文件所涉及的法定代表人或其授权代表签字或盖章的内容，投标单位可采用投标人法定代表人电子签章，也可以线下签字或盖章后扫描上传。</w:t>
      </w:r>
    </w:p>
    <w:p>
      <w:pPr>
        <w:autoSpaceDE/>
        <w:autoSpaceDN/>
        <w:adjustRightInd/>
        <w:spacing w:line="500" w:lineRule="exact"/>
        <w:ind w:firstLine="422" w:firstLineChars="200"/>
        <w:jc w:val="both"/>
        <w:rPr>
          <w:rFonts w:hAnsi="宋体" w:cs="宋体"/>
          <w:b/>
          <w:color w:val="auto"/>
          <w:sz w:val="21"/>
          <w:szCs w:val="21"/>
          <w:highlight w:val="none"/>
        </w:rPr>
      </w:pPr>
      <w:r>
        <w:rPr>
          <w:rFonts w:hint="eastAsia" w:hAnsi="宋体" w:cs="宋体"/>
          <w:b/>
          <w:color w:val="auto"/>
          <w:sz w:val="21"/>
          <w:szCs w:val="21"/>
          <w:highlight w:val="none"/>
        </w:rPr>
        <w:t>（七）投标文件的包装、递交、修改和撤回</w:t>
      </w:r>
    </w:p>
    <w:p>
      <w:pPr>
        <w:widowControl/>
        <w:autoSpaceDE/>
        <w:autoSpaceDN/>
        <w:adjustRightInd/>
        <w:snapToGrid w:val="0"/>
        <w:spacing w:line="460" w:lineRule="exact"/>
        <w:ind w:firstLine="420"/>
        <w:jc w:val="both"/>
        <w:rPr>
          <w:rFonts w:hAnsi="宋体" w:cs="宋体"/>
          <w:b/>
          <w:bCs/>
          <w:color w:val="auto"/>
          <w:sz w:val="21"/>
          <w:szCs w:val="21"/>
          <w:highlight w:val="none"/>
        </w:rPr>
      </w:pPr>
      <w:r>
        <w:rPr>
          <w:rFonts w:hint="eastAsia" w:hAnsi="宋体" w:cs="宋体"/>
          <w:b/>
          <w:bCs/>
          <w:color w:val="auto"/>
          <w:sz w:val="21"/>
          <w:szCs w:val="21"/>
          <w:highlight w:val="none"/>
        </w:rPr>
        <w:t>1．投标人应当在投标截止时间前在“政采云”（</w:t>
      </w:r>
      <w:r>
        <w:rPr>
          <w:rFonts w:hint="eastAsia" w:hAnsi="宋体" w:cs="宋体"/>
          <w:color w:val="auto"/>
          <w:sz w:val="21"/>
          <w:szCs w:val="21"/>
          <w:highlight w:val="none"/>
          <w:shd w:val="clear" w:color="auto" w:fill="FFFFFF"/>
        </w:rPr>
        <w:t xml:space="preserve"> 电子交易客户端</w:t>
      </w:r>
      <w:r>
        <w:rPr>
          <w:rFonts w:hint="eastAsia" w:hAnsi="宋体" w:cs="宋体"/>
          <w:b/>
          <w:bCs/>
          <w:color w:val="auto"/>
          <w:sz w:val="21"/>
          <w:szCs w:val="21"/>
          <w:highlight w:val="none"/>
        </w:rPr>
        <w:t>）上自行上传加密的电子投标文件。</w:t>
      </w:r>
    </w:p>
    <w:p>
      <w:pPr>
        <w:autoSpaceDE/>
        <w:autoSpaceDN/>
        <w:adjustRightInd/>
        <w:spacing w:line="460" w:lineRule="exact"/>
        <w:ind w:firstLine="420" w:firstLineChars="200"/>
        <w:jc w:val="both"/>
        <w:rPr>
          <w:rFonts w:hAnsi="宋体" w:cs="宋体"/>
          <w:color w:val="auto"/>
          <w:sz w:val="21"/>
          <w:szCs w:val="21"/>
          <w:highlight w:val="none"/>
        </w:rPr>
      </w:pPr>
      <w:r>
        <w:rPr>
          <w:rFonts w:hint="eastAsia" w:hAnsi="宋体" w:cs="宋体"/>
          <w:bCs/>
          <w:color w:val="auto"/>
          <w:sz w:val="21"/>
          <w:szCs w:val="21"/>
          <w:highlight w:val="none"/>
        </w:rPr>
        <w:t>★</w:t>
      </w:r>
      <w:r>
        <w:rPr>
          <w:rFonts w:hint="eastAsia" w:hAnsi="宋体" w:cs="宋体"/>
          <w:color w:val="auto"/>
          <w:sz w:val="21"/>
          <w:szCs w:val="21"/>
          <w:highlight w:val="none"/>
        </w:rPr>
        <w:t>2.投标人未在“政采云”（</w:t>
      </w:r>
      <w:r>
        <w:rPr>
          <w:rFonts w:hint="eastAsia" w:hAnsi="宋体" w:cs="宋体"/>
          <w:color w:val="auto"/>
          <w:sz w:val="21"/>
          <w:szCs w:val="21"/>
          <w:highlight w:val="none"/>
          <w:shd w:val="clear" w:color="auto" w:fill="FFFFFF"/>
        </w:rPr>
        <w:t xml:space="preserve"> 电子交易客户端</w:t>
      </w:r>
      <w:r>
        <w:rPr>
          <w:rFonts w:hint="eastAsia" w:hAnsi="宋体" w:cs="宋体"/>
          <w:color w:val="auto"/>
          <w:sz w:val="21"/>
          <w:szCs w:val="21"/>
          <w:highlight w:val="none"/>
        </w:rPr>
        <w:t>）上自行上传加密的电子投标文件的，投标无效。</w:t>
      </w:r>
    </w:p>
    <w:p>
      <w:pPr>
        <w:autoSpaceDE/>
        <w:autoSpaceDN/>
        <w:adjustRightInd/>
        <w:spacing w:line="500" w:lineRule="exact"/>
        <w:ind w:firstLine="422" w:firstLineChars="200"/>
        <w:jc w:val="both"/>
        <w:rPr>
          <w:rFonts w:hAnsi="宋体" w:cs="宋体"/>
          <w:b/>
          <w:bCs/>
          <w:color w:val="auto"/>
          <w:sz w:val="21"/>
          <w:szCs w:val="21"/>
          <w:highlight w:val="none"/>
        </w:rPr>
      </w:pPr>
      <w:r>
        <w:rPr>
          <w:rFonts w:hint="eastAsia" w:hAnsi="宋体" w:cs="宋体"/>
          <w:b/>
          <w:bCs/>
          <w:color w:val="auto"/>
          <w:sz w:val="21"/>
          <w:szCs w:val="21"/>
          <w:highlight w:val="none"/>
        </w:rPr>
        <w:t>3.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4.截止开标时间，政采云（</w:t>
      </w:r>
      <w:r>
        <w:rPr>
          <w:rFonts w:hint="eastAsia" w:hAnsi="宋体" w:cs="宋体"/>
          <w:color w:val="auto"/>
          <w:sz w:val="21"/>
          <w:szCs w:val="21"/>
          <w:highlight w:val="none"/>
          <w:shd w:val="clear" w:color="auto" w:fill="FFFFFF"/>
        </w:rPr>
        <w:t>电子交易客户端</w:t>
      </w:r>
      <w:r>
        <w:rPr>
          <w:rFonts w:hint="eastAsia" w:hAnsi="宋体" w:cs="宋体"/>
          <w:color w:val="auto"/>
          <w:sz w:val="21"/>
          <w:szCs w:val="21"/>
          <w:highlight w:val="none"/>
        </w:rPr>
        <w:t>）自动提取所有投标文件，投标人须在解密时限内完成解密，解密时限由财政部门设置，投标人在规定的时间内都已解密完成，则系统自动结束解密，采购代理机构开启投标文件；投标人超过解密时限的，系统默认自动放弃。</w:t>
      </w:r>
    </w:p>
    <w:p>
      <w:pPr>
        <w:autoSpaceDE/>
        <w:autoSpaceDN/>
        <w:adjustRightInd/>
        <w:spacing w:line="500" w:lineRule="exact"/>
        <w:ind w:firstLine="422" w:firstLineChars="200"/>
        <w:jc w:val="both"/>
        <w:rPr>
          <w:rFonts w:hAnsi="宋体" w:cs="宋体"/>
          <w:b/>
          <w:color w:val="auto"/>
          <w:sz w:val="21"/>
          <w:szCs w:val="21"/>
          <w:highlight w:val="none"/>
        </w:rPr>
      </w:pPr>
      <w:r>
        <w:rPr>
          <w:rFonts w:hint="eastAsia" w:hAnsi="宋体" w:cs="宋体"/>
          <w:b/>
          <w:color w:val="auto"/>
          <w:sz w:val="21"/>
          <w:szCs w:val="21"/>
          <w:highlight w:val="none"/>
        </w:rPr>
        <w:t>（八）投标无效的情形</w:t>
      </w:r>
    </w:p>
    <w:p>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1.在符合性审查和商务评审时，如发现下列情形之一的，投标文件将被视为无效：</w:t>
      </w:r>
    </w:p>
    <w:p>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（1）资格证明文件不全的，或者不符合招标文件标明的资格要求的；</w:t>
      </w:r>
    </w:p>
    <w:p>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（2）投标文件无投标人的法定代表人（或其授权代表）签字,或未提供法定代表人授权委托书或者填写项目不齐全的；</w:t>
      </w:r>
    </w:p>
    <w:p>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（3）投标代表人未能出具身份证明或与法定代表人授权委托人身份不符的；</w:t>
      </w:r>
    </w:p>
    <w:p>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（4）投标文件格式不规范、项目不齐全或者内容虚假的；</w:t>
      </w:r>
    </w:p>
    <w:p>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（5）投标文件的实质性内容未使用中文表述、意思表述不明确、前后矛盾或者使用计量单位不符合招标文件要求的（经评标委员会认定并允许其当场更正的笔误除外）；</w:t>
      </w:r>
    </w:p>
    <w:p>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（6）</w:t>
      </w:r>
      <w:r>
        <w:rPr>
          <w:rFonts w:hint="eastAsia" w:hAnsi="宋体" w:cs="宋体"/>
          <w:color w:val="auto"/>
          <w:sz w:val="21"/>
          <w:highlight w:val="none"/>
        </w:rPr>
        <w:t>投标有效期、服务时间、付款方式等商务条款不能满足招标文件要求的</w:t>
      </w:r>
      <w:r>
        <w:rPr>
          <w:rFonts w:hint="eastAsia" w:hAnsi="宋体" w:cs="宋体"/>
          <w:color w:val="auto"/>
          <w:sz w:val="21"/>
          <w:szCs w:val="21"/>
          <w:highlight w:val="none"/>
        </w:rPr>
        <w:t>；</w:t>
      </w:r>
    </w:p>
    <w:p>
      <w:pPr>
        <w:widowControl/>
        <w:snapToGrid w:val="0"/>
        <w:spacing w:line="460" w:lineRule="exact"/>
        <w:ind w:firstLine="420"/>
        <w:rPr>
          <w:rFonts w:hAnsi="宋体" w:cs="宋体"/>
          <w:color w:val="auto"/>
          <w:sz w:val="21"/>
          <w:highlight w:val="none"/>
        </w:rPr>
      </w:pPr>
      <w:r>
        <w:rPr>
          <w:rFonts w:hint="eastAsia" w:hAnsi="宋体" w:cs="宋体"/>
          <w:color w:val="auto"/>
          <w:sz w:val="21"/>
          <w:highlight w:val="none"/>
        </w:rPr>
        <w:t>（7）电子投标文件解密失败的；</w:t>
      </w:r>
    </w:p>
    <w:p>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（8）未实质性响应招标文件要求或者投标文件有采购人不能接受的附加条件的。</w:t>
      </w:r>
    </w:p>
    <w:p>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2.在技术评审时，如发现下列情形之一的，投标文件将被视为无效：</w:t>
      </w:r>
    </w:p>
    <w:p>
      <w:pPr>
        <w:autoSpaceDE/>
        <w:autoSpaceDN/>
        <w:adjustRightInd/>
        <w:spacing w:line="500" w:lineRule="exact"/>
        <w:ind w:firstLine="315" w:firstLineChars="150"/>
        <w:jc w:val="both"/>
        <w:rPr>
          <w:rFonts w:hAnsi="宋体" w:cs="宋体"/>
          <w:color w:val="auto"/>
          <w:sz w:val="21"/>
          <w:szCs w:val="21"/>
          <w:highlight w:val="none"/>
        </w:rPr>
      </w:pPr>
      <w:r>
        <w:rPr>
          <w:rFonts w:hint="eastAsia" w:hAnsi="宋体" w:cs="宋体"/>
          <w:color w:val="auto"/>
          <w:sz w:val="21"/>
          <w:szCs w:val="21"/>
          <w:highlight w:val="none"/>
        </w:rPr>
        <w:t>（1）不符合法律、法规和招标文件中规定的其他实质性要求的（评标委员会一致认定）的；</w:t>
      </w:r>
    </w:p>
    <w:p>
      <w:pPr>
        <w:autoSpaceDE/>
        <w:autoSpaceDN/>
        <w:adjustRightInd/>
        <w:spacing w:line="500" w:lineRule="exact"/>
        <w:ind w:firstLine="315" w:firstLineChars="150"/>
        <w:jc w:val="both"/>
        <w:rPr>
          <w:rFonts w:hAnsi="宋体" w:cs="宋体"/>
          <w:color w:val="auto"/>
          <w:sz w:val="21"/>
          <w:szCs w:val="21"/>
          <w:highlight w:val="none"/>
        </w:rPr>
      </w:pPr>
      <w:r>
        <w:rPr>
          <w:rFonts w:hint="eastAsia" w:hAnsi="宋体" w:cs="宋体"/>
          <w:color w:val="auto"/>
          <w:sz w:val="21"/>
          <w:szCs w:val="21"/>
          <w:highlight w:val="none"/>
        </w:rPr>
        <w:t>（2）明显不符合招标文件服务要求、服务质量标准，或者与招标文件中标“★”的服务要求项目发生实质性偏离的；</w:t>
      </w:r>
    </w:p>
    <w:p>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（3）允许偏离的技术、性能指标或者辅助功能项目发生负偏离达10项（含）以上的；</w:t>
      </w:r>
    </w:p>
    <w:p>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（4）投标技术方案不明确，存在一个或一个以上备选（替代）投标方案的；</w:t>
      </w:r>
    </w:p>
    <w:p>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（5）与其他参加本次投标单位的投标文件（技术文件）的文字表述内容相同连续20行以上或者差错相同2处以上的。</w:t>
      </w:r>
    </w:p>
    <w:p>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3.在报价评审时，如发现下列情形之一的，投标文件将被视为无效：</w:t>
      </w:r>
    </w:p>
    <w:p>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（1）未采用人民币报价或者未按照招标文件标明的币种报价的；</w:t>
      </w:r>
    </w:p>
    <w:p>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（2）投标报价具有选择性，或者开标价格与投标文件承诺的优惠价格不一致的；</w:t>
      </w:r>
    </w:p>
    <w:p>
      <w:pPr>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w:t>
      </w:r>
      <w:r>
        <w:rPr>
          <w:rFonts w:hint="eastAsia" w:hAnsi="宋体" w:cs="宋体"/>
          <w:color w:val="auto"/>
          <w:sz w:val="21"/>
          <w:szCs w:val="21"/>
          <w:highlight w:val="none"/>
          <w:lang w:val="en-US" w:eastAsia="zh-CN"/>
        </w:rPr>
        <w:t>3</w:t>
      </w:r>
      <w:r>
        <w:rPr>
          <w:rFonts w:hint="eastAsia" w:hAnsi="宋体" w:cs="宋体"/>
          <w:color w:val="auto"/>
          <w:sz w:val="21"/>
          <w:szCs w:val="21"/>
          <w:highlight w:val="none"/>
        </w:rPr>
        <w:t>）投标人的投报报价超过最高</w:t>
      </w:r>
      <w:r>
        <w:rPr>
          <w:rFonts w:hint="eastAsia" w:hAnsi="宋体" w:cs="宋体"/>
          <w:color w:val="auto"/>
          <w:sz w:val="21"/>
          <w:szCs w:val="21"/>
          <w:highlight w:val="none"/>
          <w:lang w:eastAsia="zh-CN"/>
        </w:rPr>
        <w:t>单价</w:t>
      </w:r>
      <w:r>
        <w:rPr>
          <w:rFonts w:hint="eastAsia" w:hAnsi="宋体" w:cs="宋体"/>
          <w:color w:val="auto"/>
          <w:sz w:val="21"/>
          <w:szCs w:val="21"/>
          <w:highlight w:val="none"/>
        </w:rPr>
        <w:t>限价的；</w:t>
      </w:r>
    </w:p>
    <w:p>
      <w:pPr>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w:t>
      </w:r>
      <w:r>
        <w:rPr>
          <w:rFonts w:hint="eastAsia" w:hAnsi="宋体" w:cs="宋体"/>
          <w:color w:val="auto"/>
          <w:sz w:val="21"/>
          <w:szCs w:val="21"/>
          <w:highlight w:val="none"/>
          <w:lang w:val="en-US" w:eastAsia="zh-CN"/>
        </w:rPr>
        <w:t>4</w:t>
      </w:r>
      <w:r>
        <w:rPr>
          <w:rFonts w:hint="eastAsia" w:hAnsi="宋体" w:cs="宋体"/>
          <w:color w:val="auto"/>
          <w:sz w:val="21"/>
          <w:szCs w:val="21"/>
          <w:highlight w:val="none"/>
        </w:rPr>
        <w:t>）评标委员会一致认为将获得成交候选资格的投标人报价或某些分项报价明显不合理，有降低质量、不能诚信履约的可能，且该投标人未在规定期限内作出解释，或所作解释不合理，经评标委员会取得一致意见后，确定该投标无效的；</w:t>
      </w:r>
    </w:p>
    <w:p>
      <w:pPr>
        <w:autoSpaceDE/>
        <w:autoSpaceDN/>
        <w:adjustRightInd/>
        <w:snapToGrid w:val="0"/>
        <w:spacing w:line="500" w:lineRule="exact"/>
        <w:ind w:firstLine="420"/>
        <w:rPr>
          <w:rFonts w:hAnsi="宋体" w:cs="宋体"/>
          <w:color w:val="auto"/>
          <w:sz w:val="21"/>
          <w:szCs w:val="21"/>
          <w:highlight w:val="none"/>
        </w:rPr>
      </w:pPr>
      <w:r>
        <w:rPr>
          <w:rFonts w:hint="eastAsia" w:hAnsi="宋体" w:cs="宋体"/>
          <w:color w:val="auto"/>
          <w:sz w:val="21"/>
          <w:highlight w:val="none"/>
        </w:rPr>
        <w:t>（</w:t>
      </w:r>
      <w:r>
        <w:rPr>
          <w:rFonts w:hint="eastAsia" w:hAnsi="宋体" w:cs="宋体"/>
          <w:color w:val="auto"/>
          <w:sz w:val="21"/>
          <w:highlight w:val="none"/>
          <w:lang w:val="en-US" w:eastAsia="zh-CN"/>
        </w:rPr>
        <w:t>5</w:t>
      </w:r>
      <w:r>
        <w:rPr>
          <w:rFonts w:hint="eastAsia" w:hAnsi="宋体" w:cs="宋体"/>
          <w:color w:val="auto"/>
          <w:sz w:val="21"/>
          <w:highlight w:val="none"/>
        </w:rPr>
        <w:t>）投标人在线制作投标文件时《</w:t>
      </w:r>
      <w:r>
        <w:rPr>
          <w:rFonts w:hint="eastAsia" w:hAnsi="宋体" w:cs="宋体"/>
          <w:color w:val="auto"/>
          <w:sz w:val="21"/>
          <w:highlight w:val="none"/>
          <w:lang w:eastAsia="zh-CN"/>
        </w:rPr>
        <w:t>开标（报价）一览表</w:t>
      </w:r>
      <w:r>
        <w:rPr>
          <w:rFonts w:hint="eastAsia" w:hAnsi="宋体" w:cs="宋体"/>
          <w:color w:val="auto"/>
          <w:sz w:val="21"/>
          <w:highlight w:val="none"/>
        </w:rPr>
        <w:t>》中填写的金额与解密后“电子加密投标文件”中《</w:t>
      </w:r>
      <w:r>
        <w:rPr>
          <w:rFonts w:hint="eastAsia" w:hAnsi="宋体" w:cs="宋体"/>
          <w:color w:val="auto"/>
          <w:sz w:val="21"/>
          <w:highlight w:val="none"/>
          <w:lang w:eastAsia="zh-CN"/>
        </w:rPr>
        <w:t>开标（报价）一览表</w:t>
      </w:r>
      <w:r>
        <w:rPr>
          <w:rFonts w:hint="eastAsia" w:hAnsi="宋体" w:cs="宋体"/>
          <w:color w:val="auto"/>
          <w:sz w:val="21"/>
          <w:highlight w:val="none"/>
        </w:rPr>
        <w:t>》填写的金额不一致的，以解密后“电子加密投标文件”中《</w:t>
      </w:r>
      <w:r>
        <w:rPr>
          <w:rFonts w:hint="eastAsia" w:hAnsi="宋体" w:cs="宋体"/>
          <w:color w:val="auto"/>
          <w:sz w:val="21"/>
          <w:highlight w:val="none"/>
          <w:lang w:eastAsia="zh-CN"/>
        </w:rPr>
        <w:t>开标（报价）一览表</w:t>
      </w:r>
      <w:r>
        <w:rPr>
          <w:rFonts w:hint="eastAsia" w:hAnsi="宋体" w:cs="宋体"/>
          <w:color w:val="auto"/>
          <w:sz w:val="21"/>
          <w:highlight w:val="none"/>
        </w:rPr>
        <w:t>》填写的金额为准，投标人拒绝接受此调整的，按无效投标处理。</w:t>
      </w:r>
    </w:p>
    <w:p>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4.被拒绝的投标文件为无效投标文件。</w:t>
      </w:r>
    </w:p>
    <w:p>
      <w:pPr>
        <w:autoSpaceDE/>
        <w:autoSpaceDN/>
        <w:adjustRightInd/>
        <w:spacing w:line="500" w:lineRule="exact"/>
        <w:ind w:firstLine="482" w:firstLineChars="200"/>
        <w:jc w:val="both"/>
        <w:rPr>
          <w:rFonts w:hAnsi="宋体" w:cs="宋体"/>
          <w:b/>
          <w:color w:val="auto"/>
          <w:sz w:val="24"/>
          <w:szCs w:val="24"/>
          <w:highlight w:val="none"/>
        </w:rPr>
      </w:pPr>
      <w:r>
        <w:rPr>
          <w:rFonts w:hint="eastAsia" w:hAnsi="宋体" w:cs="宋体"/>
          <w:b/>
          <w:color w:val="auto"/>
          <w:sz w:val="24"/>
          <w:szCs w:val="24"/>
          <w:highlight w:val="none"/>
        </w:rPr>
        <w:t>四、开标</w:t>
      </w:r>
    </w:p>
    <w:p>
      <w:pPr>
        <w:autoSpaceDE/>
        <w:autoSpaceDN/>
        <w:adjustRightInd/>
        <w:spacing w:line="500" w:lineRule="exact"/>
        <w:ind w:firstLine="525" w:firstLineChars="250"/>
        <w:jc w:val="both"/>
        <w:rPr>
          <w:rFonts w:hAnsi="宋体" w:cs="宋体"/>
          <w:color w:val="auto"/>
          <w:sz w:val="21"/>
          <w:szCs w:val="21"/>
          <w:highlight w:val="none"/>
        </w:rPr>
      </w:pPr>
      <w:r>
        <w:rPr>
          <w:rFonts w:hint="eastAsia" w:hAnsi="宋体" w:cs="宋体"/>
          <w:color w:val="auto"/>
          <w:sz w:val="21"/>
          <w:szCs w:val="21"/>
          <w:highlight w:val="none"/>
        </w:rPr>
        <w:t>1.开标会由采购代理机构主持，宣布开标会议开始；</w:t>
      </w:r>
    </w:p>
    <w:p>
      <w:pPr>
        <w:autoSpaceDE/>
        <w:autoSpaceDN/>
        <w:adjustRightInd/>
        <w:spacing w:line="500" w:lineRule="exact"/>
        <w:ind w:firstLine="525" w:firstLineChars="250"/>
        <w:jc w:val="both"/>
        <w:rPr>
          <w:rFonts w:hAnsi="宋体" w:cs="宋体"/>
          <w:color w:val="auto"/>
          <w:sz w:val="21"/>
          <w:szCs w:val="21"/>
          <w:highlight w:val="none"/>
        </w:rPr>
      </w:pPr>
      <w:r>
        <w:rPr>
          <w:rFonts w:hint="eastAsia" w:hAnsi="宋体" w:cs="宋体"/>
          <w:color w:val="auto"/>
          <w:sz w:val="21"/>
          <w:szCs w:val="21"/>
          <w:highlight w:val="none"/>
        </w:rPr>
        <w:t>2.在开标后投标人登录“政采云”平台，用“项目采购-开标评标”功能进行解密投标文件。</w:t>
      </w:r>
    </w:p>
    <w:p>
      <w:pPr>
        <w:autoSpaceDE/>
        <w:autoSpaceDN/>
        <w:adjustRightInd/>
        <w:spacing w:line="500" w:lineRule="exact"/>
        <w:ind w:firstLine="525" w:firstLineChars="250"/>
        <w:jc w:val="both"/>
        <w:rPr>
          <w:rFonts w:hAnsi="宋体" w:cs="宋体"/>
          <w:color w:val="auto"/>
          <w:sz w:val="21"/>
          <w:szCs w:val="21"/>
          <w:highlight w:val="none"/>
        </w:rPr>
      </w:pPr>
      <w:r>
        <w:rPr>
          <w:rFonts w:hint="eastAsia" w:hAnsi="宋体" w:cs="宋体"/>
          <w:color w:val="auto"/>
          <w:sz w:val="21"/>
          <w:szCs w:val="21"/>
          <w:highlight w:val="none"/>
        </w:rPr>
        <w:t>若投标人在规定时间内无法解密或解密失败的，视为投标文件撤回。</w:t>
      </w:r>
    </w:p>
    <w:p>
      <w:pPr>
        <w:autoSpaceDE/>
        <w:autoSpaceDN/>
        <w:adjustRightInd/>
        <w:spacing w:line="500" w:lineRule="exact"/>
        <w:ind w:firstLine="525" w:firstLineChars="250"/>
        <w:jc w:val="both"/>
        <w:rPr>
          <w:rFonts w:hAnsi="宋体" w:cs="宋体"/>
          <w:color w:val="auto"/>
          <w:sz w:val="21"/>
          <w:szCs w:val="21"/>
          <w:highlight w:val="none"/>
        </w:rPr>
      </w:pPr>
      <w:r>
        <w:rPr>
          <w:rFonts w:hint="eastAsia" w:hAnsi="宋体" w:cs="宋体"/>
          <w:color w:val="auto"/>
          <w:sz w:val="21"/>
          <w:szCs w:val="21"/>
          <w:highlight w:val="none"/>
        </w:rPr>
        <w:t>3.采购人或采购代理机构先对投标人的资格进行审查，如评审小组对投标文件有疑问，对投标人进行在线询标，投标人须在澄清截止时间前上传澄清函，若在澄清截止时间前未进行有效澄清的，逾期将不再接受澄清。资格审查不合格的投标人不再进入商务技术文件及报价文件的评审。</w:t>
      </w:r>
    </w:p>
    <w:p>
      <w:pPr>
        <w:autoSpaceDE/>
        <w:autoSpaceDN/>
        <w:adjustRightInd/>
        <w:spacing w:line="500" w:lineRule="exact"/>
        <w:ind w:firstLine="525" w:firstLineChars="250"/>
        <w:jc w:val="both"/>
        <w:rPr>
          <w:rFonts w:hAnsi="宋体" w:cs="宋体"/>
          <w:color w:val="auto"/>
          <w:sz w:val="21"/>
          <w:szCs w:val="21"/>
          <w:highlight w:val="none"/>
        </w:rPr>
      </w:pPr>
      <w:r>
        <w:rPr>
          <w:rFonts w:hint="eastAsia" w:hAnsi="宋体" w:cs="宋体"/>
          <w:color w:val="auto"/>
          <w:sz w:val="21"/>
          <w:szCs w:val="21"/>
          <w:highlight w:val="none"/>
        </w:rPr>
        <w:t>4.评标委员会先对商务技术文件进行评审，如对投标文件有疑问，对投标人进行在线询标，投标人须在发起的澄清截止时间前上传澄清函，若在发起的澄清截止时间前未进行有效澄清的，逾期将不再接受澄清。商务技术文件不合格的投标人不再进入报价文件评审。</w:t>
      </w:r>
    </w:p>
    <w:p>
      <w:pPr>
        <w:autoSpaceDE/>
        <w:autoSpaceDN/>
        <w:adjustRightInd/>
        <w:spacing w:line="500" w:lineRule="exact"/>
        <w:ind w:firstLine="525" w:firstLineChars="250"/>
        <w:jc w:val="both"/>
        <w:rPr>
          <w:rFonts w:hAnsi="宋体" w:cs="宋体"/>
          <w:color w:val="auto"/>
          <w:sz w:val="21"/>
          <w:szCs w:val="21"/>
          <w:highlight w:val="none"/>
        </w:rPr>
      </w:pPr>
      <w:r>
        <w:rPr>
          <w:rFonts w:hint="eastAsia" w:hAnsi="宋体" w:cs="宋体"/>
          <w:color w:val="auto"/>
          <w:sz w:val="21"/>
          <w:szCs w:val="21"/>
          <w:highlight w:val="none"/>
        </w:rPr>
        <w:t>5.资信商务技术文件评审结果在线公布后，在线开启报价文件，并由评标委员会进行报价评审。</w:t>
      </w:r>
      <w:r>
        <w:rPr>
          <w:rFonts w:hint="eastAsia" w:hAnsi="宋体" w:cs="宋体"/>
          <w:color w:val="auto"/>
          <w:sz w:val="21"/>
          <w:highlight w:val="none"/>
        </w:rPr>
        <w:t>投标人在线制作投标</w:t>
      </w:r>
      <w:r>
        <w:rPr>
          <w:rFonts w:hint="eastAsia" w:hAnsi="宋体" w:cs="宋体"/>
          <w:b/>
          <w:color w:val="auto"/>
          <w:sz w:val="21"/>
          <w:szCs w:val="21"/>
          <w:highlight w:val="none"/>
        </w:rPr>
        <w:t>报价</w:t>
      </w:r>
      <w:r>
        <w:rPr>
          <w:rFonts w:hint="eastAsia" w:hAnsi="宋体" w:cs="宋体"/>
          <w:color w:val="auto"/>
          <w:sz w:val="21"/>
          <w:highlight w:val="none"/>
        </w:rPr>
        <w:t>文件中填写的金额与解密后“电子加密投标</w:t>
      </w:r>
      <w:r>
        <w:rPr>
          <w:rFonts w:hint="eastAsia" w:hAnsi="宋体" w:cs="宋体"/>
          <w:b/>
          <w:color w:val="auto"/>
          <w:sz w:val="21"/>
          <w:szCs w:val="21"/>
          <w:highlight w:val="none"/>
        </w:rPr>
        <w:t>报价</w:t>
      </w:r>
      <w:r>
        <w:rPr>
          <w:rFonts w:hint="eastAsia" w:hAnsi="宋体" w:cs="宋体"/>
          <w:color w:val="auto"/>
          <w:sz w:val="21"/>
          <w:highlight w:val="none"/>
        </w:rPr>
        <w:t>文件”中填写的金额不一致时，以解密后“电子加密投标</w:t>
      </w:r>
      <w:r>
        <w:rPr>
          <w:rFonts w:hint="eastAsia" w:hAnsi="宋体" w:cs="宋体"/>
          <w:b/>
          <w:color w:val="auto"/>
          <w:sz w:val="21"/>
          <w:szCs w:val="21"/>
          <w:highlight w:val="none"/>
        </w:rPr>
        <w:t>报价</w:t>
      </w:r>
      <w:r>
        <w:rPr>
          <w:rFonts w:hint="eastAsia" w:hAnsi="宋体" w:cs="宋体"/>
          <w:color w:val="auto"/>
          <w:sz w:val="21"/>
          <w:highlight w:val="none"/>
        </w:rPr>
        <w:t>文件”中填写的金额为准，投标人拒绝接受此规定的，按无效标处理。</w:t>
      </w:r>
    </w:p>
    <w:p>
      <w:pPr>
        <w:autoSpaceDE/>
        <w:autoSpaceDN/>
        <w:adjustRightInd/>
        <w:spacing w:line="500" w:lineRule="exact"/>
        <w:ind w:firstLine="525" w:firstLineChars="250"/>
        <w:jc w:val="both"/>
        <w:rPr>
          <w:rFonts w:hAnsi="宋体" w:cs="宋体"/>
          <w:color w:val="auto"/>
          <w:sz w:val="21"/>
          <w:szCs w:val="21"/>
          <w:highlight w:val="none"/>
        </w:rPr>
      </w:pPr>
      <w:r>
        <w:rPr>
          <w:rFonts w:hint="eastAsia" w:hAnsi="宋体" w:cs="宋体"/>
          <w:color w:val="auto"/>
          <w:sz w:val="21"/>
          <w:szCs w:val="21"/>
          <w:highlight w:val="none"/>
        </w:rPr>
        <w:t>6. 综合评审结果在线公布各投标人得分汇总，并在线提交（宣布）中标候选人。</w:t>
      </w:r>
    </w:p>
    <w:p>
      <w:pPr>
        <w:autoSpaceDE/>
        <w:autoSpaceDN/>
        <w:adjustRightInd/>
        <w:spacing w:line="500" w:lineRule="exact"/>
        <w:ind w:firstLine="525" w:firstLineChars="250"/>
        <w:jc w:val="both"/>
        <w:rPr>
          <w:rFonts w:hAnsi="宋体" w:cs="宋体"/>
          <w:color w:val="auto"/>
          <w:sz w:val="21"/>
          <w:szCs w:val="21"/>
          <w:highlight w:val="none"/>
        </w:rPr>
      </w:pPr>
      <w:r>
        <w:rPr>
          <w:rFonts w:hint="eastAsia" w:hAnsi="宋体" w:cs="宋体"/>
          <w:color w:val="auto"/>
          <w:sz w:val="21"/>
          <w:szCs w:val="21"/>
          <w:highlight w:val="none"/>
        </w:rPr>
        <w:t>7.评审结束后，代理机构宣布开标结束，并公布采购结果。</w:t>
      </w:r>
    </w:p>
    <w:p>
      <w:pPr>
        <w:autoSpaceDE/>
        <w:autoSpaceDN/>
        <w:adjustRightInd/>
        <w:spacing w:line="500" w:lineRule="exact"/>
        <w:ind w:firstLine="525" w:firstLineChars="250"/>
        <w:jc w:val="both"/>
        <w:rPr>
          <w:rFonts w:hAnsi="宋体" w:cs="宋体"/>
          <w:color w:val="auto"/>
          <w:sz w:val="21"/>
          <w:szCs w:val="21"/>
          <w:highlight w:val="none"/>
        </w:rPr>
      </w:pPr>
      <w:r>
        <w:rPr>
          <w:rFonts w:hint="eastAsia" w:hAnsi="宋体" w:cs="宋体"/>
          <w:color w:val="auto"/>
          <w:sz w:val="21"/>
          <w:szCs w:val="21"/>
          <w:highlight w:val="none"/>
        </w:rPr>
        <w:t>注：政采云公司如对电子化开标及评审程序有调整的，按调整后的程序操作。</w:t>
      </w:r>
    </w:p>
    <w:p>
      <w:pPr>
        <w:autoSpaceDE/>
        <w:autoSpaceDN/>
        <w:adjustRightInd/>
        <w:spacing w:line="500" w:lineRule="exact"/>
        <w:ind w:firstLine="482" w:firstLineChars="200"/>
        <w:jc w:val="both"/>
        <w:rPr>
          <w:rFonts w:hAnsi="宋体" w:cs="宋体"/>
          <w:b/>
          <w:color w:val="auto"/>
          <w:sz w:val="24"/>
          <w:szCs w:val="24"/>
          <w:highlight w:val="none"/>
        </w:rPr>
      </w:pPr>
      <w:r>
        <w:rPr>
          <w:rFonts w:hint="eastAsia" w:hAnsi="宋体" w:cs="宋体"/>
          <w:b/>
          <w:color w:val="auto"/>
          <w:sz w:val="24"/>
          <w:szCs w:val="24"/>
          <w:highlight w:val="none"/>
        </w:rPr>
        <w:t>五、评标</w:t>
      </w:r>
    </w:p>
    <w:p>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（一）组建评标委员会</w:t>
      </w:r>
    </w:p>
    <w:p>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lang w:eastAsia="zh-CN"/>
        </w:rPr>
        <w:t>采购单位</w:t>
      </w:r>
      <w:r>
        <w:rPr>
          <w:rFonts w:hint="eastAsia" w:hAnsi="宋体" w:cs="宋体"/>
          <w:color w:val="auto"/>
          <w:sz w:val="21"/>
          <w:szCs w:val="21"/>
          <w:highlight w:val="none"/>
        </w:rPr>
        <w:t>和代理机构将根据本项目的特点依法组建评标委员会，评标委员会由</w:t>
      </w:r>
      <w:r>
        <w:rPr>
          <w:rFonts w:hint="eastAsia" w:hAnsi="宋体" w:cs="宋体"/>
          <w:color w:val="auto"/>
          <w:sz w:val="21"/>
          <w:szCs w:val="21"/>
          <w:highlight w:val="none"/>
          <w:lang w:eastAsia="zh-CN"/>
        </w:rPr>
        <w:t>采购单位</w:t>
      </w:r>
      <w:r>
        <w:rPr>
          <w:rFonts w:hint="eastAsia" w:hAnsi="宋体" w:cs="宋体"/>
          <w:color w:val="auto"/>
          <w:sz w:val="21"/>
          <w:szCs w:val="21"/>
          <w:highlight w:val="none"/>
        </w:rPr>
        <w:t>和有关技术、经济等方面五名以上（含五名）单数的专家组成，其中技术、经济等方面的专家不少于成员总数的三分之二。专家统一在浙江省政府采购专家管理系统（政采云）的专家库中随机抽取。</w:t>
      </w:r>
    </w:p>
    <w:p>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（二）评标的方式</w:t>
      </w:r>
    </w:p>
    <w:p>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本项目采用不公开方式评标，评标的依据为招标文件和投标文件。</w:t>
      </w:r>
    </w:p>
    <w:p>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（三）评标程序</w:t>
      </w:r>
    </w:p>
    <w:p>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1.形式审查</w:t>
      </w:r>
    </w:p>
    <w:p>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采购人代表和代理机构工作人员协助评标委员会对投标人的资格和投标文件的完整性、合法性等进行审查。</w:t>
      </w:r>
    </w:p>
    <w:p>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2.实质审查与比较</w:t>
      </w:r>
    </w:p>
    <w:p>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（1）评标委员会审查投标文件的实质性内容是否符合招标文件的实质性要求。</w:t>
      </w:r>
    </w:p>
    <w:p>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（2）评标委员会将根据投标人的投标文件进行审查、核对，如有疑问，将对投标人进行询标，投标人要向评标委员会澄清有关问题，并最终以书面形式进行答复。</w:t>
      </w:r>
    </w:p>
    <w:p>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投标人代表未到场或者拒绝澄清或者澄清的内容改变了投标文件的实质性内容的，评标委员会有权对该投标文件作出不利于投标人的评判。</w:t>
      </w:r>
    </w:p>
    <w:p>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（3）各投标人的技术商务得分为所有评委的有效评分的算术平均数，由指定专人进行计算复核。</w:t>
      </w:r>
    </w:p>
    <w:p>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（4）代理机构工作人员协助评标委员会根据本项目的评分标准计算各投标人的投标报价得分。</w:t>
      </w:r>
    </w:p>
    <w:p>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（5）评标委员会完成评标后，评委对各部分得分汇总，计算出本项目最终得分、评标价等。评标委员会按评标原则推荐中标候选人同时起草评标报告。</w:t>
      </w:r>
    </w:p>
    <w:p>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（四）澄清问题的形式</w:t>
      </w:r>
    </w:p>
    <w:p>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pPr>
        <w:snapToGrid w:val="0"/>
        <w:spacing w:line="500" w:lineRule="exact"/>
        <w:ind w:firstLine="420"/>
        <w:rPr>
          <w:rFonts w:hAnsi="宋体" w:cs="宋体"/>
          <w:color w:val="auto"/>
          <w:sz w:val="21"/>
          <w:highlight w:val="none"/>
        </w:rPr>
      </w:pPr>
      <w:r>
        <w:rPr>
          <w:rFonts w:hint="eastAsia" w:hAnsi="宋体" w:cs="宋体"/>
          <w:color w:val="auto"/>
          <w:sz w:val="21"/>
          <w:highlight w:val="none"/>
        </w:rPr>
        <w:t>本项目在线开评标进行时，投标人法定代表人或其授权代表需自行关注平台提示信息，期间如有发出“询标/澄清函”等相关线上函件时，因投标人自身原因逾期/错过回复时间，由此造成的后果由投标人自行承担。</w:t>
      </w:r>
    </w:p>
    <w:p>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（五）错误修正</w:t>
      </w:r>
    </w:p>
    <w:p>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投标文件如果出现计算或表达上的错误，修正错误的原则如下：</w:t>
      </w:r>
    </w:p>
    <w:p>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1.</w:t>
      </w:r>
      <w:r>
        <w:rPr>
          <w:rFonts w:hint="eastAsia" w:hAnsi="宋体" w:cs="宋体"/>
          <w:color w:val="auto"/>
          <w:sz w:val="21"/>
          <w:szCs w:val="21"/>
          <w:highlight w:val="none"/>
          <w:lang w:eastAsia="zh-CN"/>
        </w:rPr>
        <w:t>开标（报价）一览表</w:t>
      </w:r>
      <w:r>
        <w:rPr>
          <w:rFonts w:hint="eastAsia" w:hAnsi="宋体" w:cs="宋体"/>
          <w:color w:val="auto"/>
          <w:sz w:val="21"/>
          <w:szCs w:val="21"/>
          <w:highlight w:val="none"/>
        </w:rPr>
        <w:t>总价与投标报价明细表汇总数不一致的，以</w:t>
      </w:r>
      <w:r>
        <w:rPr>
          <w:rFonts w:hint="eastAsia" w:hAnsi="宋体" w:cs="宋体"/>
          <w:color w:val="auto"/>
          <w:sz w:val="21"/>
          <w:szCs w:val="21"/>
          <w:highlight w:val="none"/>
          <w:lang w:eastAsia="zh-CN"/>
        </w:rPr>
        <w:t>开标（报价）一览表</w:t>
      </w:r>
      <w:r>
        <w:rPr>
          <w:rFonts w:hint="eastAsia" w:hAnsi="宋体" w:cs="宋体"/>
          <w:color w:val="auto"/>
          <w:sz w:val="21"/>
          <w:szCs w:val="21"/>
          <w:highlight w:val="none"/>
        </w:rPr>
        <w:t>为准；</w:t>
      </w:r>
    </w:p>
    <w:p>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2.投标文件的大写金额和小写金额不一致的，以大写金额为准；</w:t>
      </w:r>
    </w:p>
    <w:p>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3.总价金额与按单价汇总金额不一致的，以单价金额计算结果为准；</w:t>
      </w:r>
    </w:p>
    <w:p>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4.对不同文字文本投标文件的解释发生异议的，以中文文本为准。</w:t>
      </w:r>
    </w:p>
    <w:p>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按上述修正错误的原则及方法调整或修正投标文件的投标报价，投标人同意并签字确认后，调整后的投标报价对投标人具有约束作用。如果投标人不接受修正后的报价，则其投标将作为无效投标处理。</w:t>
      </w:r>
    </w:p>
    <w:p>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（六）评标原则和评标办法</w:t>
      </w:r>
    </w:p>
    <w:p>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2.评标办法。具体评标内容及评分标准等详见《第四章：评标办法及评分标准》。</w:t>
      </w:r>
    </w:p>
    <w:p>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（七）评标过程的监控</w:t>
      </w:r>
    </w:p>
    <w:p>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本项目评标过程实行全程录音、录像监控，投标人在评标过程中所进行的试图影响评标结果的不公正活动，可能导致其投标被拒绝。</w:t>
      </w:r>
    </w:p>
    <w:p>
      <w:pPr>
        <w:autoSpaceDE/>
        <w:autoSpaceDN/>
        <w:adjustRightInd/>
        <w:spacing w:line="500" w:lineRule="exact"/>
        <w:ind w:firstLine="422" w:firstLineChars="200"/>
        <w:jc w:val="both"/>
        <w:rPr>
          <w:rFonts w:hAnsi="宋体" w:cs="宋体"/>
          <w:b/>
          <w:bCs/>
          <w:color w:val="auto"/>
          <w:sz w:val="21"/>
          <w:szCs w:val="21"/>
          <w:highlight w:val="none"/>
        </w:rPr>
      </w:pPr>
      <w:r>
        <w:rPr>
          <w:rFonts w:hint="eastAsia" w:hAnsi="宋体" w:cs="宋体"/>
          <w:b/>
          <w:bCs/>
          <w:color w:val="auto"/>
          <w:sz w:val="21"/>
          <w:szCs w:val="21"/>
          <w:highlight w:val="none"/>
        </w:rPr>
        <w:t>（八）中止电子交易活动的情形</w:t>
      </w:r>
    </w:p>
    <w:p>
      <w:pPr>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采购过程中出现以下情形，导致电子交易平台无法正常运行，或者无法保证电子交易的公平、公正和安全时，中止电子交易活动：</w:t>
      </w:r>
    </w:p>
    <w:p>
      <w:pPr>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1.电子交易平台发生故障而无法登录访问的；</w:t>
      </w:r>
    </w:p>
    <w:p>
      <w:pPr>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2.电子交易平台应用或数据库出现错误，不能进行正常操作的；</w:t>
      </w:r>
    </w:p>
    <w:p>
      <w:pPr>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3.电子交易平台发现严重安全漏洞，有潜在泄密危险的；</w:t>
      </w:r>
    </w:p>
    <w:p>
      <w:pPr>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4.病毒发作导致不能进行正常操作的；</w:t>
      </w:r>
    </w:p>
    <w:p>
      <w:pPr>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5.其他无法保证电子交易的公平、公正和安全的情况。</w:t>
      </w:r>
    </w:p>
    <w:p>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出现前款规定情形，不影响采购公平、公正性的，采购组织机构可以待上述情形消除后继续组织电子交易活动，也可以决定某些环节以纸质形式进行评审；影响或可能影响采购公平、公正性的，应当重新采购。</w:t>
      </w:r>
    </w:p>
    <w:p>
      <w:pPr>
        <w:autoSpaceDE/>
        <w:autoSpaceDN/>
        <w:adjustRightInd/>
        <w:spacing w:line="500" w:lineRule="exact"/>
        <w:ind w:firstLine="482" w:firstLineChars="200"/>
        <w:jc w:val="both"/>
        <w:rPr>
          <w:rFonts w:hAnsi="宋体" w:cs="宋体"/>
          <w:b/>
          <w:color w:val="auto"/>
          <w:sz w:val="24"/>
          <w:szCs w:val="24"/>
          <w:highlight w:val="none"/>
        </w:rPr>
      </w:pPr>
      <w:r>
        <w:rPr>
          <w:rFonts w:hint="eastAsia" w:hAnsi="宋体" w:cs="宋体"/>
          <w:b/>
          <w:color w:val="auto"/>
          <w:sz w:val="24"/>
          <w:szCs w:val="24"/>
          <w:highlight w:val="none"/>
        </w:rPr>
        <w:t>六、定标</w:t>
      </w:r>
    </w:p>
    <w:p>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（一）确定</w:t>
      </w:r>
      <w:r>
        <w:rPr>
          <w:rFonts w:hint="eastAsia" w:hAnsi="宋体" w:cs="宋体"/>
          <w:color w:val="auto"/>
          <w:sz w:val="21"/>
          <w:szCs w:val="21"/>
          <w:highlight w:val="none"/>
          <w:lang w:eastAsia="zh-CN"/>
        </w:rPr>
        <w:t>中标供应商</w:t>
      </w:r>
      <w:r>
        <w:rPr>
          <w:rFonts w:hint="eastAsia" w:hAnsi="宋体" w:cs="宋体"/>
          <w:color w:val="auto"/>
          <w:sz w:val="21"/>
          <w:szCs w:val="21"/>
          <w:highlight w:val="none"/>
        </w:rPr>
        <w:t>。本项目由采购人（或采购人事先授权评标委员会）确定</w:t>
      </w:r>
      <w:r>
        <w:rPr>
          <w:rFonts w:hint="eastAsia" w:hAnsi="宋体" w:cs="宋体"/>
          <w:color w:val="auto"/>
          <w:sz w:val="21"/>
          <w:szCs w:val="21"/>
          <w:highlight w:val="none"/>
          <w:lang w:eastAsia="zh-CN"/>
        </w:rPr>
        <w:t>中标供应商</w:t>
      </w:r>
      <w:r>
        <w:rPr>
          <w:rFonts w:hint="eastAsia" w:hAnsi="宋体" w:cs="宋体"/>
          <w:color w:val="auto"/>
          <w:sz w:val="21"/>
          <w:szCs w:val="21"/>
          <w:highlight w:val="none"/>
        </w:rPr>
        <w:t>。</w:t>
      </w:r>
    </w:p>
    <w:p>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1.采购代理机构在评标结束后2个工作日内将评标报告交采购人确认。</w:t>
      </w:r>
    </w:p>
    <w:p>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2.投标人对评标结果无异议的，采购人应在收到评标报告后5个工作日内对评标结果进行确认。如有投标人对评标结果提出质疑的，采购人可在质疑处理完毕后确定</w:t>
      </w:r>
      <w:r>
        <w:rPr>
          <w:rFonts w:hint="eastAsia" w:hAnsi="宋体" w:cs="宋体"/>
          <w:color w:val="auto"/>
          <w:sz w:val="21"/>
          <w:szCs w:val="21"/>
          <w:highlight w:val="none"/>
          <w:lang w:eastAsia="zh-CN"/>
        </w:rPr>
        <w:t>中标供应商</w:t>
      </w:r>
      <w:r>
        <w:rPr>
          <w:rFonts w:hint="eastAsia" w:hAnsi="宋体" w:cs="宋体"/>
          <w:color w:val="auto"/>
          <w:sz w:val="21"/>
          <w:szCs w:val="21"/>
          <w:highlight w:val="none"/>
        </w:rPr>
        <w:t>。</w:t>
      </w:r>
    </w:p>
    <w:p>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3.中标结果公示期：1个工作日。</w:t>
      </w:r>
    </w:p>
    <w:p>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4.中标结果公示的同时采购代理机构以书面形式发出《中标通知书》。</w:t>
      </w:r>
    </w:p>
    <w:p>
      <w:pPr>
        <w:autoSpaceDE/>
        <w:autoSpaceDN/>
        <w:adjustRightInd/>
        <w:spacing w:line="460" w:lineRule="exact"/>
        <w:ind w:firstLine="482" w:firstLineChars="200"/>
        <w:jc w:val="both"/>
        <w:rPr>
          <w:rFonts w:hAnsi="宋体" w:cs="宋体"/>
          <w:b/>
          <w:color w:val="auto"/>
          <w:sz w:val="24"/>
          <w:szCs w:val="24"/>
          <w:highlight w:val="none"/>
        </w:rPr>
      </w:pPr>
      <w:r>
        <w:rPr>
          <w:rFonts w:hint="eastAsia" w:hAnsi="宋体" w:cs="宋体"/>
          <w:b/>
          <w:color w:val="auto"/>
          <w:sz w:val="24"/>
          <w:szCs w:val="24"/>
          <w:highlight w:val="none"/>
        </w:rPr>
        <w:t>七、合同授予</w:t>
      </w:r>
    </w:p>
    <w:p>
      <w:pPr>
        <w:pStyle w:val="3"/>
        <w:autoSpaceDE/>
        <w:autoSpaceDN/>
        <w:adjustRightInd w:val="0"/>
        <w:snapToGrid w:val="0"/>
        <w:spacing w:line="500" w:lineRule="exact"/>
        <w:ind w:firstLine="422" w:firstLineChars="200"/>
        <w:jc w:val="left"/>
        <w:rPr>
          <w:rFonts w:ascii="宋体" w:hAnsi="宋体" w:cs="宋体"/>
          <w:b/>
          <w:color w:val="auto"/>
          <w:sz w:val="21"/>
          <w:szCs w:val="21"/>
          <w:highlight w:val="none"/>
        </w:rPr>
      </w:pPr>
      <w:r>
        <w:rPr>
          <w:rFonts w:hint="eastAsia" w:ascii="宋体" w:hAnsi="宋体" w:cs="宋体"/>
          <w:b/>
          <w:color w:val="auto"/>
          <w:sz w:val="21"/>
          <w:szCs w:val="21"/>
          <w:highlight w:val="none"/>
        </w:rPr>
        <w:t>1. 合同的签订</w:t>
      </w:r>
    </w:p>
    <w:p>
      <w:pPr>
        <w:autoSpaceDE/>
        <w:autoSpaceDN/>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1.1除不可抗力等特殊情况外，采购人原则上应当在中标通知书发出之日起20日内，与</w:t>
      </w:r>
      <w:r>
        <w:rPr>
          <w:rFonts w:hint="eastAsia" w:hAnsi="宋体" w:cs="宋体"/>
          <w:color w:val="auto"/>
          <w:sz w:val="21"/>
          <w:szCs w:val="21"/>
          <w:highlight w:val="none"/>
          <w:lang w:eastAsia="zh-CN"/>
        </w:rPr>
        <w:t>中标供应商</w:t>
      </w:r>
      <w:r>
        <w:rPr>
          <w:rFonts w:hint="eastAsia" w:hAnsi="宋体" w:cs="宋体"/>
          <w:color w:val="auto"/>
          <w:sz w:val="21"/>
          <w:szCs w:val="21"/>
          <w:highlight w:val="none"/>
        </w:rPr>
        <w:t>按照采购文件确定的事项签订政府采购合同，并在签订之日起2个工作日内将政府采购合同在浙江政府采购网上公告。</w:t>
      </w:r>
    </w:p>
    <w:p>
      <w:pPr>
        <w:pStyle w:val="110"/>
        <w:adjustRightInd w:val="0"/>
        <w:snapToGrid w:val="0"/>
        <w:spacing w:line="500" w:lineRule="exact"/>
        <w:ind w:firstLine="420" w:firstLineChars="200"/>
        <w:jc w:val="left"/>
        <w:rPr>
          <w:rFonts w:hint="default" w:ascii="宋体" w:hAnsi="宋体" w:cs="宋体"/>
          <w:color w:val="auto"/>
          <w:kern w:val="0"/>
          <w:szCs w:val="21"/>
          <w:highlight w:val="none"/>
        </w:rPr>
      </w:pPr>
      <w:r>
        <w:rPr>
          <w:rFonts w:ascii="宋体" w:hAnsi="宋体" w:cs="宋体"/>
          <w:color w:val="auto"/>
          <w:kern w:val="0"/>
          <w:szCs w:val="21"/>
          <w:highlight w:val="none"/>
        </w:rPr>
        <w:t>1</w:t>
      </w:r>
      <w:r>
        <w:rPr>
          <w:rFonts w:ascii="宋体" w:hAnsi="宋体" w:cs="宋体"/>
          <w:color w:val="auto"/>
          <w:kern w:val="0"/>
          <w:szCs w:val="21"/>
          <w:highlight w:val="none"/>
          <w:lang w:val="zh-CN"/>
        </w:rPr>
        <w:t>.2</w:t>
      </w:r>
      <w:r>
        <w:rPr>
          <w:rFonts w:hint="eastAsia" w:ascii="宋体" w:hAnsi="宋体" w:cs="宋体"/>
          <w:color w:val="auto"/>
          <w:kern w:val="0"/>
          <w:szCs w:val="21"/>
          <w:highlight w:val="none"/>
          <w:lang w:val="zh-CN"/>
        </w:rPr>
        <w:t>中标供应商</w:t>
      </w:r>
      <w:r>
        <w:rPr>
          <w:rFonts w:ascii="宋体" w:hAnsi="宋体" w:cs="宋体"/>
          <w:color w:val="auto"/>
          <w:kern w:val="0"/>
          <w:szCs w:val="21"/>
          <w:highlight w:val="none"/>
          <w:lang w:val="zh-CN"/>
        </w:rPr>
        <w:t>按规定的日期、时间、地点，由法定代表人或其授权代表与采购人代表签订合同。</w:t>
      </w:r>
    </w:p>
    <w:p>
      <w:pPr>
        <w:pStyle w:val="110"/>
        <w:adjustRightInd w:val="0"/>
        <w:snapToGrid w:val="0"/>
        <w:spacing w:line="5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1.3如签订合同并生效后，供应商无故拒绝或延期，除按照合同条款处理外，列入不良行为记录一次，并给予通报。</w:t>
      </w:r>
    </w:p>
    <w:p>
      <w:pPr>
        <w:pStyle w:val="110"/>
        <w:adjustRightInd w:val="0"/>
        <w:snapToGrid w:val="0"/>
        <w:spacing w:line="5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1.4</w:t>
      </w:r>
      <w:r>
        <w:rPr>
          <w:rFonts w:hint="eastAsia" w:ascii="宋体" w:hAnsi="宋体" w:cs="宋体"/>
          <w:color w:val="auto"/>
          <w:szCs w:val="21"/>
          <w:highlight w:val="none"/>
          <w:lang w:eastAsia="zh-CN"/>
        </w:rPr>
        <w:t>中标供应商</w:t>
      </w:r>
      <w:r>
        <w:rPr>
          <w:rFonts w:ascii="宋体" w:hAnsi="宋体" w:cs="宋体"/>
          <w:color w:val="auto"/>
          <w:szCs w:val="21"/>
          <w:highlight w:val="none"/>
        </w:rPr>
        <w:t>拒绝与采购人签订合同的，采购人可以按照评审报告推荐的中标或者成交候选人名单排序，确定下一候选人为</w:t>
      </w:r>
      <w:r>
        <w:rPr>
          <w:rFonts w:hint="eastAsia" w:ascii="宋体" w:hAnsi="宋体" w:cs="宋体"/>
          <w:color w:val="auto"/>
          <w:szCs w:val="21"/>
          <w:highlight w:val="none"/>
          <w:lang w:eastAsia="zh-CN"/>
        </w:rPr>
        <w:t>中标供应商</w:t>
      </w:r>
      <w:r>
        <w:rPr>
          <w:rFonts w:ascii="宋体" w:hAnsi="宋体" w:cs="宋体"/>
          <w:color w:val="auto"/>
          <w:szCs w:val="21"/>
          <w:highlight w:val="none"/>
        </w:rPr>
        <w:t>，也可以重新开展政府采购活动。</w:t>
      </w:r>
    </w:p>
    <w:p>
      <w:pPr>
        <w:pStyle w:val="110"/>
        <w:adjustRightInd w:val="0"/>
        <w:snapToGrid w:val="0"/>
        <w:spacing w:line="5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1.5采购合同由采购人与</w:t>
      </w:r>
      <w:r>
        <w:rPr>
          <w:rFonts w:hint="eastAsia" w:ascii="宋体" w:hAnsi="宋体" w:cs="宋体"/>
          <w:color w:val="auto"/>
          <w:szCs w:val="21"/>
          <w:highlight w:val="none"/>
          <w:lang w:eastAsia="zh-CN"/>
        </w:rPr>
        <w:t>中标供应商</w:t>
      </w:r>
      <w:r>
        <w:rPr>
          <w:rFonts w:ascii="宋体" w:hAnsi="宋体" w:cs="宋体"/>
          <w:color w:val="auto"/>
          <w:szCs w:val="21"/>
          <w:highlight w:val="none"/>
        </w:rPr>
        <w:t>根据采购文件、</w:t>
      </w:r>
      <w:r>
        <w:rPr>
          <w:rFonts w:hint="eastAsia" w:ascii="宋体" w:hAnsi="宋体" w:cs="宋体"/>
          <w:color w:val="auto"/>
          <w:szCs w:val="21"/>
          <w:highlight w:val="none"/>
          <w:lang w:val="en-US" w:eastAsia="zh-CN"/>
        </w:rPr>
        <w:t>投标文件</w:t>
      </w:r>
      <w:r>
        <w:rPr>
          <w:rFonts w:ascii="宋体" w:hAnsi="宋体" w:cs="宋体"/>
          <w:color w:val="auto"/>
          <w:szCs w:val="21"/>
          <w:highlight w:val="none"/>
        </w:rPr>
        <w:t>等内容通过政府采购电子交易平台在线签订，自动备案。</w:t>
      </w:r>
    </w:p>
    <w:p>
      <w:pPr>
        <w:pStyle w:val="110"/>
        <w:adjustRightInd w:val="0"/>
        <w:snapToGrid w:val="0"/>
        <w:spacing w:line="500" w:lineRule="exact"/>
        <w:ind w:firstLine="422" w:firstLineChars="200"/>
        <w:jc w:val="left"/>
        <w:rPr>
          <w:rFonts w:hint="default" w:ascii="宋体" w:hAnsi="宋体" w:cs="宋体"/>
          <w:b/>
          <w:bCs/>
          <w:color w:val="auto"/>
          <w:szCs w:val="21"/>
          <w:highlight w:val="none"/>
        </w:rPr>
      </w:pPr>
      <w:r>
        <w:rPr>
          <w:rFonts w:ascii="宋体" w:hAnsi="宋体" w:cs="宋体"/>
          <w:b/>
          <w:bCs/>
          <w:color w:val="auto"/>
          <w:szCs w:val="21"/>
          <w:highlight w:val="none"/>
        </w:rPr>
        <w:t>1.6政府采购货物和服务项目不得收取质量保证金。政府采购工程以及与工程建设有关的货物、服务，采用招标方式采购的，按国家和省有关规定执行。</w:t>
      </w:r>
    </w:p>
    <w:p>
      <w:pPr>
        <w:pStyle w:val="3"/>
        <w:autoSpaceDE/>
        <w:autoSpaceDN/>
        <w:adjustRightInd w:val="0"/>
        <w:snapToGrid w:val="0"/>
        <w:spacing w:line="500" w:lineRule="exact"/>
        <w:ind w:firstLine="422" w:firstLineChars="200"/>
        <w:jc w:val="left"/>
        <w:rPr>
          <w:rFonts w:ascii="宋体" w:hAnsi="宋体" w:cs="宋体"/>
          <w:b/>
          <w:color w:val="auto"/>
          <w:sz w:val="21"/>
          <w:szCs w:val="21"/>
          <w:highlight w:val="none"/>
        </w:rPr>
      </w:pPr>
      <w:r>
        <w:rPr>
          <w:rFonts w:hint="eastAsia" w:ascii="宋体" w:hAnsi="宋体" w:cs="宋体"/>
          <w:b/>
          <w:color w:val="auto"/>
          <w:sz w:val="21"/>
          <w:szCs w:val="21"/>
          <w:highlight w:val="none"/>
        </w:rPr>
        <w:t>2. 履约保证金</w:t>
      </w:r>
    </w:p>
    <w:p>
      <w:pPr>
        <w:pStyle w:val="44"/>
        <w:adjustRightInd w:val="0"/>
        <w:snapToGrid w:val="0"/>
        <w:spacing w:before="0" w:beforeAutospacing="0" w:after="0" w:afterAutospacing="0" w:line="500" w:lineRule="exact"/>
        <w:ind w:firstLine="422" w:firstLineChars="200"/>
        <w:rPr>
          <w:rFonts w:ascii="宋体" w:cs="宋体"/>
          <w:b/>
          <w:bCs/>
          <w:color w:val="auto"/>
          <w:sz w:val="21"/>
          <w:szCs w:val="21"/>
          <w:highlight w:val="none"/>
        </w:rPr>
      </w:pPr>
      <w:r>
        <w:rPr>
          <w:rFonts w:hint="eastAsia" w:ascii="宋体" w:cs="宋体"/>
          <w:b/>
          <w:color w:val="auto"/>
          <w:sz w:val="21"/>
          <w:szCs w:val="21"/>
          <w:highlight w:val="none"/>
        </w:rPr>
        <w:t>2.1</w:t>
      </w:r>
      <w:r>
        <w:rPr>
          <w:rFonts w:hint="eastAsia" w:ascii="宋体" w:cs="宋体"/>
          <w:b/>
          <w:bCs/>
          <w:color w:val="auto"/>
          <w:sz w:val="21"/>
          <w:szCs w:val="21"/>
          <w:highlight w:val="none"/>
        </w:rPr>
        <w:t>拟签订的合同文本要求</w:t>
      </w:r>
      <w:r>
        <w:rPr>
          <w:rFonts w:hint="eastAsia" w:ascii="宋体" w:cs="宋体"/>
          <w:b/>
          <w:bCs/>
          <w:color w:val="auto"/>
          <w:sz w:val="21"/>
          <w:szCs w:val="21"/>
          <w:highlight w:val="none"/>
          <w:lang w:eastAsia="zh-CN"/>
        </w:rPr>
        <w:t>中标供应商</w:t>
      </w:r>
      <w:r>
        <w:rPr>
          <w:rFonts w:hint="eastAsia" w:ascii="宋体" w:cs="宋体"/>
          <w:b/>
          <w:bCs/>
          <w:color w:val="auto"/>
          <w:sz w:val="21"/>
          <w:szCs w:val="21"/>
          <w:highlight w:val="none"/>
        </w:rPr>
        <w:t>提交履约保证金的，供应商应当以支票、汇票、本票或者金融机构、担保机构出具的保函等非现金形式提交。履约保证金的数额不得超过政府采购合同金额的1%。鼓励和支持供应商以履约保函形式提供履约保证金。</w:t>
      </w:r>
    </w:p>
    <w:p>
      <w:pPr>
        <w:tabs>
          <w:tab w:val="left" w:pos="0"/>
        </w:tabs>
        <w:autoSpaceDE/>
        <w:autoSpaceDN/>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2.2 签订合同后，如</w:t>
      </w:r>
      <w:r>
        <w:rPr>
          <w:rFonts w:hint="eastAsia" w:hAnsi="宋体" w:cs="宋体"/>
          <w:color w:val="auto"/>
          <w:sz w:val="21"/>
          <w:szCs w:val="21"/>
          <w:highlight w:val="none"/>
          <w:lang w:eastAsia="zh-CN"/>
        </w:rPr>
        <w:t>中标供应商</w:t>
      </w:r>
      <w:r>
        <w:rPr>
          <w:rFonts w:hint="eastAsia" w:hAnsi="宋体" w:cs="宋体"/>
          <w:color w:val="auto"/>
          <w:sz w:val="21"/>
          <w:szCs w:val="21"/>
          <w:highlight w:val="none"/>
        </w:rPr>
        <w:t>不按双方合同约定履约，则没收其全部履约保证金，履约保证金不足以赔偿损失的，按实际损失赔偿。</w:t>
      </w:r>
      <w:r>
        <w:rPr>
          <w:rFonts w:hint="eastAsia" w:hAnsi="宋体" w:cs="宋体"/>
          <w:color w:val="auto"/>
          <w:sz w:val="21"/>
          <w:szCs w:val="21"/>
          <w:highlight w:val="none"/>
        </w:rPr>
        <w:br w:type="textWrapping"/>
      </w:r>
      <w:r>
        <w:rPr>
          <w:rFonts w:hint="eastAsia" w:hAnsi="宋体" w:cs="宋体"/>
          <w:color w:val="auto"/>
          <w:sz w:val="21"/>
          <w:szCs w:val="21"/>
          <w:highlight w:val="none"/>
        </w:rPr>
        <w:t xml:space="preserve">     2.3本项目</w:t>
      </w:r>
      <w:r>
        <w:rPr>
          <w:rFonts w:hint="eastAsia" w:hAnsi="宋体" w:cs="宋体"/>
          <w:b/>
          <w:color w:val="auto"/>
          <w:sz w:val="21"/>
          <w:szCs w:val="21"/>
          <w:highlight w:val="none"/>
        </w:rPr>
        <w:t>履约保证金（或履约保函）如无合同约定或依法认定的扣款情况，在</w:t>
      </w:r>
      <w:r>
        <w:rPr>
          <w:rFonts w:hint="eastAsia" w:hAnsi="宋体" w:cs="宋体"/>
          <w:b/>
          <w:color w:val="auto"/>
          <w:sz w:val="21"/>
          <w:szCs w:val="21"/>
          <w:highlight w:val="none"/>
          <w:lang w:eastAsia="zh-CN"/>
        </w:rPr>
        <w:t>中标供应商</w:t>
      </w:r>
      <w:r>
        <w:rPr>
          <w:rFonts w:hint="eastAsia" w:hAnsi="宋体" w:cs="宋体"/>
          <w:b/>
          <w:color w:val="auto"/>
          <w:sz w:val="21"/>
          <w:szCs w:val="21"/>
          <w:highlight w:val="none"/>
        </w:rPr>
        <w:t>按合同约定最终验收合格后于15日内予以无息退还（或撤销到期履约保函）</w:t>
      </w:r>
      <w:r>
        <w:rPr>
          <w:rFonts w:hint="eastAsia" w:hAnsi="宋体" w:cs="宋体"/>
          <w:b/>
          <w:bCs/>
          <w:color w:val="auto"/>
          <w:sz w:val="21"/>
          <w:szCs w:val="21"/>
          <w:highlight w:val="none"/>
        </w:rPr>
        <w:t>。</w:t>
      </w:r>
    </w:p>
    <w:p>
      <w:pPr>
        <w:pStyle w:val="3"/>
        <w:autoSpaceDE/>
        <w:autoSpaceDN/>
        <w:adjustRightInd w:val="0"/>
        <w:snapToGrid w:val="0"/>
        <w:spacing w:line="500" w:lineRule="exact"/>
        <w:ind w:firstLine="422" w:firstLineChars="200"/>
        <w:jc w:val="left"/>
        <w:rPr>
          <w:rFonts w:hint="default" w:ascii="宋体" w:hAnsi="宋体" w:eastAsia="宋体" w:cs="宋体"/>
          <w:b/>
          <w:color w:val="C00000"/>
          <w:sz w:val="21"/>
          <w:szCs w:val="21"/>
          <w:highlight w:val="none"/>
          <w:lang w:val="en-US" w:eastAsia="zh-CN"/>
        </w:rPr>
      </w:pPr>
      <w:r>
        <w:rPr>
          <w:rFonts w:hint="eastAsia" w:ascii="宋体" w:hAnsi="宋体" w:cs="宋体"/>
          <w:b/>
          <w:color w:val="auto"/>
          <w:sz w:val="21"/>
          <w:szCs w:val="21"/>
          <w:highlight w:val="none"/>
        </w:rPr>
        <w:t>3. 预付款</w:t>
      </w:r>
    </w:p>
    <w:p>
      <w:pPr>
        <w:tabs>
          <w:tab w:val="left" w:pos="0"/>
        </w:tabs>
        <w:autoSpaceDE/>
        <w:autoSpaceDN/>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w:t>
      </w:r>
      <w:r>
        <w:rPr>
          <w:rFonts w:hint="eastAsia" w:hAnsi="宋体" w:cs="宋体"/>
          <w:b/>
          <w:bCs/>
          <w:color w:val="auto"/>
          <w:sz w:val="21"/>
          <w:szCs w:val="21"/>
          <w:highlight w:val="none"/>
        </w:rPr>
        <w:t>人工投入为主</w:t>
      </w:r>
      <w:r>
        <w:rPr>
          <w:rFonts w:hint="eastAsia" w:hAnsi="宋体" w:cs="宋体"/>
          <w:color w:val="auto"/>
          <w:sz w:val="21"/>
          <w:szCs w:val="21"/>
          <w:highlight w:val="none"/>
        </w:rPr>
        <w:t>的，可适当降低预付款比例，但不得低于</w:t>
      </w:r>
      <w:r>
        <w:rPr>
          <w:rFonts w:hint="eastAsia" w:hAnsi="宋体" w:cs="宋体"/>
          <w:b/>
          <w:bCs/>
          <w:color w:val="auto"/>
          <w:sz w:val="21"/>
          <w:szCs w:val="21"/>
          <w:highlight w:val="none"/>
        </w:rPr>
        <w:t>30%。</w:t>
      </w:r>
      <w:r>
        <w:rPr>
          <w:rFonts w:hint="eastAsia" w:hAnsi="宋体" w:cs="宋体"/>
          <w:color w:val="auto"/>
          <w:sz w:val="21"/>
          <w:szCs w:val="21"/>
          <w:highlight w:val="none"/>
        </w:rPr>
        <w:t>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w:t>
      </w:r>
      <w:r>
        <w:rPr>
          <w:rFonts w:hint="eastAsia" w:hAnsi="宋体" w:cs="宋体"/>
          <w:color w:val="auto"/>
          <w:sz w:val="21"/>
          <w:szCs w:val="21"/>
          <w:highlight w:val="none"/>
          <w:u w:val="single"/>
        </w:rPr>
        <w:t>合同生效以及具备实施条件后</w:t>
      </w:r>
      <w:r>
        <w:rPr>
          <w:rFonts w:hint="eastAsia" w:hAnsi="宋体" w:cs="宋体"/>
          <w:b/>
          <w:bCs/>
          <w:color w:val="auto"/>
          <w:sz w:val="21"/>
          <w:szCs w:val="21"/>
          <w:highlight w:val="none"/>
        </w:rPr>
        <w:t>7个工作日内</w:t>
      </w:r>
      <w:r>
        <w:rPr>
          <w:rFonts w:hint="eastAsia" w:hAnsi="宋体" w:cs="宋体"/>
          <w:color w:val="auto"/>
          <w:sz w:val="21"/>
          <w:szCs w:val="21"/>
          <w:highlight w:val="none"/>
        </w:rPr>
        <w:t>支付。政府采购工程以及与工程建设有关的货物、服务，采用招标方式采购的，预付款从其相关规定。</w:t>
      </w:r>
    </w:p>
    <w:p>
      <w:pPr>
        <w:numPr>
          <w:ilvl w:val="255"/>
          <w:numId w:val="0"/>
        </w:numPr>
        <w:tabs>
          <w:tab w:val="left" w:pos="0"/>
        </w:tabs>
        <w:autoSpaceDE/>
        <w:autoSpaceDN/>
        <w:snapToGrid w:val="0"/>
        <w:spacing w:line="500" w:lineRule="exact"/>
        <w:ind w:firstLine="420" w:firstLineChars="200"/>
        <w:rPr>
          <w:rFonts w:hint="default" w:hAnsi="宋体" w:eastAsia="宋体" w:cs="宋体"/>
          <w:color w:val="auto"/>
          <w:sz w:val="21"/>
          <w:szCs w:val="21"/>
          <w:highlight w:val="none"/>
          <w:lang w:val="en-US" w:eastAsia="zh-CN"/>
        </w:rPr>
      </w:pPr>
      <w:r>
        <w:rPr>
          <w:rFonts w:hint="eastAsia" w:hAnsi="宋体" w:cs="宋体"/>
          <w:color w:val="auto"/>
          <w:sz w:val="21"/>
          <w:szCs w:val="21"/>
          <w:highlight w:val="none"/>
        </w:rPr>
        <w:t>本项目的预付款为：合同签订生效且具备实施条件后，</w:t>
      </w:r>
      <w:r>
        <w:rPr>
          <w:rFonts w:hint="eastAsia" w:hAnsi="宋体" w:cs="宋体"/>
          <w:color w:val="auto"/>
          <w:sz w:val="21"/>
          <w:szCs w:val="21"/>
          <w:highlight w:val="none"/>
          <w:lang w:eastAsia="zh-CN"/>
        </w:rPr>
        <w:t>供应商</w:t>
      </w:r>
      <w:r>
        <w:rPr>
          <w:rFonts w:hint="eastAsia" w:hAnsi="宋体" w:cs="宋体"/>
          <w:color w:val="auto"/>
          <w:sz w:val="21"/>
          <w:szCs w:val="21"/>
          <w:highlight w:val="none"/>
        </w:rPr>
        <w:t>已向采购人提交银行、保险公司等金融机构出具的预付款保函（可在政采云平台购买，保函期限不少于1年）的前提下，采购单位向</w:t>
      </w:r>
      <w:r>
        <w:rPr>
          <w:rFonts w:hint="eastAsia" w:hAnsi="宋体" w:cs="宋体"/>
          <w:color w:val="auto"/>
          <w:sz w:val="21"/>
          <w:szCs w:val="21"/>
          <w:highlight w:val="none"/>
          <w:lang w:eastAsia="zh-CN"/>
        </w:rPr>
        <w:t>供应商</w:t>
      </w:r>
      <w:r>
        <w:rPr>
          <w:rFonts w:hint="eastAsia" w:hAnsi="宋体" w:cs="宋体"/>
          <w:color w:val="auto"/>
          <w:sz w:val="21"/>
          <w:szCs w:val="21"/>
          <w:highlight w:val="none"/>
        </w:rPr>
        <w:t>支付</w:t>
      </w:r>
      <w:r>
        <w:rPr>
          <w:rFonts w:hint="eastAsia" w:hAnsi="宋体" w:cs="宋体"/>
          <w:color w:val="auto"/>
          <w:sz w:val="21"/>
          <w:szCs w:val="21"/>
          <w:highlight w:val="none"/>
          <w:lang w:eastAsia="zh-CN"/>
        </w:rPr>
        <w:t>预算金额</w:t>
      </w:r>
      <w:r>
        <w:rPr>
          <w:rFonts w:hint="eastAsia" w:hAnsi="宋体" w:cs="宋体"/>
          <w:color w:val="auto"/>
          <w:sz w:val="21"/>
          <w:szCs w:val="21"/>
          <w:highlight w:val="none"/>
        </w:rPr>
        <w:t>的55％作为预付款</w:t>
      </w:r>
      <w:r>
        <w:rPr>
          <w:rFonts w:hint="eastAsia" w:hAnsi="宋体" w:cs="宋体"/>
          <w:color w:val="auto"/>
          <w:sz w:val="21"/>
          <w:szCs w:val="21"/>
          <w:highlight w:val="none"/>
          <w:lang w:eastAsia="zh-CN"/>
        </w:rPr>
        <w:t>。</w:t>
      </w:r>
    </w:p>
    <w:p>
      <w:pPr>
        <w:pStyle w:val="3"/>
        <w:autoSpaceDE/>
        <w:autoSpaceDN/>
        <w:adjustRightInd w:val="0"/>
        <w:snapToGrid w:val="0"/>
        <w:spacing w:line="500" w:lineRule="exact"/>
        <w:ind w:firstLine="422" w:firstLineChars="200"/>
        <w:jc w:val="left"/>
        <w:rPr>
          <w:rFonts w:ascii="宋体" w:hAnsi="宋体" w:cs="宋体"/>
          <w:b/>
          <w:color w:val="auto"/>
          <w:sz w:val="21"/>
          <w:szCs w:val="21"/>
          <w:highlight w:val="none"/>
        </w:rPr>
      </w:pPr>
      <w:r>
        <w:rPr>
          <w:rFonts w:hint="eastAsia" w:ascii="宋体" w:hAnsi="宋体" w:cs="宋体"/>
          <w:b/>
          <w:color w:val="auto"/>
          <w:sz w:val="21"/>
          <w:szCs w:val="21"/>
          <w:highlight w:val="none"/>
        </w:rPr>
        <w:t>4.资金支付</w:t>
      </w:r>
    </w:p>
    <w:p>
      <w:pPr>
        <w:pStyle w:val="3"/>
        <w:adjustRightInd w:val="0"/>
        <w:snapToGrid w:val="0"/>
        <w:spacing w:line="500" w:lineRule="exact"/>
        <w:ind w:firstLine="422" w:firstLineChars="200"/>
        <w:jc w:val="left"/>
        <w:rPr>
          <w:rFonts w:ascii="宋体" w:hAnsi="宋体" w:cs="宋体"/>
          <w:color w:val="auto"/>
          <w:sz w:val="21"/>
          <w:szCs w:val="21"/>
          <w:highlight w:val="none"/>
        </w:rPr>
      </w:pPr>
      <w:r>
        <w:rPr>
          <w:rFonts w:hint="eastAsia" w:ascii="宋体" w:hAnsi="宋体" w:cs="宋体"/>
          <w:b/>
          <w:color w:val="auto"/>
          <w:sz w:val="21"/>
          <w:szCs w:val="21"/>
          <w:highlight w:val="none"/>
        </w:rPr>
        <w:t>采购单位应当及时</w:t>
      </w:r>
      <w:r>
        <w:rPr>
          <w:rFonts w:hint="eastAsia" w:ascii="宋体" w:hAnsi="宋体" w:cs="宋体"/>
          <w:color w:val="auto"/>
          <w:sz w:val="21"/>
          <w:szCs w:val="21"/>
          <w:highlight w:val="none"/>
        </w:rPr>
        <w:t>组织项目验收，</w:t>
      </w:r>
      <w:r>
        <w:rPr>
          <w:rFonts w:hint="eastAsia" w:ascii="宋体" w:hAnsi="宋体" w:cs="宋体"/>
          <w:b/>
          <w:bCs/>
          <w:color w:val="auto"/>
          <w:sz w:val="21"/>
          <w:szCs w:val="21"/>
          <w:highlight w:val="none"/>
        </w:rPr>
        <w:t>不得以政府部门审计作为支付供应商款项的条件。</w:t>
      </w:r>
      <w:r>
        <w:rPr>
          <w:rFonts w:hint="eastAsia" w:ascii="宋体" w:hAnsi="宋体" w:cs="宋体"/>
          <w:color w:val="auto"/>
          <w:sz w:val="21"/>
          <w:szCs w:val="21"/>
          <w:highlight w:val="none"/>
        </w:rPr>
        <w:t>采购单位对于满足合同约定支付条件的，</w:t>
      </w:r>
      <w:r>
        <w:rPr>
          <w:rFonts w:hint="eastAsia" w:ascii="宋体" w:hAnsi="宋体" w:cs="宋体"/>
          <w:b/>
          <w:bCs/>
          <w:color w:val="auto"/>
          <w:sz w:val="21"/>
          <w:szCs w:val="21"/>
          <w:highlight w:val="none"/>
        </w:rPr>
        <w:t>自收到发票后7个工作日内</w:t>
      </w:r>
      <w:r>
        <w:rPr>
          <w:rFonts w:hint="eastAsia" w:ascii="宋体" w:hAnsi="宋体" w:cs="宋体"/>
          <w:color w:val="auto"/>
          <w:sz w:val="21"/>
          <w:szCs w:val="21"/>
          <w:highlight w:val="none"/>
        </w:rPr>
        <w:t>将资金支付到合同约定的供应商账户。采购单位不得以机构变动、人员更替、政策调整、单位放假、履行内部付款流程，或者在合同未作约定的情况下以等待竣工验收批复、决算审计等为由迟延付款。迟延支付中小企业款项的，供应商可要求采购单位支付逾期利息。</w:t>
      </w:r>
    </w:p>
    <w:p>
      <w:pPr>
        <w:snapToGrid w:val="0"/>
        <w:spacing w:line="500" w:lineRule="exact"/>
        <w:ind w:firstLine="422" w:firstLineChars="200"/>
        <w:rPr>
          <w:rFonts w:hAnsi="宋体" w:cs="宋体"/>
          <w:b/>
          <w:bCs/>
          <w:color w:val="auto"/>
          <w:sz w:val="21"/>
          <w:szCs w:val="21"/>
          <w:highlight w:val="none"/>
        </w:rPr>
      </w:pPr>
      <w:bookmarkStart w:id="40" w:name="_Toc97649962"/>
      <w:r>
        <w:rPr>
          <w:rFonts w:hint="eastAsia" w:hAnsi="宋体" w:cs="宋体"/>
          <w:b/>
          <w:color w:val="auto"/>
          <w:sz w:val="21"/>
          <w:szCs w:val="21"/>
          <w:highlight w:val="none"/>
        </w:rPr>
        <w:t>八、项目验收</w:t>
      </w:r>
      <w:bookmarkEnd w:id="40"/>
    </w:p>
    <w:p>
      <w:pPr>
        <w:tabs>
          <w:tab w:val="left" w:pos="0"/>
        </w:tabs>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1.采购人组织对供应商履约的验收。验收方成员应当在验收书上签字，并承担相应的法律责任。如果发现与合同中要求不符，供应商须承担由此发生的一切损失和费用，并接受相应的处理。</w:t>
      </w:r>
    </w:p>
    <w:p>
      <w:pPr>
        <w:tabs>
          <w:tab w:val="left" w:pos="0"/>
        </w:tabs>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2.采购人可以邀请</w:t>
      </w:r>
      <w:r>
        <w:rPr>
          <w:rFonts w:hint="eastAsia" w:hAnsi="宋体" w:cs="宋体"/>
          <w:color w:val="auto"/>
          <w:sz w:val="21"/>
          <w:szCs w:val="21"/>
          <w:highlight w:val="none"/>
          <w:lang w:eastAsia="zh-CN"/>
        </w:rPr>
        <w:t>专家人员</w:t>
      </w:r>
      <w:r>
        <w:rPr>
          <w:rFonts w:hint="eastAsia" w:hAnsi="宋体" w:cs="宋体"/>
          <w:color w:val="auto"/>
          <w:sz w:val="21"/>
          <w:szCs w:val="21"/>
          <w:highlight w:val="none"/>
        </w:rPr>
        <w:t>参与验收。参与验收的</w:t>
      </w:r>
      <w:r>
        <w:rPr>
          <w:rFonts w:hint="eastAsia" w:hAnsi="宋体" w:cs="宋体"/>
          <w:color w:val="auto"/>
          <w:sz w:val="21"/>
          <w:szCs w:val="21"/>
          <w:highlight w:val="none"/>
          <w:lang w:eastAsia="zh-CN"/>
        </w:rPr>
        <w:t>专家人员</w:t>
      </w:r>
      <w:r>
        <w:rPr>
          <w:rFonts w:hint="eastAsia" w:hAnsi="宋体" w:cs="宋体"/>
          <w:color w:val="auto"/>
          <w:sz w:val="21"/>
          <w:szCs w:val="21"/>
          <w:highlight w:val="none"/>
        </w:rPr>
        <w:t>意见作为验收书的参考资料一并存档。</w:t>
      </w:r>
    </w:p>
    <w:p>
      <w:pPr>
        <w:autoSpaceDE/>
        <w:autoSpaceDN/>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autoSpaceDE/>
        <w:autoSpaceDN/>
        <w:snapToGrid w:val="0"/>
        <w:spacing w:line="500" w:lineRule="exact"/>
        <w:ind w:firstLine="420" w:firstLineChars="200"/>
        <w:rPr>
          <w:rFonts w:hAnsi="宋体" w:cs="宋体"/>
          <w:b/>
          <w:bCs/>
          <w:color w:val="auto"/>
          <w:sz w:val="21"/>
          <w:szCs w:val="21"/>
          <w:highlight w:val="none"/>
        </w:rPr>
      </w:pPr>
      <w:r>
        <w:rPr>
          <w:rFonts w:hint="eastAsia" w:hAnsi="宋体" w:cs="宋体"/>
          <w:color w:val="auto"/>
          <w:sz w:val="21"/>
          <w:szCs w:val="21"/>
          <w:highlight w:val="none"/>
        </w:rPr>
        <w:t>4.采购人原则上应当在</w:t>
      </w:r>
      <w:r>
        <w:rPr>
          <w:rFonts w:hint="eastAsia" w:hAnsi="宋体" w:cs="宋体"/>
          <w:b/>
          <w:bCs/>
          <w:color w:val="auto"/>
          <w:sz w:val="21"/>
          <w:szCs w:val="21"/>
          <w:highlight w:val="none"/>
        </w:rPr>
        <w:t>履约验收之日起2个工作日内</w:t>
      </w:r>
      <w:r>
        <w:rPr>
          <w:rFonts w:hint="eastAsia" w:hAnsi="宋体" w:cs="宋体"/>
          <w:color w:val="auto"/>
          <w:sz w:val="21"/>
          <w:szCs w:val="21"/>
          <w:highlight w:val="none"/>
        </w:rPr>
        <w:t>，</w:t>
      </w:r>
      <w:r>
        <w:rPr>
          <w:rFonts w:hint="eastAsia" w:hAnsi="宋体" w:cs="宋体"/>
          <w:b/>
          <w:bCs/>
          <w:color w:val="auto"/>
          <w:sz w:val="21"/>
          <w:szCs w:val="21"/>
          <w:highlight w:val="none"/>
        </w:rPr>
        <w:t>将履约验收结果在浙江政府采购网上公告。</w:t>
      </w:r>
    </w:p>
    <w:p>
      <w:pPr>
        <w:autoSpaceDE/>
        <w:autoSpaceDN/>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5.验收合格的项目，采购人将根据采购合同的约定及时向供应商支付采购资金、退还履约保证金。</w:t>
      </w:r>
    </w:p>
    <w:p>
      <w:pPr>
        <w:tabs>
          <w:tab w:val="left" w:pos="0"/>
        </w:tabs>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autoSpaceDE/>
        <w:autoSpaceDN/>
        <w:adjustRightInd/>
        <w:spacing w:line="500" w:lineRule="exact"/>
        <w:ind w:firstLine="422" w:firstLineChars="200"/>
        <w:jc w:val="both"/>
        <w:rPr>
          <w:rFonts w:hAnsi="宋体" w:cs="宋体"/>
          <w:color w:val="auto"/>
          <w:sz w:val="21"/>
          <w:szCs w:val="21"/>
          <w:highlight w:val="none"/>
        </w:rPr>
      </w:pPr>
      <w:r>
        <w:rPr>
          <w:rFonts w:hint="eastAsia" w:hAnsi="宋体" w:cs="宋体"/>
          <w:b/>
          <w:color w:val="auto"/>
          <w:sz w:val="21"/>
          <w:szCs w:val="21"/>
          <w:highlight w:val="none"/>
        </w:rPr>
        <w:t>九、本项目招标在金华市财政局政府采购监管处监督下进行。</w:t>
      </w:r>
    </w:p>
    <w:p>
      <w:pPr>
        <w:autoSpaceDE/>
        <w:autoSpaceDN/>
        <w:adjustRightInd/>
        <w:spacing w:line="500" w:lineRule="exact"/>
        <w:ind w:firstLine="422" w:firstLineChars="200"/>
        <w:jc w:val="both"/>
        <w:rPr>
          <w:rFonts w:hAnsi="宋体" w:cs="宋体"/>
          <w:b/>
          <w:color w:val="auto"/>
          <w:sz w:val="21"/>
          <w:szCs w:val="21"/>
          <w:highlight w:val="none"/>
        </w:rPr>
      </w:pPr>
      <w:r>
        <w:rPr>
          <w:rFonts w:hint="eastAsia" w:hAnsi="宋体" w:cs="宋体"/>
          <w:b/>
          <w:color w:val="auto"/>
          <w:sz w:val="21"/>
          <w:szCs w:val="21"/>
          <w:highlight w:val="none"/>
        </w:rPr>
        <w:t>十、电子投标特别提醒</w:t>
      </w:r>
    </w:p>
    <w:p>
      <w:pPr>
        <w:snapToGrid w:val="0"/>
        <w:spacing w:line="500" w:lineRule="exact"/>
        <w:ind w:firstLine="420"/>
        <w:rPr>
          <w:rFonts w:hAnsi="宋体" w:cs="宋体"/>
          <w:color w:val="auto"/>
          <w:sz w:val="21"/>
          <w:highlight w:val="none"/>
        </w:rPr>
      </w:pPr>
      <w:r>
        <w:rPr>
          <w:rFonts w:hint="eastAsia" w:hAnsi="宋体" w:cs="宋体"/>
          <w:color w:val="auto"/>
          <w:sz w:val="21"/>
          <w:highlight w:val="none"/>
        </w:rPr>
        <w:t>1.请所有投标人在政采云系统准时参加线上开标活动,并且要求法定代表人或授权委托人全程在线。</w:t>
      </w:r>
    </w:p>
    <w:p>
      <w:pPr>
        <w:snapToGrid w:val="0"/>
        <w:spacing w:line="500" w:lineRule="exact"/>
        <w:ind w:firstLine="420"/>
        <w:rPr>
          <w:rFonts w:hAnsi="宋体" w:cs="宋体"/>
          <w:color w:val="auto"/>
          <w:sz w:val="21"/>
          <w:highlight w:val="none"/>
        </w:rPr>
      </w:pPr>
      <w:r>
        <w:rPr>
          <w:rFonts w:hint="eastAsia" w:hAnsi="宋体" w:cs="宋体"/>
          <w:color w:val="auto"/>
          <w:sz w:val="21"/>
          <w:highlight w:val="none"/>
        </w:rPr>
        <w:t>2.投标截止时间后，代理机构将线上开启解密，投标人需及时用CA锁在线解密，解密时间一般为半小时（</w:t>
      </w:r>
      <w:r>
        <w:rPr>
          <w:rFonts w:hint="eastAsia" w:hAnsi="宋体" w:cs="宋体"/>
          <w:color w:val="auto"/>
          <w:sz w:val="21"/>
          <w:szCs w:val="21"/>
          <w:highlight w:val="none"/>
        </w:rPr>
        <w:t>解密时限由财政部门设置</w:t>
      </w:r>
      <w:r>
        <w:rPr>
          <w:rFonts w:hint="eastAsia" w:hAnsi="宋体" w:cs="宋体"/>
          <w:color w:val="auto"/>
          <w:sz w:val="21"/>
          <w:highlight w:val="none"/>
        </w:rPr>
        <w:t>），逾期解密，投标人自行承担风险。</w:t>
      </w:r>
    </w:p>
    <w:p>
      <w:pPr>
        <w:widowControl/>
        <w:snapToGrid w:val="0"/>
        <w:spacing w:line="500" w:lineRule="exact"/>
        <w:ind w:firstLine="420"/>
        <w:rPr>
          <w:rFonts w:hAnsi="宋体" w:cs="宋体"/>
          <w:color w:val="auto"/>
          <w:sz w:val="21"/>
          <w:highlight w:val="none"/>
        </w:rPr>
      </w:pPr>
      <w:r>
        <w:rPr>
          <w:rFonts w:hint="eastAsia" w:hAnsi="宋体" w:cs="宋体"/>
          <w:color w:val="auto"/>
          <w:sz w:val="21"/>
          <w:highlight w:val="none"/>
        </w:rPr>
        <w:t>3.解密响应文件的CA锁必须跟制作响应文件的CA锁为同一个，否则将导致解密失败。</w:t>
      </w:r>
    </w:p>
    <w:p>
      <w:pPr>
        <w:snapToGrid w:val="0"/>
        <w:spacing w:line="500" w:lineRule="exact"/>
        <w:ind w:firstLine="420" w:firstLineChars="200"/>
        <w:rPr>
          <w:rFonts w:hAnsi="宋体" w:cs="宋体"/>
          <w:bCs/>
          <w:color w:val="auto"/>
          <w:sz w:val="21"/>
          <w:szCs w:val="22"/>
          <w:highlight w:val="none"/>
        </w:rPr>
      </w:pPr>
      <w:bookmarkStart w:id="41" w:name="_Toc7787"/>
      <w:r>
        <w:rPr>
          <w:rFonts w:hint="eastAsia" w:hAnsi="宋体" w:cs="宋体"/>
          <w:bCs/>
          <w:color w:val="auto"/>
          <w:sz w:val="21"/>
          <w:szCs w:val="22"/>
          <w:highlight w:val="none"/>
        </w:rPr>
        <w:t>4.请务必确保投标文件制作客户端为最新版本，旧版本可能导致投标文件解密失败。</w:t>
      </w:r>
      <w:bookmarkEnd w:id="41"/>
    </w:p>
    <w:p>
      <w:pPr>
        <w:snapToGrid w:val="0"/>
        <w:spacing w:line="500" w:lineRule="exact"/>
        <w:ind w:firstLine="420"/>
        <w:jc w:val="center"/>
        <w:outlineLvl w:val="0"/>
        <w:rPr>
          <w:rFonts w:hAnsi="宋体" w:cs="宋体"/>
          <w:color w:val="auto"/>
          <w:sz w:val="30"/>
          <w:szCs w:val="30"/>
          <w:highlight w:val="none"/>
        </w:rPr>
      </w:pPr>
      <w:r>
        <w:rPr>
          <w:rFonts w:hint="eastAsia" w:hAnsi="宋体" w:cs="宋体"/>
          <w:color w:val="auto"/>
          <w:sz w:val="21"/>
          <w:szCs w:val="21"/>
          <w:highlight w:val="none"/>
        </w:rPr>
        <w:br w:type="page"/>
      </w:r>
      <w:bookmarkStart w:id="42" w:name="_Toc351559944"/>
      <w:r>
        <w:rPr>
          <w:rFonts w:hint="eastAsia" w:hAnsi="宋体" w:cs="宋体"/>
          <w:b/>
          <w:bCs/>
          <w:color w:val="auto"/>
          <w:sz w:val="30"/>
          <w:szCs w:val="30"/>
          <w:highlight w:val="none"/>
        </w:rPr>
        <w:t>第四章 评标办法及评分标准</w:t>
      </w:r>
      <w:bookmarkEnd w:id="42"/>
    </w:p>
    <w:p>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为公正、公平、科学地选择</w:t>
      </w:r>
      <w:r>
        <w:rPr>
          <w:rFonts w:hint="eastAsia" w:hAnsi="宋体" w:cs="宋体"/>
          <w:color w:val="auto"/>
          <w:sz w:val="21"/>
          <w:szCs w:val="21"/>
          <w:highlight w:val="none"/>
          <w:lang w:eastAsia="zh-CN"/>
        </w:rPr>
        <w:t>中标供应商</w:t>
      </w:r>
      <w:r>
        <w:rPr>
          <w:rFonts w:hint="eastAsia" w:hAnsi="宋体" w:cs="宋体"/>
          <w:color w:val="auto"/>
          <w:sz w:val="21"/>
          <w:szCs w:val="21"/>
          <w:highlight w:val="none"/>
        </w:rPr>
        <w:t>，根据《中华人民共和国政府采购法》等有关法律法规的规定，并结合本项目的实际，制定本办法。</w:t>
      </w:r>
    </w:p>
    <w:p>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本办法仅适用本项目的评标。</w:t>
      </w:r>
    </w:p>
    <w:p>
      <w:pPr>
        <w:autoSpaceDE/>
        <w:autoSpaceDN/>
        <w:adjustRightInd/>
        <w:spacing w:line="460" w:lineRule="exact"/>
        <w:ind w:firstLine="422" w:firstLineChars="200"/>
        <w:jc w:val="both"/>
        <w:rPr>
          <w:rFonts w:hAnsi="宋体" w:cs="宋体"/>
          <w:b/>
          <w:color w:val="auto"/>
          <w:sz w:val="21"/>
          <w:szCs w:val="21"/>
          <w:highlight w:val="none"/>
        </w:rPr>
      </w:pPr>
      <w:r>
        <w:rPr>
          <w:rFonts w:hint="eastAsia" w:hAnsi="宋体" w:cs="宋体"/>
          <w:b/>
          <w:color w:val="auto"/>
          <w:sz w:val="21"/>
          <w:szCs w:val="21"/>
          <w:highlight w:val="none"/>
        </w:rPr>
        <w:t>一、总则</w:t>
      </w:r>
    </w:p>
    <w:p>
      <w:pPr>
        <w:autoSpaceDE/>
        <w:autoSpaceDN/>
        <w:adjustRightInd/>
        <w:spacing w:line="46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本次评标采用综合评分法，总分为100分，其中价格分10分，技术商务分90分等</w:t>
      </w:r>
      <w:r>
        <w:rPr>
          <w:rFonts w:hint="eastAsia" w:hAnsi="宋体" w:cs="宋体"/>
          <w:color w:val="auto"/>
          <w:sz w:val="21"/>
          <w:szCs w:val="21"/>
          <w:highlight w:val="none"/>
          <w:lang w:val="en-US" w:eastAsia="zh-CN"/>
        </w:rPr>
        <w:t>两</w:t>
      </w:r>
      <w:r>
        <w:rPr>
          <w:rFonts w:hint="eastAsia" w:hAnsi="宋体" w:cs="宋体"/>
          <w:color w:val="auto"/>
          <w:sz w:val="21"/>
          <w:szCs w:val="21"/>
          <w:highlight w:val="none"/>
        </w:rPr>
        <w:t>部分。合格投标人的评标得分为各项目汇总得分，中标候选资格按评标得分由高到低顺序排列，汇总得分相同的，按投标报价得分（价格分）由高到低顺序排列；汇总得分且投标报价得分均相同的，按“服务计划及保证措施”的分值高低排序。排名第一的投标人为中标候选人，排名第二的投标人为候补中标候选人……其他投标人中标候选资格依此类推。评分过程中采用四舍五入法，并保留小数2位。</w:t>
      </w:r>
    </w:p>
    <w:p>
      <w:pPr>
        <w:autoSpaceDE/>
        <w:autoSpaceDN/>
        <w:adjustRightInd/>
        <w:spacing w:line="46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投标人评标综合得分=价格分+技术商务分。</w:t>
      </w:r>
    </w:p>
    <w:p>
      <w:pPr>
        <w:autoSpaceDE/>
        <w:autoSpaceDN/>
        <w:adjustRightInd/>
        <w:spacing w:line="500" w:lineRule="exact"/>
        <w:ind w:firstLine="422" w:firstLineChars="200"/>
        <w:jc w:val="both"/>
        <w:rPr>
          <w:rFonts w:hAnsi="宋体" w:cs="宋体"/>
          <w:b/>
          <w:color w:val="auto"/>
          <w:sz w:val="21"/>
          <w:szCs w:val="21"/>
          <w:highlight w:val="none"/>
        </w:rPr>
      </w:pPr>
      <w:r>
        <w:rPr>
          <w:rFonts w:hint="eastAsia" w:hAnsi="宋体" w:cs="宋体"/>
          <w:b/>
          <w:color w:val="auto"/>
          <w:sz w:val="21"/>
          <w:szCs w:val="21"/>
          <w:highlight w:val="none"/>
        </w:rPr>
        <w:t>技术商务分=（评审小组所有成员评分合计数）/（评审小组组成人员数）</w:t>
      </w:r>
    </w:p>
    <w:p>
      <w:pPr>
        <w:pStyle w:val="44"/>
        <w:adjustRightInd w:val="0"/>
        <w:snapToGrid w:val="0"/>
        <w:spacing w:before="0" w:beforeAutospacing="0" w:after="0" w:afterAutospacing="0" w:line="500" w:lineRule="exact"/>
        <w:ind w:firstLine="422" w:firstLineChars="200"/>
        <w:rPr>
          <w:rFonts w:ascii="宋体" w:cs="宋体"/>
          <w:b/>
          <w:bCs/>
          <w:color w:val="auto"/>
          <w:highlight w:val="none"/>
        </w:rPr>
      </w:pPr>
      <w:r>
        <w:rPr>
          <w:rFonts w:hint="eastAsia" w:ascii="宋体" w:cs="宋体"/>
          <w:b/>
          <w:color w:val="auto"/>
          <w:sz w:val="21"/>
          <w:szCs w:val="21"/>
          <w:highlight w:val="none"/>
        </w:rPr>
        <w:t>二、评审纪律和要求</w:t>
      </w:r>
    </w:p>
    <w:p>
      <w:pPr>
        <w:autoSpaceDE/>
        <w:autoSpaceDN/>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1.评审专家必须公平、公正评审，遵纪守法，客观、廉洁地履行职责。</w:t>
      </w:r>
    </w:p>
    <w:p>
      <w:pPr>
        <w:autoSpaceDE/>
        <w:autoSpaceDN/>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2.评审专家在评审开始前，应关闭并上交随身携带的各种通信工具。</w:t>
      </w:r>
    </w:p>
    <w:p>
      <w:pPr>
        <w:autoSpaceDE/>
        <w:autoSpaceDN/>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3.评审专家在评审过程中，未经许可不得中途离开评审现场，不得迟到早退。</w:t>
      </w:r>
    </w:p>
    <w:p>
      <w:pPr>
        <w:autoSpaceDE/>
        <w:autoSpaceDN/>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4.评审专家和工作人员不得透露评审过程中的讨论情况和评审结果。</w:t>
      </w:r>
    </w:p>
    <w:p>
      <w:pPr>
        <w:autoSpaceDE/>
        <w:autoSpaceDN/>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w:t>
      </w:r>
      <w:r>
        <w:rPr>
          <w:rFonts w:hint="eastAsia" w:hAnsi="宋体" w:cs="宋体"/>
          <w:b/>
          <w:bCs/>
          <w:color w:val="auto"/>
          <w:sz w:val="21"/>
          <w:szCs w:val="21"/>
          <w:highlight w:val="none"/>
        </w:rPr>
        <w:t>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r>
        <w:rPr>
          <w:rFonts w:hint="eastAsia" w:hAnsi="宋体" w:cs="宋体"/>
          <w:color w:val="auto"/>
          <w:sz w:val="21"/>
          <w:szCs w:val="21"/>
          <w:highlight w:val="none"/>
        </w:rPr>
        <w:t>。</w:t>
      </w:r>
    </w:p>
    <w:p>
      <w:pPr>
        <w:autoSpaceDE/>
        <w:autoSpaceDN/>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6.采购人、采购代理机构不得向评审委员会的评审专家作倾向性、误导性的解释或者说明。</w:t>
      </w:r>
    </w:p>
    <w:p>
      <w:pPr>
        <w:autoSpaceDE/>
        <w:autoSpaceDN/>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7.采购代理机构应当为评审专家提供必要的评审条件和相应的评审工作底稿，并严格按规定程序组织评审专家有步骤地进行项目评审，</w:t>
      </w:r>
      <w:r>
        <w:rPr>
          <w:rFonts w:hint="eastAsia" w:hAnsi="宋体" w:cs="宋体"/>
          <w:b/>
          <w:bCs/>
          <w:color w:val="auto"/>
          <w:sz w:val="21"/>
          <w:szCs w:val="21"/>
          <w:highlight w:val="none"/>
        </w:rPr>
        <w:t>对各评审专家的评审情况和评审意见进行合理性和合规性审查，对明显畸高、畸低的重大差异评审情况（其总评分偏离平均分30%以上），提醒相关评审专家进行复核或书面说明理由</w:t>
      </w:r>
      <w:r>
        <w:rPr>
          <w:rFonts w:hint="eastAsia" w:hAnsi="宋体" w:cs="宋体"/>
          <w:color w:val="auto"/>
          <w:sz w:val="21"/>
          <w:szCs w:val="21"/>
          <w:highlight w:val="none"/>
        </w:rPr>
        <w:t>。</w:t>
      </w:r>
    </w:p>
    <w:p>
      <w:pPr>
        <w:autoSpaceDE/>
        <w:autoSpaceDN/>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8.评审专家在评审过程中不得将自己的观点强加给其他评审专家，评审专家应自主发表见解，对评审意见承担个人责任。</w:t>
      </w:r>
    </w:p>
    <w:p>
      <w:pPr>
        <w:autoSpaceDE/>
        <w:autoSpaceDN/>
        <w:snapToGrid w:val="0"/>
        <w:spacing w:line="500" w:lineRule="exact"/>
        <w:ind w:firstLine="422" w:firstLineChars="200"/>
        <w:rPr>
          <w:rFonts w:hAnsi="宋体" w:cs="宋体"/>
          <w:color w:val="auto"/>
          <w:sz w:val="21"/>
          <w:szCs w:val="21"/>
          <w:highlight w:val="none"/>
        </w:rPr>
      </w:pPr>
      <w:r>
        <w:rPr>
          <w:rFonts w:hint="eastAsia" w:hAnsi="宋体" w:cs="宋体"/>
          <w:b/>
          <w:bCs/>
          <w:color w:val="auto"/>
          <w:sz w:val="21"/>
          <w:szCs w:val="21"/>
          <w:highlight w:val="none"/>
        </w:rPr>
        <w:t>9.评审结束后，评审委员会应向采购代理机构提交项目评审报告。评审报告是采购人确定</w:t>
      </w:r>
      <w:r>
        <w:rPr>
          <w:rFonts w:hint="eastAsia" w:hAnsi="宋体" w:cs="宋体"/>
          <w:b/>
          <w:bCs/>
          <w:color w:val="auto"/>
          <w:sz w:val="21"/>
          <w:szCs w:val="21"/>
          <w:highlight w:val="none"/>
          <w:lang w:eastAsia="zh-CN"/>
        </w:rPr>
        <w:t>中标供应商</w:t>
      </w:r>
      <w:r>
        <w:rPr>
          <w:rFonts w:hint="eastAsia" w:hAnsi="宋体" w:cs="宋体"/>
          <w:b/>
          <w:bCs/>
          <w:color w:val="auto"/>
          <w:sz w:val="21"/>
          <w:szCs w:val="21"/>
          <w:highlight w:val="none"/>
        </w:rPr>
        <w:t>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r>
        <w:rPr>
          <w:rFonts w:hint="eastAsia" w:hAnsi="宋体" w:cs="宋体"/>
          <w:color w:val="auto"/>
          <w:sz w:val="21"/>
          <w:szCs w:val="21"/>
          <w:highlight w:val="none"/>
        </w:rPr>
        <w:t>。</w:t>
      </w:r>
    </w:p>
    <w:p>
      <w:pPr>
        <w:autoSpaceDE/>
        <w:autoSpaceDN/>
        <w:snapToGrid w:val="0"/>
        <w:spacing w:line="500" w:lineRule="exact"/>
        <w:ind w:firstLine="422" w:firstLineChars="200"/>
        <w:rPr>
          <w:rFonts w:hAnsi="宋体" w:cs="宋体"/>
          <w:b/>
          <w:bCs/>
          <w:color w:val="auto"/>
          <w:sz w:val="21"/>
          <w:szCs w:val="21"/>
          <w:highlight w:val="none"/>
        </w:rPr>
      </w:pPr>
      <w:r>
        <w:rPr>
          <w:rFonts w:hint="eastAsia" w:hAnsi="宋体" w:cs="宋体"/>
          <w:b/>
          <w:bCs/>
          <w:color w:val="auto"/>
          <w:sz w:val="21"/>
          <w:szCs w:val="21"/>
          <w:highlight w:val="none"/>
        </w:rPr>
        <w:t>10.评审专家应当独立、客观、公正地提出评审意见，不得带有倾向性，不得影响其他评审专家评审，并在评审报告上签字；如对评审报告有异议的，可在报告上签署不同意见，并说明理由，否则将视为同意。</w:t>
      </w:r>
    </w:p>
    <w:p>
      <w:pPr>
        <w:autoSpaceDE/>
        <w:autoSpaceDN/>
        <w:snapToGrid w:val="0"/>
        <w:spacing w:line="500" w:lineRule="exact"/>
        <w:ind w:firstLine="422" w:firstLineChars="200"/>
        <w:rPr>
          <w:rFonts w:hAnsi="宋体" w:cs="宋体"/>
          <w:b/>
          <w:bCs/>
          <w:color w:val="auto"/>
          <w:sz w:val="21"/>
          <w:szCs w:val="21"/>
          <w:highlight w:val="none"/>
        </w:rPr>
      </w:pPr>
      <w:r>
        <w:rPr>
          <w:rFonts w:hint="eastAsia" w:hAnsi="宋体" w:cs="宋体"/>
          <w:b/>
          <w:bCs/>
          <w:color w:val="auto"/>
          <w:sz w:val="21"/>
          <w:szCs w:val="21"/>
          <w:highlight w:val="none"/>
        </w:rPr>
        <w:t>11.评审专家应当遵守评审工作纪律，不得泄露评审文件、评审情况和评审中获悉的商业秘密。</w:t>
      </w:r>
    </w:p>
    <w:p>
      <w:pPr>
        <w:autoSpaceDE/>
        <w:autoSpaceDN/>
        <w:snapToGrid w:val="0"/>
        <w:spacing w:line="500" w:lineRule="exact"/>
        <w:ind w:firstLine="422" w:firstLineChars="200"/>
        <w:rPr>
          <w:rFonts w:hAnsi="宋体" w:cs="宋体"/>
          <w:b/>
          <w:bCs/>
          <w:color w:val="auto"/>
          <w:sz w:val="21"/>
          <w:szCs w:val="21"/>
          <w:highlight w:val="none"/>
        </w:rPr>
      </w:pPr>
      <w:r>
        <w:rPr>
          <w:rFonts w:hint="eastAsia" w:hAnsi="宋体" w:cs="宋体"/>
          <w:b/>
          <w:bCs/>
          <w:color w:val="auto"/>
          <w:sz w:val="21"/>
          <w:szCs w:val="21"/>
          <w:highlight w:val="none"/>
        </w:rPr>
        <w:t>评审委员会在评审过程中发现投标人有行贿、提供虚假材料或者串通等违法行为的，应当及时向财政部门报告。</w:t>
      </w:r>
    </w:p>
    <w:p>
      <w:pPr>
        <w:autoSpaceDE/>
        <w:autoSpaceDN/>
        <w:snapToGrid w:val="0"/>
        <w:spacing w:line="500" w:lineRule="exact"/>
        <w:ind w:firstLine="422" w:firstLineChars="200"/>
        <w:rPr>
          <w:rFonts w:hAnsi="宋体" w:cs="宋体"/>
          <w:b/>
          <w:bCs/>
          <w:color w:val="auto"/>
          <w:sz w:val="21"/>
          <w:szCs w:val="21"/>
          <w:highlight w:val="none"/>
        </w:rPr>
      </w:pPr>
      <w:r>
        <w:rPr>
          <w:rFonts w:hint="eastAsia" w:hAnsi="宋体" w:cs="宋体"/>
          <w:b/>
          <w:bCs/>
          <w:color w:val="auto"/>
          <w:sz w:val="21"/>
          <w:szCs w:val="21"/>
          <w:highlight w:val="none"/>
        </w:rPr>
        <w:t>12.招标文件内容违反国家有关强制性规定的，评审委员会应当停止评审并向采购代理机构说明情况。</w:t>
      </w:r>
    </w:p>
    <w:p>
      <w:pPr>
        <w:autoSpaceDE/>
        <w:autoSpaceDN/>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13.评审专家应当配合采购代理机构答复投标人提出的质疑。</w:t>
      </w:r>
    </w:p>
    <w:p>
      <w:pPr>
        <w:autoSpaceDE/>
        <w:autoSpaceDN/>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14.评审专家应当配合财政部门的投诉处理工作。</w:t>
      </w:r>
    </w:p>
    <w:p>
      <w:pPr>
        <w:autoSpaceDE/>
        <w:autoSpaceDN/>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15.评审专家有如下行为之一的，责令改正，给予警告，可以并处一千元以下的罚款：</w:t>
      </w:r>
    </w:p>
    <w:p>
      <w:pPr>
        <w:autoSpaceDE/>
        <w:autoSpaceDN/>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①明知应当回避而未主动回避的；</w:t>
      </w:r>
    </w:p>
    <w:p>
      <w:pPr>
        <w:autoSpaceDE/>
        <w:autoSpaceDN/>
        <w:snapToGrid w:val="0"/>
        <w:spacing w:line="500" w:lineRule="exact"/>
        <w:ind w:firstLine="420" w:firstLineChars="200"/>
        <w:rPr>
          <w:rFonts w:hAnsi="宋体" w:cs="宋体"/>
          <w:color w:val="auto"/>
          <w:sz w:val="21"/>
          <w:szCs w:val="21"/>
          <w:highlight w:val="none"/>
        </w:rPr>
      </w:pPr>
      <w:r>
        <w:rPr>
          <w:rFonts w:hint="eastAsia" w:hAnsi="宋体" w:cs="宋体"/>
          <w:snapToGrid w:val="0"/>
          <w:color w:val="auto"/>
          <w:sz w:val="21"/>
          <w:szCs w:val="21"/>
          <w:highlight w:val="none"/>
        </w:rPr>
        <w:t>②在得知自己为评审专家身份后至评审结束前时段内私下接触投标人的</w:t>
      </w:r>
      <w:r>
        <w:rPr>
          <w:rFonts w:hint="eastAsia" w:hAnsi="宋体" w:cs="宋体"/>
          <w:color w:val="auto"/>
          <w:sz w:val="21"/>
          <w:szCs w:val="21"/>
          <w:highlight w:val="none"/>
        </w:rPr>
        <w:t>；</w:t>
      </w:r>
    </w:p>
    <w:p>
      <w:pPr>
        <w:autoSpaceDE/>
        <w:autoSpaceDN/>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③在评审过程中擅离职守，影响评审程序正常进行的；</w:t>
      </w:r>
    </w:p>
    <w:p>
      <w:pPr>
        <w:autoSpaceDE/>
        <w:autoSpaceDN/>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④在评审过程有明显不合理或者不正当倾向性的；</w:t>
      </w:r>
    </w:p>
    <w:p>
      <w:pPr>
        <w:autoSpaceDE/>
        <w:autoSpaceDN/>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⑤未按招标文件规定的评审方法和标准进行评审的。</w:t>
      </w:r>
    </w:p>
    <w:p>
      <w:pPr>
        <w:autoSpaceDE/>
        <w:autoSpaceDN/>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⑥上述①至⑤行为影响中标结果的，中标结果无效。</w:t>
      </w:r>
    </w:p>
    <w:p>
      <w:pPr>
        <w:autoSpaceDE/>
        <w:autoSpaceDN/>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pPr>
        <w:autoSpaceDE/>
        <w:autoSpaceDN/>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政府采购评审专家与投标人存在利害关系未回避的，处2万元以上5万元以下的罚款，禁止其参加政府采购评审活动。</w:t>
      </w:r>
    </w:p>
    <w:p>
      <w:pPr>
        <w:autoSpaceDE/>
        <w:autoSpaceDN/>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政府采购评审专家收受采购人、采购代理机构、投标人贿赂或者获取其他不正当利益，构成犯罪的，依法追究刑事责任；尚不构成犯罪的，处2万元以上5万元以下的罚款，禁止其参加政府采购评审活动。</w:t>
      </w:r>
    </w:p>
    <w:p>
      <w:pPr>
        <w:autoSpaceDE/>
        <w:autoSpaceDN/>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政府采购评审专家有上述违法行为的，其评审意见无效，不得获取评审费；有违法所得的，没收违法所得；给他人造成损失的，依法承担民事责任。</w:t>
      </w:r>
    </w:p>
    <w:p>
      <w:pPr>
        <w:pStyle w:val="44"/>
        <w:adjustRightInd w:val="0"/>
        <w:snapToGrid w:val="0"/>
        <w:spacing w:before="0" w:beforeAutospacing="0" w:after="0" w:afterAutospacing="0" w:line="500" w:lineRule="exact"/>
        <w:ind w:firstLine="422" w:firstLineChars="200"/>
        <w:rPr>
          <w:rFonts w:ascii="宋体" w:cs="宋体"/>
          <w:b/>
          <w:color w:val="auto"/>
          <w:sz w:val="21"/>
          <w:szCs w:val="21"/>
          <w:highlight w:val="none"/>
        </w:rPr>
      </w:pPr>
      <w:r>
        <w:rPr>
          <w:rFonts w:hint="eastAsia" w:ascii="宋体" w:cs="宋体"/>
          <w:b/>
          <w:color w:val="auto"/>
          <w:sz w:val="21"/>
          <w:szCs w:val="21"/>
          <w:highlight w:val="none"/>
        </w:rPr>
        <w:t>三、评标定标时对政府采购政策的落实要求</w:t>
      </w:r>
    </w:p>
    <w:p>
      <w:pPr>
        <w:pStyle w:val="44"/>
        <w:adjustRightInd w:val="0"/>
        <w:snapToGrid w:val="0"/>
        <w:spacing w:before="0" w:beforeAutospacing="0" w:after="0" w:afterAutospacing="0" w:line="500" w:lineRule="exact"/>
        <w:ind w:firstLine="420" w:firstLineChars="200"/>
        <w:rPr>
          <w:rFonts w:ascii="宋体" w:cs="宋体"/>
          <w:color w:val="auto"/>
          <w:sz w:val="21"/>
          <w:szCs w:val="21"/>
          <w:highlight w:val="none"/>
        </w:rPr>
      </w:pPr>
      <w:r>
        <w:rPr>
          <w:rFonts w:hint="eastAsia" w:ascii="宋体" w:cs="宋体"/>
          <w:color w:val="auto"/>
          <w:sz w:val="21"/>
          <w:szCs w:val="21"/>
          <w:highlight w:val="none"/>
        </w:rPr>
        <w:t>1.采购项目需要落实的政府采购政策</w:t>
      </w:r>
    </w:p>
    <w:p>
      <w:pPr>
        <w:pStyle w:val="44"/>
        <w:adjustRightInd w:val="0"/>
        <w:snapToGrid w:val="0"/>
        <w:spacing w:before="0" w:beforeAutospacing="0" w:after="0" w:afterAutospacing="0" w:line="500" w:lineRule="exact"/>
        <w:ind w:firstLine="420" w:firstLineChars="200"/>
        <w:rPr>
          <w:rFonts w:ascii="宋体" w:cs="宋体"/>
          <w:color w:val="auto"/>
          <w:sz w:val="21"/>
          <w:szCs w:val="21"/>
          <w:highlight w:val="none"/>
        </w:rPr>
      </w:pPr>
      <w:r>
        <w:rPr>
          <w:rFonts w:hint="eastAsia" w:ascii="宋体" w:cs="宋体"/>
          <w:color w:val="auto"/>
          <w:sz w:val="21"/>
          <w:szCs w:val="21"/>
          <w:highlight w:val="none"/>
        </w:rPr>
        <w:t>1.1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pPr>
        <w:pStyle w:val="44"/>
        <w:adjustRightInd w:val="0"/>
        <w:snapToGrid w:val="0"/>
        <w:spacing w:before="0" w:beforeAutospacing="0" w:after="0" w:afterAutospacing="0" w:line="500" w:lineRule="exact"/>
        <w:ind w:firstLine="420" w:firstLineChars="200"/>
        <w:rPr>
          <w:rFonts w:ascii="宋体" w:cs="宋体"/>
          <w:color w:val="auto"/>
          <w:sz w:val="21"/>
          <w:szCs w:val="21"/>
          <w:highlight w:val="none"/>
        </w:rPr>
      </w:pPr>
      <w:r>
        <w:rPr>
          <w:rFonts w:hint="eastAsia" w:ascii="宋体" w:cs="宋体"/>
          <w:color w:val="auto"/>
          <w:sz w:val="21"/>
          <w:szCs w:val="21"/>
          <w:highlight w:val="none"/>
        </w:rPr>
        <w:t>1.2 支持绿色发展</w:t>
      </w:r>
    </w:p>
    <w:p>
      <w:pPr>
        <w:pStyle w:val="44"/>
        <w:adjustRightInd w:val="0"/>
        <w:snapToGrid w:val="0"/>
        <w:spacing w:before="0" w:beforeAutospacing="0" w:after="0" w:afterAutospacing="0" w:line="500" w:lineRule="exact"/>
        <w:ind w:firstLine="420" w:firstLineChars="200"/>
        <w:rPr>
          <w:rFonts w:ascii="宋体" w:cs="宋体"/>
          <w:color w:val="auto"/>
          <w:sz w:val="21"/>
          <w:szCs w:val="21"/>
          <w:highlight w:val="none"/>
        </w:rPr>
      </w:pPr>
      <w:r>
        <w:rPr>
          <w:rFonts w:hint="eastAsia" w:ascii="宋体" w:cs="宋体"/>
          <w:color w:val="auto"/>
          <w:sz w:val="21"/>
          <w:szCs w:val="21"/>
          <w:highlight w:val="none"/>
        </w:rPr>
        <w:t>1.2.1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pPr>
        <w:pStyle w:val="44"/>
        <w:adjustRightInd w:val="0"/>
        <w:snapToGrid w:val="0"/>
        <w:spacing w:before="0" w:beforeAutospacing="0" w:after="0" w:afterAutospacing="0" w:line="500" w:lineRule="exact"/>
        <w:ind w:firstLine="420" w:firstLineChars="200"/>
        <w:rPr>
          <w:rFonts w:ascii="宋体" w:cs="宋体"/>
          <w:color w:val="auto"/>
          <w:sz w:val="21"/>
          <w:szCs w:val="21"/>
          <w:highlight w:val="none"/>
        </w:rPr>
      </w:pPr>
      <w:r>
        <w:rPr>
          <w:rFonts w:hint="eastAsia" w:ascii="宋体" w:cs="宋体"/>
          <w:color w:val="auto"/>
          <w:sz w:val="21"/>
          <w:szCs w:val="21"/>
          <w:highlight w:val="none"/>
        </w:rPr>
        <w:t>1.2.2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pStyle w:val="44"/>
        <w:adjustRightInd w:val="0"/>
        <w:snapToGrid w:val="0"/>
        <w:spacing w:before="0" w:beforeAutospacing="0" w:after="0" w:afterAutospacing="0" w:line="500" w:lineRule="exact"/>
        <w:ind w:firstLine="420" w:firstLineChars="200"/>
        <w:rPr>
          <w:rFonts w:ascii="宋体" w:cs="宋体"/>
          <w:color w:val="auto"/>
          <w:sz w:val="21"/>
          <w:szCs w:val="21"/>
          <w:highlight w:val="none"/>
        </w:rPr>
      </w:pPr>
      <w:r>
        <w:rPr>
          <w:rFonts w:hint="eastAsia" w:ascii="宋体" w:cs="宋体"/>
          <w:color w:val="auto"/>
          <w:sz w:val="21"/>
          <w:szCs w:val="21"/>
          <w:highlight w:val="none"/>
        </w:rPr>
        <w:t>1.3支持中小企业发展</w:t>
      </w:r>
    </w:p>
    <w:p>
      <w:pPr>
        <w:pStyle w:val="44"/>
        <w:adjustRightInd w:val="0"/>
        <w:snapToGrid w:val="0"/>
        <w:spacing w:before="0" w:beforeAutospacing="0" w:after="0" w:afterAutospacing="0" w:line="500" w:lineRule="exact"/>
        <w:ind w:firstLine="420" w:firstLineChars="200"/>
        <w:rPr>
          <w:rFonts w:ascii="宋体" w:cs="宋体"/>
          <w:color w:val="auto"/>
          <w:sz w:val="21"/>
          <w:szCs w:val="21"/>
          <w:highlight w:val="none"/>
        </w:rPr>
      </w:pPr>
      <w:r>
        <w:rPr>
          <w:rFonts w:hint="eastAsia" w:ascii="宋体" w:cs="宋体"/>
          <w:color w:val="auto"/>
          <w:sz w:val="21"/>
          <w:szCs w:val="21"/>
          <w:highlight w:val="none"/>
        </w:rPr>
        <w:t>1.3.1中小企业，是指在中华人民共和国境内依法设立，依据国务院批准的中小企业划分标准确定的中型企业、小型企业和微型企业，但与大企业的负责人为同一人，或者与大企业存在直接控股、管理关系的除外。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44"/>
        <w:adjustRightInd w:val="0"/>
        <w:snapToGrid w:val="0"/>
        <w:spacing w:before="0" w:beforeAutospacing="0" w:after="0" w:afterAutospacing="0" w:line="500" w:lineRule="exact"/>
        <w:ind w:firstLine="420" w:firstLineChars="200"/>
        <w:rPr>
          <w:rFonts w:ascii="宋体" w:cs="宋体"/>
          <w:color w:val="auto"/>
          <w:sz w:val="21"/>
          <w:szCs w:val="21"/>
          <w:highlight w:val="none"/>
        </w:rPr>
      </w:pPr>
      <w:r>
        <w:rPr>
          <w:rFonts w:hint="eastAsia" w:ascii="宋体" w:cs="宋体"/>
          <w:color w:val="auto"/>
          <w:sz w:val="21"/>
          <w:szCs w:val="21"/>
          <w:highlight w:val="none"/>
        </w:rPr>
        <w:t>符合中小企业划分标准的个体工商户，在政府采购活动中视同中小企业。</w:t>
      </w:r>
    </w:p>
    <w:p>
      <w:pPr>
        <w:pStyle w:val="44"/>
        <w:adjustRightInd w:val="0"/>
        <w:snapToGrid w:val="0"/>
        <w:spacing w:before="0" w:beforeAutospacing="0" w:after="0" w:afterAutospacing="0" w:line="500" w:lineRule="exact"/>
        <w:ind w:firstLine="420" w:firstLineChars="200"/>
        <w:rPr>
          <w:rFonts w:ascii="宋体" w:cs="宋体"/>
          <w:color w:val="auto"/>
          <w:sz w:val="21"/>
          <w:szCs w:val="21"/>
          <w:highlight w:val="none"/>
        </w:rPr>
      </w:pPr>
      <w:r>
        <w:rPr>
          <w:rFonts w:hint="eastAsia" w:ascii="宋体" w:cs="宋体"/>
          <w:color w:val="auto"/>
          <w:sz w:val="21"/>
          <w:szCs w:val="21"/>
          <w:highlight w:val="none"/>
        </w:rPr>
        <w:t>1.3.2在政府采购活动中，供应商提供的货物、工程或者服务符合下列情形的，享受中小企业扶持政策：</w:t>
      </w:r>
    </w:p>
    <w:p>
      <w:pPr>
        <w:pStyle w:val="44"/>
        <w:adjustRightInd w:val="0"/>
        <w:snapToGrid w:val="0"/>
        <w:spacing w:before="0" w:beforeAutospacing="0" w:after="0" w:afterAutospacing="0" w:line="500" w:lineRule="exact"/>
        <w:ind w:firstLine="420" w:firstLineChars="200"/>
        <w:rPr>
          <w:rFonts w:ascii="宋体" w:cs="宋体"/>
          <w:color w:val="auto"/>
          <w:sz w:val="21"/>
          <w:szCs w:val="21"/>
          <w:highlight w:val="none"/>
        </w:rPr>
      </w:pPr>
      <w:r>
        <w:rPr>
          <w:rFonts w:hint="eastAsia" w:ascii="宋体" w:cs="宋体"/>
          <w:color w:val="auto"/>
          <w:sz w:val="21"/>
          <w:szCs w:val="21"/>
          <w:highlight w:val="none"/>
        </w:rPr>
        <w:t>1.3.2.1在货物采购项目中，货物由中小企业制造，即货物由中小企业生产且使用该中小企业商号或者注册商标；</w:t>
      </w:r>
    </w:p>
    <w:p>
      <w:pPr>
        <w:pStyle w:val="44"/>
        <w:adjustRightInd w:val="0"/>
        <w:snapToGrid w:val="0"/>
        <w:spacing w:before="0" w:beforeAutospacing="0" w:after="0" w:afterAutospacing="0" w:line="500" w:lineRule="exact"/>
        <w:ind w:firstLine="420" w:firstLineChars="200"/>
        <w:rPr>
          <w:rFonts w:ascii="宋体" w:cs="宋体"/>
          <w:color w:val="auto"/>
          <w:sz w:val="21"/>
          <w:szCs w:val="21"/>
          <w:highlight w:val="none"/>
        </w:rPr>
      </w:pPr>
      <w:r>
        <w:rPr>
          <w:rFonts w:hint="eastAsia" w:ascii="宋体" w:cs="宋体"/>
          <w:color w:val="auto"/>
          <w:sz w:val="21"/>
          <w:szCs w:val="21"/>
          <w:highlight w:val="none"/>
        </w:rPr>
        <w:t>1.3.2.2在工程采购项目中，工程由中小企业承建，即工程施工单位为中小企业；</w:t>
      </w:r>
    </w:p>
    <w:p>
      <w:pPr>
        <w:pStyle w:val="44"/>
        <w:adjustRightInd w:val="0"/>
        <w:snapToGrid w:val="0"/>
        <w:spacing w:before="0" w:beforeAutospacing="0" w:after="0" w:afterAutospacing="0" w:line="500" w:lineRule="exact"/>
        <w:ind w:firstLine="420" w:firstLineChars="200"/>
        <w:rPr>
          <w:rFonts w:ascii="宋体" w:cs="宋体"/>
          <w:color w:val="auto"/>
          <w:sz w:val="21"/>
          <w:szCs w:val="21"/>
          <w:highlight w:val="none"/>
        </w:rPr>
      </w:pPr>
      <w:r>
        <w:rPr>
          <w:rFonts w:hint="eastAsia" w:ascii="宋体" w:cs="宋体"/>
          <w:color w:val="auto"/>
          <w:sz w:val="21"/>
          <w:szCs w:val="21"/>
          <w:highlight w:val="none"/>
        </w:rPr>
        <w:t>1.3.2.3在服务采购项目中，服务由中小企业承接，即提供服务的人员为中小企业依照《中华人民共和国劳动合同法》订立劳动合同的从业人员。</w:t>
      </w:r>
    </w:p>
    <w:p>
      <w:pPr>
        <w:pStyle w:val="44"/>
        <w:adjustRightInd w:val="0"/>
        <w:snapToGrid w:val="0"/>
        <w:spacing w:before="0" w:beforeAutospacing="0" w:after="0" w:afterAutospacing="0" w:line="500" w:lineRule="exact"/>
        <w:ind w:firstLine="420" w:firstLineChars="200"/>
        <w:rPr>
          <w:rFonts w:ascii="宋体" w:cs="宋体"/>
          <w:color w:val="auto"/>
          <w:sz w:val="21"/>
          <w:szCs w:val="21"/>
          <w:highlight w:val="none"/>
        </w:rPr>
      </w:pPr>
      <w:r>
        <w:rPr>
          <w:rFonts w:hint="eastAsia" w:ascii="宋体" w:cs="宋体"/>
          <w:color w:val="auto"/>
          <w:sz w:val="21"/>
          <w:szCs w:val="21"/>
          <w:highlight w:val="none"/>
        </w:rPr>
        <w:t>在货物采购项目中，供应商提供的货物既有中小企业制造货物，也有大型企业制造货物的，不享受中小企业扶持政策。</w:t>
      </w:r>
    </w:p>
    <w:p>
      <w:pPr>
        <w:pStyle w:val="44"/>
        <w:adjustRightInd w:val="0"/>
        <w:snapToGrid w:val="0"/>
        <w:spacing w:before="0" w:beforeAutospacing="0" w:after="0" w:afterAutospacing="0" w:line="500" w:lineRule="exact"/>
        <w:ind w:firstLine="420" w:firstLineChars="200"/>
        <w:rPr>
          <w:rFonts w:hint="eastAsia" w:ascii="宋体" w:eastAsia="宋体" w:cs="宋体"/>
          <w:color w:val="auto"/>
          <w:sz w:val="21"/>
          <w:szCs w:val="21"/>
          <w:highlight w:val="none"/>
          <w:lang w:eastAsia="zh-CN"/>
        </w:rPr>
      </w:pPr>
      <w:r>
        <w:rPr>
          <w:rFonts w:hint="eastAsia" w:ascii="宋体" w:cs="宋体"/>
          <w:color w:val="auto"/>
          <w:sz w:val="21"/>
          <w:szCs w:val="21"/>
          <w:highlight w:val="none"/>
        </w:rPr>
        <w:t>以联合体形式参加政府采购活动，联合体各方均为中小企业的，联合体视同中小企业。其中，联合体各方均为小微企业的，联合体视同小微企业。</w:t>
      </w:r>
      <w:r>
        <w:rPr>
          <w:rFonts w:hint="eastAsia" w:ascii="宋体" w:cs="宋体"/>
          <w:color w:val="auto"/>
          <w:sz w:val="21"/>
          <w:szCs w:val="21"/>
          <w:highlight w:val="none"/>
          <w:lang w:eastAsia="zh-CN"/>
        </w:rPr>
        <w:t>（</w:t>
      </w:r>
      <w:r>
        <w:rPr>
          <w:rFonts w:hint="eastAsia" w:ascii="宋体" w:cs="宋体"/>
          <w:color w:val="auto"/>
          <w:sz w:val="21"/>
          <w:szCs w:val="21"/>
          <w:highlight w:val="none"/>
          <w:lang w:val="en-US" w:eastAsia="zh-CN"/>
        </w:rPr>
        <w:t>本项目不接受联合体投标</w:t>
      </w:r>
      <w:r>
        <w:rPr>
          <w:rFonts w:hint="eastAsia" w:ascii="宋体" w:cs="宋体"/>
          <w:color w:val="auto"/>
          <w:sz w:val="21"/>
          <w:szCs w:val="21"/>
          <w:highlight w:val="none"/>
          <w:lang w:eastAsia="zh-CN"/>
        </w:rPr>
        <w:t>）</w:t>
      </w:r>
    </w:p>
    <w:p>
      <w:pPr>
        <w:pStyle w:val="44"/>
        <w:adjustRightInd w:val="0"/>
        <w:snapToGrid w:val="0"/>
        <w:spacing w:before="0" w:beforeAutospacing="0" w:after="0" w:afterAutospacing="0" w:line="500" w:lineRule="exact"/>
        <w:ind w:firstLine="420" w:firstLineChars="200"/>
        <w:rPr>
          <w:rFonts w:ascii="宋体" w:cs="宋体"/>
          <w:color w:val="auto"/>
          <w:sz w:val="21"/>
          <w:szCs w:val="21"/>
          <w:highlight w:val="none"/>
        </w:rPr>
      </w:pPr>
      <w:r>
        <w:rPr>
          <w:rFonts w:hint="eastAsia" w:ascii="宋体" w:cs="宋体"/>
          <w:color w:val="auto"/>
          <w:sz w:val="21"/>
          <w:szCs w:val="21"/>
          <w:highlight w:val="none"/>
        </w:rPr>
        <w:t>1.3.3对于未预留份额专门面向中小企业的政府采购货物或服务项目，以及预留份额政府采购货物或服务项目中的非预留部分标项，对小型和微型企业的投标报价给予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扣除，用扣除后的价格参加评审。组成联合体或者接受分包的小微企业与联合体内其他企业、分包企业之间存在直接控股、管理关系的，不享受价格扣除优惠政策。</w:t>
      </w:r>
    </w:p>
    <w:p>
      <w:pPr>
        <w:pStyle w:val="44"/>
        <w:adjustRightInd w:val="0"/>
        <w:snapToGrid w:val="0"/>
        <w:spacing w:before="0" w:beforeAutospacing="0" w:after="0" w:afterAutospacing="0" w:line="500" w:lineRule="exact"/>
        <w:ind w:firstLine="420" w:firstLineChars="200"/>
        <w:rPr>
          <w:rFonts w:ascii="宋体" w:cs="宋体"/>
          <w:color w:val="auto"/>
          <w:sz w:val="21"/>
          <w:szCs w:val="21"/>
          <w:highlight w:val="none"/>
        </w:rPr>
      </w:pPr>
      <w:r>
        <w:rPr>
          <w:rFonts w:hint="eastAsia" w:ascii="宋体" w:cs="宋体"/>
          <w:color w:val="auto"/>
          <w:sz w:val="21"/>
          <w:szCs w:val="21"/>
          <w:highlight w:val="none"/>
        </w:rPr>
        <w:t>1.3.4符合《关于促进残疾人就业政府采购政策的通知》（财库〔2017〕141号）规定的条件并提供《残疾人福利性单位声明函》（附件1）的残疾人福利性单位视同小型、微型企业；</w:t>
      </w:r>
    </w:p>
    <w:p>
      <w:pPr>
        <w:pStyle w:val="44"/>
        <w:adjustRightInd w:val="0"/>
        <w:snapToGrid w:val="0"/>
        <w:spacing w:before="0" w:beforeAutospacing="0" w:after="0" w:afterAutospacing="0" w:line="500" w:lineRule="exact"/>
        <w:ind w:firstLine="420" w:firstLineChars="200"/>
        <w:rPr>
          <w:rFonts w:ascii="宋体" w:cs="宋体"/>
          <w:color w:val="auto"/>
          <w:sz w:val="21"/>
          <w:szCs w:val="21"/>
          <w:highlight w:val="none"/>
        </w:rPr>
      </w:pPr>
      <w:r>
        <w:rPr>
          <w:rFonts w:hint="eastAsia" w:ascii="宋体" w:cs="宋体"/>
          <w:color w:val="auto"/>
          <w:sz w:val="21"/>
          <w:szCs w:val="21"/>
          <w:highlight w:val="none"/>
        </w:rPr>
        <w:t>1.3.5符合《关于政府采购支持监狱企业发展有关问题的通知》（财库[2014]68号）规定的监狱企业并提供由省级以上监狱管理局、戒毒管理局（含新疆生产建设兵团）出具的属于监狱企业证明文件的，视同为小型、微型企业。</w:t>
      </w:r>
    </w:p>
    <w:p>
      <w:pPr>
        <w:pStyle w:val="44"/>
        <w:adjustRightInd w:val="0"/>
        <w:snapToGrid w:val="0"/>
        <w:spacing w:before="0" w:beforeAutospacing="0" w:after="0" w:afterAutospacing="0" w:line="500" w:lineRule="exact"/>
        <w:ind w:firstLine="420" w:firstLineChars="200"/>
        <w:rPr>
          <w:rFonts w:ascii="宋体" w:cs="宋体"/>
          <w:color w:val="auto"/>
          <w:sz w:val="21"/>
          <w:szCs w:val="21"/>
          <w:highlight w:val="none"/>
        </w:rPr>
      </w:pPr>
      <w:r>
        <w:rPr>
          <w:rFonts w:hint="eastAsia" w:ascii="宋体" w:cs="宋体"/>
          <w:color w:val="auto"/>
          <w:sz w:val="21"/>
          <w:szCs w:val="21"/>
          <w:highlight w:val="none"/>
        </w:rPr>
        <w:t>1.3.6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pPr>
        <w:pStyle w:val="44"/>
        <w:adjustRightInd w:val="0"/>
        <w:snapToGrid w:val="0"/>
        <w:spacing w:before="0" w:beforeAutospacing="0" w:after="0" w:afterAutospacing="0" w:line="500" w:lineRule="exact"/>
        <w:ind w:firstLine="420" w:firstLineChars="200"/>
        <w:rPr>
          <w:rFonts w:ascii="宋体" w:cs="宋体"/>
          <w:color w:val="auto"/>
          <w:sz w:val="21"/>
          <w:szCs w:val="21"/>
          <w:highlight w:val="none"/>
        </w:rPr>
      </w:pPr>
      <w:r>
        <w:rPr>
          <w:rFonts w:hint="eastAsia" w:ascii="宋体" w:cs="宋体"/>
          <w:color w:val="auto"/>
          <w:sz w:val="21"/>
          <w:szCs w:val="21"/>
          <w:highlight w:val="none"/>
        </w:rPr>
        <w:t>1.3.7中小企业享受扶持政策获得政府采购合同的，小微企业不得将合同分包给大中型企业，中型企业不得将合同分包给大型企业。</w:t>
      </w:r>
    </w:p>
    <w:p>
      <w:pPr>
        <w:pStyle w:val="44"/>
        <w:adjustRightInd w:val="0"/>
        <w:snapToGrid w:val="0"/>
        <w:spacing w:before="0" w:beforeAutospacing="0" w:after="0" w:afterAutospacing="0" w:line="500" w:lineRule="exact"/>
        <w:ind w:firstLine="420" w:firstLineChars="200"/>
        <w:rPr>
          <w:rFonts w:ascii="宋体" w:cs="宋体"/>
          <w:color w:val="auto"/>
          <w:sz w:val="21"/>
          <w:szCs w:val="21"/>
          <w:highlight w:val="none"/>
        </w:rPr>
      </w:pPr>
      <w:r>
        <w:rPr>
          <w:rFonts w:hint="eastAsia" w:ascii="宋体" w:cs="宋体"/>
          <w:color w:val="auto"/>
          <w:sz w:val="21"/>
          <w:szCs w:val="21"/>
          <w:highlight w:val="none"/>
        </w:rPr>
        <w:t>1.4支持创新发展</w:t>
      </w:r>
    </w:p>
    <w:p>
      <w:pPr>
        <w:pStyle w:val="44"/>
        <w:adjustRightInd w:val="0"/>
        <w:snapToGrid w:val="0"/>
        <w:spacing w:before="0" w:beforeAutospacing="0" w:after="0" w:afterAutospacing="0" w:line="500" w:lineRule="exact"/>
        <w:ind w:firstLine="420" w:firstLineChars="200"/>
        <w:rPr>
          <w:rFonts w:ascii="宋体" w:cs="宋体"/>
          <w:color w:val="auto"/>
          <w:sz w:val="21"/>
          <w:szCs w:val="21"/>
          <w:highlight w:val="none"/>
        </w:rPr>
      </w:pPr>
      <w:r>
        <w:rPr>
          <w:rFonts w:hint="eastAsia" w:ascii="宋体" w:cs="宋体"/>
          <w:color w:val="auto"/>
          <w:sz w:val="21"/>
          <w:szCs w:val="21"/>
          <w:highlight w:val="none"/>
        </w:rPr>
        <w:t>1.4.1 采购人优先采购被认定为首台套产品和“制造精品”的自主创新产品。</w:t>
      </w:r>
    </w:p>
    <w:p>
      <w:pPr>
        <w:pStyle w:val="44"/>
        <w:adjustRightInd w:val="0"/>
        <w:snapToGrid w:val="0"/>
        <w:spacing w:before="0" w:beforeAutospacing="0" w:after="0" w:afterAutospacing="0" w:line="500" w:lineRule="exact"/>
        <w:ind w:firstLine="420" w:firstLineChars="200"/>
        <w:rPr>
          <w:rFonts w:ascii="宋体" w:cs="宋体"/>
          <w:color w:val="auto"/>
          <w:sz w:val="21"/>
          <w:szCs w:val="21"/>
          <w:highlight w:val="none"/>
        </w:rPr>
      </w:pPr>
      <w:r>
        <w:rPr>
          <w:rFonts w:hint="eastAsia" w:ascii="宋体" w:cs="宋体"/>
          <w:color w:val="auto"/>
          <w:sz w:val="21"/>
          <w:szCs w:val="21"/>
          <w:highlight w:val="none"/>
        </w:rPr>
        <w:t>1.4.2</w:t>
      </w:r>
      <w:r>
        <w:rPr>
          <w:rFonts w:hint="eastAsia" w:ascii="宋体" w:cs="宋体"/>
          <w:b/>
          <w:bCs/>
          <w:color w:val="auto"/>
          <w:sz w:val="21"/>
          <w:szCs w:val="21"/>
          <w:highlight w:val="none"/>
        </w:rPr>
        <w:t>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r>
        <w:rPr>
          <w:rFonts w:hint="eastAsia" w:ascii="宋体" w:cs="宋体"/>
          <w:color w:val="auto"/>
          <w:sz w:val="21"/>
          <w:szCs w:val="21"/>
          <w:highlight w:val="none"/>
        </w:rPr>
        <w:t>。</w:t>
      </w:r>
    </w:p>
    <w:p>
      <w:pPr>
        <w:pStyle w:val="44"/>
        <w:adjustRightInd w:val="0"/>
        <w:snapToGrid w:val="0"/>
        <w:spacing w:before="0" w:beforeAutospacing="0" w:after="0" w:afterAutospacing="0" w:line="500" w:lineRule="exact"/>
        <w:ind w:firstLine="420" w:firstLineChars="200"/>
        <w:rPr>
          <w:rFonts w:ascii="宋体" w:cs="宋体"/>
          <w:color w:val="auto"/>
          <w:sz w:val="21"/>
          <w:szCs w:val="21"/>
          <w:highlight w:val="none"/>
        </w:rPr>
      </w:pPr>
      <w:r>
        <w:rPr>
          <w:rFonts w:hint="eastAsia" w:ascii="宋体" w:cs="宋体"/>
          <w:color w:val="auto"/>
          <w:sz w:val="21"/>
          <w:szCs w:val="21"/>
          <w:highlight w:val="none"/>
        </w:rPr>
        <w:t>1.5中小企业信用融资：为支持和促进中小企业发展，进一步发挥政府采购政策功能，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https://zfcg. czt.zj. gov.cn/)的中小企业信用融资栏目了解相关信息。 供应商可以通过浙江政府采购网(https://zfcg. czt.zj. gov.cn/)首页的“浙江政采贷”模块进入申请，还可以通过政府采购云平台(https://wwwzcygov.cn/)首页的“金融服务”模块进入申请。</w:t>
      </w:r>
    </w:p>
    <w:p>
      <w:pPr>
        <w:autoSpaceDE/>
        <w:autoSpaceDN/>
        <w:adjustRightInd/>
        <w:snapToGrid w:val="0"/>
        <w:spacing w:line="500" w:lineRule="exact"/>
        <w:ind w:firstLine="422" w:firstLineChars="200"/>
        <w:jc w:val="both"/>
        <w:rPr>
          <w:rFonts w:hAnsi="宋体" w:cs="宋体"/>
          <w:b/>
          <w:color w:val="auto"/>
          <w:sz w:val="21"/>
          <w:szCs w:val="21"/>
          <w:highlight w:val="none"/>
        </w:rPr>
      </w:pPr>
      <w:r>
        <w:rPr>
          <w:rFonts w:hint="eastAsia" w:hAnsi="宋体" w:cs="宋体"/>
          <w:b/>
          <w:color w:val="auto"/>
          <w:sz w:val="21"/>
          <w:szCs w:val="21"/>
          <w:highlight w:val="none"/>
        </w:rPr>
        <w:t>四、评标内容及标准</w:t>
      </w:r>
    </w:p>
    <w:p>
      <w:pPr>
        <w:autoSpaceDE/>
        <w:autoSpaceDN/>
        <w:adjustRightInd/>
        <w:spacing w:line="460" w:lineRule="exact"/>
        <w:ind w:firstLine="422" w:firstLineChars="200"/>
        <w:jc w:val="both"/>
        <w:rPr>
          <w:rFonts w:hAnsi="宋体" w:cs="宋体"/>
          <w:b/>
          <w:color w:val="auto"/>
          <w:sz w:val="21"/>
          <w:szCs w:val="21"/>
          <w:highlight w:val="none"/>
        </w:rPr>
      </w:pPr>
      <w:r>
        <w:rPr>
          <w:rFonts w:hint="eastAsia" w:hAnsi="宋体" w:cs="宋体"/>
          <w:b/>
          <w:color w:val="auto"/>
          <w:sz w:val="21"/>
          <w:szCs w:val="21"/>
          <w:highlight w:val="none"/>
        </w:rPr>
        <w:t>（一）价格分（10分）</w:t>
      </w:r>
    </w:p>
    <w:p>
      <w:pPr>
        <w:autoSpaceDE/>
        <w:autoSpaceDN/>
        <w:adjustRightInd/>
        <w:spacing w:line="46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1.价格分采用低价优先法计算，即：以满足招标文件要求且进行了政策性价格扣除后，以评审价格的最低价者定为评标基准价，其价格分为满分。其他投标人的价格分统一按照下列公式计算：</w:t>
      </w:r>
    </w:p>
    <w:tbl>
      <w:tblPr>
        <w:tblStyle w:val="4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0"/>
        <w:gridCol w:w="1575"/>
        <w:gridCol w:w="1144"/>
        <w:gridCol w:w="4339"/>
        <w:gridCol w:w="12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90" w:type="dxa"/>
            <w:tcBorders>
              <w:left w:val="single" w:color="auto" w:sz="4" w:space="0"/>
            </w:tcBorders>
            <w:vAlign w:val="center"/>
          </w:tcPr>
          <w:p>
            <w:pPr>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序号</w:t>
            </w:r>
          </w:p>
        </w:tc>
        <w:tc>
          <w:tcPr>
            <w:tcW w:w="1575" w:type="dxa"/>
            <w:tcBorders>
              <w:left w:val="single" w:color="auto" w:sz="4" w:space="0"/>
            </w:tcBorders>
            <w:vAlign w:val="center"/>
          </w:tcPr>
          <w:p>
            <w:pPr>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采购内容</w:t>
            </w:r>
          </w:p>
        </w:tc>
        <w:tc>
          <w:tcPr>
            <w:tcW w:w="1144" w:type="dxa"/>
            <w:vAlign w:val="center"/>
          </w:tcPr>
          <w:p>
            <w:pPr>
              <w:autoSpaceDE/>
              <w:autoSpaceDN/>
              <w:snapToGrid w:val="0"/>
              <w:spacing w:line="460" w:lineRule="exact"/>
              <w:jc w:val="center"/>
              <w:textAlignment w:val="baseline"/>
              <w:rPr>
                <w:rFonts w:hAnsi="宋体" w:cs="宋体"/>
                <w:color w:val="auto"/>
                <w:sz w:val="21"/>
                <w:szCs w:val="21"/>
                <w:highlight w:val="none"/>
              </w:rPr>
            </w:pPr>
            <w:r>
              <w:rPr>
                <w:rFonts w:hint="eastAsia" w:hAnsi="宋体" w:cs="宋体"/>
                <w:color w:val="auto"/>
                <w:sz w:val="21"/>
                <w:szCs w:val="21"/>
                <w:highlight w:val="none"/>
              </w:rPr>
              <w:t>最高单价限价</w:t>
            </w:r>
          </w:p>
        </w:tc>
        <w:tc>
          <w:tcPr>
            <w:tcW w:w="4339" w:type="dxa"/>
            <w:vAlign w:val="center"/>
          </w:tcPr>
          <w:p>
            <w:pPr>
              <w:widowControl/>
              <w:spacing w:line="360" w:lineRule="auto"/>
              <w:jc w:val="center"/>
              <w:rPr>
                <w:rFonts w:hAnsi="宋体" w:cs="宋体"/>
                <w:color w:val="auto"/>
                <w:sz w:val="21"/>
                <w:szCs w:val="21"/>
                <w:highlight w:val="none"/>
              </w:rPr>
            </w:pPr>
            <w:r>
              <w:rPr>
                <w:rFonts w:hint="eastAsia" w:hAnsi="宋体" w:cs="宋体"/>
                <w:color w:val="auto"/>
                <w:sz w:val="21"/>
                <w:szCs w:val="21"/>
                <w:highlight w:val="none"/>
              </w:rPr>
              <w:t>评分规则</w:t>
            </w:r>
          </w:p>
        </w:tc>
        <w:tc>
          <w:tcPr>
            <w:tcW w:w="1238" w:type="dxa"/>
            <w:vAlign w:val="center"/>
          </w:tcPr>
          <w:p>
            <w:pPr>
              <w:widowControl/>
              <w:spacing w:line="360" w:lineRule="auto"/>
              <w:jc w:val="center"/>
              <w:rPr>
                <w:rFonts w:hAnsi="宋体" w:cs="宋体"/>
                <w:color w:val="auto"/>
                <w:sz w:val="21"/>
                <w:szCs w:val="21"/>
                <w:highlight w:val="none"/>
              </w:rPr>
            </w:pPr>
            <w:r>
              <w:rPr>
                <w:rFonts w:hint="eastAsia" w:hAnsi="宋体" w:cs="宋体"/>
                <w:color w:val="auto"/>
                <w:sz w:val="21"/>
                <w:szCs w:val="21"/>
                <w:highlight w:val="none"/>
              </w:rPr>
              <w:t>权重（分）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90" w:type="dxa"/>
            <w:tcBorders>
              <w:left w:val="single" w:color="auto" w:sz="4" w:space="0"/>
            </w:tcBorders>
            <w:vAlign w:val="center"/>
          </w:tcPr>
          <w:p>
            <w:pPr>
              <w:snapToGrid w:val="0"/>
              <w:spacing w:line="460" w:lineRule="exact"/>
              <w:jc w:val="center"/>
              <w:rPr>
                <w:rFonts w:hAnsi="宋体" w:cs="宋体"/>
                <w:color w:val="auto"/>
                <w:sz w:val="21"/>
                <w:szCs w:val="21"/>
                <w:highlight w:val="none"/>
              </w:rPr>
            </w:pPr>
            <w:r>
              <w:rPr>
                <w:rFonts w:hint="eastAsia"/>
                <w:color w:val="auto"/>
                <w:sz w:val="21"/>
                <w:szCs w:val="21"/>
                <w:highlight w:val="none"/>
              </w:rPr>
              <w:t>1</w:t>
            </w:r>
          </w:p>
        </w:tc>
        <w:tc>
          <w:tcPr>
            <w:tcW w:w="1575" w:type="dxa"/>
            <w:tcBorders>
              <w:left w:val="single" w:color="auto" w:sz="4" w:space="0"/>
            </w:tcBorders>
            <w:vAlign w:val="center"/>
          </w:tcPr>
          <w:p>
            <w:pPr>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管网测绘</w:t>
            </w:r>
          </w:p>
        </w:tc>
        <w:tc>
          <w:tcPr>
            <w:tcW w:w="1144" w:type="dxa"/>
            <w:vAlign w:val="center"/>
          </w:tcPr>
          <w:p>
            <w:pPr>
              <w:snapToGrid w:val="0"/>
              <w:spacing w:line="460" w:lineRule="exact"/>
              <w:jc w:val="center"/>
              <w:rPr>
                <w:rFonts w:hint="eastAsia" w:hAnsi="宋体" w:eastAsia="宋体" w:cs="宋体"/>
                <w:color w:val="auto"/>
                <w:sz w:val="21"/>
                <w:szCs w:val="21"/>
                <w:highlight w:val="none"/>
                <w:lang w:eastAsia="zh-CN"/>
              </w:rPr>
            </w:pPr>
            <w:r>
              <w:rPr>
                <w:rFonts w:hint="eastAsia" w:hAnsi="宋体" w:cs="宋体"/>
                <w:color w:val="auto"/>
                <w:sz w:val="21"/>
                <w:szCs w:val="21"/>
                <w:highlight w:val="none"/>
                <w:lang w:eastAsia="zh-CN"/>
              </w:rPr>
              <w:t>3.50元/米</w:t>
            </w:r>
          </w:p>
        </w:tc>
        <w:tc>
          <w:tcPr>
            <w:tcW w:w="4339" w:type="dxa"/>
            <w:vAlign w:val="center"/>
          </w:tcPr>
          <w:p>
            <w:pPr>
              <w:autoSpaceDE/>
              <w:autoSpaceDN/>
              <w:snapToGrid w:val="0"/>
              <w:spacing w:line="460" w:lineRule="exact"/>
              <w:jc w:val="both"/>
              <w:rPr>
                <w:rFonts w:hAnsi="宋体" w:cs="宋体"/>
                <w:b w:val="0"/>
                <w:bCs/>
                <w:color w:val="auto"/>
                <w:sz w:val="21"/>
                <w:szCs w:val="21"/>
                <w:highlight w:val="none"/>
              </w:rPr>
            </w:pPr>
            <w:r>
              <w:rPr>
                <w:rFonts w:hint="eastAsia" w:hAnsi="宋体" w:cs="宋体"/>
                <w:b w:val="0"/>
                <w:bCs/>
                <w:color w:val="auto"/>
                <w:sz w:val="21"/>
                <w:szCs w:val="21"/>
                <w:highlight w:val="none"/>
              </w:rPr>
              <w:t>其他投标人的价格分=（评标基准价/投标人评审价格）×权重</w:t>
            </w:r>
          </w:p>
        </w:tc>
        <w:tc>
          <w:tcPr>
            <w:tcW w:w="1238" w:type="dxa"/>
            <w:vAlign w:val="center"/>
          </w:tcPr>
          <w:p>
            <w:pPr>
              <w:widowControl/>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90" w:type="dxa"/>
            <w:tcBorders>
              <w:left w:val="single" w:color="auto" w:sz="4" w:space="0"/>
            </w:tcBorders>
            <w:vAlign w:val="center"/>
          </w:tcPr>
          <w:p>
            <w:pPr>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2</w:t>
            </w:r>
          </w:p>
        </w:tc>
        <w:tc>
          <w:tcPr>
            <w:tcW w:w="1575" w:type="dxa"/>
            <w:tcBorders>
              <w:left w:val="single" w:color="auto" w:sz="4" w:space="0"/>
            </w:tcBorders>
            <w:vAlign w:val="center"/>
          </w:tcPr>
          <w:p>
            <w:pPr>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管道检测</w:t>
            </w:r>
          </w:p>
        </w:tc>
        <w:tc>
          <w:tcPr>
            <w:tcW w:w="1144" w:type="dxa"/>
            <w:vAlign w:val="center"/>
          </w:tcPr>
          <w:p>
            <w:pPr>
              <w:snapToGrid w:val="0"/>
              <w:spacing w:line="460" w:lineRule="exact"/>
              <w:jc w:val="center"/>
              <w:rPr>
                <w:rFonts w:hint="eastAsia" w:hAnsi="宋体" w:eastAsia="宋体" w:cs="宋体"/>
                <w:color w:val="auto"/>
                <w:sz w:val="21"/>
                <w:szCs w:val="21"/>
                <w:highlight w:val="none"/>
                <w:lang w:eastAsia="zh-CN"/>
              </w:rPr>
            </w:pPr>
            <w:r>
              <w:rPr>
                <w:rFonts w:hint="eastAsia" w:hAnsi="宋体" w:cs="宋体"/>
                <w:color w:val="auto"/>
                <w:sz w:val="21"/>
                <w:szCs w:val="21"/>
                <w:highlight w:val="none"/>
                <w:lang w:eastAsia="zh-CN"/>
              </w:rPr>
              <w:t>21.00元/米</w:t>
            </w:r>
          </w:p>
        </w:tc>
        <w:tc>
          <w:tcPr>
            <w:tcW w:w="4339" w:type="dxa"/>
            <w:vAlign w:val="center"/>
          </w:tcPr>
          <w:p>
            <w:pPr>
              <w:widowControl/>
              <w:snapToGrid w:val="0"/>
              <w:spacing w:line="460" w:lineRule="exact"/>
              <w:jc w:val="both"/>
              <w:rPr>
                <w:rFonts w:hAnsi="宋体" w:cs="宋体"/>
                <w:b w:val="0"/>
                <w:bCs/>
                <w:color w:val="auto"/>
                <w:sz w:val="21"/>
                <w:szCs w:val="21"/>
                <w:highlight w:val="none"/>
              </w:rPr>
            </w:pPr>
            <w:r>
              <w:rPr>
                <w:rFonts w:hint="eastAsia" w:hAnsi="宋体" w:cs="宋体"/>
                <w:b w:val="0"/>
                <w:bCs/>
                <w:color w:val="auto"/>
                <w:sz w:val="21"/>
                <w:szCs w:val="21"/>
                <w:highlight w:val="none"/>
              </w:rPr>
              <w:t>其他投标人的价格分=（评标基准价/投标人评审价格）×权重</w:t>
            </w:r>
          </w:p>
        </w:tc>
        <w:tc>
          <w:tcPr>
            <w:tcW w:w="1238" w:type="dxa"/>
            <w:vAlign w:val="center"/>
          </w:tcPr>
          <w:p>
            <w:pPr>
              <w:widowControl/>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90" w:type="dxa"/>
            <w:tcBorders>
              <w:left w:val="single" w:color="auto" w:sz="4" w:space="0"/>
            </w:tcBorders>
            <w:vAlign w:val="center"/>
          </w:tcPr>
          <w:p>
            <w:pPr>
              <w:widowControl/>
              <w:snapToGrid w:val="0"/>
              <w:spacing w:line="360" w:lineRule="auto"/>
              <w:jc w:val="center"/>
              <w:rPr>
                <w:rFonts w:hAnsi="宋体" w:cs="宋体"/>
                <w:color w:val="auto"/>
                <w:sz w:val="21"/>
                <w:szCs w:val="21"/>
                <w:highlight w:val="none"/>
              </w:rPr>
            </w:pPr>
          </w:p>
        </w:tc>
        <w:tc>
          <w:tcPr>
            <w:tcW w:w="2719" w:type="dxa"/>
            <w:gridSpan w:val="2"/>
            <w:tcBorders>
              <w:left w:val="single" w:color="auto" w:sz="4" w:space="0"/>
            </w:tcBorders>
            <w:vAlign w:val="center"/>
          </w:tcPr>
          <w:p>
            <w:pPr>
              <w:widowControl/>
              <w:snapToGrid w:val="0"/>
              <w:spacing w:line="360" w:lineRule="auto"/>
              <w:jc w:val="center"/>
              <w:rPr>
                <w:rFonts w:hAnsi="宋体" w:cs="宋体"/>
                <w:color w:val="auto"/>
                <w:sz w:val="21"/>
                <w:szCs w:val="21"/>
                <w:highlight w:val="none"/>
              </w:rPr>
            </w:pPr>
            <w:r>
              <w:rPr>
                <w:rFonts w:hint="eastAsia" w:hAnsi="宋体" w:cs="宋体"/>
                <w:color w:val="auto"/>
                <w:sz w:val="21"/>
                <w:szCs w:val="21"/>
                <w:highlight w:val="none"/>
              </w:rPr>
              <w:t>合计</w:t>
            </w:r>
          </w:p>
        </w:tc>
        <w:tc>
          <w:tcPr>
            <w:tcW w:w="4339" w:type="dxa"/>
            <w:vAlign w:val="center"/>
          </w:tcPr>
          <w:p>
            <w:pPr>
              <w:widowControl/>
              <w:spacing w:line="360" w:lineRule="auto"/>
              <w:jc w:val="both"/>
              <w:rPr>
                <w:rFonts w:hAnsi="宋体" w:cs="宋体"/>
                <w:color w:val="auto"/>
                <w:sz w:val="21"/>
                <w:szCs w:val="21"/>
                <w:highlight w:val="none"/>
              </w:rPr>
            </w:pPr>
            <w:r>
              <w:rPr>
                <w:rFonts w:hint="eastAsia" w:hAnsi="宋体" w:cs="宋体"/>
                <w:color w:val="auto"/>
                <w:sz w:val="21"/>
                <w:szCs w:val="21"/>
                <w:highlight w:val="none"/>
              </w:rPr>
              <w:t>1+2</w:t>
            </w:r>
          </w:p>
        </w:tc>
        <w:tc>
          <w:tcPr>
            <w:tcW w:w="1238" w:type="dxa"/>
            <w:vAlign w:val="center"/>
          </w:tcPr>
          <w:p>
            <w:pPr>
              <w:jc w:val="center"/>
              <w:rPr>
                <w:rFonts w:hAnsi="宋体"/>
                <w:color w:val="auto"/>
                <w:sz w:val="21"/>
                <w:szCs w:val="21"/>
                <w:highlight w:val="none"/>
              </w:rPr>
            </w:pPr>
            <w:r>
              <w:rPr>
                <w:rFonts w:hint="eastAsia" w:hAnsi="宋体"/>
                <w:color w:val="auto"/>
                <w:sz w:val="21"/>
                <w:szCs w:val="21"/>
                <w:highlight w:val="none"/>
              </w:rPr>
              <w:t>10</w:t>
            </w:r>
          </w:p>
        </w:tc>
      </w:tr>
    </w:tbl>
    <w:p>
      <w:pPr>
        <w:autoSpaceDE/>
        <w:autoSpaceDN/>
        <w:adjustRightInd/>
        <w:spacing w:line="460" w:lineRule="exact"/>
        <w:ind w:firstLine="420" w:firstLineChars="200"/>
        <w:jc w:val="both"/>
        <w:rPr>
          <w:rFonts w:hint="eastAsia" w:hAnsi="宋体" w:eastAsia="宋体" w:cs="宋体"/>
          <w:color w:val="auto"/>
          <w:sz w:val="21"/>
          <w:szCs w:val="21"/>
          <w:highlight w:val="none"/>
          <w:lang w:eastAsia="zh-CN"/>
        </w:rPr>
      </w:pPr>
      <w:r>
        <w:rPr>
          <w:rFonts w:hint="eastAsia" w:hAnsi="宋体" w:cs="宋体"/>
          <w:color w:val="auto"/>
          <w:sz w:val="21"/>
          <w:szCs w:val="21"/>
          <w:highlight w:val="none"/>
        </w:rPr>
        <w:t>价格评审过程中，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在有效投标人数满足法定人数的前提下，评标委员会依次确定满足招标文件要求且评审价格最低的有效投标报价为评标基准价。</w:t>
      </w:r>
    </w:p>
    <w:p>
      <w:pPr>
        <w:autoSpaceDE/>
        <w:autoSpaceDN/>
        <w:adjustRightInd/>
        <w:spacing w:line="460" w:lineRule="exact"/>
        <w:ind w:firstLine="422" w:firstLineChars="200"/>
        <w:jc w:val="both"/>
        <w:rPr>
          <w:rFonts w:hAnsi="宋体" w:cs="宋体"/>
          <w:b/>
          <w:color w:val="auto"/>
          <w:sz w:val="21"/>
          <w:szCs w:val="21"/>
          <w:highlight w:val="none"/>
        </w:rPr>
      </w:pPr>
      <w:r>
        <w:rPr>
          <w:rFonts w:hint="eastAsia" w:hAnsi="宋体" w:cs="宋体"/>
          <w:b/>
          <w:color w:val="auto"/>
          <w:sz w:val="21"/>
          <w:szCs w:val="21"/>
          <w:highlight w:val="none"/>
        </w:rPr>
        <w:t>2.</w:t>
      </w:r>
      <w:r>
        <w:rPr>
          <w:rFonts w:hint="eastAsia" w:hAnsi="宋体" w:cs="宋体"/>
          <w:b/>
          <w:bCs/>
          <w:color w:val="auto"/>
          <w:sz w:val="21"/>
          <w:szCs w:val="21"/>
          <w:highlight w:val="none"/>
        </w:rPr>
        <w:t>投标人的投标报价超过采购人设定的上限价（即：任一项最高单价限价的），按投标无效处理。</w:t>
      </w:r>
    </w:p>
    <w:p>
      <w:pPr>
        <w:autoSpaceDE/>
        <w:autoSpaceDN/>
        <w:adjustRightInd/>
        <w:spacing w:line="500" w:lineRule="exact"/>
        <w:ind w:firstLine="422" w:firstLineChars="200"/>
        <w:jc w:val="both"/>
        <w:rPr>
          <w:rFonts w:hAnsi="宋体" w:cs="宋体"/>
          <w:b/>
          <w:bCs/>
          <w:color w:val="auto"/>
          <w:sz w:val="21"/>
          <w:szCs w:val="21"/>
          <w:highlight w:val="none"/>
        </w:rPr>
      </w:pPr>
      <w:r>
        <w:rPr>
          <w:rFonts w:hint="eastAsia" w:hAnsi="宋体" w:cs="宋体"/>
          <w:b/>
          <w:color w:val="auto"/>
          <w:sz w:val="21"/>
          <w:szCs w:val="21"/>
          <w:highlight w:val="none"/>
        </w:rPr>
        <w:t>3.</w:t>
      </w:r>
      <w:r>
        <w:rPr>
          <w:rFonts w:hint="eastAsia" w:hAnsi="宋体" w:cs="宋体"/>
          <w:b/>
          <w:bCs/>
          <w:color w:val="auto"/>
          <w:sz w:val="21"/>
          <w:szCs w:val="21"/>
          <w:highlight w:val="none"/>
        </w:rPr>
        <w:t>依照《政府采购促进中小企业发展管理办法》、《浙江省财政厅关于进一步发挥政府采购政策功能全力推动经济稳进提质的通知》 （浙财采监〔2022〕3号）、《浙江省财政厅关于进一步加大政府采购支持中小企业力度 助力扎实稳住经济的通知》（浙财采监〔2022〕8号）、《财政部民政部中国残疾人联合会关于促进残疾人就业政府采购政策的通知》（财库〔2017〕141号）、《财政部、司法部关于政府采购支持监狱企业发展有关问题的通知》（财库〔2014〕68号）的规定，对符合相关要求的有效投标人，按照以下比例给予相应的价格扣除，以确定该投标人的报价评审价格：</w:t>
      </w:r>
    </w:p>
    <w:tbl>
      <w:tblPr>
        <w:tblStyle w:val="47"/>
        <w:tblW w:w="0" w:type="auto"/>
        <w:jc w:val="center"/>
        <w:tblLayout w:type="fixed"/>
        <w:tblCellMar>
          <w:top w:w="0" w:type="dxa"/>
          <w:left w:w="108" w:type="dxa"/>
          <w:bottom w:w="0" w:type="dxa"/>
          <w:right w:w="108" w:type="dxa"/>
        </w:tblCellMar>
      </w:tblPr>
      <w:tblGrid>
        <w:gridCol w:w="728"/>
        <w:gridCol w:w="3438"/>
        <w:gridCol w:w="2016"/>
        <w:gridCol w:w="2983"/>
      </w:tblGrid>
      <w:tr>
        <w:tblPrEx>
          <w:tblCellMar>
            <w:top w:w="0" w:type="dxa"/>
            <w:left w:w="108" w:type="dxa"/>
            <w:bottom w:w="0" w:type="dxa"/>
            <w:right w:w="108" w:type="dxa"/>
          </w:tblCellMar>
        </w:tblPrEx>
        <w:trPr>
          <w:jc w:val="center"/>
        </w:trPr>
        <w:tc>
          <w:tcPr>
            <w:tcW w:w="728" w:type="dxa"/>
            <w:tcBorders>
              <w:top w:val="single" w:color="000000" w:sz="6" w:space="0"/>
              <w:left w:val="single" w:color="000000" w:sz="6" w:space="0"/>
              <w:bottom w:val="single" w:color="000000" w:sz="6" w:space="0"/>
              <w:right w:val="single" w:color="000000" w:sz="6" w:space="0"/>
            </w:tcBorders>
            <w:shd w:val="clear" w:color="auto" w:fill="F3F3F3"/>
            <w:tcMar>
              <w:top w:w="0" w:type="dxa"/>
              <w:left w:w="0" w:type="dxa"/>
              <w:bottom w:w="0" w:type="dxa"/>
              <w:right w:w="0" w:type="dxa"/>
            </w:tcMar>
            <w:vAlign w:val="center"/>
          </w:tcPr>
          <w:p>
            <w:pPr>
              <w:snapToGrid w:val="0"/>
              <w:spacing w:line="460" w:lineRule="exact"/>
              <w:ind w:left="149"/>
              <w:jc w:val="both"/>
              <w:rPr>
                <w:rFonts w:hAnsi="宋体" w:cs="宋体"/>
                <w:color w:val="auto"/>
                <w:sz w:val="21"/>
                <w:szCs w:val="21"/>
                <w:highlight w:val="none"/>
              </w:rPr>
            </w:pPr>
            <w:r>
              <w:rPr>
                <w:rFonts w:hint="eastAsia" w:hAnsi="宋体" w:cs="宋体"/>
                <w:color w:val="auto"/>
                <w:spacing w:val="-1"/>
                <w:sz w:val="21"/>
                <w:szCs w:val="21"/>
                <w:highlight w:val="none"/>
              </w:rPr>
              <w:t>序号</w:t>
            </w:r>
          </w:p>
        </w:tc>
        <w:tc>
          <w:tcPr>
            <w:tcW w:w="3438" w:type="dxa"/>
            <w:tcBorders>
              <w:top w:val="single" w:color="000000" w:sz="6" w:space="0"/>
              <w:left w:val="nil"/>
              <w:bottom w:val="single" w:color="000000" w:sz="6" w:space="0"/>
              <w:right w:val="single" w:color="000000" w:sz="6" w:space="0"/>
            </w:tcBorders>
            <w:shd w:val="clear" w:color="auto" w:fill="F3F3F3"/>
            <w:tcMar>
              <w:top w:w="0" w:type="dxa"/>
              <w:left w:w="0" w:type="dxa"/>
              <w:bottom w:w="0" w:type="dxa"/>
              <w:right w:w="0" w:type="dxa"/>
            </w:tcMar>
            <w:vAlign w:val="center"/>
          </w:tcPr>
          <w:p>
            <w:pPr>
              <w:snapToGrid w:val="0"/>
              <w:spacing w:line="460" w:lineRule="exact"/>
              <w:jc w:val="center"/>
              <w:rPr>
                <w:rFonts w:hAnsi="宋体" w:cs="宋体"/>
                <w:color w:val="auto"/>
                <w:sz w:val="21"/>
                <w:szCs w:val="21"/>
                <w:highlight w:val="none"/>
              </w:rPr>
            </w:pPr>
            <w:r>
              <w:rPr>
                <w:rFonts w:hint="eastAsia" w:hAnsi="宋体" w:cs="宋体"/>
                <w:color w:val="auto"/>
                <w:spacing w:val="-1"/>
                <w:sz w:val="21"/>
                <w:szCs w:val="21"/>
                <w:highlight w:val="none"/>
              </w:rPr>
              <w:t>情形</w:t>
            </w:r>
          </w:p>
        </w:tc>
        <w:tc>
          <w:tcPr>
            <w:tcW w:w="2016" w:type="dxa"/>
            <w:tcBorders>
              <w:top w:val="single" w:color="000000" w:sz="6" w:space="0"/>
              <w:left w:val="nil"/>
              <w:bottom w:val="single" w:color="000000" w:sz="6" w:space="0"/>
              <w:right w:val="single" w:color="000000" w:sz="6" w:space="0"/>
            </w:tcBorders>
            <w:shd w:val="clear" w:color="auto" w:fill="F3F3F3"/>
            <w:tcMar>
              <w:top w:w="0" w:type="dxa"/>
              <w:left w:w="0" w:type="dxa"/>
              <w:bottom w:w="0" w:type="dxa"/>
              <w:right w:w="0" w:type="dxa"/>
            </w:tcMar>
            <w:vAlign w:val="center"/>
          </w:tcPr>
          <w:p>
            <w:pPr>
              <w:snapToGrid w:val="0"/>
              <w:spacing w:line="460" w:lineRule="exact"/>
              <w:jc w:val="center"/>
              <w:rPr>
                <w:rFonts w:hAnsi="宋体" w:cs="宋体"/>
                <w:color w:val="auto"/>
                <w:sz w:val="21"/>
                <w:szCs w:val="21"/>
                <w:highlight w:val="none"/>
              </w:rPr>
            </w:pPr>
            <w:r>
              <w:rPr>
                <w:rFonts w:hint="eastAsia" w:hAnsi="宋体" w:cs="宋体"/>
                <w:color w:val="auto"/>
                <w:spacing w:val="-1"/>
                <w:sz w:val="21"/>
                <w:szCs w:val="21"/>
                <w:highlight w:val="none"/>
              </w:rPr>
              <w:t>评审价格扣除比例</w:t>
            </w:r>
          </w:p>
        </w:tc>
        <w:tc>
          <w:tcPr>
            <w:tcW w:w="2983" w:type="dxa"/>
            <w:tcBorders>
              <w:top w:val="single" w:color="000000" w:sz="6" w:space="0"/>
              <w:left w:val="nil"/>
              <w:bottom w:val="single" w:color="000000" w:sz="6" w:space="0"/>
              <w:right w:val="single" w:color="000000" w:sz="6" w:space="0"/>
            </w:tcBorders>
            <w:shd w:val="clear" w:color="auto" w:fill="F3F3F3"/>
            <w:tcMar>
              <w:top w:w="0" w:type="dxa"/>
              <w:left w:w="0" w:type="dxa"/>
              <w:bottom w:w="0" w:type="dxa"/>
              <w:right w:w="0" w:type="dxa"/>
            </w:tcMar>
            <w:vAlign w:val="center"/>
          </w:tcPr>
          <w:p>
            <w:pPr>
              <w:snapToGrid w:val="0"/>
              <w:spacing w:line="460" w:lineRule="exact"/>
              <w:jc w:val="center"/>
              <w:rPr>
                <w:rFonts w:hAnsi="宋体" w:cs="宋体"/>
                <w:color w:val="auto"/>
                <w:sz w:val="21"/>
                <w:szCs w:val="21"/>
                <w:highlight w:val="none"/>
              </w:rPr>
            </w:pPr>
            <w:r>
              <w:rPr>
                <w:rFonts w:hint="eastAsia" w:hAnsi="宋体" w:cs="宋体"/>
                <w:color w:val="auto"/>
                <w:spacing w:val="-1"/>
                <w:sz w:val="21"/>
                <w:szCs w:val="21"/>
                <w:highlight w:val="none"/>
              </w:rPr>
              <w:t>计算公式</w:t>
            </w:r>
          </w:p>
        </w:tc>
      </w:tr>
      <w:tr>
        <w:tblPrEx>
          <w:tblCellMar>
            <w:top w:w="0" w:type="dxa"/>
            <w:left w:w="108" w:type="dxa"/>
            <w:bottom w:w="0" w:type="dxa"/>
            <w:right w:w="108" w:type="dxa"/>
          </w:tblCellMar>
        </w:tblPrEx>
        <w:trPr>
          <w:jc w:val="center"/>
        </w:trPr>
        <w:tc>
          <w:tcPr>
            <w:tcW w:w="728"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napToGrid w:val="0"/>
              <w:spacing w:line="460" w:lineRule="exact"/>
              <w:jc w:val="center"/>
              <w:rPr>
                <w:rFonts w:hAnsi="宋体" w:cs="宋体"/>
                <w:color w:val="auto"/>
                <w:sz w:val="21"/>
                <w:szCs w:val="21"/>
                <w:highlight w:val="none"/>
              </w:rPr>
            </w:pPr>
            <w:r>
              <w:rPr>
                <w:rFonts w:hint="eastAsia" w:hAnsi="宋体" w:cs="宋体"/>
                <w:color w:val="auto"/>
                <w:spacing w:val="-1"/>
                <w:sz w:val="21"/>
                <w:szCs w:val="21"/>
                <w:highlight w:val="none"/>
              </w:rPr>
              <w:t>1</w:t>
            </w:r>
          </w:p>
        </w:tc>
        <w:tc>
          <w:tcPr>
            <w:tcW w:w="3438"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snapToGrid w:val="0"/>
              <w:spacing w:line="460" w:lineRule="exact"/>
              <w:ind w:left="107"/>
              <w:rPr>
                <w:rFonts w:hAnsi="宋体" w:cs="宋体"/>
                <w:color w:val="auto"/>
                <w:sz w:val="21"/>
                <w:szCs w:val="21"/>
                <w:highlight w:val="none"/>
              </w:rPr>
            </w:pPr>
            <w:r>
              <w:rPr>
                <w:rFonts w:hint="eastAsia" w:hAnsi="宋体" w:cs="宋体"/>
                <w:color w:val="auto"/>
                <w:spacing w:val="-1"/>
                <w:sz w:val="21"/>
                <w:szCs w:val="21"/>
                <w:highlight w:val="none"/>
              </w:rPr>
              <w:t>服务全部</w:t>
            </w:r>
            <w:r>
              <w:rPr>
                <w:rFonts w:hint="eastAsia" w:hAnsi="宋体" w:cs="宋体"/>
                <w:color w:val="auto"/>
                <w:sz w:val="21"/>
                <w:szCs w:val="21"/>
                <w:highlight w:val="none"/>
              </w:rPr>
              <w:t>由小型或微型企业承接，即提供服务的人员为小型或微型企业依照《中华人民共和国劳动合同法》订立劳动合同的从业人员</w:t>
            </w:r>
          </w:p>
        </w:tc>
        <w:tc>
          <w:tcPr>
            <w:tcW w:w="2016"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snapToGrid w:val="0"/>
              <w:spacing w:line="460" w:lineRule="exact"/>
              <w:ind w:left="108"/>
              <w:jc w:val="center"/>
              <w:rPr>
                <w:rFonts w:hint="eastAsia" w:hAnsi="宋体" w:eastAsia="宋体" w:cs="宋体"/>
                <w:color w:val="auto"/>
                <w:sz w:val="21"/>
                <w:szCs w:val="21"/>
                <w:highlight w:val="none"/>
                <w:lang w:eastAsia="zh-CN"/>
              </w:rPr>
            </w:pPr>
            <w:r>
              <w:rPr>
                <w:rFonts w:hint="eastAsia" w:hAnsi="宋体" w:cs="宋体"/>
                <w:color w:val="auto"/>
                <w:spacing w:val="-1"/>
                <w:sz w:val="21"/>
                <w:szCs w:val="21"/>
                <w:highlight w:val="none"/>
              </w:rPr>
              <w:t>20%</w:t>
            </w:r>
          </w:p>
        </w:tc>
        <w:tc>
          <w:tcPr>
            <w:tcW w:w="2983"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snapToGrid w:val="0"/>
              <w:spacing w:line="460" w:lineRule="exact"/>
              <w:ind w:left="108"/>
              <w:jc w:val="center"/>
              <w:rPr>
                <w:rFonts w:hAnsi="宋体" w:cs="宋体"/>
                <w:color w:val="auto"/>
                <w:sz w:val="21"/>
                <w:szCs w:val="21"/>
                <w:highlight w:val="none"/>
              </w:rPr>
            </w:pPr>
            <w:r>
              <w:rPr>
                <w:rFonts w:hint="eastAsia" w:hAnsi="宋体" w:cs="宋体"/>
                <w:color w:val="auto"/>
                <w:spacing w:val="-1"/>
                <w:sz w:val="21"/>
                <w:szCs w:val="21"/>
                <w:highlight w:val="none"/>
              </w:rPr>
              <w:t>评审价格＝投标报价×(1-20%)</w:t>
            </w:r>
          </w:p>
        </w:tc>
      </w:tr>
    </w:tbl>
    <w:p>
      <w:pPr>
        <w:widowControl/>
        <w:shd w:val="clear" w:color="auto" w:fill="FFFFFF"/>
        <w:autoSpaceDE/>
        <w:autoSpaceDN/>
        <w:spacing w:line="500" w:lineRule="exact"/>
        <w:ind w:firstLine="420" w:firstLineChars="200"/>
        <w:rPr>
          <w:rFonts w:hAnsi="宋体" w:cs="宋体"/>
          <w:color w:val="auto"/>
          <w:highlight w:val="none"/>
        </w:rPr>
      </w:pPr>
      <w:r>
        <w:rPr>
          <w:rFonts w:hint="eastAsia" w:hAnsi="宋体" w:cs="宋体"/>
          <w:color w:val="auto"/>
          <w:sz w:val="21"/>
          <w:szCs w:val="21"/>
          <w:highlight w:val="none"/>
        </w:rPr>
        <w:t>注：①</w:t>
      </w:r>
      <w:r>
        <w:rPr>
          <w:rFonts w:hint="eastAsia" w:hAnsi="宋体" w:cs="宋体"/>
          <w:color w:val="auto"/>
          <w:kern w:val="2"/>
          <w:sz w:val="21"/>
          <w:szCs w:val="21"/>
          <w:highlight w:val="none"/>
        </w:rPr>
        <w:t>服务由大型或中型企业承接的，不享受以上评审价格扣除优惠；</w:t>
      </w:r>
      <w:r>
        <w:rPr>
          <w:rFonts w:hint="eastAsia" w:hAnsi="宋体" w:cs="宋体"/>
          <w:color w:val="auto"/>
          <w:sz w:val="21"/>
          <w:szCs w:val="21"/>
          <w:highlight w:val="none"/>
        </w:rPr>
        <w:t>②“中小企业”是指在中华人民共和国境内依法设立，依据国务院批准的中小企业划分标准确定的中型企业、小型企业和微型企业，但与大企业的负责人为同一人，或者与大企业存在直接控股、管理关系的除外；本项目对应的中小企业划分标准所属行业为中小企业划型标准规定（工信部联企业〔2011〕300号）中的“其他未列明行业--科学研究和技术服务业”行业；③符合中小企业划分标准的个体工商户、其他组织机构，在本项目采购活动中视同中小企业；④残疾人福利性单位或监狱企业视同小型、微型企业执行。</w:t>
      </w:r>
    </w:p>
    <w:p>
      <w:pPr>
        <w:numPr>
          <w:ilvl w:val="0"/>
          <w:numId w:val="10"/>
        </w:numPr>
        <w:autoSpaceDE/>
        <w:autoSpaceDN/>
        <w:adjustRightInd/>
        <w:spacing w:line="500" w:lineRule="exact"/>
        <w:ind w:firstLine="422" w:firstLineChars="200"/>
        <w:jc w:val="both"/>
        <w:rPr>
          <w:rFonts w:hAnsi="宋体" w:cs="宋体"/>
          <w:b/>
          <w:bCs/>
          <w:color w:val="auto"/>
          <w:sz w:val="21"/>
          <w:szCs w:val="21"/>
          <w:highlight w:val="none"/>
        </w:rPr>
      </w:pPr>
      <w:r>
        <w:rPr>
          <w:rFonts w:hint="eastAsia" w:hAnsi="宋体" w:cs="宋体"/>
          <w:b/>
          <w:bCs/>
          <w:color w:val="auto"/>
          <w:sz w:val="21"/>
          <w:szCs w:val="21"/>
          <w:highlight w:val="none"/>
        </w:rPr>
        <w:t>技术商务分（90分）</w:t>
      </w:r>
    </w:p>
    <w:tbl>
      <w:tblPr>
        <w:tblStyle w:val="47"/>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63"/>
        <w:gridCol w:w="6920"/>
        <w:gridCol w:w="1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454"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评审因素</w:t>
            </w:r>
          </w:p>
        </w:tc>
        <w:tc>
          <w:tcPr>
            <w:tcW w:w="3637"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评审标准</w:t>
            </w:r>
          </w:p>
        </w:tc>
        <w:tc>
          <w:tcPr>
            <w:tcW w:w="608"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分值（分）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454"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bCs/>
                <w:color w:val="auto"/>
                <w:sz w:val="21"/>
                <w:szCs w:val="21"/>
                <w:highlight w:val="none"/>
              </w:rPr>
              <w:t>政策分</w:t>
            </w:r>
          </w:p>
        </w:tc>
        <w:tc>
          <w:tcPr>
            <w:tcW w:w="3637"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投标人符合《政府采购货物和服务招标投标管理办法》或其它法规规定，属“节能环保”、“采购国货”、“扶持不发达地区和少数民族地区”、“乡村振兴”等政府采购政策功能落实对象的，提供相关证明材料和政策依据，每符合一项得0.5分，最高可得2分；未提供相关证明材料的不得分。（提供相关证明材料和政策依据备查）。</w:t>
            </w:r>
          </w:p>
        </w:tc>
        <w:tc>
          <w:tcPr>
            <w:tcW w:w="608"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vMerge w:val="restar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454" w:type="pct"/>
            <w:vMerge w:val="restar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服务计划及保证措施</w:t>
            </w:r>
          </w:p>
        </w:tc>
        <w:tc>
          <w:tcPr>
            <w:tcW w:w="3637" w:type="pct"/>
            <w:noWrap w:val="0"/>
            <w:vAlign w:val="top"/>
          </w:tcPr>
          <w:p>
            <w:pPr>
              <w:keepNext w:val="0"/>
              <w:keepLines w:val="0"/>
              <w:pageBreakBefore w:val="0"/>
              <w:widowControl w:val="0"/>
              <w:kinsoku/>
              <w:wordWrap/>
              <w:overflowPunct/>
              <w:topLinePunct w:val="0"/>
              <w:autoSpaceDE w:val="0"/>
              <w:autoSpaceDN w:val="0"/>
              <w:bidi w:val="0"/>
              <w:adjustRightInd w:val="0"/>
              <w:snapToGrid w:val="0"/>
              <w:spacing w:line="460" w:lineRule="exac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对项目的理解：投标人对本项目的工作目的、工作内容理解和认识、对项目所在区域的熟悉程度，理解全面、熟悉程度高的得6分，有欠缺或者缺漏或不合理的每处扣1分，扣完为止。</w:t>
            </w:r>
          </w:p>
        </w:tc>
        <w:tc>
          <w:tcPr>
            <w:tcW w:w="608"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kern w:val="0"/>
                <w:sz w:val="21"/>
                <w:szCs w:val="21"/>
                <w:highlight w:val="none"/>
              </w:rPr>
            </w:pPr>
          </w:p>
        </w:tc>
        <w:tc>
          <w:tcPr>
            <w:tcW w:w="454" w:type="pct"/>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kern w:val="0"/>
                <w:sz w:val="21"/>
                <w:szCs w:val="21"/>
                <w:highlight w:val="none"/>
              </w:rPr>
            </w:pPr>
          </w:p>
        </w:tc>
        <w:tc>
          <w:tcPr>
            <w:tcW w:w="3637" w:type="pct"/>
            <w:noWrap w:val="0"/>
            <w:vAlign w:val="top"/>
          </w:tcPr>
          <w:p>
            <w:pPr>
              <w:keepNext w:val="0"/>
              <w:keepLines w:val="0"/>
              <w:pageBreakBefore w:val="0"/>
              <w:widowControl w:val="0"/>
              <w:kinsoku/>
              <w:wordWrap/>
              <w:overflowPunct/>
              <w:topLinePunct w:val="0"/>
              <w:autoSpaceDE w:val="0"/>
              <w:autoSpaceDN w:val="0"/>
              <w:bidi w:val="0"/>
              <w:adjustRightInd w:val="0"/>
              <w:snapToGrid w:val="0"/>
              <w:spacing w:line="460" w:lineRule="exac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整体技术方案：至少应包括技术要点分析、拟采取的测绘、检测、疏通技术措施、作业实施步骤、施工（作业）组织设计和技术管理工作计划等，内容齐全、结构完整、表述准确、条理清晰的得</w:t>
            </w:r>
            <w:r>
              <w:rPr>
                <w:rFonts w:hint="eastAsia" w:hAnsi="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分，有欠缺或者缺漏或不合理的每处扣1分，扣完为止。</w:t>
            </w:r>
          </w:p>
        </w:tc>
        <w:tc>
          <w:tcPr>
            <w:tcW w:w="608"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kern w:val="0"/>
                <w:sz w:val="21"/>
                <w:szCs w:val="21"/>
                <w:highlight w:val="none"/>
              </w:rPr>
            </w:pPr>
            <w:r>
              <w:rPr>
                <w:rFonts w:hint="eastAsia" w:hAnsi="宋体" w:cs="宋体"/>
                <w:color w:val="auto"/>
                <w:kern w:val="0"/>
                <w:sz w:val="21"/>
                <w:szCs w:val="21"/>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kern w:val="0"/>
                <w:sz w:val="21"/>
                <w:szCs w:val="21"/>
                <w:highlight w:val="none"/>
              </w:rPr>
            </w:pPr>
          </w:p>
        </w:tc>
        <w:tc>
          <w:tcPr>
            <w:tcW w:w="454" w:type="pct"/>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kern w:val="0"/>
                <w:sz w:val="21"/>
                <w:szCs w:val="21"/>
                <w:highlight w:val="none"/>
              </w:rPr>
            </w:pPr>
          </w:p>
        </w:tc>
        <w:tc>
          <w:tcPr>
            <w:tcW w:w="3637" w:type="pct"/>
            <w:noWrap w:val="0"/>
            <w:vAlign w:val="top"/>
          </w:tcPr>
          <w:p>
            <w:pPr>
              <w:keepNext w:val="0"/>
              <w:keepLines w:val="0"/>
              <w:pageBreakBefore w:val="0"/>
              <w:widowControl w:val="0"/>
              <w:kinsoku/>
              <w:wordWrap/>
              <w:overflowPunct/>
              <w:topLinePunct w:val="0"/>
              <w:autoSpaceDE w:val="0"/>
              <w:autoSpaceDN w:val="0"/>
              <w:bidi w:val="0"/>
              <w:adjustRightInd w:val="0"/>
              <w:snapToGrid w:val="0"/>
              <w:spacing w:line="460" w:lineRule="exac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质量控制措施及方案：根据供应商对本项目提供的质量控制措施及方案进行评议，方案符合要求，内容完整、充实的得6分；有欠缺或者缺漏或不合理的每处扣1分，扣完为止。</w:t>
            </w:r>
          </w:p>
        </w:tc>
        <w:tc>
          <w:tcPr>
            <w:tcW w:w="608"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kern w:val="0"/>
                <w:sz w:val="21"/>
                <w:szCs w:val="21"/>
                <w:highlight w:val="none"/>
              </w:rPr>
            </w:pPr>
          </w:p>
        </w:tc>
        <w:tc>
          <w:tcPr>
            <w:tcW w:w="454" w:type="pct"/>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kern w:val="0"/>
                <w:sz w:val="21"/>
                <w:szCs w:val="21"/>
                <w:highlight w:val="none"/>
              </w:rPr>
            </w:pPr>
          </w:p>
        </w:tc>
        <w:tc>
          <w:tcPr>
            <w:tcW w:w="3637" w:type="pct"/>
            <w:noWrap w:val="0"/>
            <w:vAlign w:val="top"/>
          </w:tcPr>
          <w:p>
            <w:pPr>
              <w:keepNext w:val="0"/>
              <w:keepLines w:val="0"/>
              <w:pageBreakBefore w:val="0"/>
              <w:widowControl w:val="0"/>
              <w:kinsoku/>
              <w:wordWrap/>
              <w:overflowPunct/>
              <w:topLinePunct w:val="0"/>
              <w:autoSpaceDE w:val="0"/>
              <w:autoSpaceDN w:val="0"/>
              <w:bidi w:val="0"/>
              <w:adjustRightInd w:val="0"/>
              <w:snapToGrid w:val="0"/>
              <w:spacing w:line="460" w:lineRule="exac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安全保密制度：根据投标人提供的安全保密制度，与本项目资料的安全，档案信息的保密的针对性、合理性等</w:t>
            </w:r>
            <w:r>
              <w:rPr>
                <w:rFonts w:hint="eastAsia" w:ascii="宋体" w:hAnsi="宋体" w:eastAsia="宋体" w:cs="宋体"/>
                <w:color w:val="auto"/>
                <w:kern w:val="0"/>
                <w:sz w:val="21"/>
                <w:szCs w:val="21"/>
                <w:highlight w:val="none"/>
                <w:lang w:eastAsia="zh-CN"/>
              </w:rPr>
              <w:t>打分</w:t>
            </w:r>
            <w:r>
              <w:rPr>
                <w:rFonts w:hint="eastAsia" w:ascii="宋体" w:hAnsi="宋体" w:eastAsia="宋体" w:cs="宋体"/>
                <w:color w:val="auto"/>
                <w:kern w:val="0"/>
                <w:sz w:val="21"/>
                <w:szCs w:val="21"/>
                <w:highlight w:val="none"/>
              </w:rPr>
              <w:t>，制度完善、针对性强的得</w:t>
            </w:r>
            <w:r>
              <w:rPr>
                <w:rFonts w:hint="eastAsia"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分；有欠缺或者缺漏或不合理的每处扣</w:t>
            </w:r>
            <w:r>
              <w:rPr>
                <w:rFonts w:hint="eastAsia" w:hAnsi="宋体" w:cs="宋体"/>
                <w:color w:val="auto"/>
                <w:kern w:val="0"/>
                <w:sz w:val="21"/>
                <w:szCs w:val="21"/>
                <w:highlight w:val="none"/>
                <w:lang w:val="en-US" w:eastAsia="zh-CN"/>
              </w:rPr>
              <w:t>0.5</w:t>
            </w:r>
            <w:r>
              <w:rPr>
                <w:rFonts w:hint="eastAsia" w:ascii="宋体" w:hAnsi="宋体" w:eastAsia="宋体" w:cs="宋体"/>
                <w:color w:val="auto"/>
                <w:kern w:val="0"/>
                <w:sz w:val="21"/>
                <w:szCs w:val="21"/>
                <w:highlight w:val="none"/>
              </w:rPr>
              <w:t>分，扣完为止。</w:t>
            </w:r>
          </w:p>
        </w:tc>
        <w:tc>
          <w:tcPr>
            <w:tcW w:w="608"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kern w:val="0"/>
                <w:sz w:val="21"/>
                <w:szCs w:val="21"/>
                <w:highlight w:val="none"/>
              </w:rPr>
            </w:pPr>
            <w:r>
              <w:rPr>
                <w:rFonts w:hint="eastAsia" w:hAnsi="宋体" w:cs="宋体"/>
                <w:color w:val="auto"/>
                <w:kern w:val="0"/>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kern w:val="0"/>
                <w:sz w:val="21"/>
                <w:szCs w:val="21"/>
                <w:highlight w:val="none"/>
              </w:rPr>
            </w:pPr>
          </w:p>
        </w:tc>
        <w:tc>
          <w:tcPr>
            <w:tcW w:w="454" w:type="pct"/>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kern w:val="0"/>
                <w:sz w:val="21"/>
                <w:szCs w:val="21"/>
                <w:highlight w:val="none"/>
              </w:rPr>
            </w:pPr>
          </w:p>
        </w:tc>
        <w:tc>
          <w:tcPr>
            <w:tcW w:w="3637" w:type="pct"/>
            <w:noWrap w:val="0"/>
            <w:vAlign w:val="top"/>
          </w:tcPr>
          <w:p>
            <w:pPr>
              <w:keepNext w:val="0"/>
              <w:keepLines w:val="0"/>
              <w:pageBreakBefore w:val="0"/>
              <w:widowControl w:val="0"/>
              <w:kinsoku/>
              <w:wordWrap/>
              <w:overflowPunct/>
              <w:topLinePunct w:val="0"/>
              <w:autoSpaceDE w:val="0"/>
              <w:autoSpaceDN w:val="0"/>
              <w:bidi w:val="0"/>
              <w:adjustRightInd w:val="0"/>
              <w:snapToGrid w:val="0"/>
              <w:spacing w:line="460" w:lineRule="exac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安全预防管理制度：根据投标人提供的安全预防管理制度进行横向评议，制度完善的得</w:t>
            </w:r>
            <w:r>
              <w:rPr>
                <w:rFonts w:hint="eastAsia"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分，有欠缺或者缺漏或不合理的每处扣</w:t>
            </w:r>
            <w:r>
              <w:rPr>
                <w:rFonts w:hint="eastAsia" w:hAnsi="宋体" w:cs="宋体"/>
                <w:color w:val="auto"/>
                <w:kern w:val="0"/>
                <w:sz w:val="21"/>
                <w:szCs w:val="21"/>
                <w:highlight w:val="none"/>
                <w:lang w:val="en-US" w:eastAsia="zh-CN"/>
              </w:rPr>
              <w:t>0.5</w:t>
            </w:r>
            <w:r>
              <w:rPr>
                <w:rFonts w:hint="eastAsia" w:ascii="宋体" w:hAnsi="宋体" w:eastAsia="宋体" w:cs="宋体"/>
                <w:color w:val="auto"/>
                <w:kern w:val="0"/>
                <w:sz w:val="21"/>
                <w:szCs w:val="21"/>
                <w:highlight w:val="none"/>
              </w:rPr>
              <w:t>分，扣完为止。</w:t>
            </w:r>
          </w:p>
        </w:tc>
        <w:tc>
          <w:tcPr>
            <w:tcW w:w="608"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kern w:val="0"/>
                <w:sz w:val="21"/>
                <w:szCs w:val="21"/>
                <w:highlight w:val="none"/>
              </w:rPr>
            </w:pPr>
            <w:r>
              <w:rPr>
                <w:rFonts w:hint="eastAsia" w:hAnsi="宋体" w:cs="宋体"/>
                <w:color w:val="auto"/>
                <w:kern w:val="0"/>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kern w:val="0"/>
                <w:sz w:val="21"/>
                <w:szCs w:val="21"/>
                <w:highlight w:val="none"/>
              </w:rPr>
            </w:pPr>
          </w:p>
        </w:tc>
        <w:tc>
          <w:tcPr>
            <w:tcW w:w="454" w:type="pct"/>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kern w:val="0"/>
                <w:sz w:val="21"/>
                <w:szCs w:val="21"/>
                <w:highlight w:val="none"/>
              </w:rPr>
            </w:pPr>
          </w:p>
        </w:tc>
        <w:tc>
          <w:tcPr>
            <w:tcW w:w="3637" w:type="pct"/>
            <w:noWrap w:val="0"/>
            <w:vAlign w:val="top"/>
          </w:tcPr>
          <w:p>
            <w:pPr>
              <w:keepNext w:val="0"/>
              <w:keepLines w:val="0"/>
              <w:pageBreakBefore w:val="0"/>
              <w:widowControl w:val="0"/>
              <w:kinsoku/>
              <w:wordWrap/>
              <w:overflowPunct/>
              <w:topLinePunct w:val="0"/>
              <w:autoSpaceDE w:val="0"/>
              <w:autoSpaceDN w:val="0"/>
              <w:bidi w:val="0"/>
              <w:adjustRightInd w:val="0"/>
              <w:snapToGrid w:val="0"/>
              <w:spacing w:line="460" w:lineRule="exact"/>
              <w:textAlignment w:val="baseline"/>
              <w:rPr>
                <w:rFonts w:hint="eastAsia" w:ascii="宋体" w:hAnsi="宋体" w:eastAsia="宋体" w:cs="宋体"/>
                <w:color w:val="auto"/>
                <w:kern w:val="0"/>
                <w:sz w:val="21"/>
                <w:szCs w:val="21"/>
                <w:highlight w:val="none"/>
              </w:rPr>
            </w:pPr>
            <w:r>
              <w:rPr>
                <w:rFonts w:hint="eastAsia" w:hAnsi="宋体" w:cs="宋体"/>
                <w:color w:val="auto"/>
                <w:sz w:val="21"/>
                <w:szCs w:val="21"/>
                <w:highlight w:val="none"/>
              </w:rPr>
              <w:t>紧急防范预案：根据项目及服务区域特点，制定各种紧急防范预案，根据预案的全面性、科学性、可操作性</w:t>
            </w:r>
            <w:r>
              <w:rPr>
                <w:rFonts w:hint="eastAsia" w:hAnsi="宋体" w:cs="宋体"/>
                <w:color w:val="auto"/>
                <w:sz w:val="21"/>
                <w:szCs w:val="21"/>
                <w:highlight w:val="none"/>
                <w:lang w:eastAsia="zh-CN"/>
              </w:rPr>
              <w:t>的得</w:t>
            </w:r>
            <w:r>
              <w:rPr>
                <w:rFonts w:hint="eastAsia" w:hAnsi="宋体" w:cs="宋体"/>
                <w:color w:val="auto"/>
                <w:sz w:val="21"/>
                <w:szCs w:val="21"/>
                <w:highlight w:val="none"/>
                <w:lang w:val="en-US" w:eastAsia="zh-CN"/>
              </w:rPr>
              <w:t>6分</w:t>
            </w:r>
            <w:r>
              <w:rPr>
                <w:rFonts w:hint="eastAsia" w:hAnsi="宋体" w:cs="宋体"/>
                <w:color w:val="auto"/>
                <w:sz w:val="21"/>
                <w:szCs w:val="21"/>
                <w:highlight w:val="none"/>
              </w:rPr>
              <w:t>，</w:t>
            </w:r>
            <w:r>
              <w:rPr>
                <w:rFonts w:hint="eastAsia" w:ascii="宋体" w:hAnsi="宋体" w:eastAsia="宋体" w:cs="宋体"/>
                <w:color w:val="auto"/>
                <w:kern w:val="0"/>
                <w:sz w:val="21"/>
                <w:szCs w:val="21"/>
                <w:highlight w:val="none"/>
              </w:rPr>
              <w:t>有欠缺或者缺漏或不合理的每处扣1分，扣完为止。</w:t>
            </w:r>
          </w:p>
        </w:tc>
        <w:tc>
          <w:tcPr>
            <w:tcW w:w="608"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kern w:val="0"/>
                <w:sz w:val="21"/>
                <w:szCs w:val="21"/>
                <w:highlight w:val="none"/>
              </w:rPr>
            </w:pPr>
            <w:r>
              <w:rPr>
                <w:rFonts w:hint="eastAsia" w:hAnsi="宋体" w:cs="宋体"/>
                <w:color w:val="auto"/>
                <w:kern w:val="0"/>
                <w:sz w:val="21"/>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kern w:val="0"/>
                <w:sz w:val="21"/>
                <w:szCs w:val="21"/>
                <w:highlight w:val="none"/>
              </w:rPr>
            </w:pPr>
          </w:p>
        </w:tc>
        <w:tc>
          <w:tcPr>
            <w:tcW w:w="454" w:type="pct"/>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kern w:val="0"/>
                <w:sz w:val="21"/>
                <w:szCs w:val="21"/>
                <w:highlight w:val="none"/>
              </w:rPr>
            </w:pPr>
          </w:p>
        </w:tc>
        <w:tc>
          <w:tcPr>
            <w:tcW w:w="3637" w:type="pct"/>
            <w:noWrap w:val="0"/>
            <w:vAlign w:val="top"/>
          </w:tcPr>
          <w:p>
            <w:pPr>
              <w:keepNext w:val="0"/>
              <w:keepLines w:val="0"/>
              <w:pageBreakBefore w:val="0"/>
              <w:widowControl w:val="0"/>
              <w:kinsoku/>
              <w:wordWrap/>
              <w:overflowPunct/>
              <w:topLinePunct w:val="0"/>
              <w:autoSpaceDE w:val="0"/>
              <w:autoSpaceDN w:val="0"/>
              <w:bidi w:val="0"/>
              <w:adjustRightInd w:val="0"/>
              <w:snapToGrid w:val="0"/>
              <w:spacing w:line="460" w:lineRule="exac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文明施工及交通组织方案及措施：根据投标人提供的文明施工及交通组织方案及措施进行</w:t>
            </w:r>
            <w:r>
              <w:rPr>
                <w:rFonts w:hint="eastAsia" w:ascii="宋体" w:hAnsi="宋体" w:eastAsia="宋体" w:cs="宋体"/>
                <w:color w:val="auto"/>
                <w:kern w:val="0"/>
                <w:sz w:val="21"/>
                <w:szCs w:val="21"/>
                <w:highlight w:val="none"/>
                <w:lang w:eastAsia="zh-CN"/>
              </w:rPr>
              <w:t>打分</w:t>
            </w:r>
            <w:r>
              <w:rPr>
                <w:rFonts w:hint="eastAsia" w:ascii="宋体" w:hAnsi="宋体" w:eastAsia="宋体" w:cs="宋体"/>
                <w:color w:val="auto"/>
                <w:kern w:val="0"/>
                <w:sz w:val="21"/>
                <w:szCs w:val="21"/>
                <w:highlight w:val="none"/>
              </w:rPr>
              <w:t>，方案符合要求，内容完整、充实得6分；有欠缺或者缺漏或不合理的每处扣1分，扣完为止。</w:t>
            </w:r>
          </w:p>
        </w:tc>
        <w:tc>
          <w:tcPr>
            <w:tcW w:w="608"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kern w:val="0"/>
                <w:sz w:val="21"/>
                <w:szCs w:val="21"/>
                <w:highlight w:val="none"/>
              </w:rPr>
            </w:pPr>
          </w:p>
        </w:tc>
        <w:tc>
          <w:tcPr>
            <w:tcW w:w="454" w:type="pct"/>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kern w:val="0"/>
                <w:sz w:val="21"/>
                <w:szCs w:val="21"/>
                <w:highlight w:val="none"/>
              </w:rPr>
            </w:pPr>
          </w:p>
        </w:tc>
        <w:tc>
          <w:tcPr>
            <w:tcW w:w="3637" w:type="pct"/>
            <w:noWrap w:val="0"/>
            <w:vAlign w:val="center"/>
          </w:tcPr>
          <w:p>
            <w:pPr>
              <w:snapToGrid w:val="0"/>
              <w:spacing w:line="460" w:lineRule="exact"/>
              <w:textAlignment w:val="baseline"/>
              <w:rPr>
                <w:rFonts w:hint="eastAsia" w:ascii="宋体" w:hAnsi="宋体" w:eastAsia="宋体" w:cs="宋体"/>
                <w:color w:val="auto"/>
                <w:sz w:val="21"/>
                <w:szCs w:val="21"/>
                <w:highlight w:val="none"/>
                <w:lang w:val="en-US" w:eastAsia="zh-CN" w:bidi="ar-SA"/>
              </w:rPr>
            </w:pPr>
            <w:r>
              <w:rPr>
                <w:rFonts w:hint="eastAsia" w:hAnsi="宋体" w:cs="宋体"/>
                <w:color w:val="auto"/>
                <w:sz w:val="21"/>
                <w:szCs w:val="21"/>
                <w:highlight w:val="none"/>
              </w:rPr>
              <w:t>后续服务保证措施：根据投标人对本项目制定的后续服务保证措施的可行性、合理性进行评分，</w:t>
            </w:r>
            <w:r>
              <w:rPr>
                <w:rFonts w:hint="eastAsia" w:hAnsi="宋体" w:cs="宋体"/>
                <w:color w:val="auto"/>
                <w:sz w:val="21"/>
                <w:szCs w:val="21"/>
                <w:highlight w:val="none"/>
                <w:lang w:val="en-US" w:eastAsia="zh-CN"/>
              </w:rPr>
              <w:t>本项最高得4分，</w:t>
            </w:r>
            <w:r>
              <w:rPr>
                <w:rFonts w:hint="eastAsia" w:hAnsi="宋体" w:cs="宋体"/>
                <w:color w:val="auto"/>
                <w:sz w:val="21"/>
                <w:szCs w:val="21"/>
                <w:highlight w:val="none"/>
              </w:rPr>
              <w:t>有不合理或有欠缺的每处扣0.5分，扣完为止。</w:t>
            </w:r>
          </w:p>
        </w:tc>
        <w:tc>
          <w:tcPr>
            <w:tcW w:w="608" w:type="pct"/>
            <w:noWrap w:val="0"/>
            <w:vAlign w:val="center"/>
          </w:tcPr>
          <w:p>
            <w:pPr>
              <w:snapToGrid w:val="0"/>
              <w:spacing w:line="460" w:lineRule="exact"/>
              <w:jc w:val="center"/>
              <w:textAlignment w:val="baseline"/>
              <w:rPr>
                <w:rFonts w:hint="eastAsia" w:ascii="宋体" w:hAnsi="Times New Roman" w:eastAsia="宋体" w:cs="Times New Roman"/>
                <w:color w:val="auto"/>
                <w:sz w:val="21"/>
                <w:szCs w:val="21"/>
                <w:highlight w:val="none"/>
                <w:lang w:val="en-US" w:eastAsia="zh-CN" w:bidi="ar-SA"/>
              </w:rPr>
            </w:pPr>
            <w:r>
              <w:rPr>
                <w:rFonts w:hint="eastAsia"/>
                <w:color w:val="auto"/>
                <w:sz w:val="21"/>
                <w:szCs w:val="21"/>
                <w:highlight w:val="none"/>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kern w:val="0"/>
                <w:sz w:val="21"/>
                <w:szCs w:val="21"/>
                <w:highlight w:val="none"/>
              </w:rPr>
            </w:pPr>
          </w:p>
        </w:tc>
        <w:tc>
          <w:tcPr>
            <w:tcW w:w="454" w:type="pct"/>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kern w:val="0"/>
                <w:sz w:val="21"/>
                <w:szCs w:val="21"/>
                <w:highlight w:val="none"/>
              </w:rPr>
            </w:pPr>
          </w:p>
        </w:tc>
        <w:tc>
          <w:tcPr>
            <w:tcW w:w="3637" w:type="pct"/>
            <w:noWrap w:val="0"/>
            <w:vAlign w:val="top"/>
          </w:tcPr>
          <w:p>
            <w:pPr>
              <w:keepNext w:val="0"/>
              <w:keepLines w:val="0"/>
              <w:pageBreakBefore w:val="0"/>
              <w:widowControl w:val="0"/>
              <w:kinsoku/>
              <w:wordWrap/>
              <w:overflowPunct/>
              <w:topLinePunct w:val="0"/>
              <w:autoSpaceDE w:val="0"/>
              <w:autoSpaceDN w:val="0"/>
              <w:bidi w:val="0"/>
              <w:adjustRightInd w:val="0"/>
              <w:snapToGrid w:val="0"/>
              <w:spacing w:line="460" w:lineRule="exac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合理化建议及增值服务：投标人根据对本项目的需求和理解提出的合理化建议及增值服务（含优于招标文件的服务承诺和针对本项目的有价值的建议及增值服务等），对采购人有利的，每有1项得1分，最高得4分。</w:t>
            </w:r>
          </w:p>
        </w:tc>
        <w:tc>
          <w:tcPr>
            <w:tcW w:w="608"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454"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项目实施人员投入</w:t>
            </w:r>
          </w:p>
        </w:tc>
        <w:tc>
          <w:tcPr>
            <w:tcW w:w="3637" w:type="pct"/>
            <w:noWrap w:val="0"/>
            <w:vAlign w:val="top"/>
          </w:tcPr>
          <w:p>
            <w:pPr>
              <w:pStyle w:val="112"/>
              <w:keepNext w:val="0"/>
              <w:keepLines w:val="0"/>
              <w:pageBreakBefore w:val="0"/>
              <w:widowControl w:val="0"/>
              <w:numPr>
                <w:ilvl w:val="0"/>
                <w:numId w:val="0"/>
              </w:numPr>
              <w:kinsoku/>
              <w:wordWrap/>
              <w:overflowPunct/>
              <w:topLinePunct w:val="0"/>
              <w:autoSpaceDE w:val="0"/>
              <w:autoSpaceDN w:val="0"/>
              <w:bidi w:val="0"/>
              <w:adjustRightInd w:val="0"/>
              <w:snapToGrid w:val="0"/>
              <w:spacing w:line="460" w:lineRule="exact"/>
              <w:ind w:leftChars="0"/>
              <w:textAlignment w:val="baseline"/>
              <w:rPr>
                <w:rFonts w:hint="eastAsia" w:ascii="宋体" w:hAnsi="宋体" w:eastAsia="宋体" w:cs="宋体"/>
                <w:color w:val="C00000"/>
                <w:kern w:val="0"/>
                <w:sz w:val="21"/>
                <w:szCs w:val="21"/>
                <w:highlight w:val="none"/>
                <w:lang w:eastAsia="zh-CN"/>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项目负责人具有测绘相关专业高级及以上职称，且同时具有注册测绘书证书、城镇排水管道检测与评估及非开挖修复证书和项目经理证书的</w:t>
            </w:r>
            <w:r>
              <w:rPr>
                <w:rFonts w:hint="eastAsia" w:hAnsi="宋体" w:cs="宋体"/>
                <w:sz w:val="21"/>
                <w:szCs w:val="21"/>
                <w:highlight w:val="none"/>
              </w:rPr>
              <w:t>，</w:t>
            </w:r>
            <w:r>
              <w:rPr>
                <w:rFonts w:hint="eastAsia" w:ascii="宋体" w:hAnsi="宋体" w:eastAsia="宋体" w:cs="宋体"/>
                <w:color w:val="auto"/>
                <w:kern w:val="0"/>
                <w:sz w:val="21"/>
                <w:szCs w:val="21"/>
                <w:highlight w:val="none"/>
              </w:rPr>
              <w:t>得4分，缺项不得分。</w:t>
            </w:r>
          </w:p>
          <w:p>
            <w:pPr>
              <w:pStyle w:val="112"/>
              <w:keepNext w:val="0"/>
              <w:keepLines w:val="0"/>
              <w:pageBreakBefore w:val="0"/>
              <w:widowControl w:val="0"/>
              <w:numPr>
                <w:ilvl w:val="0"/>
                <w:numId w:val="0"/>
              </w:numPr>
              <w:kinsoku/>
              <w:wordWrap/>
              <w:overflowPunct/>
              <w:topLinePunct w:val="0"/>
              <w:autoSpaceDE w:val="0"/>
              <w:autoSpaceDN w:val="0"/>
              <w:bidi w:val="0"/>
              <w:adjustRightInd w:val="0"/>
              <w:snapToGrid w:val="0"/>
              <w:spacing w:line="460" w:lineRule="exact"/>
              <w:ind w:leftChars="0"/>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项目团队成员具有10名中级及以上测绘或物探相关职称，且同时具有城镇排水管道检测与评估及非开挖修复证书的得3分。</w:t>
            </w:r>
          </w:p>
          <w:p>
            <w:pPr>
              <w:pStyle w:val="112"/>
              <w:keepNext w:val="0"/>
              <w:keepLines w:val="0"/>
              <w:pageBreakBefore w:val="0"/>
              <w:widowControl w:val="0"/>
              <w:numPr>
                <w:ilvl w:val="0"/>
                <w:numId w:val="0"/>
              </w:numPr>
              <w:kinsoku/>
              <w:wordWrap/>
              <w:overflowPunct/>
              <w:topLinePunct w:val="0"/>
              <w:autoSpaceDE w:val="0"/>
              <w:autoSpaceDN w:val="0"/>
              <w:bidi w:val="0"/>
              <w:adjustRightInd w:val="0"/>
              <w:snapToGrid w:val="0"/>
              <w:spacing w:line="460" w:lineRule="exact"/>
              <w:ind w:leftChars="0"/>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项目团队成员具有高级信息系统项目管理师证书的，得3分。</w:t>
            </w:r>
          </w:p>
          <w:p>
            <w:pPr>
              <w:keepNext w:val="0"/>
              <w:keepLines w:val="0"/>
              <w:pageBreakBefore w:val="0"/>
              <w:widowControl w:val="0"/>
              <w:kinsoku/>
              <w:wordWrap/>
              <w:overflowPunct/>
              <w:topLinePunct w:val="0"/>
              <w:autoSpaceDE w:val="0"/>
              <w:autoSpaceDN w:val="0"/>
              <w:bidi w:val="0"/>
              <w:adjustRightInd w:val="0"/>
              <w:snapToGrid w:val="0"/>
              <w:spacing w:line="460" w:lineRule="exac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以上人员一人一证，重复不计分。投标文件中须同时提供相关证书复印件及投标人为其缴纳的社保缴纳证明（开标截止时间前6个月内任意一个月，事业单位改制的企业人员可提供相关事业参保证明），否则不予计分。</w:t>
            </w:r>
          </w:p>
        </w:tc>
        <w:tc>
          <w:tcPr>
            <w:tcW w:w="608"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454"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供应商业绩</w:t>
            </w:r>
          </w:p>
        </w:tc>
        <w:tc>
          <w:tcPr>
            <w:tcW w:w="3637" w:type="pct"/>
            <w:noWrap w:val="0"/>
            <w:vAlign w:val="top"/>
          </w:tcPr>
          <w:p>
            <w:pPr>
              <w:keepNext w:val="0"/>
              <w:keepLines w:val="0"/>
              <w:pageBreakBefore w:val="0"/>
              <w:widowControl w:val="0"/>
              <w:kinsoku/>
              <w:wordWrap/>
              <w:overflowPunct/>
              <w:topLinePunct w:val="0"/>
              <w:autoSpaceDE w:val="0"/>
              <w:autoSpaceDN w:val="0"/>
              <w:bidi w:val="0"/>
              <w:adjustRightInd w:val="0"/>
              <w:snapToGrid w:val="0"/>
              <w:spacing w:line="460" w:lineRule="exac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投标人自2019年1月1日以来（以合同签订时间为准）,具有地下管网普查或隐患排查或管道检测等类似业绩</w:t>
            </w:r>
            <w:r>
              <w:rPr>
                <w:rFonts w:hint="eastAsia"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个及以上，得1分；最高得1分。</w:t>
            </w:r>
          </w:p>
          <w:p>
            <w:pPr>
              <w:keepNext w:val="0"/>
              <w:keepLines w:val="0"/>
              <w:pageBreakBefore w:val="0"/>
              <w:widowControl w:val="0"/>
              <w:kinsoku/>
              <w:wordWrap/>
              <w:overflowPunct/>
              <w:topLinePunct w:val="0"/>
              <w:autoSpaceDE w:val="0"/>
              <w:autoSpaceDN w:val="0"/>
              <w:bidi w:val="0"/>
              <w:adjustRightInd w:val="0"/>
              <w:snapToGrid w:val="0"/>
              <w:spacing w:line="460" w:lineRule="exact"/>
              <w:textAlignment w:val="baseline"/>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投标文件中须同时提供网上中标公示截图、中标通知书和合同，不提供或提供不齐全者不得分。</w:t>
            </w:r>
            <w:r>
              <w:rPr>
                <w:rFonts w:hint="eastAsia" w:hAnsi="宋体" w:cs="宋体"/>
                <w:color w:val="auto"/>
                <w:kern w:val="0"/>
                <w:sz w:val="21"/>
                <w:szCs w:val="21"/>
                <w:highlight w:val="none"/>
                <w:lang w:eastAsia="zh-CN"/>
              </w:rPr>
              <w:t>是否符合类似业绩以评标委员会判定为准。</w:t>
            </w:r>
          </w:p>
        </w:tc>
        <w:tc>
          <w:tcPr>
            <w:tcW w:w="608"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454"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项目仪器设备投入</w:t>
            </w:r>
          </w:p>
        </w:tc>
        <w:tc>
          <w:tcPr>
            <w:tcW w:w="3637" w:type="pct"/>
            <w:noWrap w:val="0"/>
            <w:vAlign w:val="top"/>
          </w:tcPr>
          <w:p>
            <w:pPr>
              <w:pStyle w:val="112"/>
              <w:keepNext w:val="0"/>
              <w:keepLines w:val="0"/>
              <w:pageBreakBefore w:val="0"/>
              <w:widowControl w:val="0"/>
              <w:numPr>
                <w:ilvl w:val="0"/>
                <w:numId w:val="0"/>
              </w:numPr>
              <w:kinsoku/>
              <w:wordWrap/>
              <w:overflowPunct/>
              <w:topLinePunct w:val="0"/>
              <w:autoSpaceDE w:val="0"/>
              <w:autoSpaceDN w:val="0"/>
              <w:bidi w:val="0"/>
              <w:adjustRightInd w:val="0"/>
              <w:snapToGrid w:val="0"/>
              <w:spacing w:line="460" w:lineRule="exact"/>
              <w:ind w:leftChars="0"/>
              <w:textAlignment w:val="baseline"/>
              <w:rPr>
                <w:rFonts w:hint="eastAsia" w:ascii="宋体" w:hAnsi="宋体" w:eastAsia="宋体" w:cs="宋体"/>
                <w:color w:val="C00000"/>
                <w:kern w:val="0"/>
                <w:sz w:val="21"/>
                <w:szCs w:val="21"/>
                <w:highlight w:val="none"/>
                <w:lang w:eastAsia="zh-CN"/>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CCTV检测设备每台得</w:t>
            </w:r>
            <w:r>
              <w:rPr>
                <w:rFonts w:hint="eastAsia"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分；QV潜望镜每台得</w:t>
            </w:r>
            <w:r>
              <w:rPr>
                <w:rFonts w:hint="eastAsia"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分，最高得</w:t>
            </w:r>
            <w:r>
              <w:rPr>
                <w:rFonts w:hint="eastAsia" w:hAnsi="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分；</w:t>
            </w:r>
          </w:p>
          <w:p>
            <w:pPr>
              <w:pStyle w:val="112"/>
              <w:keepNext w:val="0"/>
              <w:keepLines w:val="0"/>
              <w:pageBreakBefore w:val="0"/>
              <w:widowControl w:val="0"/>
              <w:numPr>
                <w:ilvl w:val="0"/>
                <w:numId w:val="0"/>
              </w:numPr>
              <w:kinsoku/>
              <w:wordWrap/>
              <w:overflowPunct/>
              <w:topLinePunct w:val="0"/>
              <w:autoSpaceDE w:val="0"/>
              <w:autoSpaceDN w:val="0"/>
              <w:bidi w:val="0"/>
              <w:adjustRightInd w:val="0"/>
              <w:snapToGrid w:val="0"/>
              <w:spacing w:line="460" w:lineRule="exact"/>
              <w:ind w:leftChars="0"/>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配备全站仪、卫星接收仪（GPS等）、电子水准仪、管线探测仪的得2分，缺项不得分；</w:t>
            </w:r>
          </w:p>
          <w:p>
            <w:pPr>
              <w:pStyle w:val="112"/>
              <w:keepNext w:val="0"/>
              <w:keepLines w:val="0"/>
              <w:pageBreakBefore w:val="0"/>
              <w:widowControl w:val="0"/>
              <w:numPr>
                <w:ilvl w:val="0"/>
                <w:numId w:val="0"/>
              </w:numPr>
              <w:kinsoku/>
              <w:wordWrap/>
              <w:overflowPunct/>
              <w:topLinePunct w:val="0"/>
              <w:autoSpaceDE w:val="0"/>
              <w:autoSpaceDN w:val="0"/>
              <w:bidi w:val="0"/>
              <w:adjustRightInd w:val="0"/>
              <w:snapToGrid w:val="0"/>
              <w:spacing w:line="460" w:lineRule="exact"/>
              <w:ind w:leftChars="0"/>
              <w:textAlignment w:val="baseline"/>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配备清淤车、吸污车和工程检测车辆的，每辆得1分，最多得3分；</w:t>
            </w:r>
          </w:p>
          <w:p>
            <w:pPr>
              <w:pStyle w:val="112"/>
              <w:keepNext w:val="0"/>
              <w:keepLines w:val="0"/>
              <w:pageBreakBefore w:val="0"/>
              <w:widowControl w:val="0"/>
              <w:numPr>
                <w:ilvl w:val="0"/>
                <w:numId w:val="0"/>
              </w:numPr>
              <w:kinsoku/>
              <w:wordWrap/>
              <w:overflowPunct/>
              <w:topLinePunct w:val="0"/>
              <w:autoSpaceDE w:val="0"/>
              <w:autoSpaceDN w:val="0"/>
              <w:bidi w:val="0"/>
              <w:adjustRightInd w:val="0"/>
              <w:snapToGrid w:val="0"/>
              <w:spacing w:line="460" w:lineRule="exact"/>
              <w:ind w:leftChars="0"/>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配备气体检测仪10套以上的安全设备，得2分。</w:t>
            </w:r>
          </w:p>
          <w:p>
            <w:pPr>
              <w:keepNext w:val="0"/>
              <w:keepLines w:val="0"/>
              <w:pageBreakBefore w:val="0"/>
              <w:widowControl w:val="0"/>
              <w:kinsoku/>
              <w:wordWrap/>
              <w:overflowPunct/>
              <w:topLinePunct w:val="0"/>
              <w:autoSpaceDE w:val="0"/>
              <w:autoSpaceDN w:val="0"/>
              <w:bidi w:val="0"/>
              <w:adjustRightInd w:val="0"/>
              <w:snapToGrid w:val="0"/>
              <w:spacing w:line="460" w:lineRule="exac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注：投标文件内须提供发票复印件。</w:t>
            </w:r>
          </w:p>
        </w:tc>
        <w:tc>
          <w:tcPr>
            <w:tcW w:w="608"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hAnsi="宋体" w:cs="宋体"/>
                <w:color w:val="auto"/>
                <w:kern w:val="0"/>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454"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体系证书</w:t>
            </w:r>
          </w:p>
        </w:tc>
        <w:tc>
          <w:tcPr>
            <w:tcW w:w="3637" w:type="pct"/>
            <w:noWrap w:val="0"/>
            <w:vAlign w:val="top"/>
          </w:tcPr>
          <w:p>
            <w:pPr>
              <w:pStyle w:val="112"/>
              <w:keepNext w:val="0"/>
              <w:keepLines w:val="0"/>
              <w:pageBreakBefore w:val="0"/>
              <w:widowControl w:val="0"/>
              <w:kinsoku/>
              <w:wordWrap/>
              <w:overflowPunct/>
              <w:topLinePunct w:val="0"/>
              <w:autoSpaceDE w:val="0"/>
              <w:autoSpaceDN w:val="0"/>
              <w:bidi w:val="0"/>
              <w:adjustRightInd w:val="0"/>
              <w:snapToGrid w:val="0"/>
              <w:spacing w:line="460" w:lineRule="exact"/>
              <w:ind w:left="0" w:leftChars="0" w:firstLine="0" w:firstLineChars="0"/>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具备质量管理、环境管理、职业健康安全管理三体系证书（认证内容均须含有“工程测量、工程物探”等与本项目采购的相关内容）、信息安全管理体系认证证书（认证范围须包含：城市道路地下病害体及排水管道检测等与本项目采购相关的内容），每项得 2 分，最多得8分。</w:t>
            </w:r>
          </w:p>
        </w:tc>
        <w:tc>
          <w:tcPr>
            <w:tcW w:w="608"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454"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奖项荣誉</w:t>
            </w:r>
          </w:p>
        </w:tc>
        <w:tc>
          <w:tcPr>
            <w:tcW w:w="3637" w:type="pct"/>
            <w:noWrap w:val="0"/>
            <w:vAlign w:val="top"/>
          </w:tcPr>
          <w:p>
            <w:pPr>
              <w:pStyle w:val="112"/>
              <w:keepNext w:val="0"/>
              <w:keepLines w:val="0"/>
              <w:pageBreakBefore w:val="0"/>
              <w:widowControl w:val="0"/>
              <w:kinsoku/>
              <w:wordWrap/>
              <w:overflowPunct/>
              <w:topLinePunct w:val="0"/>
              <w:autoSpaceDE w:val="0"/>
              <w:autoSpaceDN w:val="0"/>
              <w:bidi w:val="0"/>
              <w:adjustRightInd w:val="0"/>
              <w:snapToGrid w:val="0"/>
              <w:spacing w:line="460" w:lineRule="exact"/>
              <w:ind w:left="0" w:leftChars="0" w:firstLine="0" w:firstLineChars="0"/>
              <w:textAlignment w:val="baseline"/>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投标人获得省级及以上人民政府颁发</w:t>
            </w:r>
            <w:r>
              <w:rPr>
                <w:rFonts w:hint="eastAsia" w:hAnsi="宋体" w:cs="宋体"/>
                <w:color w:val="auto"/>
                <w:sz w:val="21"/>
                <w:szCs w:val="21"/>
                <w:highlight w:val="none"/>
              </w:rPr>
              <w:t>地下管线领域</w:t>
            </w:r>
            <w:r>
              <w:rPr>
                <w:rFonts w:hint="eastAsia" w:ascii="宋体" w:hAnsi="宋体" w:eastAsia="宋体" w:cs="宋体"/>
                <w:color w:val="auto"/>
                <w:kern w:val="0"/>
                <w:sz w:val="21"/>
                <w:szCs w:val="21"/>
                <w:highlight w:val="none"/>
              </w:rPr>
              <w:t>的科</w:t>
            </w:r>
            <w:r>
              <w:rPr>
                <w:rFonts w:hint="eastAsia" w:hAnsi="宋体" w:cs="宋体"/>
                <w:color w:val="auto"/>
                <w:kern w:val="0"/>
                <w:sz w:val="21"/>
                <w:szCs w:val="21"/>
                <w:highlight w:val="none"/>
                <w:lang w:val="en-US" w:eastAsia="zh-CN"/>
              </w:rPr>
              <w:t>学</w:t>
            </w:r>
            <w:r>
              <w:rPr>
                <w:rFonts w:hint="eastAsia" w:ascii="宋体" w:hAnsi="宋体" w:eastAsia="宋体" w:cs="宋体"/>
                <w:color w:val="auto"/>
                <w:kern w:val="0"/>
                <w:sz w:val="21"/>
                <w:szCs w:val="21"/>
                <w:highlight w:val="none"/>
              </w:rPr>
              <w:t>技术奖或科学技术进步奖的，每个得</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分，最高得</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分。</w:t>
            </w:r>
          </w:p>
        </w:tc>
        <w:tc>
          <w:tcPr>
            <w:tcW w:w="608"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1" w:type="pct"/>
            <w:gridSpan w:val="3"/>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合计</w:t>
            </w:r>
          </w:p>
        </w:tc>
        <w:tc>
          <w:tcPr>
            <w:tcW w:w="608"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0分</w:t>
            </w:r>
          </w:p>
        </w:tc>
      </w:tr>
    </w:tbl>
    <w:p>
      <w:pPr>
        <w:autoSpaceDE/>
        <w:autoSpaceDN/>
        <w:adjustRightInd/>
        <w:spacing w:line="500" w:lineRule="exact"/>
        <w:ind w:firstLine="422" w:firstLineChars="200"/>
        <w:jc w:val="both"/>
        <w:rPr>
          <w:rFonts w:hAnsi="宋体" w:cs="宋体"/>
          <w:b/>
          <w:color w:val="auto"/>
          <w:sz w:val="21"/>
          <w:szCs w:val="21"/>
          <w:highlight w:val="none"/>
        </w:rPr>
      </w:pPr>
      <w:r>
        <w:rPr>
          <w:rFonts w:hint="eastAsia" w:hAnsi="宋体" w:cs="宋体"/>
          <w:b/>
          <w:color w:val="auto"/>
          <w:sz w:val="21"/>
          <w:szCs w:val="21"/>
          <w:highlight w:val="none"/>
        </w:rPr>
        <w:t>（三）技术商务分的计算</w:t>
      </w:r>
    </w:p>
    <w:p>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技术商务分按照评标委员会成员的独立评分结果汇总数后的算术平均分计算，计算公式为：</w:t>
      </w:r>
    </w:p>
    <w:p>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技术商务分=（评标委员会所有成员评分合计数）/（评标委员会组成人员数）</w:t>
      </w:r>
    </w:p>
    <w:p>
      <w:pPr>
        <w:autoSpaceDE/>
        <w:autoSpaceDN/>
        <w:adjustRightInd/>
        <w:spacing w:line="500" w:lineRule="exact"/>
        <w:ind w:firstLine="422" w:firstLineChars="200"/>
        <w:jc w:val="both"/>
        <w:rPr>
          <w:rFonts w:hAnsi="宋体" w:cs="宋体"/>
          <w:b/>
          <w:color w:val="auto"/>
          <w:sz w:val="21"/>
          <w:szCs w:val="21"/>
          <w:highlight w:val="none"/>
        </w:rPr>
      </w:pPr>
      <w:r>
        <w:rPr>
          <w:rFonts w:hint="eastAsia" w:hAnsi="宋体" w:cs="宋体"/>
          <w:b/>
          <w:color w:val="auto"/>
          <w:sz w:val="21"/>
          <w:szCs w:val="21"/>
          <w:highlight w:val="none"/>
        </w:rPr>
        <w:t>（四）定标原则</w:t>
      </w:r>
    </w:p>
    <w:p>
      <w:pPr>
        <w:tabs>
          <w:tab w:val="left" w:pos="0"/>
        </w:tabs>
        <w:snapToGrid w:val="0"/>
        <w:spacing w:line="500" w:lineRule="exact"/>
        <w:ind w:firstLine="420" w:firstLineChars="200"/>
        <w:rPr>
          <w:rFonts w:hAnsi="宋体" w:cs="宋体"/>
          <w:bCs/>
          <w:color w:val="auto"/>
          <w:sz w:val="21"/>
          <w:szCs w:val="21"/>
          <w:highlight w:val="none"/>
        </w:rPr>
      </w:pPr>
      <w:r>
        <w:rPr>
          <w:rFonts w:hint="eastAsia" w:hAnsi="宋体" w:cs="宋体"/>
          <w:bCs/>
          <w:color w:val="auto"/>
          <w:sz w:val="21"/>
          <w:szCs w:val="21"/>
          <w:highlight w:val="none"/>
        </w:rPr>
        <w:t>1.严格按照招标文件规定“综合评分法，得分最高者中标”的原则定标，法律法规或国家政策另有规定的从其规定。</w:t>
      </w:r>
    </w:p>
    <w:p>
      <w:pPr>
        <w:tabs>
          <w:tab w:val="left" w:pos="0"/>
        </w:tabs>
        <w:snapToGrid w:val="0"/>
        <w:spacing w:line="500" w:lineRule="exact"/>
        <w:ind w:firstLine="420" w:firstLineChars="200"/>
        <w:rPr>
          <w:rFonts w:hAnsi="宋体" w:cs="宋体"/>
          <w:bCs/>
          <w:color w:val="auto"/>
          <w:sz w:val="21"/>
          <w:szCs w:val="21"/>
          <w:highlight w:val="none"/>
        </w:rPr>
      </w:pPr>
      <w:r>
        <w:rPr>
          <w:rFonts w:hint="eastAsia" w:hAnsi="宋体" w:cs="宋体"/>
          <w:bCs/>
          <w:color w:val="auto"/>
          <w:sz w:val="21"/>
          <w:szCs w:val="21"/>
          <w:highlight w:val="none"/>
        </w:rPr>
        <w:t>2.经预中标结果公示期满无异议，中标候选人即成为</w:t>
      </w:r>
      <w:r>
        <w:rPr>
          <w:rFonts w:hint="eastAsia" w:hAnsi="宋体" w:cs="宋体"/>
          <w:bCs/>
          <w:color w:val="auto"/>
          <w:sz w:val="21"/>
          <w:szCs w:val="21"/>
          <w:highlight w:val="none"/>
          <w:lang w:eastAsia="zh-CN"/>
        </w:rPr>
        <w:t>中标供应商</w:t>
      </w:r>
      <w:r>
        <w:rPr>
          <w:rFonts w:hint="eastAsia" w:hAnsi="宋体" w:cs="宋体"/>
          <w:bCs/>
          <w:color w:val="auto"/>
          <w:sz w:val="21"/>
          <w:szCs w:val="21"/>
          <w:highlight w:val="none"/>
        </w:rPr>
        <w:t>。</w:t>
      </w:r>
    </w:p>
    <w:p>
      <w:pPr>
        <w:autoSpaceDE/>
        <w:autoSpaceDN/>
        <w:adjustRightInd/>
        <w:spacing w:line="500" w:lineRule="exact"/>
        <w:ind w:firstLine="422" w:firstLineChars="200"/>
        <w:jc w:val="both"/>
        <w:rPr>
          <w:rFonts w:hAnsi="宋体" w:cs="宋体"/>
          <w:b/>
          <w:color w:val="auto"/>
          <w:sz w:val="21"/>
          <w:szCs w:val="21"/>
          <w:highlight w:val="none"/>
        </w:rPr>
      </w:pPr>
      <w:r>
        <w:rPr>
          <w:rFonts w:hint="eastAsia" w:hAnsi="宋体" w:cs="宋体"/>
          <w:b/>
          <w:color w:val="auto"/>
          <w:sz w:val="21"/>
          <w:szCs w:val="21"/>
          <w:highlight w:val="none"/>
        </w:rPr>
        <w:t>（五）保密及其他注意事项</w:t>
      </w:r>
    </w:p>
    <w:p>
      <w:pPr>
        <w:autoSpaceDE/>
        <w:autoSpaceDN/>
        <w:adjustRightInd/>
        <w:spacing w:line="500" w:lineRule="exact"/>
        <w:ind w:firstLine="420" w:firstLineChars="200"/>
        <w:jc w:val="both"/>
        <w:rPr>
          <w:rFonts w:hAnsi="宋体" w:cs="宋体"/>
          <w:bCs/>
          <w:color w:val="auto"/>
          <w:sz w:val="21"/>
          <w:szCs w:val="21"/>
          <w:highlight w:val="none"/>
        </w:rPr>
      </w:pPr>
      <w:r>
        <w:rPr>
          <w:rFonts w:hint="eastAsia" w:hAnsi="宋体" w:cs="宋体"/>
          <w:bCs/>
          <w:color w:val="auto"/>
          <w:sz w:val="21"/>
          <w:szCs w:val="21"/>
          <w:highlight w:val="none"/>
        </w:rPr>
        <w:t>1.评标是招标过程中的重要环节，评标工作在评委会成员内独立进行。评标委员会将遵照评标原则，公正、公平、客观地对待所有投标人。</w:t>
      </w:r>
    </w:p>
    <w:p>
      <w:pPr>
        <w:autoSpaceDE/>
        <w:autoSpaceDN/>
        <w:adjustRightInd/>
        <w:spacing w:line="500" w:lineRule="exact"/>
        <w:ind w:firstLine="420" w:firstLineChars="200"/>
        <w:jc w:val="both"/>
        <w:rPr>
          <w:rFonts w:hAnsi="宋体" w:cs="宋体"/>
          <w:bCs/>
          <w:color w:val="auto"/>
          <w:sz w:val="21"/>
          <w:szCs w:val="21"/>
          <w:highlight w:val="none"/>
        </w:rPr>
      </w:pPr>
      <w:r>
        <w:rPr>
          <w:rFonts w:hint="eastAsia" w:hAnsi="宋体" w:cs="宋体"/>
          <w:bCs/>
          <w:color w:val="auto"/>
          <w:sz w:val="21"/>
          <w:szCs w:val="21"/>
          <w:highlight w:val="none"/>
        </w:rPr>
        <w:t>2.在开标、评标期间，投标人不得向评委询问评标情况，不得进行旨在影响评标结果的活动。</w:t>
      </w:r>
    </w:p>
    <w:p>
      <w:pPr>
        <w:autoSpaceDE/>
        <w:autoSpaceDN/>
        <w:adjustRightInd/>
        <w:spacing w:line="500" w:lineRule="exact"/>
        <w:ind w:firstLine="420" w:firstLineChars="200"/>
        <w:jc w:val="both"/>
        <w:rPr>
          <w:rFonts w:hAnsi="宋体" w:cs="宋体"/>
          <w:b/>
          <w:color w:val="auto"/>
          <w:kern w:val="2"/>
          <w:sz w:val="28"/>
          <w:szCs w:val="28"/>
          <w:highlight w:val="none"/>
        </w:rPr>
      </w:pPr>
      <w:r>
        <w:rPr>
          <w:rFonts w:hint="eastAsia" w:hAnsi="宋体" w:cs="宋体"/>
          <w:bCs/>
          <w:color w:val="auto"/>
          <w:sz w:val="21"/>
          <w:szCs w:val="21"/>
          <w:highlight w:val="none"/>
        </w:rPr>
        <w:t>3.为保证定标的公正性，在评标过程中，评委不得与投标人私下交换意见。在招标工作结束后与评标工作有接触的任何人，不得将评标情况外泄。</w:t>
      </w:r>
      <w:bookmarkStart w:id="43" w:name="_Toc351559945"/>
    </w:p>
    <w:p>
      <w:pPr>
        <w:autoSpaceDE/>
        <w:autoSpaceDN/>
        <w:adjustRightInd/>
        <w:jc w:val="center"/>
        <w:outlineLvl w:val="0"/>
        <w:rPr>
          <w:rFonts w:hAnsi="宋体" w:cs="宋体"/>
          <w:color w:val="auto"/>
          <w:sz w:val="30"/>
          <w:szCs w:val="30"/>
          <w:highlight w:val="none"/>
        </w:rPr>
      </w:pPr>
      <w:r>
        <w:rPr>
          <w:rFonts w:hint="eastAsia" w:hAnsi="宋体" w:cs="宋体"/>
          <w:b/>
          <w:color w:val="auto"/>
          <w:kern w:val="2"/>
          <w:sz w:val="28"/>
          <w:szCs w:val="28"/>
          <w:highlight w:val="none"/>
        </w:rPr>
        <w:br w:type="page"/>
      </w:r>
      <w:r>
        <w:rPr>
          <w:rFonts w:hint="eastAsia" w:hAnsi="宋体" w:cs="宋体"/>
          <w:b/>
          <w:bCs/>
          <w:color w:val="auto"/>
          <w:sz w:val="30"/>
          <w:szCs w:val="30"/>
          <w:highlight w:val="none"/>
        </w:rPr>
        <w:t>第五章  合同文本</w:t>
      </w:r>
    </w:p>
    <w:p>
      <w:pPr>
        <w:pStyle w:val="28"/>
        <w:snapToGrid w:val="0"/>
        <w:spacing w:line="500" w:lineRule="exact"/>
        <w:ind w:firstLine="420" w:firstLineChars="200"/>
        <w:rPr>
          <w:rFonts w:ascii="宋体" w:hAnsi="宋体" w:cs="宋体"/>
          <w:color w:val="auto"/>
          <w:sz w:val="21"/>
          <w:highlight w:val="none"/>
        </w:rPr>
      </w:pPr>
      <w:r>
        <w:rPr>
          <w:rFonts w:hint="eastAsia" w:ascii="宋体" w:hAnsi="宋体" w:cs="宋体"/>
          <w:color w:val="auto"/>
          <w:sz w:val="21"/>
          <w:highlight w:val="none"/>
        </w:rPr>
        <w:t>甲方：</w:t>
      </w:r>
    </w:p>
    <w:p>
      <w:pPr>
        <w:pStyle w:val="28"/>
        <w:snapToGrid w:val="0"/>
        <w:spacing w:line="500" w:lineRule="exact"/>
        <w:ind w:firstLine="420" w:firstLineChars="200"/>
        <w:rPr>
          <w:rFonts w:ascii="宋体" w:hAnsi="宋体" w:cs="宋体"/>
          <w:color w:val="auto"/>
          <w:sz w:val="21"/>
          <w:highlight w:val="none"/>
        </w:rPr>
      </w:pPr>
      <w:r>
        <w:rPr>
          <w:rFonts w:hint="eastAsia" w:ascii="宋体" w:hAnsi="宋体" w:cs="宋体"/>
          <w:color w:val="auto"/>
          <w:sz w:val="21"/>
          <w:highlight w:val="none"/>
        </w:rPr>
        <w:t>乙方：</w:t>
      </w:r>
    </w:p>
    <w:p>
      <w:pPr>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 xml:space="preserve">根据 </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 xml:space="preserve">项目招标文件要求（项目编号：     ），双方经协商，达成以下条款： </w:t>
      </w:r>
    </w:p>
    <w:p>
      <w:pPr>
        <w:snapToGrid w:val="0"/>
        <w:spacing w:line="500" w:lineRule="exact"/>
        <w:ind w:firstLine="420" w:firstLineChars="200"/>
        <w:rPr>
          <w:rFonts w:hAnsi="宋体" w:cs="宋体"/>
          <w:b w:val="0"/>
          <w:bCs/>
          <w:color w:val="auto"/>
          <w:sz w:val="21"/>
          <w:szCs w:val="21"/>
          <w:highlight w:val="none"/>
        </w:rPr>
      </w:pPr>
      <w:r>
        <w:rPr>
          <w:rFonts w:hint="eastAsia" w:hAnsi="宋体" w:cs="宋体"/>
          <w:b w:val="0"/>
          <w:bCs/>
          <w:color w:val="auto"/>
          <w:sz w:val="21"/>
          <w:szCs w:val="21"/>
          <w:highlight w:val="none"/>
        </w:rPr>
        <w:t>一、服务内容及服务要求：根据招标文件进行填写。</w:t>
      </w:r>
    </w:p>
    <w:p>
      <w:pPr>
        <w:snapToGrid w:val="0"/>
        <w:spacing w:line="500" w:lineRule="exact"/>
        <w:ind w:firstLine="420" w:firstLineChars="200"/>
        <w:rPr>
          <w:rFonts w:hAnsi="宋体" w:cs="宋体"/>
          <w:b w:val="0"/>
          <w:bCs/>
          <w:color w:val="auto"/>
          <w:sz w:val="21"/>
          <w:szCs w:val="21"/>
          <w:highlight w:val="none"/>
        </w:rPr>
      </w:pPr>
      <w:r>
        <w:rPr>
          <w:rFonts w:hint="eastAsia" w:hAnsi="宋体" w:cs="宋体"/>
          <w:b w:val="0"/>
          <w:bCs/>
          <w:color w:val="auto"/>
          <w:sz w:val="21"/>
          <w:szCs w:val="21"/>
          <w:highlight w:val="none"/>
        </w:rPr>
        <w:t>二、执行技术标准：国家相关法律法规、国家或行业标准等。</w:t>
      </w:r>
    </w:p>
    <w:p>
      <w:pPr>
        <w:snapToGrid w:val="0"/>
        <w:spacing w:line="500" w:lineRule="exact"/>
        <w:ind w:firstLine="420" w:firstLineChars="200"/>
        <w:rPr>
          <w:rFonts w:hAnsi="宋体" w:cs="宋体"/>
          <w:b w:val="0"/>
          <w:bCs/>
          <w:color w:val="auto"/>
          <w:sz w:val="21"/>
          <w:szCs w:val="21"/>
          <w:highlight w:val="none"/>
        </w:rPr>
      </w:pPr>
      <w:r>
        <w:rPr>
          <w:rFonts w:hint="eastAsia" w:hAnsi="宋体" w:cs="宋体"/>
          <w:b w:val="0"/>
          <w:bCs/>
          <w:color w:val="auto"/>
          <w:sz w:val="21"/>
          <w:szCs w:val="21"/>
          <w:highlight w:val="none"/>
        </w:rPr>
        <w:t>三、服务费用及支付：</w:t>
      </w:r>
    </w:p>
    <w:p>
      <w:pPr>
        <w:tabs>
          <w:tab w:val="left" w:pos="1260"/>
        </w:tabs>
        <w:snapToGrid w:val="0"/>
        <w:spacing w:line="500" w:lineRule="exact"/>
        <w:ind w:firstLine="420" w:firstLineChars="200"/>
        <w:rPr>
          <w:rFonts w:hint="default" w:hAnsi="宋体" w:eastAsia="宋体" w:cs="宋体"/>
          <w:b w:val="0"/>
          <w:bCs/>
          <w:color w:val="C00000"/>
          <w:sz w:val="21"/>
          <w:szCs w:val="21"/>
          <w:highlight w:val="none"/>
          <w:lang w:val="en-US" w:eastAsia="zh-CN"/>
        </w:rPr>
      </w:pPr>
      <w:r>
        <w:rPr>
          <w:rFonts w:hint="eastAsia" w:hAnsi="宋体" w:cs="宋体"/>
          <w:b w:val="0"/>
          <w:bCs/>
          <w:color w:val="auto"/>
          <w:sz w:val="21"/>
          <w:szCs w:val="21"/>
          <w:highlight w:val="none"/>
          <w:lang w:val="en-US" w:eastAsia="zh-CN"/>
        </w:rPr>
        <w:t>1.本项目预算金额：    万元。</w:t>
      </w:r>
    </w:p>
    <w:p>
      <w:pPr>
        <w:tabs>
          <w:tab w:val="left" w:pos="1260"/>
        </w:tabs>
        <w:snapToGrid w:val="0"/>
        <w:spacing w:line="500" w:lineRule="exact"/>
        <w:ind w:firstLine="420" w:firstLineChars="200"/>
        <w:rPr>
          <w:rFonts w:hint="eastAsia" w:hAnsi="宋体" w:eastAsia="宋体" w:cs="宋体"/>
          <w:color w:val="C00000"/>
          <w:sz w:val="21"/>
          <w:szCs w:val="21"/>
          <w:highlight w:val="none"/>
          <w:lang w:eastAsia="zh-CN"/>
        </w:rPr>
      </w:pPr>
      <w:r>
        <w:rPr>
          <w:rFonts w:hint="eastAsia" w:hAnsi="宋体" w:cs="宋体"/>
          <w:b w:val="0"/>
          <w:bCs/>
          <w:color w:val="auto"/>
          <w:sz w:val="21"/>
          <w:szCs w:val="21"/>
          <w:highlight w:val="none"/>
          <w:lang w:val="en-US" w:eastAsia="zh-CN"/>
        </w:rPr>
        <w:t>2</w:t>
      </w:r>
      <w:r>
        <w:rPr>
          <w:rFonts w:hint="eastAsia" w:hAnsi="宋体" w:cs="宋体"/>
          <w:b w:val="0"/>
          <w:bCs/>
          <w:color w:val="auto"/>
          <w:sz w:val="21"/>
          <w:szCs w:val="21"/>
          <w:highlight w:val="none"/>
        </w:rPr>
        <w:t>.本项目合同价款采用固定单价包干。合同单价为固定不变价，即在合同实施期间不因市场价格或政策性价格的调整而增减。最终结算价款=以</w:t>
      </w:r>
      <w:r>
        <w:rPr>
          <w:rFonts w:hint="eastAsia" w:hAnsi="宋体" w:cs="宋体"/>
          <w:b w:val="0"/>
          <w:bCs/>
          <w:color w:val="auto"/>
          <w:sz w:val="21"/>
          <w:szCs w:val="21"/>
          <w:highlight w:val="none"/>
          <w:lang w:val="en-US" w:eastAsia="zh-CN"/>
        </w:rPr>
        <w:t>第三方审价报告确定的数量</w:t>
      </w:r>
      <w:r>
        <w:rPr>
          <w:rFonts w:hint="eastAsia" w:hAnsi="宋体" w:cs="宋体"/>
          <w:b w:val="0"/>
          <w:bCs/>
          <w:color w:val="auto"/>
          <w:sz w:val="21"/>
          <w:szCs w:val="21"/>
          <w:highlight w:val="none"/>
        </w:rPr>
        <w:t>*各项服务中</w:t>
      </w:r>
      <w:r>
        <w:rPr>
          <w:rFonts w:hint="eastAsia" w:hAnsi="宋体" w:cs="宋体"/>
          <w:color w:val="auto"/>
          <w:sz w:val="21"/>
          <w:szCs w:val="21"/>
          <w:highlight w:val="none"/>
        </w:rPr>
        <w:t>标单价（即：结算单价）</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但最终结算总价不超于本项目的预算金额</w:t>
      </w:r>
      <w:r>
        <w:rPr>
          <w:rFonts w:hint="eastAsia" w:hAnsi="宋体" w:cs="宋体"/>
          <w:color w:val="auto"/>
          <w:sz w:val="21"/>
          <w:szCs w:val="21"/>
          <w:highlight w:val="none"/>
        </w:rPr>
        <w:t>。</w:t>
      </w:r>
    </w:p>
    <w:p>
      <w:pPr>
        <w:tabs>
          <w:tab w:val="left" w:pos="1260"/>
        </w:tabs>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本合同项下的各项服务按下表所列标准进行服务费用结算：</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4"/>
        <w:gridCol w:w="3553"/>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234" w:type="dxa"/>
            <w:vAlign w:val="center"/>
          </w:tcPr>
          <w:p>
            <w:pPr>
              <w:widowControl/>
              <w:snapToGrid w:val="0"/>
              <w:spacing w:line="500" w:lineRule="exact"/>
              <w:jc w:val="center"/>
              <w:rPr>
                <w:rFonts w:hAnsi="宋体" w:cs="宋体"/>
                <w:color w:val="auto"/>
                <w:sz w:val="21"/>
                <w:szCs w:val="21"/>
                <w:highlight w:val="none"/>
              </w:rPr>
            </w:pPr>
            <w:r>
              <w:rPr>
                <w:rFonts w:hint="eastAsia" w:hAnsi="宋体" w:cs="宋体"/>
                <w:color w:val="auto"/>
                <w:sz w:val="21"/>
                <w:szCs w:val="21"/>
                <w:highlight w:val="none"/>
              </w:rPr>
              <w:t>序号</w:t>
            </w:r>
          </w:p>
        </w:tc>
        <w:tc>
          <w:tcPr>
            <w:tcW w:w="3553" w:type="dxa"/>
            <w:vAlign w:val="center"/>
          </w:tcPr>
          <w:p>
            <w:pPr>
              <w:widowControl/>
              <w:snapToGrid w:val="0"/>
              <w:spacing w:line="500" w:lineRule="exact"/>
              <w:jc w:val="center"/>
              <w:rPr>
                <w:rFonts w:hAnsi="宋体" w:cs="宋体"/>
                <w:color w:val="auto"/>
                <w:sz w:val="21"/>
                <w:szCs w:val="21"/>
                <w:highlight w:val="none"/>
              </w:rPr>
            </w:pPr>
            <w:r>
              <w:rPr>
                <w:rFonts w:hint="eastAsia" w:hAnsi="宋体" w:cs="宋体"/>
                <w:color w:val="auto"/>
                <w:sz w:val="21"/>
                <w:szCs w:val="21"/>
                <w:highlight w:val="none"/>
              </w:rPr>
              <w:t>服务内容</w:t>
            </w:r>
          </w:p>
        </w:tc>
        <w:tc>
          <w:tcPr>
            <w:tcW w:w="2410" w:type="dxa"/>
            <w:vAlign w:val="center"/>
          </w:tcPr>
          <w:p>
            <w:pPr>
              <w:widowControl/>
              <w:snapToGrid w:val="0"/>
              <w:spacing w:line="500" w:lineRule="exact"/>
              <w:jc w:val="center"/>
              <w:rPr>
                <w:rFonts w:hAnsi="宋体" w:cs="宋体"/>
                <w:color w:val="auto"/>
                <w:sz w:val="21"/>
                <w:szCs w:val="21"/>
                <w:highlight w:val="none"/>
              </w:rPr>
            </w:pPr>
            <w:r>
              <w:rPr>
                <w:rFonts w:hint="eastAsia" w:hAnsi="宋体" w:cs="宋体"/>
                <w:color w:val="auto"/>
                <w:sz w:val="21"/>
                <w:szCs w:val="21"/>
                <w:highlight w:val="none"/>
              </w:rPr>
              <w:t>结算单价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234" w:type="dxa"/>
            <w:vAlign w:val="center"/>
          </w:tcPr>
          <w:p>
            <w:pPr>
              <w:widowControl/>
              <w:snapToGrid w:val="0"/>
              <w:spacing w:line="500" w:lineRule="exact"/>
              <w:jc w:val="center"/>
              <w:rPr>
                <w:rFonts w:hAnsi="宋体" w:cs="宋体"/>
                <w:color w:val="auto"/>
                <w:sz w:val="21"/>
                <w:szCs w:val="21"/>
                <w:highlight w:val="none"/>
              </w:rPr>
            </w:pPr>
            <w:r>
              <w:rPr>
                <w:rFonts w:hint="eastAsia" w:hAnsi="宋体" w:cs="宋体"/>
                <w:color w:val="auto"/>
                <w:sz w:val="21"/>
                <w:szCs w:val="21"/>
                <w:highlight w:val="none"/>
              </w:rPr>
              <w:t>1</w:t>
            </w:r>
          </w:p>
        </w:tc>
        <w:tc>
          <w:tcPr>
            <w:tcW w:w="3553" w:type="dxa"/>
            <w:vAlign w:val="center"/>
          </w:tcPr>
          <w:p>
            <w:pPr>
              <w:widowControl/>
              <w:snapToGrid w:val="0"/>
              <w:spacing w:line="500" w:lineRule="exact"/>
              <w:jc w:val="center"/>
              <w:rPr>
                <w:rFonts w:hAnsi="宋体" w:cs="宋体"/>
                <w:color w:val="auto"/>
                <w:sz w:val="21"/>
                <w:szCs w:val="21"/>
                <w:highlight w:val="none"/>
              </w:rPr>
            </w:pPr>
          </w:p>
        </w:tc>
        <w:tc>
          <w:tcPr>
            <w:tcW w:w="2410" w:type="dxa"/>
            <w:vAlign w:val="center"/>
          </w:tcPr>
          <w:p>
            <w:pPr>
              <w:widowControl/>
              <w:snapToGrid w:val="0"/>
              <w:spacing w:line="500" w:lineRule="exact"/>
              <w:jc w:val="center"/>
              <w:rPr>
                <w:rFonts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234" w:type="dxa"/>
            <w:vAlign w:val="center"/>
          </w:tcPr>
          <w:p>
            <w:pPr>
              <w:widowControl/>
              <w:snapToGrid w:val="0"/>
              <w:spacing w:line="500" w:lineRule="exact"/>
              <w:jc w:val="center"/>
              <w:rPr>
                <w:rFonts w:hAnsi="宋体" w:cs="宋体"/>
                <w:color w:val="auto"/>
                <w:sz w:val="21"/>
                <w:szCs w:val="21"/>
                <w:highlight w:val="none"/>
              </w:rPr>
            </w:pPr>
            <w:r>
              <w:rPr>
                <w:rFonts w:hint="eastAsia" w:hAnsi="宋体" w:cs="宋体"/>
                <w:color w:val="auto"/>
                <w:sz w:val="21"/>
                <w:szCs w:val="21"/>
                <w:highlight w:val="none"/>
              </w:rPr>
              <w:t>2</w:t>
            </w:r>
          </w:p>
        </w:tc>
        <w:tc>
          <w:tcPr>
            <w:tcW w:w="3553" w:type="dxa"/>
            <w:vAlign w:val="center"/>
          </w:tcPr>
          <w:p>
            <w:pPr>
              <w:widowControl/>
              <w:snapToGrid w:val="0"/>
              <w:spacing w:line="500" w:lineRule="exact"/>
              <w:jc w:val="center"/>
              <w:rPr>
                <w:rFonts w:hAnsi="宋体" w:cs="宋体"/>
                <w:color w:val="auto"/>
                <w:sz w:val="21"/>
                <w:szCs w:val="21"/>
                <w:highlight w:val="none"/>
              </w:rPr>
            </w:pPr>
          </w:p>
        </w:tc>
        <w:tc>
          <w:tcPr>
            <w:tcW w:w="2410" w:type="dxa"/>
            <w:vAlign w:val="center"/>
          </w:tcPr>
          <w:p>
            <w:pPr>
              <w:widowControl/>
              <w:snapToGrid w:val="0"/>
              <w:spacing w:line="500" w:lineRule="exact"/>
              <w:jc w:val="center"/>
              <w:rPr>
                <w:rFonts w:hAnsi="宋体" w:cs="宋体"/>
                <w:color w:val="auto"/>
                <w:sz w:val="21"/>
                <w:szCs w:val="21"/>
                <w:highlight w:val="none"/>
              </w:rPr>
            </w:pPr>
          </w:p>
        </w:tc>
      </w:tr>
    </w:tbl>
    <w:p>
      <w:pPr>
        <w:snapToGrid w:val="0"/>
        <w:spacing w:line="500" w:lineRule="exact"/>
        <w:ind w:left="415" w:leftChars="122" w:firstLine="0" w:firstLineChars="0"/>
        <w:rPr>
          <w:rFonts w:hAnsi="宋体" w:cs="宋体"/>
          <w:bCs/>
          <w:color w:val="auto"/>
          <w:position w:val="-2"/>
          <w:sz w:val="21"/>
          <w:szCs w:val="21"/>
          <w:highlight w:val="none"/>
        </w:rPr>
      </w:pPr>
      <w:r>
        <w:rPr>
          <w:rFonts w:hint="eastAsia" w:hAnsi="宋体" w:cs="宋体"/>
          <w:color w:val="auto"/>
          <w:sz w:val="21"/>
          <w:szCs w:val="21"/>
          <w:highlight w:val="none"/>
          <w:lang w:val="en-US" w:eastAsia="zh-CN"/>
        </w:rPr>
        <w:t>3</w:t>
      </w:r>
      <w:r>
        <w:rPr>
          <w:rFonts w:hint="eastAsia" w:hAnsi="宋体" w:cs="宋体"/>
          <w:color w:val="auto"/>
          <w:sz w:val="21"/>
          <w:szCs w:val="21"/>
          <w:highlight w:val="none"/>
        </w:rPr>
        <w:t>.支付方式：</w:t>
      </w:r>
      <w:r>
        <w:rPr>
          <w:rFonts w:hint="eastAsia" w:hAnsi="宋体" w:cs="宋体"/>
          <w:color w:val="auto"/>
          <w:sz w:val="21"/>
          <w:szCs w:val="21"/>
          <w:highlight w:val="none"/>
        </w:rPr>
        <w:br w:type="textWrapping"/>
      </w:r>
      <w:r>
        <w:rPr>
          <w:rFonts w:hint="eastAsia" w:hAnsi="宋体" w:cs="宋体"/>
          <w:bCs/>
          <w:color w:val="auto"/>
          <w:position w:val="-2"/>
          <w:sz w:val="21"/>
          <w:szCs w:val="21"/>
          <w:highlight w:val="none"/>
        </w:rPr>
        <w:t>合同签订后，</w:t>
      </w:r>
      <w:r>
        <w:rPr>
          <w:rFonts w:hint="eastAsia" w:hAnsi="宋体" w:cs="宋体"/>
          <w:bCs/>
          <w:color w:val="auto"/>
          <w:position w:val="-2"/>
          <w:sz w:val="21"/>
          <w:szCs w:val="21"/>
          <w:highlight w:val="none"/>
          <w:lang w:val="en-US" w:eastAsia="zh-CN"/>
        </w:rPr>
        <w:t>乙方</w:t>
      </w:r>
      <w:r>
        <w:rPr>
          <w:rFonts w:hint="eastAsia" w:hAnsi="宋体" w:cs="宋体"/>
          <w:bCs/>
          <w:color w:val="auto"/>
          <w:position w:val="-2"/>
          <w:sz w:val="21"/>
          <w:szCs w:val="21"/>
          <w:highlight w:val="none"/>
        </w:rPr>
        <w:t>须按付款进度开具发票，并承担由此产生的一切税金。约定付款进度如下：</w:t>
      </w:r>
    </w:p>
    <w:p>
      <w:pPr>
        <w:snapToGrid w:val="0"/>
        <w:spacing w:line="500" w:lineRule="exact"/>
        <w:ind w:firstLine="420" w:firstLineChars="200"/>
        <w:rPr>
          <w:rFonts w:hint="eastAsia" w:hAnsi="宋体" w:eastAsia="宋体" w:cs="宋体"/>
          <w:bCs/>
          <w:color w:val="auto"/>
          <w:position w:val="-2"/>
          <w:sz w:val="21"/>
          <w:szCs w:val="21"/>
          <w:highlight w:val="none"/>
          <w:lang w:eastAsia="zh-CN"/>
        </w:rPr>
      </w:pPr>
      <w:r>
        <w:rPr>
          <w:rFonts w:hint="eastAsia" w:hAnsi="宋体" w:cs="宋体"/>
          <w:bCs/>
          <w:color w:val="auto"/>
          <w:position w:val="-2"/>
          <w:sz w:val="21"/>
          <w:szCs w:val="21"/>
          <w:highlight w:val="none"/>
          <w:lang w:eastAsia="zh-CN"/>
        </w:rPr>
        <w:t>（</w:t>
      </w:r>
      <w:r>
        <w:rPr>
          <w:rFonts w:hint="eastAsia" w:hAnsi="宋体" w:cs="宋体"/>
          <w:bCs/>
          <w:color w:val="auto"/>
          <w:position w:val="-2"/>
          <w:sz w:val="21"/>
          <w:szCs w:val="21"/>
          <w:highlight w:val="none"/>
          <w:lang w:val="en-US" w:eastAsia="zh-CN"/>
        </w:rPr>
        <w:t>1</w:t>
      </w:r>
      <w:r>
        <w:rPr>
          <w:rFonts w:hint="eastAsia" w:hAnsi="宋体" w:cs="宋体"/>
          <w:bCs/>
          <w:color w:val="auto"/>
          <w:position w:val="-2"/>
          <w:sz w:val="21"/>
          <w:szCs w:val="21"/>
          <w:highlight w:val="none"/>
          <w:lang w:eastAsia="zh-CN"/>
        </w:rPr>
        <w:t>）</w:t>
      </w:r>
      <w:r>
        <w:rPr>
          <w:rFonts w:hint="eastAsia" w:hAnsi="宋体" w:cs="宋体"/>
          <w:bCs/>
          <w:color w:val="auto"/>
          <w:position w:val="-2"/>
          <w:sz w:val="21"/>
          <w:szCs w:val="21"/>
          <w:highlight w:val="none"/>
        </w:rPr>
        <w:t>合同签订生效且具备实施条件后，</w:t>
      </w:r>
      <w:r>
        <w:rPr>
          <w:rFonts w:hint="eastAsia" w:hAnsi="宋体" w:cs="宋体"/>
          <w:bCs/>
          <w:color w:val="auto"/>
          <w:position w:val="-2"/>
          <w:sz w:val="21"/>
          <w:szCs w:val="21"/>
          <w:highlight w:val="none"/>
          <w:lang w:val="en-US" w:eastAsia="zh-CN"/>
        </w:rPr>
        <w:t>乙方</w:t>
      </w:r>
      <w:r>
        <w:rPr>
          <w:rFonts w:hint="eastAsia" w:hAnsi="宋体" w:cs="宋体"/>
          <w:bCs/>
          <w:color w:val="auto"/>
          <w:position w:val="-2"/>
          <w:sz w:val="21"/>
          <w:szCs w:val="21"/>
          <w:highlight w:val="none"/>
        </w:rPr>
        <w:t>已向</w:t>
      </w:r>
      <w:r>
        <w:rPr>
          <w:rFonts w:hint="eastAsia" w:hAnsi="宋体" w:cs="宋体"/>
          <w:bCs/>
          <w:color w:val="auto"/>
          <w:position w:val="-2"/>
          <w:sz w:val="21"/>
          <w:szCs w:val="21"/>
          <w:highlight w:val="none"/>
          <w:lang w:val="en-US" w:eastAsia="zh-CN"/>
        </w:rPr>
        <w:t>甲方</w:t>
      </w:r>
      <w:r>
        <w:rPr>
          <w:rFonts w:hint="eastAsia" w:hAnsi="宋体" w:cs="宋体"/>
          <w:bCs/>
          <w:color w:val="auto"/>
          <w:position w:val="-2"/>
          <w:sz w:val="21"/>
          <w:szCs w:val="21"/>
          <w:highlight w:val="none"/>
        </w:rPr>
        <w:t>提交银行、保险公司等金融机构出具的预付款保函（可在政采云平台购买，保函期限不少于1年）的前提下，</w:t>
      </w:r>
      <w:r>
        <w:rPr>
          <w:rFonts w:hint="eastAsia" w:hAnsi="宋体" w:cs="宋体"/>
          <w:bCs/>
          <w:color w:val="auto"/>
          <w:position w:val="-2"/>
          <w:sz w:val="21"/>
          <w:szCs w:val="21"/>
          <w:highlight w:val="none"/>
          <w:lang w:val="en-US" w:eastAsia="zh-CN"/>
        </w:rPr>
        <w:t>甲方</w:t>
      </w:r>
      <w:r>
        <w:rPr>
          <w:rFonts w:hint="eastAsia" w:hAnsi="宋体" w:cs="宋体"/>
          <w:bCs/>
          <w:color w:val="auto"/>
          <w:position w:val="-2"/>
          <w:sz w:val="21"/>
          <w:szCs w:val="21"/>
          <w:highlight w:val="none"/>
        </w:rPr>
        <w:t>向</w:t>
      </w:r>
      <w:r>
        <w:rPr>
          <w:rFonts w:hint="eastAsia" w:hAnsi="宋体" w:cs="宋体"/>
          <w:bCs/>
          <w:color w:val="auto"/>
          <w:position w:val="-2"/>
          <w:sz w:val="21"/>
          <w:szCs w:val="21"/>
          <w:highlight w:val="none"/>
          <w:lang w:val="en-US" w:eastAsia="zh-CN"/>
        </w:rPr>
        <w:t>乙方</w:t>
      </w:r>
      <w:r>
        <w:rPr>
          <w:rFonts w:hint="eastAsia" w:hAnsi="宋体" w:cs="宋体"/>
          <w:bCs/>
          <w:color w:val="auto"/>
          <w:position w:val="-2"/>
          <w:sz w:val="21"/>
          <w:szCs w:val="21"/>
          <w:highlight w:val="none"/>
        </w:rPr>
        <w:t>支付</w:t>
      </w:r>
      <w:r>
        <w:rPr>
          <w:rFonts w:hint="eastAsia" w:hAnsi="宋体" w:cs="宋体"/>
          <w:bCs/>
          <w:color w:val="auto"/>
          <w:position w:val="-2"/>
          <w:sz w:val="21"/>
          <w:szCs w:val="21"/>
          <w:highlight w:val="none"/>
          <w:lang w:eastAsia="zh-CN"/>
        </w:rPr>
        <w:t>预算金额</w:t>
      </w:r>
      <w:r>
        <w:rPr>
          <w:rFonts w:hint="eastAsia" w:hAnsi="宋体" w:cs="宋体"/>
          <w:bCs/>
          <w:color w:val="auto"/>
          <w:position w:val="-2"/>
          <w:sz w:val="21"/>
          <w:szCs w:val="21"/>
          <w:highlight w:val="none"/>
        </w:rPr>
        <w:t>的</w:t>
      </w:r>
      <w:r>
        <w:rPr>
          <w:rFonts w:hint="eastAsia" w:hAnsi="宋体" w:cs="宋体"/>
          <w:bCs/>
          <w:color w:val="auto"/>
          <w:position w:val="-2"/>
          <w:sz w:val="21"/>
          <w:szCs w:val="21"/>
          <w:highlight w:val="none"/>
          <w:lang w:val="en-US" w:eastAsia="zh-CN"/>
        </w:rPr>
        <w:t>55</w:t>
      </w:r>
      <w:r>
        <w:rPr>
          <w:rFonts w:hint="eastAsia" w:hAnsi="宋体" w:cs="宋体"/>
          <w:bCs/>
          <w:color w:val="auto"/>
          <w:position w:val="-2"/>
          <w:sz w:val="21"/>
          <w:szCs w:val="21"/>
          <w:highlight w:val="none"/>
        </w:rPr>
        <w:t>％作为预付款；</w:t>
      </w:r>
    </w:p>
    <w:p>
      <w:pPr>
        <w:snapToGrid w:val="0"/>
        <w:spacing w:line="500" w:lineRule="exact"/>
        <w:ind w:firstLine="420" w:firstLineChars="200"/>
        <w:rPr>
          <w:rFonts w:hint="eastAsia" w:hAnsi="宋体" w:cs="宋体"/>
          <w:bCs/>
          <w:color w:val="auto"/>
          <w:position w:val="-2"/>
          <w:sz w:val="21"/>
          <w:szCs w:val="21"/>
          <w:highlight w:val="none"/>
        </w:rPr>
      </w:pPr>
      <w:r>
        <w:rPr>
          <w:rFonts w:hint="eastAsia" w:hAnsi="宋体" w:cs="宋体"/>
          <w:bCs/>
          <w:color w:val="auto"/>
          <w:position w:val="-2"/>
          <w:sz w:val="21"/>
          <w:szCs w:val="21"/>
          <w:highlight w:val="none"/>
          <w:lang w:val="en-US" w:eastAsia="zh-CN"/>
        </w:rPr>
        <w:t>（2）</w:t>
      </w:r>
      <w:r>
        <w:rPr>
          <w:rFonts w:hint="eastAsia" w:hAnsi="宋体" w:cs="宋体"/>
          <w:bCs/>
          <w:color w:val="auto"/>
          <w:position w:val="-2"/>
          <w:sz w:val="21"/>
          <w:szCs w:val="21"/>
          <w:highlight w:val="none"/>
        </w:rPr>
        <w:t>整体项目通过最终验收后，</w:t>
      </w:r>
      <w:r>
        <w:rPr>
          <w:rFonts w:hint="eastAsia" w:hAnsi="宋体" w:cs="宋体"/>
          <w:bCs/>
          <w:color w:val="auto"/>
          <w:position w:val="-2"/>
          <w:sz w:val="21"/>
          <w:szCs w:val="21"/>
          <w:highlight w:val="none"/>
          <w:lang w:val="en-US" w:eastAsia="zh-CN"/>
        </w:rPr>
        <w:t>甲方</w:t>
      </w:r>
      <w:r>
        <w:rPr>
          <w:rFonts w:hint="eastAsia" w:hAnsi="宋体" w:cs="宋体"/>
          <w:bCs/>
          <w:color w:val="auto"/>
          <w:position w:val="-2"/>
          <w:sz w:val="21"/>
          <w:szCs w:val="21"/>
          <w:highlight w:val="none"/>
        </w:rPr>
        <w:t>根据</w:t>
      </w:r>
      <w:r>
        <w:rPr>
          <w:rFonts w:hint="eastAsia" w:hAnsi="宋体" w:cs="宋体"/>
          <w:bCs/>
          <w:color w:val="auto"/>
          <w:position w:val="-2"/>
          <w:sz w:val="21"/>
          <w:szCs w:val="21"/>
          <w:highlight w:val="none"/>
          <w:lang w:val="en-US" w:eastAsia="zh-CN"/>
        </w:rPr>
        <w:t>第三方审定金额</w:t>
      </w:r>
      <w:r>
        <w:rPr>
          <w:rFonts w:hint="eastAsia" w:hAnsi="宋体" w:cs="宋体"/>
          <w:bCs/>
          <w:color w:val="auto"/>
          <w:position w:val="-2"/>
          <w:sz w:val="21"/>
          <w:szCs w:val="21"/>
          <w:highlight w:val="none"/>
        </w:rPr>
        <w:t>支付</w:t>
      </w:r>
      <w:r>
        <w:rPr>
          <w:rFonts w:hint="eastAsia" w:hAnsi="宋体" w:cs="宋体"/>
          <w:bCs/>
          <w:color w:val="auto"/>
          <w:position w:val="-2"/>
          <w:sz w:val="21"/>
          <w:szCs w:val="21"/>
          <w:highlight w:val="none"/>
          <w:lang w:val="en-US" w:eastAsia="zh-CN"/>
        </w:rPr>
        <w:t>至最终结</w:t>
      </w:r>
      <w:r>
        <w:rPr>
          <w:rFonts w:hint="eastAsia" w:hAnsi="宋体" w:cs="宋体"/>
          <w:bCs/>
          <w:color w:val="auto"/>
          <w:position w:val="-2"/>
          <w:sz w:val="21"/>
          <w:szCs w:val="21"/>
          <w:highlight w:val="none"/>
        </w:rPr>
        <w:t>算价款</w:t>
      </w:r>
      <w:r>
        <w:rPr>
          <w:rFonts w:hint="eastAsia" w:hAnsi="宋体" w:cs="宋体"/>
          <w:bCs/>
          <w:color w:val="auto"/>
          <w:position w:val="-2"/>
          <w:sz w:val="21"/>
          <w:szCs w:val="21"/>
          <w:highlight w:val="none"/>
          <w:lang w:val="en-US" w:eastAsia="zh-CN"/>
        </w:rPr>
        <w:t>100%</w:t>
      </w:r>
      <w:r>
        <w:rPr>
          <w:rFonts w:hint="eastAsia" w:hAnsi="宋体" w:cs="宋体"/>
          <w:bCs/>
          <w:color w:val="auto"/>
          <w:position w:val="-2"/>
          <w:sz w:val="21"/>
          <w:szCs w:val="21"/>
          <w:highlight w:val="none"/>
        </w:rPr>
        <w:t>。</w:t>
      </w:r>
    </w:p>
    <w:p>
      <w:pPr>
        <w:tabs>
          <w:tab w:val="left" w:pos="1260"/>
        </w:tabs>
        <w:autoSpaceDE/>
        <w:autoSpaceDN/>
        <w:snapToGrid w:val="0"/>
        <w:spacing w:line="500" w:lineRule="exact"/>
        <w:ind w:firstLine="420" w:firstLineChars="200"/>
        <w:jc w:val="both"/>
        <w:rPr>
          <w:rFonts w:hAnsi="宋体" w:cs="宋体"/>
          <w:color w:val="auto"/>
          <w:sz w:val="21"/>
          <w:szCs w:val="21"/>
          <w:highlight w:val="none"/>
        </w:rPr>
      </w:pPr>
      <w:r>
        <w:rPr>
          <w:rFonts w:hint="eastAsia" w:hAnsi="宋体" w:cs="宋体"/>
          <w:bCs/>
          <w:color w:val="auto"/>
          <w:position w:val="-2"/>
          <w:sz w:val="21"/>
          <w:szCs w:val="21"/>
          <w:highlight w:val="none"/>
        </w:rPr>
        <w:t>备注：</w:t>
      </w:r>
      <w:r>
        <w:rPr>
          <w:rFonts w:hint="eastAsia" w:hAnsi="宋体" w:cs="宋体"/>
          <w:bCs/>
          <w:color w:val="auto"/>
          <w:position w:val="-2"/>
          <w:sz w:val="21"/>
          <w:szCs w:val="21"/>
          <w:highlight w:val="none"/>
          <w:lang w:eastAsia="zh-CN"/>
        </w:rPr>
        <w:t>（</w:t>
      </w:r>
      <w:r>
        <w:rPr>
          <w:rFonts w:hint="eastAsia" w:hAnsi="宋体" w:cs="宋体"/>
          <w:bCs/>
          <w:color w:val="auto"/>
          <w:position w:val="-2"/>
          <w:sz w:val="21"/>
          <w:szCs w:val="21"/>
          <w:highlight w:val="none"/>
          <w:lang w:val="en-US" w:eastAsia="zh-CN"/>
        </w:rPr>
        <w:t>1</w:t>
      </w:r>
      <w:r>
        <w:rPr>
          <w:rFonts w:hint="eastAsia" w:hAnsi="宋体" w:cs="宋体"/>
          <w:bCs/>
          <w:color w:val="auto"/>
          <w:position w:val="-2"/>
          <w:sz w:val="21"/>
          <w:szCs w:val="21"/>
          <w:highlight w:val="none"/>
          <w:lang w:eastAsia="zh-CN"/>
        </w:rPr>
        <w:t>）</w:t>
      </w:r>
      <w:r>
        <w:rPr>
          <w:rFonts w:hint="eastAsia" w:hAnsi="宋体" w:cs="宋体"/>
          <w:bCs/>
          <w:color w:val="auto"/>
          <w:position w:val="-2"/>
          <w:sz w:val="21"/>
          <w:szCs w:val="21"/>
          <w:highlight w:val="none"/>
        </w:rPr>
        <w:t>在办理合同款结算时须开具正式发票</w:t>
      </w:r>
      <w:r>
        <w:rPr>
          <w:rFonts w:hint="eastAsia" w:hAnsi="宋体" w:cs="宋体"/>
          <w:bCs/>
          <w:color w:val="auto"/>
          <w:position w:val="-2"/>
          <w:sz w:val="21"/>
          <w:szCs w:val="21"/>
          <w:highlight w:val="none"/>
          <w:lang w:eastAsia="zh-CN"/>
        </w:rPr>
        <w:t>。（</w:t>
      </w:r>
      <w:r>
        <w:rPr>
          <w:rFonts w:hint="eastAsia" w:hAnsi="宋体" w:cs="宋体"/>
          <w:bCs/>
          <w:color w:val="auto"/>
          <w:position w:val="-2"/>
          <w:sz w:val="21"/>
          <w:szCs w:val="21"/>
          <w:highlight w:val="none"/>
          <w:lang w:val="en-US" w:eastAsia="zh-CN"/>
        </w:rPr>
        <w:t>2</w:t>
      </w:r>
      <w:r>
        <w:rPr>
          <w:rFonts w:hint="eastAsia" w:hAnsi="宋体" w:cs="宋体"/>
          <w:bCs/>
          <w:color w:val="auto"/>
          <w:position w:val="-2"/>
          <w:sz w:val="21"/>
          <w:szCs w:val="21"/>
          <w:highlight w:val="none"/>
          <w:lang w:eastAsia="zh-CN"/>
        </w:rPr>
        <w:t>）</w:t>
      </w:r>
      <w:r>
        <w:rPr>
          <w:rFonts w:hint="eastAsia" w:ascii="宋体" w:hAnsi="宋体" w:cs="宋体"/>
          <w:color w:val="auto"/>
          <w:sz w:val="21"/>
          <w:szCs w:val="21"/>
          <w:highlight w:val="none"/>
        </w:rPr>
        <w:t>乙方的最终结算总价若经计算超过本项目的</w:t>
      </w:r>
      <w:r>
        <w:rPr>
          <w:rFonts w:hint="eastAsia" w:hAnsi="宋体" w:cs="宋体"/>
          <w:color w:val="auto"/>
          <w:sz w:val="21"/>
          <w:szCs w:val="21"/>
          <w:highlight w:val="none"/>
          <w:lang w:val="en-US" w:eastAsia="zh-CN"/>
        </w:rPr>
        <w:t>预算金额</w:t>
      </w:r>
      <w:r>
        <w:rPr>
          <w:rFonts w:hint="eastAsia" w:ascii="宋体" w:hAnsi="宋体" w:cs="宋体"/>
          <w:color w:val="auto"/>
          <w:sz w:val="21"/>
          <w:szCs w:val="21"/>
          <w:highlight w:val="none"/>
        </w:rPr>
        <w:t>的，则按</w:t>
      </w:r>
      <w:r>
        <w:rPr>
          <w:rFonts w:hint="eastAsia" w:hAnsi="宋体" w:cs="宋体"/>
          <w:color w:val="auto"/>
          <w:sz w:val="21"/>
          <w:szCs w:val="21"/>
          <w:highlight w:val="none"/>
          <w:lang w:val="en-US" w:eastAsia="zh-CN"/>
        </w:rPr>
        <w:t>预算金额</w:t>
      </w:r>
      <w:r>
        <w:rPr>
          <w:rFonts w:hint="eastAsia" w:ascii="宋体" w:hAnsi="宋体" w:cs="宋体"/>
          <w:color w:val="auto"/>
          <w:sz w:val="21"/>
          <w:szCs w:val="21"/>
          <w:highlight w:val="none"/>
        </w:rPr>
        <w:t>进行支付。</w:t>
      </w:r>
      <w:r>
        <w:rPr>
          <w:rFonts w:hint="eastAsia" w:ascii="宋体" w:hAnsi="宋体" w:cs="宋体"/>
          <w:color w:val="auto"/>
          <w:sz w:val="21"/>
          <w:szCs w:val="21"/>
          <w:highlight w:val="none"/>
          <w:lang w:eastAsia="zh-CN"/>
        </w:rPr>
        <w:t>即：</w:t>
      </w:r>
      <w:r>
        <w:rPr>
          <w:rFonts w:hint="eastAsia" w:ascii="宋体" w:hAnsi="宋体" w:cs="宋体"/>
          <w:color w:val="auto"/>
          <w:sz w:val="21"/>
          <w:szCs w:val="21"/>
          <w:highlight w:val="none"/>
        </w:rPr>
        <w:t>本项目最终结算总额不得超过本项目的</w:t>
      </w:r>
      <w:r>
        <w:rPr>
          <w:rFonts w:hint="eastAsia" w:hAnsi="宋体" w:cs="宋体"/>
          <w:color w:val="auto"/>
          <w:sz w:val="21"/>
          <w:szCs w:val="21"/>
          <w:highlight w:val="none"/>
          <w:lang w:val="en-US" w:eastAsia="zh-CN"/>
        </w:rPr>
        <w:t>预算金额</w:t>
      </w:r>
      <w:r>
        <w:rPr>
          <w:rFonts w:hint="eastAsia" w:ascii="宋体" w:hAnsi="宋体" w:cs="宋体"/>
          <w:color w:val="auto"/>
          <w:sz w:val="21"/>
          <w:szCs w:val="21"/>
          <w:highlight w:val="none"/>
        </w:rPr>
        <w:t>。</w:t>
      </w:r>
      <w:r>
        <w:rPr>
          <w:rFonts w:hint="eastAsia" w:hAnsi="宋体" w:cs="宋体"/>
          <w:color w:val="auto"/>
          <w:sz w:val="21"/>
          <w:szCs w:val="21"/>
          <w:highlight w:val="none"/>
          <w:lang w:val="en-US" w:eastAsia="zh-CN"/>
        </w:rPr>
        <w:t>（3）如已支付金额超过最终结算价款的，则超过部分乙方须在甲方规定的日期内予以退回。（4）</w:t>
      </w:r>
      <w:r>
        <w:rPr>
          <w:rFonts w:hint="eastAsia" w:hAnsi="宋体" w:cs="宋体"/>
          <w:bCs/>
          <w:color w:val="auto"/>
          <w:position w:val="-2"/>
          <w:sz w:val="21"/>
          <w:szCs w:val="21"/>
          <w:highlight w:val="none"/>
        </w:rPr>
        <w:t>如在签订合同时，</w:t>
      </w:r>
      <w:r>
        <w:rPr>
          <w:rFonts w:hint="eastAsia" w:hAnsi="宋体" w:cs="宋体"/>
          <w:bCs/>
          <w:color w:val="auto"/>
          <w:position w:val="-2"/>
          <w:sz w:val="21"/>
          <w:szCs w:val="21"/>
          <w:highlight w:val="none"/>
          <w:lang w:val="en-US" w:eastAsia="zh-CN"/>
        </w:rPr>
        <w:t>乙方</w:t>
      </w:r>
      <w:r>
        <w:rPr>
          <w:rFonts w:hint="eastAsia" w:hAnsi="宋体" w:cs="宋体"/>
          <w:bCs/>
          <w:color w:val="auto"/>
          <w:position w:val="-2"/>
          <w:sz w:val="21"/>
          <w:szCs w:val="21"/>
          <w:highlight w:val="none"/>
        </w:rPr>
        <w:t>明确表示无需预付款或者主动要求降低预付款比例的，可降低预付款比例（预付款保函同步调整）。</w:t>
      </w:r>
    </w:p>
    <w:p>
      <w:pPr>
        <w:snapToGrid w:val="0"/>
        <w:spacing w:line="500" w:lineRule="exact"/>
        <w:ind w:firstLine="420" w:firstLineChars="200"/>
        <w:rPr>
          <w:rFonts w:hint="eastAsia" w:hAnsi="宋体" w:eastAsia="宋体" w:cs="宋体"/>
          <w:color w:val="auto"/>
          <w:sz w:val="21"/>
          <w:szCs w:val="21"/>
          <w:highlight w:val="none"/>
          <w:lang w:eastAsia="zh-CN"/>
        </w:rPr>
      </w:pPr>
      <w:r>
        <w:rPr>
          <w:rFonts w:hint="eastAsia" w:hAnsi="宋体" w:cs="宋体"/>
          <w:color w:val="auto"/>
          <w:sz w:val="21"/>
          <w:szCs w:val="21"/>
          <w:highlight w:val="none"/>
          <w:lang w:val="en-US" w:eastAsia="zh-CN"/>
        </w:rPr>
        <w:t>4</w:t>
      </w:r>
      <w:r>
        <w:rPr>
          <w:rFonts w:hint="eastAsia" w:hAnsi="宋体" w:cs="宋体"/>
          <w:color w:val="auto"/>
          <w:sz w:val="21"/>
          <w:szCs w:val="21"/>
          <w:highlight w:val="none"/>
        </w:rPr>
        <w:t>.履约保证金</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乙方</w:t>
      </w:r>
      <w:r>
        <w:rPr>
          <w:rFonts w:hint="eastAsia" w:hAnsi="宋体" w:cs="宋体"/>
          <w:color w:val="auto"/>
          <w:sz w:val="21"/>
          <w:szCs w:val="21"/>
          <w:highlight w:val="none"/>
        </w:rPr>
        <w:t>向</w:t>
      </w:r>
      <w:r>
        <w:rPr>
          <w:rFonts w:hint="eastAsia" w:hAnsi="宋体" w:cs="宋体"/>
          <w:color w:val="auto"/>
          <w:sz w:val="21"/>
          <w:szCs w:val="21"/>
          <w:highlight w:val="none"/>
          <w:lang w:val="en-US" w:eastAsia="zh-CN"/>
        </w:rPr>
        <w:t>甲方</w:t>
      </w:r>
      <w:r>
        <w:rPr>
          <w:rFonts w:hint="eastAsia" w:hAnsi="宋体" w:cs="宋体"/>
          <w:color w:val="auto"/>
          <w:sz w:val="21"/>
          <w:szCs w:val="21"/>
          <w:highlight w:val="none"/>
        </w:rPr>
        <w:t>缴纳</w:t>
      </w:r>
      <w:r>
        <w:rPr>
          <w:rFonts w:hint="eastAsia" w:hAnsi="宋体" w:cs="宋体"/>
          <w:color w:val="auto"/>
          <w:sz w:val="21"/>
          <w:szCs w:val="21"/>
          <w:highlight w:val="none"/>
          <w:lang w:eastAsia="zh-CN"/>
        </w:rPr>
        <w:t>预算金额</w:t>
      </w:r>
      <w:r>
        <w:rPr>
          <w:rFonts w:hint="eastAsia" w:hAnsi="宋体" w:cs="宋体"/>
          <w:color w:val="auto"/>
          <w:sz w:val="21"/>
          <w:szCs w:val="21"/>
          <w:highlight w:val="none"/>
        </w:rPr>
        <w:t>1%的履约保证金，可以支票、汇票、本票或者金融机构、保险公司、担保机构出具的保函/保险（可在政采云平台购买，咨询热线4009039583）等非现金形式提交。履约保证金（或履约保函）如无合同约定或依法认定的扣款情况，在</w:t>
      </w:r>
      <w:r>
        <w:rPr>
          <w:rFonts w:hint="eastAsia" w:hAnsi="宋体" w:cs="宋体"/>
          <w:color w:val="auto"/>
          <w:sz w:val="21"/>
          <w:szCs w:val="21"/>
          <w:highlight w:val="none"/>
          <w:lang w:val="en-US" w:eastAsia="zh-CN"/>
        </w:rPr>
        <w:t>乙方</w:t>
      </w:r>
      <w:r>
        <w:rPr>
          <w:rFonts w:hint="eastAsia" w:hAnsi="宋体" w:cs="宋体"/>
          <w:color w:val="auto"/>
          <w:sz w:val="21"/>
          <w:szCs w:val="21"/>
          <w:highlight w:val="none"/>
        </w:rPr>
        <w:t>按合同约定最终验收合格后于15日内予以无息退还（或撤销到期履约保函）</w:t>
      </w:r>
    </w:p>
    <w:p>
      <w:pPr>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四、知识产权</w:t>
      </w:r>
    </w:p>
    <w:p>
      <w:pPr>
        <w:pStyle w:val="20"/>
        <w:spacing w:line="500" w:lineRule="exact"/>
        <w:ind w:firstLine="420" w:firstLineChars="200"/>
        <w:rPr>
          <w:rFonts w:hAnsi="宋体" w:cs="宋体"/>
          <w:color w:val="auto"/>
          <w:position w:val="-2"/>
          <w:sz w:val="21"/>
          <w:szCs w:val="21"/>
          <w:highlight w:val="none"/>
        </w:rPr>
      </w:pPr>
      <w:r>
        <w:rPr>
          <w:rFonts w:hint="eastAsia" w:hAnsi="宋体" w:cs="宋体"/>
          <w:color w:val="auto"/>
          <w:position w:val="-2"/>
          <w:sz w:val="21"/>
          <w:szCs w:val="21"/>
          <w:highlight w:val="none"/>
        </w:rPr>
        <w:t>本次成果所有权和使用权均属于甲方所有，乙方应保证提供服务过程中不会侵犯任何第三方的知识产权，其使用或引用的包括但不限于数据、资料、图样均不会侵犯任何第三方的知识产权。如有侵权行为，则由乙方承担一切损失赔偿责任。</w:t>
      </w:r>
    </w:p>
    <w:p>
      <w:pPr>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五、转包或分包</w:t>
      </w:r>
    </w:p>
    <w:p>
      <w:pPr>
        <w:pStyle w:val="28"/>
        <w:snapToGrid w:val="0"/>
        <w:spacing w:line="500" w:lineRule="exact"/>
        <w:ind w:firstLine="420" w:firstLineChars="200"/>
        <w:rPr>
          <w:rFonts w:ascii="宋体" w:hAnsi="宋体" w:cs="宋体"/>
          <w:color w:val="auto"/>
          <w:kern w:val="2"/>
          <w:sz w:val="21"/>
          <w:highlight w:val="none"/>
        </w:rPr>
      </w:pPr>
      <w:r>
        <w:rPr>
          <w:rFonts w:hint="eastAsia" w:ascii="宋体" w:hAnsi="宋体" w:cs="宋体"/>
          <w:color w:val="auto"/>
          <w:kern w:val="2"/>
          <w:sz w:val="21"/>
          <w:highlight w:val="none"/>
        </w:rPr>
        <w:t>1.本合同范围的服务，应由乙方直接完成，不得转他人提供；</w:t>
      </w:r>
    </w:p>
    <w:p>
      <w:pPr>
        <w:autoSpaceDE/>
        <w:autoSpaceDN/>
        <w:adjustRightInd/>
        <w:snapToGrid w:val="0"/>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2.除非得到甲方的书面同意，乙方不得将本合同范围内的服务全部或部分转包或分包他人提供；</w:t>
      </w:r>
    </w:p>
    <w:p>
      <w:pPr>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3.如有转让和未经甲方同意的分包行为，甲方有权解除合同，没收履约保证金并追究乙方的违约责任。</w:t>
      </w:r>
    </w:p>
    <w:p>
      <w:pPr>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六、保密责任</w:t>
      </w:r>
    </w:p>
    <w:p>
      <w:pPr>
        <w:snapToGrid w:val="0"/>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1.本次项目成果所有权和使用权均属于甲方；</w:t>
      </w:r>
    </w:p>
    <w:p>
      <w:pPr>
        <w:snapToGrid w:val="0"/>
        <w:spacing w:line="500" w:lineRule="exact"/>
        <w:ind w:firstLine="420" w:firstLineChars="200"/>
        <w:jc w:val="both"/>
        <w:rPr>
          <w:rFonts w:hAnsi="宋体" w:cs="宋体"/>
          <w:b w:val="0"/>
          <w:bCs w:val="0"/>
          <w:color w:val="auto"/>
          <w:sz w:val="21"/>
          <w:szCs w:val="21"/>
          <w:highlight w:val="none"/>
        </w:rPr>
      </w:pPr>
      <w:r>
        <w:rPr>
          <w:rFonts w:hint="eastAsia" w:hAnsi="宋体" w:cs="宋体"/>
          <w:color w:val="auto"/>
          <w:sz w:val="21"/>
          <w:szCs w:val="21"/>
          <w:highlight w:val="none"/>
        </w:rPr>
        <w:t>2.乙方对项目实施过程中所得到或知悉相关资料、图件、成果等应负有保密和保管责任，要有严格的保密措施，未经甲方书面同意，乙方不得向任何单位和个人转让、泄漏或提供本项目成果及相关</w:t>
      </w:r>
      <w:r>
        <w:rPr>
          <w:rFonts w:hint="eastAsia" w:hAnsi="宋体" w:cs="宋体"/>
          <w:b w:val="0"/>
          <w:bCs w:val="0"/>
          <w:color w:val="auto"/>
          <w:sz w:val="21"/>
          <w:szCs w:val="21"/>
          <w:highlight w:val="none"/>
        </w:rPr>
        <w:t>资料，否则承担由此产生的一切法律和经济责任；</w:t>
      </w:r>
    </w:p>
    <w:p>
      <w:pPr>
        <w:snapToGrid w:val="0"/>
        <w:spacing w:line="500" w:lineRule="exact"/>
        <w:ind w:firstLine="420" w:firstLineChars="200"/>
        <w:jc w:val="both"/>
        <w:rPr>
          <w:rFonts w:hAnsi="宋体" w:cs="宋体"/>
          <w:b w:val="0"/>
          <w:bCs w:val="0"/>
          <w:color w:val="auto"/>
          <w:sz w:val="21"/>
          <w:szCs w:val="21"/>
          <w:highlight w:val="none"/>
        </w:rPr>
      </w:pPr>
      <w:r>
        <w:rPr>
          <w:rFonts w:hint="eastAsia" w:hAnsi="宋体" w:cs="宋体"/>
          <w:b w:val="0"/>
          <w:bCs w:val="0"/>
          <w:color w:val="auto"/>
          <w:sz w:val="21"/>
          <w:szCs w:val="21"/>
          <w:highlight w:val="none"/>
        </w:rPr>
        <w:t>3.乙方应当遵守相关保密法律、法规，确保甲方及其他相关方的信息安全。与本项目有关的资料及数据成果中涉及国家秘密的内容，均要求按照《国家保密法》及相关法律法规执行；</w:t>
      </w:r>
    </w:p>
    <w:p>
      <w:pPr>
        <w:snapToGrid w:val="0"/>
        <w:spacing w:line="500" w:lineRule="exact"/>
        <w:ind w:firstLine="420" w:firstLineChars="200"/>
        <w:jc w:val="both"/>
        <w:rPr>
          <w:rFonts w:hAnsi="宋体" w:cs="宋体"/>
          <w:b w:val="0"/>
          <w:bCs w:val="0"/>
          <w:color w:val="auto"/>
          <w:sz w:val="21"/>
          <w:szCs w:val="21"/>
          <w:highlight w:val="none"/>
        </w:rPr>
      </w:pPr>
      <w:r>
        <w:rPr>
          <w:rFonts w:hint="eastAsia" w:hAnsi="宋体" w:cs="宋体"/>
          <w:b w:val="0"/>
          <w:bCs w:val="0"/>
          <w:color w:val="auto"/>
          <w:sz w:val="21"/>
          <w:szCs w:val="21"/>
          <w:highlight w:val="none"/>
        </w:rPr>
        <w:t>4.乙方在投标文件中承诺的其他内容。</w:t>
      </w:r>
    </w:p>
    <w:p>
      <w:pPr>
        <w:keepNext w:val="0"/>
        <w:keepLines w:val="0"/>
        <w:pageBreakBefore w:val="0"/>
        <w:kinsoku/>
        <w:wordWrap/>
        <w:overflowPunct/>
        <w:topLinePunct w:val="0"/>
        <w:bidi w:val="0"/>
        <w:adjustRightInd w:val="0"/>
        <w:snapToGrid w:val="0"/>
        <w:spacing w:line="500" w:lineRule="exact"/>
        <w:ind w:right="0" w:firstLine="420" w:firstLineChars="200"/>
        <w:textAlignment w:val="auto"/>
        <w:rPr>
          <w:rFonts w:hint="default" w:hAnsi="宋体" w:cs="宋体"/>
          <w:b w:val="0"/>
          <w:bCs/>
          <w:color w:val="auto"/>
          <w:sz w:val="21"/>
          <w:szCs w:val="21"/>
          <w:highlight w:val="none"/>
          <w:lang w:val="en-US" w:eastAsia="zh-CN"/>
        </w:rPr>
      </w:pPr>
      <w:r>
        <w:rPr>
          <w:rFonts w:hint="default" w:hAnsi="宋体" w:cs="宋体"/>
          <w:b w:val="0"/>
          <w:bCs/>
          <w:color w:val="auto"/>
          <w:sz w:val="21"/>
          <w:szCs w:val="21"/>
          <w:highlight w:val="none"/>
          <w:lang w:val="en-US" w:eastAsia="zh-CN"/>
        </w:rPr>
        <w:t>七、甲方的义务</w:t>
      </w:r>
    </w:p>
    <w:p>
      <w:pPr>
        <w:keepNext w:val="0"/>
        <w:keepLines w:val="0"/>
        <w:pageBreakBefore w:val="0"/>
        <w:kinsoku/>
        <w:wordWrap/>
        <w:overflowPunct/>
        <w:topLinePunct w:val="0"/>
        <w:bidi w:val="0"/>
        <w:adjustRightInd w:val="0"/>
        <w:snapToGrid w:val="0"/>
        <w:spacing w:line="500" w:lineRule="exact"/>
        <w:ind w:right="0" w:firstLine="420" w:firstLineChars="200"/>
        <w:textAlignment w:val="auto"/>
        <w:rPr>
          <w:rFonts w:hint="default" w:hAnsi="宋体" w:cs="宋体"/>
          <w:b w:val="0"/>
          <w:bCs/>
          <w:color w:val="auto"/>
          <w:sz w:val="21"/>
          <w:szCs w:val="21"/>
          <w:highlight w:val="none"/>
          <w:lang w:val="en-US" w:eastAsia="zh-CN"/>
        </w:rPr>
      </w:pPr>
      <w:r>
        <w:rPr>
          <w:rFonts w:hint="eastAsia" w:hAnsi="宋体" w:cs="宋体"/>
          <w:b w:val="0"/>
          <w:bCs/>
          <w:color w:val="auto"/>
          <w:sz w:val="21"/>
          <w:szCs w:val="21"/>
          <w:highlight w:val="none"/>
          <w:lang w:val="en-US" w:eastAsia="zh-CN"/>
        </w:rPr>
        <w:t>1.</w:t>
      </w:r>
      <w:r>
        <w:rPr>
          <w:rFonts w:hint="default" w:hAnsi="宋体" w:cs="宋体"/>
          <w:b w:val="0"/>
          <w:bCs/>
          <w:color w:val="auto"/>
          <w:sz w:val="21"/>
          <w:szCs w:val="21"/>
          <w:highlight w:val="none"/>
          <w:lang w:val="en-US" w:eastAsia="zh-CN"/>
        </w:rPr>
        <w:t>甲方向乙方提交已有的有关基础资料。</w:t>
      </w:r>
    </w:p>
    <w:p>
      <w:pPr>
        <w:keepNext w:val="0"/>
        <w:keepLines w:val="0"/>
        <w:pageBreakBefore w:val="0"/>
        <w:kinsoku/>
        <w:wordWrap/>
        <w:overflowPunct/>
        <w:topLinePunct w:val="0"/>
        <w:bidi w:val="0"/>
        <w:adjustRightInd w:val="0"/>
        <w:snapToGrid w:val="0"/>
        <w:spacing w:line="500" w:lineRule="exact"/>
        <w:ind w:right="0" w:firstLine="420" w:firstLineChars="200"/>
        <w:textAlignment w:val="auto"/>
        <w:rPr>
          <w:rFonts w:hint="eastAsia" w:hAnsi="宋体" w:cs="宋体"/>
          <w:b w:val="0"/>
          <w:bCs/>
          <w:color w:val="auto"/>
          <w:sz w:val="21"/>
          <w:szCs w:val="21"/>
          <w:highlight w:val="none"/>
          <w:lang w:val="en-US" w:eastAsia="zh-CN"/>
        </w:rPr>
      </w:pPr>
      <w:r>
        <w:rPr>
          <w:rFonts w:hint="default" w:hAnsi="宋体" w:cs="宋体"/>
          <w:b w:val="0"/>
          <w:bCs/>
          <w:color w:val="auto"/>
          <w:sz w:val="21"/>
          <w:szCs w:val="21"/>
          <w:highlight w:val="none"/>
          <w:lang w:val="en-US" w:eastAsia="zh-CN"/>
        </w:rPr>
        <w:t>八</w:t>
      </w:r>
      <w:r>
        <w:rPr>
          <w:rFonts w:hint="eastAsia" w:hAnsi="宋体" w:cs="宋体"/>
          <w:b w:val="0"/>
          <w:bCs/>
          <w:color w:val="auto"/>
          <w:sz w:val="21"/>
          <w:szCs w:val="21"/>
          <w:highlight w:val="none"/>
          <w:lang w:val="en-US" w:eastAsia="zh-CN"/>
        </w:rPr>
        <w:t>、乙方的义务</w:t>
      </w:r>
    </w:p>
    <w:p>
      <w:pPr>
        <w:keepNext w:val="0"/>
        <w:keepLines w:val="0"/>
        <w:pageBreakBefore w:val="0"/>
        <w:kinsoku/>
        <w:wordWrap/>
        <w:overflowPunct/>
        <w:topLinePunct w:val="0"/>
        <w:bidi w:val="0"/>
        <w:adjustRightInd w:val="0"/>
        <w:snapToGrid w:val="0"/>
        <w:spacing w:line="500" w:lineRule="exact"/>
        <w:ind w:right="0" w:firstLine="420" w:firstLineChars="200"/>
        <w:textAlignment w:val="auto"/>
        <w:rPr>
          <w:rFonts w:hint="eastAsia" w:hAnsi="宋体" w:cs="宋体"/>
          <w:b w:val="0"/>
          <w:bCs/>
          <w:color w:val="C00000"/>
          <w:sz w:val="21"/>
          <w:szCs w:val="21"/>
          <w:highlight w:val="none"/>
          <w:lang w:val="en-US" w:eastAsia="zh-CN"/>
        </w:rPr>
      </w:pPr>
      <w:r>
        <w:rPr>
          <w:rFonts w:hint="eastAsia" w:hAnsi="宋体" w:cs="宋体"/>
          <w:b w:val="0"/>
          <w:bCs/>
          <w:color w:val="auto"/>
          <w:sz w:val="21"/>
          <w:szCs w:val="21"/>
          <w:highlight w:val="none"/>
          <w:lang w:val="en-US" w:eastAsia="zh-CN"/>
        </w:rPr>
        <w:t>1.应当独立完成检测项目，未经甲方同意，不得将甲方所委托项目委托给第三方检测。乙方擅自将检测项目部分或全部转委托给第三方检测的，甲方可终止合同，由此造成甲方损失的，乙方根据甲方损失负责全额赔偿。</w:t>
      </w:r>
    </w:p>
    <w:p>
      <w:pPr>
        <w:keepNext w:val="0"/>
        <w:keepLines w:val="0"/>
        <w:pageBreakBefore w:val="0"/>
        <w:kinsoku/>
        <w:wordWrap/>
        <w:overflowPunct/>
        <w:topLinePunct w:val="0"/>
        <w:bidi w:val="0"/>
        <w:adjustRightInd w:val="0"/>
        <w:snapToGrid w:val="0"/>
        <w:spacing w:line="500" w:lineRule="exact"/>
        <w:ind w:right="0" w:firstLine="420" w:firstLineChars="200"/>
        <w:textAlignment w:val="auto"/>
        <w:rPr>
          <w:rFonts w:hint="eastAsia" w:hAnsi="宋体" w:cs="宋体"/>
          <w:b w:val="0"/>
          <w:bCs/>
          <w:color w:val="auto"/>
          <w:sz w:val="21"/>
          <w:szCs w:val="21"/>
          <w:highlight w:val="none"/>
          <w:lang w:val="en-US" w:eastAsia="zh-CN"/>
        </w:rPr>
      </w:pPr>
      <w:r>
        <w:rPr>
          <w:rFonts w:hint="eastAsia" w:hAnsi="宋体" w:cs="宋体"/>
          <w:b w:val="0"/>
          <w:bCs/>
          <w:color w:val="auto"/>
          <w:sz w:val="21"/>
          <w:szCs w:val="21"/>
          <w:highlight w:val="none"/>
          <w:lang w:val="en-US" w:eastAsia="zh-CN"/>
        </w:rPr>
        <w:t>2.应当严格执行相关的国家技术规范、标准、规程，严格按照技术要求进行检测报告编制工作。</w:t>
      </w:r>
    </w:p>
    <w:p>
      <w:pPr>
        <w:keepNext w:val="0"/>
        <w:keepLines w:val="0"/>
        <w:pageBreakBefore w:val="0"/>
        <w:kinsoku/>
        <w:wordWrap/>
        <w:overflowPunct/>
        <w:topLinePunct w:val="0"/>
        <w:bidi w:val="0"/>
        <w:adjustRightInd w:val="0"/>
        <w:snapToGrid w:val="0"/>
        <w:spacing w:line="500" w:lineRule="exact"/>
        <w:ind w:right="0" w:firstLine="420" w:firstLineChars="200"/>
        <w:textAlignment w:val="auto"/>
        <w:rPr>
          <w:rFonts w:hint="eastAsia" w:hAnsi="宋体" w:cs="宋体"/>
          <w:b w:val="0"/>
          <w:bCs/>
          <w:color w:val="auto"/>
          <w:sz w:val="21"/>
          <w:szCs w:val="21"/>
          <w:highlight w:val="none"/>
          <w:lang w:val="en-US" w:eastAsia="zh-CN"/>
        </w:rPr>
      </w:pPr>
      <w:r>
        <w:rPr>
          <w:rFonts w:hint="eastAsia" w:hAnsi="宋体" w:cs="宋体"/>
          <w:b w:val="0"/>
          <w:bCs/>
          <w:color w:val="auto"/>
          <w:sz w:val="21"/>
          <w:szCs w:val="21"/>
          <w:highlight w:val="none"/>
          <w:lang w:val="en-US" w:eastAsia="zh-CN"/>
        </w:rPr>
        <w:t>3.在充分考虑检测工作工序要求的的基础上，严格按照甲方要求的时间提交质量合格的检测成果资料，保证检测的成果真实性，并对其负责。</w:t>
      </w:r>
    </w:p>
    <w:p>
      <w:pPr>
        <w:keepNext w:val="0"/>
        <w:keepLines w:val="0"/>
        <w:pageBreakBefore w:val="0"/>
        <w:kinsoku/>
        <w:wordWrap/>
        <w:overflowPunct/>
        <w:topLinePunct w:val="0"/>
        <w:bidi w:val="0"/>
        <w:adjustRightInd w:val="0"/>
        <w:snapToGrid w:val="0"/>
        <w:spacing w:line="500" w:lineRule="exact"/>
        <w:ind w:right="0" w:firstLine="420" w:firstLineChars="200"/>
        <w:textAlignment w:val="auto"/>
        <w:rPr>
          <w:rFonts w:hint="eastAsia" w:hAnsi="宋体" w:cs="宋体"/>
          <w:b w:val="0"/>
          <w:bCs/>
          <w:color w:val="auto"/>
          <w:sz w:val="21"/>
          <w:szCs w:val="21"/>
          <w:highlight w:val="none"/>
          <w:lang w:val="en-US" w:eastAsia="zh-CN"/>
        </w:rPr>
      </w:pPr>
      <w:r>
        <w:rPr>
          <w:rFonts w:hint="eastAsia" w:hAnsi="宋体" w:cs="宋体"/>
          <w:b w:val="0"/>
          <w:bCs/>
          <w:color w:val="auto"/>
          <w:sz w:val="21"/>
          <w:szCs w:val="21"/>
          <w:highlight w:val="none"/>
          <w:lang w:val="en-US" w:eastAsia="zh-CN"/>
        </w:rPr>
        <w:t>4.乙方出具的检测报告满足现行的国家及地方、行业相关规范，如因乙方原因导致在检测结果和实际不符的,造成的一切损失由乙方承担，并完善至满足甲方的相关要求。</w:t>
      </w:r>
    </w:p>
    <w:p>
      <w:pPr>
        <w:keepNext w:val="0"/>
        <w:keepLines w:val="0"/>
        <w:pageBreakBefore w:val="0"/>
        <w:kinsoku/>
        <w:wordWrap/>
        <w:overflowPunct/>
        <w:topLinePunct w:val="0"/>
        <w:bidi w:val="0"/>
        <w:adjustRightInd w:val="0"/>
        <w:snapToGrid w:val="0"/>
        <w:spacing w:line="500" w:lineRule="exact"/>
        <w:ind w:right="0" w:firstLine="420" w:firstLineChars="200"/>
        <w:textAlignment w:val="auto"/>
        <w:rPr>
          <w:rFonts w:hint="eastAsia" w:hAnsi="宋体" w:cs="宋体"/>
          <w:b w:val="0"/>
          <w:bCs/>
          <w:color w:val="auto"/>
          <w:sz w:val="21"/>
          <w:szCs w:val="21"/>
          <w:highlight w:val="none"/>
          <w:lang w:val="en-US" w:eastAsia="zh-CN"/>
        </w:rPr>
      </w:pPr>
      <w:r>
        <w:rPr>
          <w:rFonts w:hint="eastAsia" w:hAnsi="宋体" w:cs="宋体"/>
          <w:b w:val="0"/>
          <w:bCs/>
          <w:color w:val="auto"/>
          <w:sz w:val="21"/>
          <w:szCs w:val="21"/>
          <w:highlight w:val="none"/>
          <w:lang w:val="en-US" w:eastAsia="zh-CN"/>
        </w:rPr>
        <w:t>5.乙方在履行本合同的过程中，如果需要乙方出具其他手续，乙方应无偿提供。</w:t>
      </w:r>
    </w:p>
    <w:p>
      <w:pPr>
        <w:keepNext w:val="0"/>
        <w:keepLines w:val="0"/>
        <w:pageBreakBefore w:val="0"/>
        <w:kinsoku/>
        <w:wordWrap/>
        <w:overflowPunct/>
        <w:topLinePunct w:val="0"/>
        <w:bidi w:val="0"/>
        <w:adjustRightInd w:val="0"/>
        <w:snapToGrid w:val="0"/>
        <w:spacing w:line="500" w:lineRule="exact"/>
        <w:ind w:right="0" w:firstLine="420" w:firstLineChars="200"/>
        <w:textAlignment w:val="auto"/>
        <w:rPr>
          <w:rFonts w:hint="eastAsia" w:hAnsi="宋体" w:cs="宋体"/>
          <w:b w:val="0"/>
          <w:bCs/>
          <w:color w:val="auto"/>
          <w:sz w:val="21"/>
          <w:szCs w:val="21"/>
          <w:highlight w:val="none"/>
          <w:lang w:val="en-US" w:eastAsia="zh-CN"/>
        </w:rPr>
      </w:pPr>
      <w:r>
        <w:rPr>
          <w:rFonts w:hint="eastAsia" w:hAnsi="宋体" w:cs="宋体"/>
          <w:b w:val="0"/>
          <w:bCs/>
          <w:color w:val="auto"/>
          <w:sz w:val="21"/>
          <w:szCs w:val="21"/>
          <w:highlight w:val="none"/>
          <w:lang w:val="en-US" w:eastAsia="zh-CN"/>
        </w:rPr>
        <w:t>6.乙方在检测过程中需要的交通运输、垂直运输、临时性用电及检测过程中需要的其它辅助性工作均由乙方自行承担,费用已包含在单价内甲方不另行支付。</w:t>
      </w:r>
    </w:p>
    <w:p>
      <w:pPr>
        <w:keepNext w:val="0"/>
        <w:keepLines w:val="0"/>
        <w:pageBreakBefore w:val="0"/>
        <w:kinsoku/>
        <w:wordWrap/>
        <w:overflowPunct/>
        <w:topLinePunct w:val="0"/>
        <w:bidi w:val="0"/>
        <w:adjustRightInd w:val="0"/>
        <w:snapToGrid w:val="0"/>
        <w:spacing w:line="500" w:lineRule="exact"/>
        <w:ind w:right="0" w:firstLine="420" w:firstLineChars="200"/>
        <w:textAlignment w:val="auto"/>
        <w:rPr>
          <w:rFonts w:hint="eastAsia" w:hAnsi="宋体" w:cs="宋体"/>
          <w:b w:val="0"/>
          <w:bCs/>
          <w:color w:val="auto"/>
          <w:sz w:val="21"/>
          <w:szCs w:val="21"/>
          <w:highlight w:val="none"/>
          <w:lang w:val="en-US" w:eastAsia="zh-CN"/>
        </w:rPr>
      </w:pPr>
      <w:r>
        <w:rPr>
          <w:rFonts w:hint="eastAsia" w:hAnsi="宋体" w:cs="宋体"/>
          <w:b w:val="0"/>
          <w:bCs/>
          <w:color w:val="auto"/>
          <w:sz w:val="21"/>
          <w:szCs w:val="21"/>
          <w:highlight w:val="none"/>
          <w:lang w:val="en-US" w:eastAsia="zh-CN"/>
        </w:rPr>
        <w:t>7.乙方在检测期间内要保障检测区域内的文明作业，做好检测人员的文明施工交底工作，做到每天检测完成后工完场清。</w:t>
      </w:r>
    </w:p>
    <w:p>
      <w:pPr>
        <w:keepNext w:val="0"/>
        <w:keepLines w:val="0"/>
        <w:pageBreakBefore w:val="0"/>
        <w:kinsoku/>
        <w:wordWrap/>
        <w:overflowPunct/>
        <w:topLinePunct w:val="0"/>
        <w:bidi w:val="0"/>
        <w:adjustRightInd w:val="0"/>
        <w:snapToGrid w:val="0"/>
        <w:spacing w:line="500" w:lineRule="exact"/>
        <w:ind w:right="0" w:firstLine="420" w:firstLineChars="200"/>
        <w:textAlignment w:val="auto"/>
        <w:rPr>
          <w:rFonts w:hint="default" w:hAnsi="宋体" w:cs="宋体"/>
          <w:b w:val="0"/>
          <w:bCs/>
          <w:color w:val="auto"/>
          <w:sz w:val="21"/>
          <w:szCs w:val="21"/>
          <w:highlight w:val="none"/>
          <w:lang w:val="en-US" w:eastAsia="zh-CN"/>
        </w:rPr>
      </w:pPr>
      <w:r>
        <w:rPr>
          <w:rFonts w:hint="eastAsia" w:hAnsi="宋体" w:cs="宋体"/>
          <w:b w:val="0"/>
          <w:bCs/>
          <w:color w:val="auto"/>
          <w:sz w:val="21"/>
          <w:szCs w:val="21"/>
          <w:highlight w:val="none"/>
          <w:lang w:val="en-US" w:eastAsia="zh-CN"/>
        </w:rPr>
        <w:t>九、验收条款</w:t>
      </w:r>
    </w:p>
    <w:p>
      <w:pPr>
        <w:keepNext w:val="0"/>
        <w:keepLines w:val="0"/>
        <w:pageBreakBefore w:val="0"/>
        <w:widowControl w:val="0"/>
        <w:kinsoku/>
        <w:wordWrap/>
        <w:overflowPunct/>
        <w:topLinePunct w:val="0"/>
        <w:autoSpaceDE w:val="0"/>
        <w:autoSpaceDN w:val="0"/>
        <w:bidi w:val="0"/>
        <w:adjustRightInd w:val="0"/>
        <w:snapToGrid w:val="0"/>
        <w:spacing w:line="500" w:lineRule="exact"/>
        <w:ind w:left="0" w:leftChars="0" w:firstLine="420" w:firstLineChars="200"/>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乙方出具的成果须符合</w:t>
      </w:r>
      <w:r>
        <w:rPr>
          <w:rFonts w:hint="default" w:ascii="宋体" w:hAnsi="宋体" w:eastAsia="宋体" w:cs="宋体"/>
          <w:b w:val="0"/>
          <w:bCs w:val="0"/>
          <w:color w:val="auto"/>
          <w:sz w:val="21"/>
          <w:szCs w:val="21"/>
          <w:highlight w:val="none"/>
          <w:lang w:val="en-US" w:eastAsia="zh-CN"/>
        </w:rPr>
        <w:t>国家或行业标准、规定及技术标准等相关要求</w:t>
      </w:r>
      <w:r>
        <w:rPr>
          <w:rFonts w:hint="eastAsia" w:ascii="宋体" w:hAnsi="宋体" w:eastAsia="宋体" w:cs="宋体"/>
          <w:b w:val="0"/>
          <w:bCs w:val="0"/>
          <w:color w:val="auto"/>
          <w:sz w:val="21"/>
          <w:szCs w:val="21"/>
          <w:highlight w:val="none"/>
          <w:lang w:val="en-US" w:eastAsia="zh-CN"/>
        </w:rPr>
        <w:t>，并</w:t>
      </w:r>
      <w:r>
        <w:rPr>
          <w:rFonts w:hint="default" w:ascii="宋体" w:hAnsi="宋体" w:eastAsia="宋体" w:cs="宋体"/>
          <w:b w:val="0"/>
          <w:bCs w:val="0"/>
          <w:color w:val="auto"/>
          <w:sz w:val="21"/>
          <w:szCs w:val="21"/>
          <w:highlight w:val="none"/>
          <w:lang w:val="en-US" w:eastAsia="zh-CN"/>
        </w:rPr>
        <w:t>通过</w:t>
      </w:r>
      <w:r>
        <w:rPr>
          <w:rFonts w:hint="eastAsia" w:ascii="宋体" w:hAnsi="宋体" w:eastAsia="宋体" w:cs="宋体"/>
          <w:b w:val="0"/>
          <w:bCs w:val="0"/>
          <w:color w:val="auto"/>
          <w:sz w:val="21"/>
          <w:szCs w:val="21"/>
          <w:highlight w:val="none"/>
          <w:lang w:val="en-US" w:eastAsia="zh-CN"/>
        </w:rPr>
        <w:t>甲方</w:t>
      </w:r>
      <w:r>
        <w:rPr>
          <w:rFonts w:hint="default" w:ascii="宋体" w:hAnsi="宋体" w:eastAsia="宋体" w:cs="宋体"/>
          <w:b w:val="0"/>
          <w:bCs w:val="0"/>
          <w:color w:val="auto"/>
          <w:sz w:val="21"/>
          <w:szCs w:val="21"/>
          <w:highlight w:val="none"/>
          <w:lang w:val="en-US" w:eastAsia="zh-CN"/>
        </w:rPr>
        <w:t>组织的验收。</w:t>
      </w:r>
    </w:p>
    <w:p>
      <w:pPr>
        <w:snapToGrid w:val="0"/>
        <w:spacing w:line="500" w:lineRule="exact"/>
        <w:ind w:firstLine="420" w:firstLineChars="200"/>
        <w:rPr>
          <w:rFonts w:hint="eastAsia" w:hAnsi="宋体" w:cs="宋体"/>
          <w:b w:val="0"/>
          <w:bCs w:val="0"/>
          <w:color w:val="auto"/>
          <w:sz w:val="21"/>
          <w:szCs w:val="21"/>
          <w:highlight w:val="none"/>
        </w:rPr>
      </w:pPr>
      <w:r>
        <w:rPr>
          <w:rFonts w:hint="eastAsia" w:hAnsi="宋体" w:cs="宋体"/>
          <w:b w:val="0"/>
          <w:bCs w:val="0"/>
          <w:color w:val="auto"/>
          <w:sz w:val="21"/>
          <w:szCs w:val="21"/>
          <w:highlight w:val="none"/>
          <w:lang w:val="en-US" w:eastAsia="zh-CN"/>
        </w:rPr>
        <w:t>十</w:t>
      </w:r>
      <w:r>
        <w:rPr>
          <w:rFonts w:hint="eastAsia" w:hAnsi="宋体" w:cs="宋体"/>
          <w:b w:val="0"/>
          <w:bCs w:val="0"/>
          <w:color w:val="auto"/>
          <w:sz w:val="21"/>
          <w:szCs w:val="21"/>
          <w:highlight w:val="none"/>
        </w:rPr>
        <w:t>、违约条款</w:t>
      </w:r>
    </w:p>
    <w:p>
      <w:pPr>
        <w:pStyle w:val="80"/>
        <w:adjustRightInd w:val="0"/>
        <w:snapToGrid w:val="0"/>
        <w:spacing w:line="500" w:lineRule="exact"/>
        <w:ind w:firstLine="420" w:firstLineChars="200"/>
        <w:rPr>
          <w:rFonts w:hint="default" w:ascii="宋体" w:hAnsi="宋体" w:eastAsia="宋体" w:cs="宋体"/>
          <w:b w:val="0"/>
          <w:bCs w:val="0"/>
          <w:color w:val="auto"/>
          <w:szCs w:val="21"/>
          <w:highlight w:val="none"/>
        </w:rPr>
      </w:pPr>
      <w:r>
        <w:rPr>
          <w:rFonts w:ascii="宋体" w:hAnsi="宋体" w:eastAsia="宋体" w:cs="宋体"/>
          <w:b w:val="0"/>
          <w:bCs w:val="0"/>
          <w:color w:val="auto"/>
          <w:szCs w:val="21"/>
          <w:highlight w:val="none"/>
        </w:rPr>
        <w:t>1</w:t>
      </w:r>
      <w:r>
        <w:rPr>
          <w:rFonts w:ascii="宋体" w:hAnsi="宋体" w:eastAsia="宋体" w:cs="宋体"/>
          <w:b w:val="0"/>
          <w:bCs w:val="0"/>
          <w:color w:val="auto"/>
          <w:szCs w:val="21"/>
          <w:highlight w:val="none"/>
          <w:lang w:eastAsia="zh-CN"/>
        </w:rPr>
        <w:t>.</w:t>
      </w:r>
      <w:r>
        <w:rPr>
          <w:rFonts w:ascii="宋体" w:hAnsi="宋体" w:eastAsia="宋体" w:cs="宋体"/>
          <w:b w:val="0"/>
          <w:bCs w:val="0"/>
          <w:color w:val="auto"/>
          <w:szCs w:val="21"/>
          <w:highlight w:val="none"/>
        </w:rPr>
        <w:t>合同签订后，若乙方擅自中途停止、违约或者擅自解除合同，没收其履约保证金，并且赔偿甲方的全部损失。</w:t>
      </w:r>
    </w:p>
    <w:p>
      <w:pPr>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lang w:val="en-US" w:eastAsia="zh-CN"/>
        </w:rPr>
        <w:t>2</w:t>
      </w:r>
      <w:r>
        <w:rPr>
          <w:rFonts w:hint="eastAsia" w:hAnsi="宋体" w:cs="宋体"/>
          <w:color w:val="auto"/>
          <w:sz w:val="21"/>
          <w:szCs w:val="21"/>
          <w:highlight w:val="none"/>
        </w:rPr>
        <w:t>.在合同期内和合同终止后，乙方应按本合同第八条的规定履行保密责任。如有违反，一经查实，甲方有权要求乙方按所有委托项目的</w:t>
      </w:r>
      <w:r>
        <w:rPr>
          <w:rFonts w:hint="eastAsia" w:hAnsi="宋体" w:cs="宋体"/>
          <w:color w:val="auto"/>
          <w:sz w:val="21"/>
          <w:szCs w:val="21"/>
          <w:highlight w:val="none"/>
          <w:lang w:eastAsia="zh-CN"/>
        </w:rPr>
        <w:t>预算金额</w:t>
      </w:r>
      <w:r>
        <w:rPr>
          <w:rFonts w:hint="eastAsia" w:hAnsi="宋体" w:cs="宋体"/>
          <w:color w:val="auto"/>
          <w:sz w:val="21"/>
          <w:szCs w:val="21"/>
          <w:highlight w:val="none"/>
        </w:rPr>
        <w:t>的20%赔偿损失，并有权追究其法律责任和其他经济损失。</w:t>
      </w:r>
    </w:p>
    <w:p>
      <w:pPr>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lang w:val="en-US" w:eastAsia="zh-CN"/>
        </w:rPr>
        <w:t>3</w:t>
      </w:r>
      <w:r>
        <w:rPr>
          <w:rFonts w:hint="eastAsia" w:hAnsi="宋体" w:cs="宋体"/>
          <w:color w:val="auto"/>
          <w:sz w:val="21"/>
          <w:szCs w:val="21"/>
          <w:highlight w:val="none"/>
        </w:rPr>
        <w:t>.乙方应加强作业人员的安全意识教育，杜绝各种安全事故隐患。在现场作业时，须穿戴有安全标志的衣（帽），并在架设的仪器旁设置明显的警示标志，确保工作人员的人身安全和仪器设备的安全。若发生任何安全责任事故，均由乙方自行负责。</w:t>
      </w:r>
    </w:p>
    <w:p>
      <w:pPr>
        <w:widowControl/>
        <w:snapToGrid w:val="0"/>
        <w:spacing w:line="500" w:lineRule="exact"/>
        <w:ind w:firstLine="420" w:firstLineChars="200"/>
        <w:rPr>
          <w:rFonts w:hint="eastAsia" w:hAnsi="宋体" w:eastAsia="宋体" w:cs="宋体"/>
          <w:b/>
          <w:color w:val="auto"/>
          <w:sz w:val="21"/>
          <w:szCs w:val="21"/>
          <w:highlight w:val="none"/>
          <w:lang w:eastAsia="zh-CN"/>
        </w:rPr>
      </w:pPr>
      <w:r>
        <w:rPr>
          <w:rFonts w:hint="eastAsia" w:hAnsi="宋体" w:cs="宋体"/>
          <w:color w:val="auto"/>
          <w:sz w:val="21"/>
          <w:szCs w:val="21"/>
          <w:highlight w:val="none"/>
          <w:lang w:val="en-US" w:eastAsia="zh-CN"/>
        </w:rPr>
        <w:t>4</w:t>
      </w:r>
      <w:r>
        <w:rPr>
          <w:rFonts w:hint="eastAsia" w:hAnsi="宋体" w:cs="宋体"/>
          <w:color w:val="auto"/>
          <w:sz w:val="21"/>
          <w:szCs w:val="21"/>
          <w:highlight w:val="none"/>
        </w:rPr>
        <w:t>.</w:t>
      </w:r>
      <w:r>
        <w:rPr>
          <w:rFonts w:hint="eastAsia" w:hAnsi="宋体" w:cs="宋体"/>
          <w:b w:val="0"/>
          <w:bCs/>
          <w:color w:val="auto"/>
          <w:sz w:val="21"/>
          <w:szCs w:val="21"/>
          <w:highlight w:val="none"/>
          <w:lang w:val="en-US" w:eastAsia="zh-CN"/>
        </w:rPr>
        <w:t>乙方超过约定日期三十日历天，仍未交付检测成果甲方可选择终止合同，乙方应返还甲方已支付的款项；如甲方选择继续履行合同，乙方应向甲方支付逾期交付成果的违约金，每逾期一日，按项目预算金额的千分之</w:t>
      </w:r>
      <w:r>
        <w:rPr>
          <w:rFonts w:hint="eastAsia" w:hAnsi="宋体" w:cs="宋体"/>
          <w:color w:val="auto"/>
          <w:sz w:val="21"/>
          <w:szCs w:val="21"/>
          <w:highlight w:val="none"/>
        </w:rPr>
        <w:t>六</w:t>
      </w:r>
      <w:r>
        <w:rPr>
          <w:rFonts w:hint="eastAsia" w:hAnsi="宋体" w:cs="宋体"/>
          <w:b w:val="0"/>
          <w:bCs/>
          <w:color w:val="auto"/>
          <w:sz w:val="21"/>
          <w:szCs w:val="21"/>
          <w:highlight w:val="none"/>
          <w:lang w:val="en-US" w:eastAsia="zh-CN"/>
        </w:rPr>
        <w:t>支付。</w:t>
      </w:r>
      <w:r>
        <w:rPr>
          <w:rFonts w:hint="eastAsia" w:hAnsi="宋体" w:cs="宋体"/>
          <w:color w:val="auto"/>
          <w:sz w:val="21"/>
          <w:szCs w:val="21"/>
          <w:highlight w:val="none"/>
        </w:rPr>
        <w:t>如造成甲方损失超过违约金的，超出部分由乙方继续承担赔偿责任。</w:t>
      </w:r>
    </w:p>
    <w:p>
      <w:pPr>
        <w:snapToGrid w:val="0"/>
        <w:spacing w:line="500" w:lineRule="exact"/>
        <w:ind w:firstLine="420" w:firstLineChars="200"/>
        <w:rPr>
          <w:rFonts w:hAnsi="宋体" w:cs="宋体"/>
          <w:b/>
          <w:color w:val="auto"/>
          <w:sz w:val="21"/>
          <w:szCs w:val="21"/>
          <w:highlight w:val="none"/>
        </w:rPr>
      </w:pPr>
      <w:r>
        <w:rPr>
          <w:rFonts w:hint="eastAsia" w:hAnsi="宋体" w:cs="宋体"/>
          <w:color w:val="auto"/>
          <w:sz w:val="21"/>
          <w:szCs w:val="21"/>
          <w:highlight w:val="none"/>
          <w:lang w:val="en-US" w:eastAsia="zh-CN"/>
        </w:rPr>
        <w:t>5</w:t>
      </w:r>
      <w:r>
        <w:rPr>
          <w:rFonts w:hint="eastAsia" w:hAnsi="宋体" w:cs="宋体"/>
          <w:color w:val="auto"/>
          <w:sz w:val="21"/>
          <w:szCs w:val="21"/>
          <w:highlight w:val="none"/>
        </w:rPr>
        <w:t>.乙方必须为全体作业人员购买人身意外险，必须重视安全生产工作，确保</w:t>
      </w:r>
      <w:r>
        <w:rPr>
          <w:rFonts w:hint="eastAsia" w:hAnsi="宋体" w:cs="宋体"/>
          <w:color w:val="auto"/>
          <w:sz w:val="21"/>
          <w:szCs w:val="21"/>
          <w:highlight w:val="none"/>
          <w:lang w:val="en-US" w:eastAsia="zh-CN"/>
        </w:rPr>
        <w:t>施工期间</w:t>
      </w:r>
      <w:r>
        <w:rPr>
          <w:rFonts w:hint="eastAsia" w:hAnsi="宋体" w:cs="宋体"/>
          <w:color w:val="auto"/>
          <w:sz w:val="21"/>
          <w:szCs w:val="21"/>
          <w:highlight w:val="none"/>
        </w:rPr>
        <w:t>不出安全生产责任事故。合同履约期间，乙方未按照</w:t>
      </w:r>
      <w:r>
        <w:rPr>
          <w:rFonts w:hint="eastAsia" w:hAnsi="宋体" w:cs="宋体"/>
          <w:color w:val="auto"/>
          <w:sz w:val="21"/>
          <w:szCs w:val="21"/>
          <w:highlight w:val="none"/>
          <w:lang w:eastAsia="zh-CN"/>
        </w:rPr>
        <w:t>国家</w:t>
      </w:r>
      <w:r>
        <w:rPr>
          <w:rFonts w:hint="eastAsia" w:hAnsi="宋体" w:cs="宋体"/>
          <w:color w:val="auto"/>
          <w:sz w:val="21"/>
          <w:szCs w:val="21"/>
          <w:highlight w:val="none"/>
          <w:lang w:val="en-US" w:eastAsia="zh-CN"/>
        </w:rPr>
        <w:t>/地方</w:t>
      </w:r>
      <w:r>
        <w:rPr>
          <w:rFonts w:hint="eastAsia" w:hAnsi="宋体" w:cs="宋体"/>
          <w:color w:val="auto"/>
          <w:sz w:val="21"/>
          <w:szCs w:val="21"/>
          <w:highlight w:val="none"/>
          <w:lang w:eastAsia="zh-CN"/>
        </w:rPr>
        <w:t>安全生产相关的法律法规及规定</w:t>
      </w:r>
      <w:r>
        <w:rPr>
          <w:rFonts w:hint="eastAsia" w:hAnsi="宋体" w:cs="宋体"/>
          <w:color w:val="auto"/>
          <w:sz w:val="21"/>
          <w:szCs w:val="21"/>
          <w:highlight w:val="none"/>
        </w:rPr>
        <w:t>进行安全作业的，每发现一次扣1000元；如发生人员伤亡的安全生产责任事故或交通事故，由乙方承担一切责任及损失，甲方有权单方面无条件终止合同。</w:t>
      </w:r>
    </w:p>
    <w:p>
      <w:pPr>
        <w:snapToGrid w:val="0"/>
        <w:spacing w:line="500" w:lineRule="exact"/>
        <w:ind w:firstLine="420" w:firstLineChars="200"/>
        <w:rPr>
          <w:rFonts w:hAnsi="宋体" w:cs="宋体"/>
          <w:bCs/>
          <w:color w:val="auto"/>
          <w:sz w:val="21"/>
          <w:szCs w:val="21"/>
          <w:highlight w:val="none"/>
        </w:rPr>
      </w:pPr>
      <w:r>
        <w:rPr>
          <w:rFonts w:hint="eastAsia" w:hAnsi="宋体" w:cs="宋体"/>
          <w:bCs/>
          <w:color w:val="auto"/>
          <w:sz w:val="21"/>
          <w:szCs w:val="21"/>
          <w:highlight w:val="none"/>
          <w:lang w:val="en-US" w:eastAsia="zh-CN"/>
        </w:rPr>
        <w:t>十一</w:t>
      </w:r>
      <w:r>
        <w:rPr>
          <w:rFonts w:hint="eastAsia" w:hAnsi="宋体" w:cs="宋体"/>
          <w:bCs/>
          <w:color w:val="auto"/>
          <w:sz w:val="21"/>
          <w:szCs w:val="21"/>
          <w:highlight w:val="none"/>
        </w:rPr>
        <w:t>、其他</w:t>
      </w:r>
    </w:p>
    <w:p>
      <w:pPr>
        <w:snapToGrid w:val="0"/>
        <w:spacing w:line="500" w:lineRule="exact"/>
        <w:ind w:firstLine="420" w:firstLineChars="200"/>
        <w:rPr>
          <w:rFonts w:hAnsi="宋体" w:cs="宋体"/>
          <w:bCs/>
          <w:color w:val="auto"/>
          <w:sz w:val="21"/>
          <w:szCs w:val="21"/>
          <w:highlight w:val="none"/>
        </w:rPr>
      </w:pPr>
      <w:r>
        <w:rPr>
          <w:rFonts w:hint="eastAsia" w:hAnsi="宋体" w:cs="宋体"/>
          <w:bCs/>
          <w:color w:val="auto"/>
          <w:sz w:val="21"/>
          <w:szCs w:val="21"/>
          <w:highlight w:val="none"/>
        </w:rPr>
        <w:t>1.外部矛盾由乙方自行负责协调，费用自理。</w:t>
      </w:r>
    </w:p>
    <w:p>
      <w:pPr>
        <w:snapToGrid w:val="0"/>
        <w:spacing w:line="500" w:lineRule="exact"/>
        <w:ind w:firstLine="420" w:firstLineChars="200"/>
        <w:rPr>
          <w:rFonts w:hAnsi="宋体" w:cs="宋体"/>
          <w:color w:val="auto"/>
          <w:sz w:val="21"/>
          <w:szCs w:val="21"/>
          <w:highlight w:val="none"/>
        </w:rPr>
      </w:pPr>
      <w:r>
        <w:rPr>
          <w:rFonts w:hint="eastAsia" w:hAnsi="宋体" w:cs="宋体"/>
          <w:bCs/>
          <w:color w:val="auto"/>
          <w:sz w:val="21"/>
          <w:szCs w:val="21"/>
          <w:highlight w:val="none"/>
        </w:rPr>
        <w:t>2.因乙</w:t>
      </w:r>
      <w:r>
        <w:rPr>
          <w:rFonts w:hint="eastAsia" w:hAnsi="宋体" w:cs="宋体"/>
          <w:color w:val="auto"/>
          <w:sz w:val="21"/>
          <w:szCs w:val="21"/>
          <w:highlight w:val="none"/>
        </w:rPr>
        <w:t>方提供的测绘等成果资料质量不合格不能通过</w:t>
      </w:r>
      <w:r>
        <w:rPr>
          <w:rFonts w:hint="eastAsia" w:hAnsi="宋体" w:cs="宋体"/>
          <w:color w:val="auto"/>
          <w:sz w:val="21"/>
          <w:szCs w:val="21"/>
          <w:highlight w:val="none"/>
          <w:lang w:val="en-US" w:eastAsia="zh-CN"/>
        </w:rPr>
        <w:t>验收/第三方质检的</w:t>
      </w:r>
      <w:r>
        <w:rPr>
          <w:rFonts w:hint="eastAsia" w:hAnsi="宋体" w:cs="宋体"/>
          <w:color w:val="auto"/>
          <w:sz w:val="21"/>
          <w:szCs w:val="21"/>
          <w:highlight w:val="none"/>
        </w:rPr>
        <w:t>，乙方必须无偿予以补充完善，使其达到质量合格并确保</w:t>
      </w:r>
      <w:r>
        <w:rPr>
          <w:rFonts w:hint="eastAsia" w:hAnsi="宋体" w:cs="宋体"/>
          <w:color w:val="auto"/>
          <w:sz w:val="21"/>
          <w:szCs w:val="21"/>
          <w:highlight w:val="none"/>
          <w:lang w:val="en-US" w:eastAsia="zh-CN"/>
        </w:rPr>
        <w:t>验收/质检</w:t>
      </w:r>
      <w:r>
        <w:rPr>
          <w:rFonts w:hint="eastAsia" w:hAnsi="宋体" w:cs="宋体"/>
          <w:color w:val="auto"/>
          <w:sz w:val="21"/>
          <w:szCs w:val="21"/>
          <w:highlight w:val="none"/>
        </w:rPr>
        <w:t>通过（涉及到的所有</w:t>
      </w:r>
      <w:r>
        <w:rPr>
          <w:rFonts w:hint="eastAsia" w:hAnsi="宋体" w:cs="宋体"/>
          <w:color w:val="auto"/>
          <w:sz w:val="21"/>
          <w:szCs w:val="21"/>
          <w:highlight w:val="none"/>
          <w:lang w:val="en-US" w:eastAsia="zh-CN"/>
        </w:rPr>
        <w:t>验收/质检</w:t>
      </w:r>
      <w:r>
        <w:rPr>
          <w:rFonts w:hint="eastAsia" w:hAnsi="宋体" w:cs="宋体"/>
          <w:color w:val="auto"/>
          <w:sz w:val="21"/>
          <w:szCs w:val="21"/>
          <w:highlight w:val="none"/>
        </w:rPr>
        <w:t>费由乙方承担）。如造成损失，由乙方负责，同时甲方有权拒绝乙方参加甲方以后项目的投标。</w:t>
      </w:r>
    </w:p>
    <w:p>
      <w:pPr>
        <w:snapToGrid w:val="0"/>
        <w:spacing w:line="500" w:lineRule="exact"/>
        <w:ind w:firstLine="420" w:firstLineChars="200"/>
        <w:rPr>
          <w:rFonts w:hAnsi="宋体" w:cs="宋体"/>
          <w:bCs/>
          <w:color w:val="auto"/>
          <w:sz w:val="21"/>
          <w:szCs w:val="21"/>
          <w:highlight w:val="none"/>
        </w:rPr>
      </w:pPr>
      <w:r>
        <w:rPr>
          <w:rFonts w:hint="eastAsia" w:hAnsi="宋体" w:cs="宋体"/>
          <w:bCs/>
          <w:color w:val="auto"/>
          <w:sz w:val="21"/>
          <w:szCs w:val="21"/>
          <w:highlight w:val="none"/>
          <w:lang w:val="en-US" w:eastAsia="zh-CN"/>
        </w:rPr>
        <w:t>十二</w:t>
      </w:r>
      <w:r>
        <w:rPr>
          <w:rFonts w:hint="eastAsia" w:hAnsi="宋体" w:cs="宋体"/>
          <w:bCs/>
          <w:color w:val="auto"/>
          <w:sz w:val="21"/>
          <w:szCs w:val="21"/>
          <w:highlight w:val="none"/>
        </w:rPr>
        <w:t>、不可抗力事件处理</w:t>
      </w:r>
    </w:p>
    <w:p>
      <w:pPr>
        <w:pStyle w:val="28"/>
        <w:snapToGrid w:val="0"/>
        <w:spacing w:line="500" w:lineRule="exact"/>
        <w:ind w:firstLine="420" w:firstLineChars="200"/>
        <w:rPr>
          <w:rFonts w:ascii="宋体" w:hAnsi="宋体" w:cs="宋体"/>
          <w:bCs/>
          <w:color w:val="auto"/>
          <w:kern w:val="2"/>
          <w:sz w:val="21"/>
          <w:highlight w:val="none"/>
        </w:rPr>
      </w:pPr>
      <w:r>
        <w:rPr>
          <w:rFonts w:hint="eastAsia" w:ascii="宋体" w:hAnsi="宋体" w:cs="宋体"/>
          <w:bCs/>
          <w:color w:val="auto"/>
          <w:kern w:val="2"/>
          <w:sz w:val="21"/>
          <w:highlight w:val="none"/>
        </w:rPr>
        <w:t>1.在合同有效期内，任何一方因不可抗力事件导致不能履行合同，则合同履行期可延长，其延长期与不可抗力影响期相同。</w:t>
      </w:r>
    </w:p>
    <w:p>
      <w:pPr>
        <w:pStyle w:val="28"/>
        <w:snapToGrid w:val="0"/>
        <w:spacing w:line="500" w:lineRule="exact"/>
        <w:ind w:firstLine="420" w:firstLineChars="200"/>
        <w:rPr>
          <w:rFonts w:ascii="宋体" w:hAnsi="宋体" w:cs="宋体"/>
          <w:bCs/>
          <w:color w:val="auto"/>
          <w:kern w:val="2"/>
          <w:sz w:val="21"/>
          <w:highlight w:val="none"/>
        </w:rPr>
      </w:pPr>
      <w:r>
        <w:rPr>
          <w:rFonts w:hint="eastAsia" w:ascii="宋体" w:hAnsi="宋体" w:cs="宋体"/>
          <w:bCs/>
          <w:color w:val="auto"/>
          <w:kern w:val="2"/>
          <w:sz w:val="21"/>
          <w:highlight w:val="none"/>
        </w:rPr>
        <w:t>2.不可抗力事件发生后，应立即通知对方，并寄送有关权威机构出具的证明。</w:t>
      </w:r>
    </w:p>
    <w:p>
      <w:pPr>
        <w:pStyle w:val="28"/>
        <w:snapToGrid w:val="0"/>
        <w:spacing w:line="500" w:lineRule="exact"/>
        <w:ind w:firstLine="420" w:firstLineChars="200"/>
        <w:rPr>
          <w:rFonts w:ascii="宋体" w:hAnsi="宋体" w:cs="宋体"/>
          <w:bCs/>
          <w:color w:val="auto"/>
          <w:kern w:val="2"/>
          <w:sz w:val="21"/>
          <w:highlight w:val="none"/>
        </w:rPr>
      </w:pPr>
      <w:r>
        <w:rPr>
          <w:rFonts w:hint="eastAsia" w:ascii="宋体" w:hAnsi="宋体" w:cs="宋体"/>
          <w:bCs/>
          <w:color w:val="auto"/>
          <w:kern w:val="2"/>
          <w:sz w:val="21"/>
          <w:highlight w:val="none"/>
        </w:rPr>
        <w:t>3.不可抗力事件延续120天以上，双方应通过友好协商，确定是否继续履行合同。</w:t>
      </w:r>
    </w:p>
    <w:p>
      <w:pPr>
        <w:snapToGrid w:val="0"/>
        <w:spacing w:line="500" w:lineRule="exact"/>
        <w:ind w:firstLine="420" w:firstLineChars="200"/>
        <w:rPr>
          <w:rFonts w:hAnsi="宋体" w:cs="宋体"/>
          <w:bCs/>
          <w:color w:val="auto"/>
          <w:sz w:val="21"/>
          <w:szCs w:val="21"/>
          <w:highlight w:val="none"/>
        </w:rPr>
      </w:pPr>
      <w:r>
        <w:rPr>
          <w:rFonts w:hint="eastAsia" w:hAnsi="宋体" w:cs="宋体"/>
          <w:bCs/>
          <w:color w:val="auto"/>
          <w:sz w:val="21"/>
          <w:szCs w:val="21"/>
          <w:highlight w:val="none"/>
        </w:rPr>
        <w:t>十</w:t>
      </w:r>
      <w:r>
        <w:rPr>
          <w:rFonts w:hint="eastAsia" w:hAnsi="宋体" w:cs="宋体"/>
          <w:bCs/>
          <w:color w:val="auto"/>
          <w:sz w:val="21"/>
          <w:szCs w:val="21"/>
          <w:highlight w:val="none"/>
          <w:lang w:val="en-US" w:eastAsia="zh-CN"/>
        </w:rPr>
        <w:t>三</w:t>
      </w:r>
      <w:r>
        <w:rPr>
          <w:rFonts w:hint="eastAsia" w:hAnsi="宋体" w:cs="宋体"/>
          <w:bCs/>
          <w:color w:val="auto"/>
          <w:sz w:val="21"/>
          <w:szCs w:val="21"/>
          <w:highlight w:val="none"/>
        </w:rPr>
        <w:t>、诉讼</w:t>
      </w:r>
    </w:p>
    <w:p>
      <w:pPr>
        <w:pStyle w:val="28"/>
        <w:snapToGrid w:val="0"/>
        <w:spacing w:line="500" w:lineRule="exact"/>
        <w:ind w:firstLine="420" w:firstLineChars="200"/>
        <w:rPr>
          <w:rFonts w:ascii="宋体" w:hAnsi="宋体" w:cs="宋体"/>
          <w:bCs/>
          <w:color w:val="auto"/>
          <w:sz w:val="21"/>
          <w:highlight w:val="none"/>
        </w:rPr>
      </w:pPr>
      <w:r>
        <w:rPr>
          <w:rFonts w:hint="eastAsia" w:ascii="宋体" w:hAnsi="宋体" w:cs="宋体"/>
          <w:bCs/>
          <w:color w:val="auto"/>
          <w:kern w:val="2"/>
          <w:sz w:val="21"/>
          <w:highlight w:val="none"/>
        </w:rPr>
        <w:t>双方在执行合同中所发生的一切争议</w:t>
      </w:r>
      <w:r>
        <w:rPr>
          <w:rFonts w:hint="eastAsia" w:ascii="宋体" w:hAnsi="宋体" w:cs="宋体"/>
          <w:bCs/>
          <w:color w:val="auto"/>
          <w:sz w:val="21"/>
          <w:highlight w:val="none"/>
        </w:rPr>
        <w:t>，应通过协商解决。如协商不成，可向甲方所在地法院起诉。</w:t>
      </w:r>
    </w:p>
    <w:p>
      <w:pPr>
        <w:snapToGrid w:val="0"/>
        <w:spacing w:line="500" w:lineRule="exact"/>
        <w:ind w:firstLine="420" w:firstLineChars="200"/>
        <w:rPr>
          <w:rFonts w:hAnsi="宋体" w:cs="宋体"/>
          <w:bCs/>
          <w:color w:val="auto"/>
          <w:sz w:val="21"/>
          <w:szCs w:val="21"/>
          <w:highlight w:val="none"/>
        </w:rPr>
      </w:pPr>
      <w:r>
        <w:rPr>
          <w:rFonts w:hint="eastAsia" w:hAnsi="宋体" w:cs="宋体"/>
          <w:bCs/>
          <w:color w:val="auto"/>
          <w:sz w:val="21"/>
          <w:szCs w:val="21"/>
          <w:highlight w:val="none"/>
        </w:rPr>
        <w:t>十</w:t>
      </w:r>
      <w:r>
        <w:rPr>
          <w:rFonts w:hint="eastAsia" w:hAnsi="宋体" w:cs="宋体"/>
          <w:bCs/>
          <w:color w:val="auto"/>
          <w:sz w:val="21"/>
          <w:szCs w:val="21"/>
          <w:highlight w:val="none"/>
          <w:lang w:val="en-US" w:eastAsia="zh-CN"/>
        </w:rPr>
        <w:t>四</w:t>
      </w:r>
      <w:r>
        <w:rPr>
          <w:rFonts w:hint="eastAsia" w:hAnsi="宋体" w:cs="宋体"/>
          <w:bCs/>
          <w:color w:val="auto"/>
          <w:sz w:val="21"/>
          <w:szCs w:val="21"/>
          <w:highlight w:val="none"/>
        </w:rPr>
        <w:t>、合同生效及其它</w:t>
      </w:r>
    </w:p>
    <w:p>
      <w:pPr>
        <w:pStyle w:val="28"/>
        <w:snapToGrid w:val="0"/>
        <w:spacing w:line="500" w:lineRule="exact"/>
        <w:ind w:firstLine="420" w:firstLineChars="200"/>
        <w:rPr>
          <w:rFonts w:ascii="宋体" w:hAnsi="宋体" w:cs="宋体"/>
          <w:bCs/>
          <w:color w:val="auto"/>
          <w:kern w:val="2"/>
          <w:sz w:val="21"/>
          <w:highlight w:val="none"/>
        </w:rPr>
      </w:pPr>
      <w:r>
        <w:rPr>
          <w:rFonts w:hint="eastAsia" w:ascii="宋体" w:hAnsi="宋体" w:cs="宋体"/>
          <w:bCs/>
          <w:color w:val="auto"/>
          <w:kern w:val="2"/>
          <w:sz w:val="21"/>
          <w:highlight w:val="none"/>
        </w:rPr>
        <w:t>1.合同经双方法定代表人或授权代表签字并加盖单位公章后生效。</w:t>
      </w:r>
    </w:p>
    <w:p>
      <w:pPr>
        <w:pStyle w:val="28"/>
        <w:snapToGrid w:val="0"/>
        <w:spacing w:line="500" w:lineRule="exact"/>
        <w:ind w:firstLine="420" w:firstLineChars="200"/>
        <w:rPr>
          <w:rFonts w:ascii="宋体" w:hAnsi="宋体" w:cs="宋体"/>
          <w:bCs/>
          <w:color w:val="auto"/>
          <w:kern w:val="2"/>
          <w:sz w:val="21"/>
          <w:highlight w:val="none"/>
        </w:rPr>
      </w:pPr>
      <w:r>
        <w:rPr>
          <w:rFonts w:hint="eastAsia" w:ascii="宋体" w:hAnsi="宋体" w:cs="宋体"/>
          <w:bCs/>
          <w:color w:val="auto"/>
          <w:kern w:val="2"/>
          <w:sz w:val="21"/>
          <w:highlight w:val="none"/>
        </w:rPr>
        <w:t>2.合同执行中涉及采购资金和采购内容修改或补充的，并签书面补充协议后，方可作为主合同不可分割的一部分。</w:t>
      </w:r>
    </w:p>
    <w:p>
      <w:pPr>
        <w:pStyle w:val="28"/>
        <w:snapToGrid w:val="0"/>
        <w:spacing w:line="500" w:lineRule="exact"/>
        <w:ind w:firstLine="420" w:firstLineChars="200"/>
        <w:rPr>
          <w:rFonts w:ascii="宋体" w:hAnsi="宋体" w:cs="宋体"/>
          <w:bCs/>
          <w:color w:val="auto"/>
          <w:sz w:val="21"/>
          <w:highlight w:val="none"/>
          <w:u w:val="single"/>
        </w:rPr>
      </w:pPr>
      <w:r>
        <w:rPr>
          <w:rFonts w:hint="eastAsia" w:ascii="宋体" w:hAnsi="宋体" w:cs="宋体"/>
          <w:bCs/>
          <w:color w:val="auto"/>
          <w:sz w:val="21"/>
          <w:highlight w:val="none"/>
        </w:rPr>
        <w:t>3.</w:t>
      </w:r>
      <w:r>
        <w:rPr>
          <w:rFonts w:hint="eastAsia" w:ascii="宋体" w:hAnsi="宋体" w:cs="宋体"/>
          <w:bCs/>
          <w:color w:val="auto"/>
          <w:kern w:val="2"/>
          <w:sz w:val="21"/>
          <w:highlight w:val="none"/>
        </w:rPr>
        <w:t>其他约定事项</w:t>
      </w:r>
      <w:r>
        <w:rPr>
          <w:rFonts w:hint="eastAsia" w:ascii="宋体" w:hAnsi="宋体" w:cs="宋体"/>
          <w:bCs/>
          <w:color w:val="auto"/>
          <w:sz w:val="21"/>
          <w:highlight w:val="none"/>
        </w:rPr>
        <w:t>：</w:t>
      </w:r>
    </w:p>
    <w:p>
      <w:pPr>
        <w:snapToGrid w:val="0"/>
        <w:spacing w:line="500" w:lineRule="exact"/>
        <w:ind w:firstLine="420" w:firstLineChars="200"/>
        <w:rPr>
          <w:rFonts w:hAnsi="宋体" w:cs="宋体"/>
          <w:color w:val="auto"/>
          <w:sz w:val="21"/>
          <w:szCs w:val="21"/>
          <w:highlight w:val="none"/>
        </w:rPr>
      </w:pPr>
      <w:r>
        <w:rPr>
          <w:rFonts w:hint="eastAsia" w:hAnsi="宋体" w:cs="宋体"/>
          <w:bCs/>
          <w:color w:val="auto"/>
          <w:sz w:val="21"/>
          <w:szCs w:val="21"/>
          <w:highlight w:val="none"/>
        </w:rPr>
        <w:t>4.招标文件、投标文件及评标过程中形成的文字资料、询标纪要均作为本合同的组成部分，具有同等效力。本合同未尽事宜，遵照《中</w:t>
      </w:r>
      <w:r>
        <w:rPr>
          <w:rFonts w:hint="eastAsia" w:hAnsi="宋体" w:cs="宋体"/>
          <w:color w:val="auto"/>
          <w:sz w:val="21"/>
          <w:szCs w:val="21"/>
          <w:highlight w:val="none"/>
        </w:rPr>
        <w:t>华人民共和国民法典》及上述资料有关条文执行。</w:t>
      </w:r>
    </w:p>
    <w:p>
      <w:pPr>
        <w:pStyle w:val="28"/>
        <w:snapToGrid w:val="0"/>
        <w:spacing w:line="500" w:lineRule="exact"/>
        <w:ind w:firstLine="420" w:firstLineChars="200"/>
        <w:rPr>
          <w:rFonts w:ascii="宋体" w:hAnsi="宋体" w:cs="宋体"/>
          <w:bCs/>
          <w:color w:val="auto"/>
          <w:sz w:val="21"/>
          <w:highlight w:val="none"/>
        </w:rPr>
      </w:pPr>
      <w:r>
        <w:rPr>
          <w:rFonts w:hint="eastAsia" w:ascii="宋体" w:hAnsi="宋体" w:cs="宋体"/>
          <w:bCs/>
          <w:color w:val="auto"/>
          <w:sz w:val="21"/>
          <w:highlight w:val="none"/>
        </w:rPr>
        <w:t>5.本合同一式十份，甲、乙双方各执四份，</w:t>
      </w:r>
      <w:r>
        <w:rPr>
          <w:rFonts w:hint="eastAsia" w:ascii="宋体" w:hAnsi="宋体" w:cs="宋体"/>
          <w:color w:val="auto"/>
          <w:sz w:val="21"/>
          <w:highlight w:val="none"/>
        </w:rPr>
        <w:t>代理机构留存二份。具有同等法律效力。</w:t>
      </w:r>
    </w:p>
    <w:p>
      <w:pPr>
        <w:snapToGrid w:val="0"/>
        <w:spacing w:line="500" w:lineRule="exact"/>
        <w:ind w:firstLine="420" w:firstLineChars="200"/>
        <w:rPr>
          <w:rFonts w:hAnsi="宋体" w:cs="宋体"/>
          <w:color w:val="auto"/>
          <w:sz w:val="21"/>
          <w:szCs w:val="21"/>
          <w:highlight w:val="none"/>
        </w:rPr>
      </w:pPr>
    </w:p>
    <w:p>
      <w:pPr>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 xml:space="preserve">甲方（盖章）：                          乙方（盖章）：                 </w:t>
      </w:r>
    </w:p>
    <w:p>
      <w:pPr>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 xml:space="preserve">法定代表人：                            法定代表人：                </w:t>
      </w:r>
    </w:p>
    <w:p>
      <w:pPr>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 xml:space="preserve">或授权代表（签字）：                    或授权代表（签字）：           </w:t>
      </w:r>
    </w:p>
    <w:p>
      <w:pPr>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 xml:space="preserve">地址：                                  地址：     </w:t>
      </w:r>
    </w:p>
    <w:p>
      <w:pPr>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 xml:space="preserve">邮编：                                  邮编：                     </w:t>
      </w:r>
    </w:p>
    <w:p>
      <w:pPr>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 xml:space="preserve">电话：                                  电话：             </w:t>
      </w:r>
    </w:p>
    <w:p>
      <w:pPr>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 xml:space="preserve">传真：                                  传真：         </w:t>
      </w:r>
    </w:p>
    <w:p>
      <w:pPr>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 xml:space="preserve">开户银行：                              开户银行：    </w:t>
      </w:r>
    </w:p>
    <w:p>
      <w:pPr>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 xml:space="preserve">帐号：                                  帐号：     </w:t>
      </w:r>
    </w:p>
    <w:p>
      <w:pPr>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签约时间：      年    月   日           签约地点：金华</w:t>
      </w:r>
    </w:p>
    <w:p>
      <w:pPr>
        <w:spacing w:line="500" w:lineRule="exact"/>
        <w:ind w:firstLine="420" w:firstLineChars="200"/>
        <w:rPr>
          <w:rFonts w:hint="eastAsia" w:ascii="宋体" w:hAnsi="宋体" w:cs="宋体"/>
          <w:b/>
          <w:color w:val="auto"/>
          <w:sz w:val="21"/>
          <w:highlight w:val="none"/>
        </w:rPr>
      </w:pPr>
      <w:r>
        <w:rPr>
          <w:rFonts w:hint="eastAsia" w:hAnsi="宋体" w:cs="宋体"/>
          <w:color w:val="auto"/>
          <w:sz w:val="21"/>
          <w:szCs w:val="21"/>
          <w:highlight w:val="none"/>
        </w:rPr>
        <w:t>采购代理机构意见:</w:t>
      </w:r>
      <w:r>
        <w:rPr>
          <w:rFonts w:hint="eastAsia" w:hAnsi="宋体" w:cs="宋体"/>
          <w:color w:val="auto"/>
          <w:sz w:val="21"/>
          <w:szCs w:val="21"/>
          <w:highlight w:val="none"/>
        </w:rPr>
        <w:br w:type="textWrapping"/>
      </w:r>
    </w:p>
    <w:p>
      <w:pPr>
        <w:snapToGrid w:val="0"/>
        <w:spacing w:line="500" w:lineRule="exact"/>
        <w:ind w:firstLine="0" w:firstLineChars="0"/>
        <w:rPr>
          <w:rFonts w:ascii="宋体" w:hAnsi="宋体" w:cs="宋体"/>
          <w:color w:val="auto"/>
          <w:highlight w:val="none"/>
        </w:rPr>
      </w:pPr>
      <w:r>
        <w:rPr>
          <w:rFonts w:hint="eastAsia" w:ascii="宋体" w:hAnsi="宋体" w:cs="宋体"/>
          <w:b/>
          <w:color w:val="auto"/>
          <w:sz w:val="21"/>
          <w:highlight w:val="none"/>
        </w:rPr>
        <w:t>注：此合同样本仅作参考，采购人、投标人可根据采购项目的实际情况进行修改。</w:t>
      </w:r>
      <w:bookmarkEnd w:id="43"/>
      <w:bookmarkStart w:id="44" w:name="_Toc351559946"/>
    </w:p>
    <w:p>
      <w:pPr>
        <w:pStyle w:val="5"/>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br w:type="page"/>
      </w:r>
      <w:r>
        <w:rPr>
          <w:rFonts w:hint="eastAsia" w:ascii="宋体" w:hAnsi="宋体" w:cs="宋体"/>
          <w:color w:val="auto"/>
          <w:sz w:val="30"/>
          <w:szCs w:val="30"/>
          <w:highlight w:val="none"/>
        </w:rPr>
        <w:t>第六章　投标文件格式</w:t>
      </w:r>
    </w:p>
    <w:p>
      <w:pPr>
        <w:snapToGrid w:val="0"/>
        <w:spacing w:beforeLines="50" w:after="50"/>
        <w:jc w:val="center"/>
        <w:rPr>
          <w:rFonts w:hAnsi="宋体" w:cs="宋体"/>
          <w:color w:val="auto"/>
          <w:sz w:val="24"/>
          <w:highlight w:val="none"/>
        </w:rPr>
      </w:pPr>
      <w:bookmarkStart w:id="45" w:name="_Toc351559947"/>
      <w:r>
        <w:rPr>
          <w:rFonts w:hint="eastAsia" w:hAnsi="宋体" w:cs="宋体"/>
          <w:color w:val="auto"/>
          <w:sz w:val="24"/>
          <w:highlight w:val="none"/>
        </w:rPr>
        <w:t>一、投标文件封面格式</w:t>
      </w:r>
      <w:bookmarkEnd w:id="45"/>
    </w:p>
    <w:p>
      <w:pPr>
        <w:snapToGrid w:val="0"/>
        <w:spacing w:beforeLines="50" w:after="50"/>
        <w:ind w:firstLine="600" w:firstLineChars="250"/>
        <w:rPr>
          <w:rFonts w:hAnsi="宋体" w:cs="宋体"/>
          <w:color w:val="auto"/>
          <w:sz w:val="24"/>
          <w:highlight w:val="none"/>
        </w:rPr>
      </w:pPr>
    </w:p>
    <w:p>
      <w:pPr>
        <w:snapToGrid w:val="0"/>
        <w:spacing w:beforeLines="50" w:after="50"/>
        <w:ind w:firstLine="600" w:firstLineChars="250"/>
        <w:rPr>
          <w:rFonts w:hAnsi="宋体" w:cs="宋体"/>
          <w:color w:val="auto"/>
          <w:sz w:val="24"/>
          <w:highlight w:val="none"/>
        </w:rPr>
      </w:pPr>
    </w:p>
    <w:p>
      <w:pPr>
        <w:snapToGrid w:val="0"/>
        <w:spacing w:beforeLines="50" w:after="50"/>
        <w:ind w:firstLine="600" w:firstLineChars="250"/>
        <w:rPr>
          <w:rFonts w:hAnsi="宋体" w:cs="宋体"/>
          <w:color w:val="auto"/>
          <w:sz w:val="24"/>
          <w:szCs w:val="24"/>
          <w:highlight w:val="none"/>
        </w:rPr>
      </w:pPr>
      <w:r>
        <w:rPr>
          <w:rFonts w:hint="eastAsia" w:hAnsi="宋体" w:cs="宋体"/>
          <w:color w:val="auto"/>
          <w:sz w:val="24"/>
          <w:szCs w:val="24"/>
          <w:highlight w:val="none"/>
        </w:rPr>
        <w:t>所有投标文件的封面格式：(可选用)</w:t>
      </w:r>
    </w:p>
    <w:p>
      <w:pPr>
        <w:snapToGrid w:val="0"/>
        <w:spacing w:beforeLines="50" w:after="50"/>
        <w:rPr>
          <w:rFonts w:hAnsi="宋体" w:cs="宋体"/>
          <w:color w:val="auto"/>
          <w:sz w:val="24"/>
          <w:szCs w:val="24"/>
          <w:highlight w:val="none"/>
        </w:rPr>
      </w:pPr>
    </w:p>
    <w:p>
      <w:pPr>
        <w:snapToGrid w:val="0"/>
        <w:spacing w:beforeLines="50" w:after="50"/>
        <w:jc w:val="center"/>
        <w:rPr>
          <w:rFonts w:hAnsi="宋体" w:cs="宋体"/>
          <w:color w:val="auto"/>
          <w:sz w:val="24"/>
          <w:szCs w:val="24"/>
          <w:highlight w:val="none"/>
        </w:rPr>
      </w:pPr>
    </w:p>
    <w:p>
      <w:pPr>
        <w:snapToGrid w:val="0"/>
        <w:spacing w:beforeLines="50" w:after="50"/>
        <w:jc w:val="center"/>
        <w:rPr>
          <w:rFonts w:hAnsi="宋体" w:cs="宋体"/>
          <w:b/>
          <w:color w:val="auto"/>
          <w:sz w:val="24"/>
          <w:szCs w:val="24"/>
          <w:highlight w:val="none"/>
        </w:rPr>
      </w:pPr>
      <w:r>
        <w:rPr>
          <w:rFonts w:hint="eastAsia" w:hAnsi="宋体" w:cs="宋体"/>
          <w:b/>
          <w:color w:val="auto"/>
          <w:sz w:val="24"/>
          <w:szCs w:val="24"/>
          <w:highlight w:val="none"/>
        </w:rPr>
        <w:t>投标文件</w:t>
      </w:r>
    </w:p>
    <w:p>
      <w:pPr>
        <w:snapToGrid w:val="0"/>
        <w:spacing w:beforeLines="50" w:after="50"/>
        <w:rPr>
          <w:rFonts w:hAnsi="宋体" w:cs="宋体"/>
          <w:color w:val="auto"/>
          <w:sz w:val="24"/>
          <w:szCs w:val="24"/>
          <w:highlight w:val="none"/>
        </w:rPr>
      </w:pPr>
    </w:p>
    <w:p>
      <w:pPr>
        <w:snapToGrid w:val="0"/>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 xml:space="preserve">项目名称： </w:t>
      </w:r>
    </w:p>
    <w:p>
      <w:pPr>
        <w:snapToGrid w:val="0"/>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项目编号：</w:t>
      </w:r>
    </w:p>
    <w:p>
      <w:pPr>
        <w:snapToGrid w:val="0"/>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投标文件名称：资格文件、商务技术文件、报价文件</w:t>
      </w:r>
    </w:p>
    <w:p>
      <w:pPr>
        <w:snapToGrid w:val="0"/>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投标人名称：</w:t>
      </w:r>
    </w:p>
    <w:p>
      <w:pPr>
        <w:snapToGrid w:val="0"/>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投标人地址：</w:t>
      </w:r>
    </w:p>
    <w:p>
      <w:pPr>
        <w:snapToGrid w:val="0"/>
        <w:spacing w:beforeLines="50" w:after="50"/>
        <w:ind w:firstLine="4080" w:firstLineChars="1700"/>
        <w:rPr>
          <w:rFonts w:hAnsi="宋体" w:cs="宋体"/>
          <w:color w:val="auto"/>
          <w:sz w:val="24"/>
          <w:szCs w:val="24"/>
          <w:highlight w:val="none"/>
        </w:rPr>
      </w:pPr>
    </w:p>
    <w:p>
      <w:pPr>
        <w:snapToGrid w:val="0"/>
        <w:spacing w:beforeLines="50" w:after="50"/>
        <w:ind w:firstLine="645"/>
        <w:jc w:val="center"/>
        <w:rPr>
          <w:rFonts w:hAnsi="宋体" w:cs="宋体"/>
          <w:color w:val="auto"/>
          <w:sz w:val="24"/>
          <w:szCs w:val="24"/>
          <w:highlight w:val="none"/>
        </w:rPr>
      </w:pPr>
      <w:r>
        <w:rPr>
          <w:rFonts w:hint="eastAsia" w:hAnsi="宋体" w:cs="宋体"/>
          <w:color w:val="auto"/>
          <w:sz w:val="24"/>
          <w:szCs w:val="24"/>
          <w:highlight w:val="none"/>
        </w:rPr>
        <w:t>年 月 日</w:t>
      </w:r>
    </w:p>
    <w:p>
      <w:pPr>
        <w:widowControl/>
        <w:snapToGrid w:val="0"/>
        <w:spacing w:before="120" w:after="50"/>
        <w:rPr>
          <w:rFonts w:hAnsi="宋体" w:cs="宋体"/>
          <w:b/>
          <w:color w:val="auto"/>
          <w:sz w:val="21"/>
          <w:highlight w:val="none"/>
        </w:rPr>
      </w:pPr>
      <w:r>
        <w:rPr>
          <w:rFonts w:hint="eastAsia" w:hAnsi="宋体" w:cs="宋体"/>
          <w:color w:val="auto"/>
          <w:sz w:val="21"/>
          <w:szCs w:val="21"/>
          <w:highlight w:val="none"/>
        </w:rPr>
        <w:br w:type="page"/>
      </w:r>
      <w:r>
        <w:rPr>
          <w:rFonts w:hint="eastAsia" w:hAnsi="宋体" w:cs="宋体"/>
          <w:b/>
          <w:color w:val="auto"/>
          <w:sz w:val="24"/>
          <w:highlight w:val="none"/>
        </w:rPr>
        <w:t>（一）资格文件</w:t>
      </w:r>
    </w:p>
    <w:p>
      <w:pPr>
        <w:autoSpaceDE/>
        <w:autoSpaceDN/>
        <w:adjustRightInd/>
        <w:spacing w:line="460" w:lineRule="exact"/>
        <w:ind w:firstLine="482" w:firstLineChars="200"/>
        <w:jc w:val="both"/>
        <w:rPr>
          <w:rFonts w:hAnsi="宋体" w:cs="宋体"/>
          <w:color w:val="auto"/>
          <w:sz w:val="21"/>
          <w:szCs w:val="21"/>
          <w:highlight w:val="none"/>
        </w:rPr>
      </w:pPr>
      <w:r>
        <w:rPr>
          <w:rFonts w:hint="eastAsia" w:hAnsi="宋体" w:cs="宋体"/>
          <w:b/>
          <w:color w:val="auto"/>
          <w:sz w:val="24"/>
          <w:highlight w:val="none"/>
        </w:rPr>
        <w:t xml:space="preserve"> 资格文件目录</w:t>
      </w:r>
    </w:p>
    <w:p>
      <w:pPr>
        <w:autoSpaceDE/>
        <w:autoSpaceDN/>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（1）投标人有效期内的营业执照及其他相关资质证书（复印件加盖有效公章）；</w:t>
      </w:r>
    </w:p>
    <w:p>
      <w:pPr>
        <w:autoSpaceDE/>
        <w:autoSpaceDN/>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（2）投标人法定代表人授权委托书(格式见附件，如法定代表人本人参加的，则提供法定代表人身份证明及法定代表人身份证复印件)；</w:t>
      </w:r>
    </w:p>
    <w:p>
      <w:pPr>
        <w:widowControl/>
        <w:autoSpaceDE/>
        <w:autoSpaceDN/>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（3）符合参加政府采购活动应当具备的一般条件的承诺函（格式见附件）；</w:t>
      </w:r>
    </w:p>
    <w:p>
      <w:pPr>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（4）本项目的特定资格要求（格式见附件）；</w:t>
      </w:r>
    </w:p>
    <w:p>
      <w:pPr>
        <w:autoSpaceDE/>
        <w:autoSpaceDN/>
        <w:adjustRightInd/>
        <w:snapToGrid w:val="0"/>
        <w:spacing w:line="500" w:lineRule="exact"/>
        <w:ind w:firstLine="420" w:firstLineChars="200"/>
        <w:rPr>
          <w:rFonts w:hAnsi="宋体" w:cs="宋体"/>
          <w:color w:val="auto"/>
          <w:sz w:val="21"/>
          <w:szCs w:val="21"/>
          <w:highlight w:val="none"/>
        </w:rPr>
      </w:pPr>
    </w:p>
    <w:p>
      <w:pPr>
        <w:snapToGrid w:val="0"/>
        <w:spacing w:line="460" w:lineRule="exact"/>
        <w:jc w:val="both"/>
        <w:rPr>
          <w:rFonts w:hAnsi="宋体" w:cs="宋体"/>
          <w:b/>
          <w:color w:val="auto"/>
          <w:sz w:val="24"/>
          <w:highlight w:val="none"/>
        </w:rPr>
      </w:pPr>
      <w:r>
        <w:rPr>
          <w:rFonts w:hint="eastAsia" w:hAnsi="宋体" w:cs="宋体"/>
          <w:color w:val="auto"/>
          <w:sz w:val="24"/>
          <w:szCs w:val="24"/>
          <w:highlight w:val="none"/>
        </w:rPr>
        <w:br w:type="page"/>
      </w:r>
      <w:r>
        <w:rPr>
          <w:rFonts w:hint="eastAsia" w:hAnsi="宋体" w:cs="宋体"/>
          <w:b/>
          <w:color w:val="auto"/>
          <w:sz w:val="24"/>
          <w:szCs w:val="24"/>
          <w:highlight w:val="none"/>
        </w:rPr>
        <w:t>1.投标人有效期内的营业执照及其他相关资质证书（复印件加盖有效公章）；</w:t>
      </w:r>
    </w:p>
    <w:p>
      <w:pPr>
        <w:snapToGrid w:val="0"/>
        <w:spacing w:line="460" w:lineRule="exact"/>
        <w:jc w:val="both"/>
        <w:rPr>
          <w:rFonts w:hAnsi="宋体" w:cs="宋体"/>
          <w:b/>
          <w:color w:val="auto"/>
          <w:sz w:val="24"/>
          <w:szCs w:val="24"/>
          <w:highlight w:val="none"/>
        </w:rPr>
      </w:pPr>
    </w:p>
    <w:p>
      <w:pPr>
        <w:snapToGrid w:val="0"/>
        <w:spacing w:line="460" w:lineRule="exact"/>
        <w:jc w:val="both"/>
        <w:rPr>
          <w:rFonts w:hAnsi="宋体" w:cs="宋体"/>
          <w:b/>
          <w:color w:val="auto"/>
          <w:sz w:val="24"/>
          <w:szCs w:val="24"/>
          <w:highlight w:val="none"/>
        </w:rPr>
      </w:pPr>
      <w:r>
        <w:rPr>
          <w:rFonts w:hint="eastAsia" w:hAnsi="宋体" w:cs="宋体"/>
          <w:b/>
          <w:color w:val="auto"/>
          <w:sz w:val="24"/>
          <w:szCs w:val="24"/>
          <w:highlight w:val="none"/>
        </w:rPr>
        <w:t>2.投标人法定代表人授权委托书（如法定代表人本人参加的，则提供法定代表人身份证明及法定代表人身份证复印件)</w:t>
      </w:r>
    </w:p>
    <w:p>
      <w:pPr>
        <w:snapToGrid w:val="0"/>
        <w:spacing w:before="50" w:after="50"/>
        <w:jc w:val="center"/>
        <w:rPr>
          <w:rFonts w:hAnsi="宋体" w:cs="宋体"/>
          <w:color w:val="auto"/>
          <w:sz w:val="24"/>
          <w:highlight w:val="none"/>
        </w:rPr>
      </w:pPr>
      <w:r>
        <w:rPr>
          <w:rFonts w:hint="eastAsia" w:hAnsi="宋体" w:cs="宋体"/>
          <w:b/>
          <w:color w:val="auto"/>
          <w:sz w:val="24"/>
          <w:highlight w:val="none"/>
        </w:rPr>
        <w:t>法定代表人授权委托书</w:t>
      </w:r>
    </w:p>
    <w:p>
      <w:pPr>
        <w:spacing w:line="360" w:lineRule="auto"/>
        <w:ind w:firstLine="480"/>
        <w:rPr>
          <w:rFonts w:hAnsi="宋体" w:cs="宋体"/>
          <w:color w:val="auto"/>
          <w:sz w:val="24"/>
          <w:highlight w:val="none"/>
        </w:rPr>
      </w:pPr>
      <w:r>
        <w:rPr>
          <w:rFonts w:hint="eastAsia" w:hAnsi="宋体" w:cs="宋体"/>
          <w:color w:val="auto"/>
          <w:sz w:val="24"/>
          <w:highlight w:val="none"/>
        </w:rPr>
        <w:t>采购单位、代理公司：</w:t>
      </w:r>
    </w:p>
    <w:p>
      <w:pPr>
        <w:spacing w:line="460" w:lineRule="exact"/>
        <w:ind w:firstLine="482"/>
        <w:rPr>
          <w:rFonts w:hAnsi="宋体" w:cs="宋体"/>
          <w:color w:val="auto"/>
          <w:sz w:val="24"/>
          <w:highlight w:val="none"/>
        </w:rPr>
      </w:pPr>
      <w:r>
        <w:rPr>
          <w:rFonts w:hint="eastAsia" w:hAnsi="宋体" w:cs="宋体"/>
          <w:color w:val="auto"/>
          <w:sz w:val="24"/>
          <w:highlight w:val="none"/>
        </w:rPr>
        <w:t>--------------------------------------------------------（投标人名称）法定代表人------------------------授权------------------------------（全权代表姓名）为全权代表，参加贵单位组织的-------------------------------------------招标活动，全权处理招标活动中的一切事宜。</w:t>
      </w:r>
    </w:p>
    <w:p>
      <w:pPr>
        <w:spacing w:line="360" w:lineRule="auto"/>
        <w:ind w:firstLine="480"/>
        <w:rPr>
          <w:rFonts w:hAnsi="宋体" w:cs="宋体"/>
          <w:color w:val="auto"/>
          <w:sz w:val="24"/>
          <w:highlight w:val="none"/>
        </w:rPr>
      </w:pPr>
      <w:r>
        <w:rPr>
          <w:rFonts w:hint="eastAsia" w:hAnsi="宋体" w:cs="宋体"/>
          <w:color w:val="auto"/>
          <w:sz w:val="24"/>
          <w:highlight w:val="none"/>
        </w:rPr>
        <w:t>法人代表签字或签章：</w:t>
      </w:r>
    </w:p>
    <w:p>
      <w:pPr>
        <w:spacing w:line="460" w:lineRule="exact"/>
        <w:ind w:firstLine="480" w:firstLineChars="200"/>
        <w:rPr>
          <w:rFonts w:hAnsi="宋体" w:cs="宋体"/>
          <w:color w:val="auto"/>
          <w:sz w:val="24"/>
          <w:highlight w:val="none"/>
        </w:rPr>
      </w:pPr>
      <w:r>
        <w:rPr>
          <w:rFonts w:hint="eastAsia" w:hAnsi="宋体" w:cs="宋体"/>
          <w:color w:val="auto"/>
          <w:sz w:val="24"/>
          <w:highlight w:val="none"/>
        </w:rPr>
        <w:t>附：</w:t>
      </w:r>
    </w:p>
    <w:p>
      <w:pPr>
        <w:spacing w:line="460" w:lineRule="exact"/>
        <w:ind w:firstLine="480"/>
        <w:rPr>
          <w:rFonts w:hAnsi="宋体" w:cs="宋体"/>
          <w:color w:val="auto"/>
          <w:sz w:val="24"/>
          <w:highlight w:val="none"/>
        </w:rPr>
      </w:pPr>
      <w:r>
        <w:rPr>
          <w:rFonts w:hint="eastAsia" w:hAnsi="宋体" w:cs="宋体"/>
          <w:color w:val="auto"/>
          <w:sz w:val="24"/>
          <w:highlight w:val="none"/>
        </w:rPr>
        <w:t>全权代表签字：</w:t>
      </w:r>
    </w:p>
    <w:p>
      <w:pPr>
        <w:spacing w:line="460" w:lineRule="exact"/>
        <w:ind w:firstLine="480" w:firstLineChars="200"/>
        <w:rPr>
          <w:rFonts w:hAnsi="宋体" w:cs="宋体"/>
          <w:color w:val="auto"/>
          <w:sz w:val="24"/>
          <w:highlight w:val="none"/>
        </w:rPr>
      </w:pPr>
      <w:r>
        <w:rPr>
          <w:rFonts w:hint="eastAsia" w:hAnsi="宋体" w:cs="宋体"/>
          <w:color w:val="auto"/>
          <w:sz w:val="24"/>
          <w:highlight w:val="none"/>
        </w:rPr>
        <w:t>职        务：</w:t>
      </w:r>
    </w:p>
    <w:p>
      <w:pPr>
        <w:spacing w:line="460" w:lineRule="exact"/>
        <w:ind w:firstLine="480" w:firstLineChars="200"/>
        <w:rPr>
          <w:rFonts w:hAnsi="宋体" w:cs="宋体"/>
          <w:color w:val="auto"/>
          <w:sz w:val="24"/>
          <w:highlight w:val="none"/>
        </w:rPr>
      </w:pPr>
      <w:r>
        <w:rPr>
          <w:rFonts w:hint="eastAsia" w:hAnsi="宋体" w:cs="宋体"/>
          <w:color w:val="auto"/>
          <w:sz w:val="24"/>
          <w:highlight w:val="none"/>
        </w:rPr>
        <w:t>详细通讯地址：</w:t>
      </w:r>
    </w:p>
    <w:p>
      <w:pPr>
        <w:spacing w:line="460" w:lineRule="exact"/>
        <w:ind w:firstLine="480" w:firstLineChars="200"/>
        <w:rPr>
          <w:rFonts w:hAnsi="宋体" w:cs="宋体"/>
          <w:color w:val="auto"/>
          <w:sz w:val="24"/>
          <w:highlight w:val="none"/>
        </w:rPr>
      </w:pPr>
      <w:r>
        <w:rPr>
          <w:rFonts w:hint="eastAsia" w:hAnsi="宋体" w:cs="宋体"/>
          <w:color w:val="auto"/>
          <w:sz w:val="24"/>
          <w:highlight w:val="none"/>
        </w:rPr>
        <w:t>邮政编码：</w:t>
      </w:r>
    </w:p>
    <w:p>
      <w:pPr>
        <w:spacing w:line="460" w:lineRule="exact"/>
        <w:ind w:firstLine="480" w:firstLineChars="200"/>
        <w:rPr>
          <w:rFonts w:hAnsi="宋体" w:cs="宋体"/>
          <w:color w:val="auto"/>
          <w:sz w:val="24"/>
          <w:highlight w:val="none"/>
        </w:rPr>
      </w:pPr>
      <w:r>
        <w:rPr>
          <w:rFonts w:hint="eastAsia" w:hAnsi="宋体" w:cs="宋体"/>
          <w:color w:val="auto"/>
          <w:sz w:val="24"/>
          <w:highlight w:val="none"/>
        </w:rPr>
        <w:t>传        真：</w:t>
      </w:r>
    </w:p>
    <w:p>
      <w:pPr>
        <w:snapToGrid w:val="0"/>
        <w:spacing w:before="50" w:after="50" w:line="460" w:lineRule="exact"/>
        <w:ind w:firstLine="480" w:firstLineChars="200"/>
        <w:rPr>
          <w:rFonts w:hAnsi="宋体" w:cs="宋体"/>
          <w:color w:val="auto"/>
          <w:sz w:val="24"/>
          <w:highlight w:val="none"/>
        </w:rPr>
      </w:pPr>
      <w:r>
        <w:rPr>
          <w:rFonts w:hint="eastAsia" w:hAnsi="宋体" w:cs="宋体"/>
          <w:color w:val="auto"/>
          <w:sz w:val="24"/>
          <w:highlight w:val="none"/>
        </w:rPr>
        <w:t>电        话：</w:t>
      </w:r>
    </w:p>
    <w:p>
      <w:pPr>
        <w:spacing w:line="360" w:lineRule="auto"/>
        <w:ind w:firstLine="480"/>
        <w:rPr>
          <w:rFonts w:hAnsi="宋体" w:cs="宋体"/>
          <w:color w:val="auto"/>
          <w:sz w:val="24"/>
          <w:highlight w:val="none"/>
        </w:rPr>
      </w:pPr>
      <w:r>
        <w:rPr>
          <w:rFonts w:hint="eastAsia" w:hAnsi="宋体" w:cs="宋体"/>
          <w:color w:val="auto"/>
          <w:sz w:val="24"/>
          <w:highlight w:val="none"/>
        </w:rPr>
        <w:t>法定代表人身份证（正反面）复印件粘贴处</w:t>
      </w:r>
    </w:p>
    <w:p>
      <w:pPr>
        <w:snapToGrid w:val="0"/>
        <w:spacing w:before="50" w:after="50"/>
        <w:ind w:firstLine="480" w:firstLineChars="200"/>
        <w:rPr>
          <w:rFonts w:hAnsi="宋体" w:cs="宋体"/>
          <w:color w:val="auto"/>
          <w:sz w:val="24"/>
          <w:highlight w:val="none"/>
        </w:rPr>
      </w:pPr>
    </w:p>
    <w:p>
      <w:pPr>
        <w:spacing w:line="360" w:lineRule="auto"/>
        <w:ind w:firstLine="480"/>
        <w:rPr>
          <w:rFonts w:hAnsi="宋体" w:cs="宋体"/>
          <w:color w:val="auto"/>
          <w:sz w:val="24"/>
          <w:highlight w:val="none"/>
        </w:rPr>
      </w:pPr>
      <w:r>
        <w:rPr>
          <w:rFonts w:hint="eastAsia" w:hAnsi="宋体" w:cs="宋体"/>
          <w:color w:val="auto"/>
          <w:sz w:val="24"/>
          <w:highlight w:val="none"/>
        </w:rPr>
        <w:t>授权代表身份证（正反面）复印件粘贴处</w:t>
      </w:r>
    </w:p>
    <w:p>
      <w:pPr>
        <w:spacing w:line="360" w:lineRule="auto"/>
        <w:ind w:firstLine="4680" w:firstLineChars="1950"/>
        <w:rPr>
          <w:rFonts w:hAnsi="宋体" w:cs="宋体"/>
          <w:color w:val="auto"/>
          <w:sz w:val="24"/>
          <w:highlight w:val="none"/>
        </w:rPr>
      </w:pPr>
      <w:r>
        <w:rPr>
          <w:rFonts w:hint="eastAsia" w:hAnsi="宋体" w:cs="宋体"/>
          <w:color w:val="auto"/>
          <w:sz w:val="24"/>
          <w:highlight w:val="none"/>
        </w:rPr>
        <w:t>投标人全称（公章）：</w:t>
      </w:r>
    </w:p>
    <w:p>
      <w:pPr>
        <w:snapToGrid w:val="0"/>
        <w:spacing w:before="50" w:after="50"/>
        <w:ind w:firstLine="6360" w:firstLineChars="2650"/>
        <w:rPr>
          <w:rFonts w:hAnsi="宋体" w:cs="宋体"/>
          <w:color w:val="auto"/>
          <w:sz w:val="24"/>
          <w:highlight w:val="none"/>
        </w:rPr>
      </w:pPr>
      <w:r>
        <w:rPr>
          <w:rFonts w:hint="eastAsia" w:hAnsi="宋体" w:cs="宋体"/>
          <w:color w:val="auto"/>
          <w:sz w:val="24"/>
          <w:highlight w:val="none"/>
        </w:rPr>
        <w:t xml:space="preserve">日期：  年  月   日   </w:t>
      </w:r>
    </w:p>
    <w:p>
      <w:pPr>
        <w:snapToGrid w:val="0"/>
        <w:spacing w:before="50" w:after="50"/>
        <w:ind w:firstLine="480" w:firstLineChars="200"/>
        <w:rPr>
          <w:rFonts w:hAnsi="宋体" w:cs="宋体"/>
          <w:color w:val="auto"/>
          <w:sz w:val="24"/>
          <w:highlight w:val="none"/>
        </w:rPr>
      </w:pPr>
    </w:p>
    <w:p>
      <w:pPr>
        <w:rPr>
          <w:rFonts w:hint="eastAsia" w:hAnsi="宋体" w:cs="宋体"/>
          <w:b/>
          <w:color w:val="auto"/>
          <w:sz w:val="24"/>
          <w:szCs w:val="24"/>
          <w:highlight w:val="none"/>
        </w:rPr>
      </w:pPr>
      <w:r>
        <w:rPr>
          <w:rFonts w:hint="eastAsia" w:hAnsi="宋体" w:cs="宋体"/>
          <w:b/>
          <w:color w:val="auto"/>
          <w:sz w:val="24"/>
          <w:szCs w:val="24"/>
          <w:highlight w:val="none"/>
        </w:rPr>
        <w:br w:type="page"/>
      </w:r>
    </w:p>
    <w:p>
      <w:pPr>
        <w:snapToGrid w:val="0"/>
        <w:spacing w:line="460" w:lineRule="exact"/>
        <w:jc w:val="center"/>
        <w:rPr>
          <w:rFonts w:hAnsi="宋体" w:cs="宋体"/>
          <w:b/>
          <w:color w:val="auto"/>
          <w:sz w:val="24"/>
          <w:szCs w:val="24"/>
          <w:highlight w:val="none"/>
        </w:rPr>
      </w:pPr>
      <w:r>
        <w:rPr>
          <w:rFonts w:hint="eastAsia" w:hAnsi="宋体" w:cs="宋体"/>
          <w:b/>
          <w:color w:val="auto"/>
          <w:sz w:val="24"/>
          <w:szCs w:val="24"/>
          <w:highlight w:val="none"/>
        </w:rPr>
        <w:t>3.符合参加政府采购活动应当具备的一般条件的承诺函</w:t>
      </w:r>
    </w:p>
    <w:p>
      <w:pPr>
        <w:snapToGrid w:val="0"/>
        <w:spacing w:line="500" w:lineRule="exact"/>
        <w:rPr>
          <w:rFonts w:hAnsi="宋体" w:cs="宋体"/>
          <w:color w:val="auto"/>
          <w:sz w:val="21"/>
          <w:szCs w:val="21"/>
          <w:highlight w:val="none"/>
        </w:rPr>
      </w:pPr>
      <w:r>
        <w:rPr>
          <w:rFonts w:hint="eastAsia" w:hAnsi="宋体" w:cs="宋体"/>
          <w:color w:val="auto"/>
          <w:sz w:val="21"/>
          <w:szCs w:val="21"/>
          <w:highlight w:val="none"/>
        </w:rPr>
        <w:t>（采购人）、（采购代理机构）：</w:t>
      </w:r>
    </w:p>
    <w:p>
      <w:pPr>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我方参与（项目名称）【招标编号：（采购编号）】政府采购活动，郑重承诺：</w:t>
      </w:r>
    </w:p>
    <w:p>
      <w:pPr>
        <w:snapToGrid w:val="0"/>
        <w:spacing w:line="500" w:lineRule="exact"/>
        <w:ind w:firstLine="315" w:firstLineChars="150"/>
        <w:rPr>
          <w:rFonts w:hAnsi="宋体" w:cs="宋体"/>
          <w:color w:val="auto"/>
          <w:sz w:val="21"/>
          <w:szCs w:val="21"/>
          <w:highlight w:val="none"/>
        </w:rPr>
      </w:pPr>
      <w:r>
        <w:rPr>
          <w:rFonts w:hint="eastAsia" w:hAnsi="宋体" w:cs="宋体"/>
          <w:color w:val="auto"/>
          <w:sz w:val="21"/>
          <w:szCs w:val="21"/>
          <w:highlight w:val="none"/>
        </w:rPr>
        <w:t>（一）具备《中华人民共和国政府采购法》第二十二条第一款规定的条件：</w:t>
      </w:r>
    </w:p>
    <w:p>
      <w:pPr>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1.具有独立承担民事责任的能力；</w:t>
      </w:r>
    </w:p>
    <w:p>
      <w:pPr>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 xml:space="preserve">2.具有良好的商业信誉和健全的财务会计制度； </w:t>
      </w:r>
    </w:p>
    <w:p>
      <w:pPr>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3.具有履行合同所必需的设备和专业技术能力；</w:t>
      </w:r>
    </w:p>
    <w:p>
      <w:pPr>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4.有依法缴纳税收和社会保障资金的良好记录；</w:t>
      </w:r>
    </w:p>
    <w:p>
      <w:pPr>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5.参加政府采购活动前三年内，在经营活动中没有重大违法记录；</w:t>
      </w:r>
    </w:p>
    <w:p>
      <w:pPr>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6.具有法律、行政法规规定的其他条件。</w:t>
      </w:r>
    </w:p>
    <w:p>
      <w:pPr>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（二）未被信用中国（www.creditchina.gov.cn)、中国政府采购网（www.ccgp.gov.cn）列入失信被执行人、重大税收违法案件当事人名单、政府采购严重违法失信行为记录名单。</w:t>
      </w:r>
    </w:p>
    <w:p>
      <w:pPr>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（三）不存在以下情况：</w:t>
      </w:r>
    </w:p>
    <w:p>
      <w:pPr>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1.单位负责人为同一人或者存在直接控股、管理关系的不同供应商参加同一合同项下的政府采购活动的；</w:t>
      </w:r>
    </w:p>
    <w:p>
      <w:pPr>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2.为采购项目提供整体设计、规范编制或者项目管理、监理、检测等服务后再参加该采购项目的其他采购活动的。</w:t>
      </w:r>
    </w:p>
    <w:p>
      <w:pPr>
        <w:snapToGrid w:val="0"/>
        <w:spacing w:line="500" w:lineRule="exact"/>
        <w:ind w:firstLine="1680" w:firstLineChars="800"/>
        <w:rPr>
          <w:rFonts w:hAnsi="宋体" w:cs="宋体"/>
          <w:color w:val="auto"/>
          <w:sz w:val="21"/>
          <w:szCs w:val="21"/>
          <w:highlight w:val="none"/>
        </w:rPr>
      </w:pPr>
    </w:p>
    <w:p>
      <w:pPr>
        <w:snapToGrid w:val="0"/>
        <w:spacing w:line="500" w:lineRule="exact"/>
        <w:ind w:firstLine="1680" w:firstLineChars="800"/>
        <w:jc w:val="right"/>
        <w:rPr>
          <w:rFonts w:hAnsi="宋体" w:cs="宋体"/>
          <w:color w:val="auto"/>
          <w:sz w:val="21"/>
          <w:szCs w:val="21"/>
          <w:highlight w:val="none"/>
        </w:rPr>
      </w:pPr>
      <w:r>
        <w:rPr>
          <w:rFonts w:hint="eastAsia" w:hAnsi="宋体" w:cs="宋体"/>
          <w:color w:val="auto"/>
          <w:sz w:val="21"/>
          <w:szCs w:val="21"/>
          <w:highlight w:val="none"/>
        </w:rPr>
        <w:t>投标人全称（加盖公章）：</w:t>
      </w:r>
    </w:p>
    <w:p>
      <w:pPr>
        <w:snapToGrid w:val="0"/>
        <w:spacing w:line="500" w:lineRule="exact"/>
        <w:jc w:val="right"/>
        <w:rPr>
          <w:rFonts w:hAnsi="宋体" w:cs="宋体"/>
          <w:color w:val="auto"/>
          <w:sz w:val="21"/>
          <w:szCs w:val="21"/>
          <w:highlight w:val="none"/>
        </w:rPr>
      </w:pPr>
      <w:r>
        <w:rPr>
          <w:rFonts w:hint="eastAsia" w:hAnsi="宋体" w:cs="宋体"/>
          <w:color w:val="auto"/>
          <w:sz w:val="21"/>
          <w:szCs w:val="21"/>
          <w:highlight w:val="none"/>
          <w:lang w:val="zh-CN"/>
        </w:rPr>
        <w:t>日期</w:t>
      </w:r>
      <w:r>
        <w:rPr>
          <w:rFonts w:hint="eastAsia" w:hAnsi="宋体" w:cs="宋体"/>
          <w:color w:val="auto"/>
          <w:sz w:val="21"/>
          <w:szCs w:val="21"/>
          <w:highlight w:val="none"/>
        </w:rPr>
        <w:t xml:space="preserve">：  年  </w:t>
      </w:r>
      <w:r>
        <w:rPr>
          <w:rFonts w:hint="eastAsia" w:hAnsi="宋体" w:cs="宋体"/>
          <w:color w:val="auto"/>
          <w:sz w:val="21"/>
          <w:szCs w:val="21"/>
          <w:highlight w:val="none"/>
          <w:lang w:val="zh-CN"/>
        </w:rPr>
        <w:t>月日</w:t>
      </w:r>
    </w:p>
    <w:p>
      <w:pPr>
        <w:snapToGrid w:val="0"/>
        <w:spacing w:line="360" w:lineRule="auto"/>
        <w:rPr>
          <w:rFonts w:hAnsi="宋体" w:cs="宋体"/>
          <w:b/>
          <w:bCs/>
          <w:color w:val="auto"/>
          <w:sz w:val="24"/>
          <w:szCs w:val="24"/>
          <w:highlight w:val="none"/>
        </w:rPr>
      </w:pPr>
    </w:p>
    <w:p>
      <w:pPr>
        <w:rPr>
          <w:rFonts w:hAnsi="宋体" w:cs="宋体"/>
          <w:b/>
          <w:color w:val="auto"/>
          <w:kern w:val="1"/>
          <w:sz w:val="24"/>
          <w:szCs w:val="24"/>
          <w:highlight w:val="none"/>
        </w:rPr>
      </w:pPr>
    </w:p>
    <w:p>
      <w:pPr>
        <w:widowControl/>
        <w:snapToGrid w:val="0"/>
        <w:spacing w:line="460" w:lineRule="exact"/>
        <w:jc w:val="center"/>
        <w:rPr>
          <w:rFonts w:hAnsi="宋体" w:cs="宋体"/>
          <w:b/>
          <w:color w:val="auto"/>
          <w:sz w:val="24"/>
          <w:szCs w:val="24"/>
          <w:highlight w:val="none"/>
        </w:rPr>
      </w:pPr>
      <w:r>
        <w:rPr>
          <w:rFonts w:hint="eastAsia" w:hAnsi="宋体" w:cs="宋体"/>
          <w:b/>
          <w:color w:val="auto"/>
          <w:sz w:val="24"/>
          <w:szCs w:val="24"/>
          <w:highlight w:val="none"/>
        </w:rPr>
        <w:t>4.本项目的特定资格要求</w:t>
      </w:r>
    </w:p>
    <w:p>
      <w:pPr>
        <w:spacing w:line="360" w:lineRule="auto"/>
        <w:jc w:val="center"/>
        <w:rPr>
          <w:rFonts w:hAnsi="宋体" w:cs="宋体"/>
          <w:color w:val="auto"/>
          <w:sz w:val="21"/>
          <w:szCs w:val="21"/>
          <w:highlight w:val="none"/>
        </w:rPr>
      </w:pPr>
      <w:r>
        <w:rPr>
          <w:rFonts w:hint="eastAsia" w:hAnsi="宋体" w:cs="宋体"/>
          <w:color w:val="auto"/>
          <w:sz w:val="21"/>
          <w:szCs w:val="21"/>
          <w:highlight w:val="none"/>
        </w:rPr>
        <w:t>（根据招标公告本项目的特定资格要求提供相应的材料；未要求的，无需提供）</w:t>
      </w:r>
    </w:p>
    <w:p>
      <w:pPr>
        <w:rPr>
          <w:rFonts w:hAnsi="宋体" w:cs="宋体"/>
          <w:b/>
          <w:color w:val="auto"/>
          <w:kern w:val="1"/>
          <w:sz w:val="24"/>
          <w:szCs w:val="24"/>
          <w:highlight w:val="none"/>
        </w:rPr>
      </w:pPr>
    </w:p>
    <w:p>
      <w:pPr>
        <w:rPr>
          <w:rFonts w:hAnsi="宋体" w:cs="宋体"/>
          <w:b/>
          <w:color w:val="auto"/>
          <w:kern w:val="1"/>
          <w:sz w:val="24"/>
          <w:szCs w:val="24"/>
          <w:highlight w:val="none"/>
        </w:rPr>
      </w:pPr>
      <w:r>
        <w:rPr>
          <w:rFonts w:hint="eastAsia" w:hAnsi="宋体" w:cs="宋体"/>
          <w:b/>
          <w:color w:val="auto"/>
          <w:kern w:val="1"/>
          <w:sz w:val="24"/>
          <w:szCs w:val="24"/>
          <w:highlight w:val="none"/>
        </w:rPr>
        <w:br w:type="page"/>
      </w:r>
    </w:p>
    <w:p>
      <w:pPr>
        <w:snapToGrid w:val="0"/>
        <w:spacing w:beforeLines="50" w:after="50"/>
        <w:rPr>
          <w:rFonts w:hAnsi="宋体" w:cs="宋体"/>
          <w:b/>
          <w:bCs/>
          <w:color w:val="auto"/>
          <w:sz w:val="24"/>
          <w:highlight w:val="none"/>
        </w:rPr>
      </w:pPr>
      <w:r>
        <w:rPr>
          <w:rFonts w:hint="eastAsia" w:hAnsi="宋体" w:cs="宋体"/>
          <w:b/>
          <w:bCs/>
          <w:color w:val="auto"/>
          <w:sz w:val="24"/>
          <w:highlight w:val="none"/>
        </w:rPr>
        <w:t>（二）商务技术文件</w:t>
      </w:r>
    </w:p>
    <w:p>
      <w:pPr>
        <w:autoSpaceDE/>
        <w:autoSpaceDN/>
        <w:snapToGrid w:val="0"/>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（1）投标人技术商务标自评得分汇总表；（格式见附件）；</w:t>
      </w:r>
    </w:p>
    <w:p>
      <w:pPr>
        <w:autoSpaceDE/>
        <w:autoSpaceDN/>
        <w:snapToGrid w:val="0"/>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（2）投标人情况表（格式见附件）；</w:t>
      </w:r>
    </w:p>
    <w:p>
      <w:pPr>
        <w:autoSpaceDE/>
        <w:autoSpaceDN/>
        <w:snapToGrid w:val="0"/>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（3）投标人相关资质证书及获得的相关荣誉证书（扫描件或复印件加盖单位公章）；</w:t>
      </w:r>
    </w:p>
    <w:p>
      <w:pPr>
        <w:autoSpaceDE/>
        <w:autoSpaceDN/>
        <w:snapToGrid w:val="0"/>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（4）投标人（联合体投标的，指联合体牵头人）2019年1月1日以来类似案例成功的业绩（须提供对应采购合同复印件/扫描件等相关资料）（加盖公章）（格式见附件）；</w:t>
      </w:r>
    </w:p>
    <w:p>
      <w:pPr>
        <w:autoSpaceDE/>
        <w:autoSpaceDN/>
        <w:snapToGrid w:val="0"/>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（5）拟投入本项目的服务人员配置表（格式见附件）；</w:t>
      </w:r>
    </w:p>
    <w:p>
      <w:pPr>
        <w:autoSpaceDE/>
        <w:autoSpaceDN/>
        <w:snapToGrid w:val="0"/>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（6）商务技术偏离表（格式见附件）；</w:t>
      </w:r>
    </w:p>
    <w:p>
      <w:pPr>
        <w:autoSpaceDE/>
        <w:autoSpaceDN/>
        <w:snapToGrid w:val="0"/>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（7）针对本项目的服务方案（格式自拟）；</w:t>
      </w:r>
    </w:p>
    <w:p>
      <w:pPr>
        <w:autoSpaceDE/>
        <w:autoSpaceDN/>
        <w:snapToGrid w:val="0"/>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（8）投标人需要说明的其他文件和说明（格式略）。</w:t>
      </w:r>
    </w:p>
    <w:p>
      <w:pPr>
        <w:autoSpaceDE/>
        <w:autoSpaceDN/>
        <w:adjustRightInd/>
        <w:spacing w:line="500" w:lineRule="exact"/>
        <w:ind w:firstLine="420" w:firstLineChars="200"/>
        <w:jc w:val="both"/>
        <w:rPr>
          <w:rFonts w:hAnsi="宋体" w:cs="宋体"/>
          <w:color w:val="auto"/>
          <w:sz w:val="21"/>
          <w:szCs w:val="21"/>
          <w:highlight w:val="none"/>
        </w:rPr>
      </w:pPr>
    </w:p>
    <w:p>
      <w:pPr>
        <w:autoSpaceDE/>
        <w:autoSpaceDN/>
        <w:adjustRightInd/>
        <w:spacing w:line="500" w:lineRule="exact"/>
        <w:ind w:firstLine="420" w:firstLineChars="200"/>
        <w:jc w:val="both"/>
        <w:rPr>
          <w:rFonts w:hAnsi="宋体" w:cs="宋体"/>
          <w:color w:val="auto"/>
          <w:sz w:val="21"/>
          <w:szCs w:val="21"/>
          <w:highlight w:val="none"/>
        </w:rPr>
      </w:pPr>
    </w:p>
    <w:p>
      <w:pPr>
        <w:autoSpaceDE/>
        <w:autoSpaceDN/>
        <w:adjustRightInd/>
        <w:spacing w:line="500" w:lineRule="exact"/>
        <w:ind w:firstLine="420" w:firstLineChars="200"/>
        <w:jc w:val="both"/>
        <w:rPr>
          <w:rFonts w:hAnsi="宋体" w:cs="宋体"/>
          <w:color w:val="auto"/>
          <w:sz w:val="21"/>
          <w:szCs w:val="21"/>
          <w:highlight w:val="none"/>
        </w:rPr>
      </w:pPr>
    </w:p>
    <w:p>
      <w:pPr>
        <w:autoSpaceDE/>
        <w:autoSpaceDN/>
        <w:adjustRightInd/>
        <w:spacing w:line="500" w:lineRule="exact"/>
        <w:ind w:firstLine="420" w:firstLineChars="200"/>
        <w:jc w:val="both"/>
        <w:rPr>
          <w:rFonts w:hAnsi="宋体" w:cs="宋体"/>
          <w:color w:val="auto"/>
          <w:sz w:val="21"/>
          <w:szCs w:val="21"/>
          <w:highlight w:val="none"/>
        </w:rPr>
      </w:pPr>
    </w:p>
    <w:p>
      <w:pPr>
        <w:autoSpaceDE/>
        <w:autoSpaceDN/>
        <w:adjustRightInd/>
        <w:spacing w:line="500" w:lineRule="exact"/>
        <w:ind w:firstLine="420" w:firstLineChars="200"/>
        <w:jc w:val="both"/>
        <w:rPr>
          <w:rFonts w:hAnsi="宋体" w:cs="宋体"/>
          <w:color w:val="auto"/>
          <w:sz w:val="21"/>
          <w:szCs w:val="21"/>
          <w:highlight w:val="none"/>
        </w:rPr>
      </w:pPr>
    </w:p>
    <w:p>
      <w:pPr>
        <w:autoSpaceDE/>
        <w:autoSpaceDN/>
        <w:adjustRightInd/>
        <w:spacing w:line="500" w:lineRule="exact"/>
        <w:ind w:firstLine="420" w:firstLineChars="200"/>
        <w:jc w:val="both"/>
        <w:rPr>
          <w:rFonts w:hAnsi="宋体" w:cs="宋体"/>
          <w:color w:val="auto"/>
          <w:sz w:val="21"/>
          <w:szCs w:val="21"/>
          <w:highlight w:val="none"/>
        </w:rPr>
      </w:pPr>
    </w:p>
    <w:p>
      <w:pPr>
        <w:autoSpaceDE/>
        <w:autoSpaceDN/>
        <w:adjustRightInd/>
        <w:spacing w:line="500" w:lineRule="exact"/>
        <w:ind w:firstLine="420" w:firstLineChars="200"/>
        <w:jc w:val="both"/>
        <w:rPr>
          <w:rFonts w:hAnsi="宋体" w:cs="宋体"/>
          <w:color w:val="auto"/>
          <w:sz w:val="21"/>
          <w:szCs w:val="21"/>
          <w:highlight w:val="none"/>
        </w:rPr>
      </w:pPr>
    </w:p>
    <w:p>
      <w:pPr>
        <w:pStyle w:val="23"/>
        <w:ind w:firstLine="210"/>
        <w:rPr>
          <w:rFonts w:ascii="宋体" w:hAnsi="宋体" w:cs="宋体"/>
          <w:color w:val="auto"/>
          <w:sz w:val="21"/>
          <w:szCs w:val="21"/>
          <w:highlight w:val="none"/>
        </w:rPr>
      </w:pPr>
    </w:p>
    <w:p>
      <w:pPr>
        <w:pStyle w:val="40"/>
        <w:rPr>
          <w:rFonts w:ascii="宋体" w:hAnsi="宋体" w:cs="宋体"/>
          <w:color w:val="auto"/>
          <w:sz w:val="21"/>
          <w:szCs w:val="21"/>
          <w:highlight w:val="none"/>
        </w:rPr>
      </w:pPr>
    </w:p>
    <w:p>
      <w:pPr>
        <w:rPr>
          <w:rFonts w:hAnsi="宋体" w:cs="宋体"/>
          <w:color w:val="auto"/>
          <w:highlight w:val="none"/>
        </w:rPr>
      </w:pPr>
    </w:p>
    <w:p>
      <w:pPr>
        <w:pStyle w:val="2"/>
        <w:ind w:left="680"/>
        <w:rPr>
          <w:rFonts w:ascii="宋体" w:hAnsi="宋体" w:cs="宋体"/>
          <w:color w:val="auto"/>
          <w:highlight w:val="none"/>
        </w:rPr>
      </w:pPr>
    </w:p>
    <w:p>
      <w:pPr>
        <w:autoSpaceDE/>
        <w:autoSpaceDN/>
        <w:adjustRightInd/>
        <w:spacing w:line="500" w:lineRule="exact"/>
        <w:ind w:firstLine="420" w:firstLineChars="200"/>
        <w:jc w:val="both"/>
        <w:rPr>
          <w:rFonts w:hAnsi="宋体" w:cs="宋体"/>
          <w:color w:val="auto"/>
          <w:sz w:val="21"/>
          <w:szCs w:val="21"/>
          <w:highlight w:val="none"/>
        </w:rPr>
      </w:pPr>
    </w:p>
    <w:p>
      <w:pPr>
        <w:autoSpaceDE/>
        <w:autoSpaceDN/>
        <w:adjustRightInd/>
        <w:spacing w:line="500" w:lineRule="exact"/>
        <w:ind w:firstLine="420" w:firstLineChars="200"/>
        <w:jc w:val="both"/>
        <w:rPr>
          <w:rFonts w:hAnsi="宋体" w:cs="宋体"/>
          <w:color w:val="auto"/>
          <w:sz w:val="21"/>
          <w:szCs w:val="21"/>
          <w:highlight w:val="none"/>
        </w:rPr>
      </w:pPr>
    </w:p>
    <w:p>
      <w:pPr>
        <w:rPr>
          <w:rFonts w:hAnsi="宋体" w:cs="宋体"/>
          <w:b/>
          <w:color w:val="auto"/>
          <w:sz w:val="24"/>
          <w:highlight w:val="none"/>
        </w:rPr>
      </w:pPr>
      <w:r>
        <w:rPr>
          <w:rFonts w:hint="eastAsia" w:hAnsi="宋体" w:cs="宋体"/>
          <w:b/>
          <w:color w:val="auto"/>
          <w:sz w:val="24"/>
          <w:highlight w:val="none"/>
        </w:rPr>
        <w:br w:type="page"/>
      </w:r>
    </w:p>
    <w:p>
      <w:pPr>
        <w:snapToGrid w:val="0"/>
        <w:spacing w:before="50" w:after="50"/>
        <w:rPr>
          <w:rFonts w:hAnsi="宋体" w:cs="宋体"/>
          <w:b/>
          <w:color w:val="auto"/>
          <w:sz w:val="24"/>
          <w:highlight w:val="none"/>
        </w:rPr>
      </w:pPr>
      <w:r>
        <w:rPr>
          <w:rFonts w:hint="eastAsia" w:hAnsi="宋体" w:cs="宋体"/>
          <w:b/>
          <w:color w:val="auto"/>
          <w:sz w:val="24"/>
          <w:highlight w:val="none"/>
        </w:rPr>
        <w:t>1.投标人技术商务标自评得分汇总表（格式参照技术商务评分表，需标注对应页码）</w:t>
      </w:r>
    </w:p>
    <w:tbl>
      <w:tblPr>
        <w:tblStyle w:val="47"/>
        <w:tblW w:w="8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485"/>
        <w:gridCol w:w="2190"/>
        <w:gridCol w:w="766"/>
        <w:gridCol w:w="1110"/>
        <w:gridCol w:w="1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36" w:type="dxa"/>
            <w:vAlign w:val="center"/>
          </w:tcPr>
          <w:p>
            <w:pPr>
              <w:widowControl/>
              <w:autoSpaceDE/>
              <w:autoSpaceDN/>
              <w:adjustRightInd/>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序号</w:t>
            </w:r>
          </w:p>
        </w:tc>
        <w:tc>
          <w:tcPr>
            <w:tcW w:w="1485" w:type="dxa"/>
            <w:vAlign w:val="center"/>
          </w:tcPr>
          <w:p>
            <w:pPr>
              <w:widowControl/>
              <w:autoSpaceDE/>
              <w:autoSpaceDN/>
              <w:adjustRightInd/>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评分项目</w:t>
            </w:r>
          </w:p>
        </w:tc>
        <w:tc>
          <w:tcPr>
            <w:tcW w:w="2190" w:type="dxa"/>
            <w:vAlign w:val="center"/>
          </w:tcPr>
          <w:p>
            <w:pPr>
              <w:widowControl/>
              <w:autoSpaceDE/>
              <w:autoSpaceDN/>
              <w:adjustRightInd/>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评标要点及说明</w:t>
            </w:r>
          </w:p>
        </w:tc>
        <w:tc>
          <w:tcPr>
            <w:tcW w:w="766" w:type="dxa"/>
            <w:vAlign w:val="center"/>
          </w:tcPr>
          <w:p>
            <w:pPr>
              <w:widowControl/>
              <w:autoSpaceDE/>
              <w:autoSpaceDN/>
              <w:adjustRightInd/>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分值</w:t>
            </w:r>
          </w:p>
        </w:tc>
        <w:tc>
          <w:tcPr>
            <w:tcW w:w="1110" w:type="dxa"/>
            <w:vAlign w:val="center"/>
          </w:tcPr>
          <w:p>
            <w:pPr>
              <w:widowControl/>
              <w:autoSpaceDE/>
              <w:autoSpaceDN/>
              <w:adjustRightInd/>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自评分</w:t>
            </w:r>
          </w:p>
        </w:tc>
        <w:tc>
          <w:tcPr>
            <w:tcW w:w="1937" w:type="dxa"/>
            <w:vAlign w:val="center"/>
          </w:tcPr>
          <w:p>
            <w:pPr>
              <w:widowControl/>
              <w:autoSpaceDE/>
              <w:autoSpaceDN/>
              <w:adjustRightInd/>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投标文件响应页码</w:t>
            </w:r>
          </w:p>
        </w:tc>
      </w:tr>
    </w:tbl>
    <w:p>
      <w:pPr>
        <w:snapToGrid w:val="0"/>
        <w:spacing w:before="50" w:after="50"/>
        <w:rPr>
          <w:rFonts w:hAnsi="宋体" w:cs="宋体"/>
          <w:color w:val="auto"/>
          <w:sz w:val="24"/>
          <w:highlight w:val="none"/>
        </w:rPr>
      </w:pPr>
    </w:p>
    <w:p>
      <w:pPr>
        <w:snapToGrid w:val="0"/>
        <w:spacing w:before="50" w:after="50"/>
        <w:jc w:val="center"/>
        <w:rPr>
          <w:rFonts w:hAnsi="宋体" w:cs="宋体"/>
          <w:b/>
          <w:color w:val="auto"/>
          <w:sz w:val="24"/>
          <w:szCs w:val="22"/>
          <w:highlight w:val="none"/>
        </w:rPr>
      </w:pPr>
      <w:r>
        <w:rPr>
          <w:rFonts w:hint="eastAsia" w:hAnsi="宋体" w:cs="宋体"/>
          <w:b/>
          <w:color w:val="auto"/>
          <w:sz w:val="24"/>
          <w:szCs w:val="22"/>
          <w:highlight w:val="none"/>
        </w:rPr>
        <w:t>2.投标人情况表</w:t>
      </w:r>
    </w:p>
    <w:tbl>
      <w:tblPr>
        <w:tblStyle w:val="47"/>
        <w:tblW w:w="9450" w:type="dxa"/>
        <w:jc w:val="center"/>
        <w:tblLayout w:type="fixed"/>
        <w:tblCellMar>
          <w:top w:w="0" w:type="dxa"/>
          <w:left w:w="108" w:type="dxa"/>
          <w:bottom w:w="0" w:type="dxa"/>
          <w:right w:w="108" w:type="dxa"/>
        </w:tblCellMar>
      </w:tblPr>
      <w:tblGrid>
        <w:gridCol w:w="1980"/>
        <w:gridCol w:w="3443"/>
        <w:gridCol w:w="877"/>
        <w:gridCol w:w="650"/>
        <w:gridCol w:w="2500"/>
      </w:tblGrid>
      <w:tr>
        <w:tblPrEx>
          <w:tblCellMar>
            <w:top w:w="0" w:type="dxa"/>
            <w:left w:w="108" w:type="dxa"/>
            <w:bottom w:w="0" w:type="dxa"/>
            <w:right w:w="108" w:type="dxa"/>
          </w:tblCellMar>
        </w:tblPrEx>
        <w:trPr>
          <w:trHeight w:val="732"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color w:val="auto"/>
                <w:sz w:val="21"/>
                <w:szCs w:val="21"/>
                <w:highlight w:val="none"/>
              </w:rPr>
            </w:pPr>
            <w:r>
              <w:rPr>
                <w:rFonts w:hint="eastAsia" w:hAnsi="宋体" w:cs="宋体"/>
                <w:color w:val="auto"/>
                <w:sz w:val="21"/>
                <w:szCs w:val="21"/>
                <w:highlight w:val="none"/>
              </w:rPr>
              <w:t>单位名称</w:t>
            </w:r>
          </w:p>
        </w:tc>
        <w:tc>
          <w:tcPr>
            <w:tcW w:w="3443" w:type="dxa"/>
            <w:tcBorders>
              <w:top w:val="single" w:color="auto" w:sz="4" w:space="0"/>
              <w:left w:val="nil"/>
              <w:bottom w:val="single" w:color="auto" w:sz="4" w:space="0"/>
              <w:right w:val="single" w:color="auto" w:sz="4" w:space="0"/>
            </w:tcBorders>
            <w:vAlign w:val="center"/>
          </w:tcPr>
          <w:p>
            <w:pPr>
              <w:keepNext/>
              <w:spacing w:line="360" w:lineRule="auto"/>
              <w:outlineLvl w:val="0"/>
              <w:rPr>
                <w:rFonts w:hAnsi="宋体" w:cs="宋体"/>
                <w:color w:val="auto"/>
                <w:sz w:val="21"/>
                <w:szCs w:val="21"/>
                <w:highlight w:val="none"/>
              </w:rPr>
            </w:pPr>
          </w:p>
        </w:tc>
        <w:tc>
          <w:tcPr>
            <w:tcW w:w="1527"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hAnsi="宋体" w:cs="宋体"/>
                <w:color w:val="auto"/>
                <w:sz w:val="21"/>
                <w:szCs w:val="21"/>
                <w:highlight w:val="none"/>
              </w:rPr>
            </w:pPr>
            <w:r>
              <w:rPr>
                <w:rFonts w:hint="eastAsia" w:hAnsi="宋体" w:cs="宋体"/>
                <w:color w:val="auto"/>
                <w:sz w:val="21"/>
                <w:szCs w:val="21"/>
                <w:highlight w:val="none"/>
              </w:rPr>
              <w:t>注册资金</w:t>
            </w:r>
          </w:p>
        </w:tc>
        <w:tc>
          <w:tcPr>
            <w:tcW w:w="2500" w:type="dxa"/>
            <w:tcBorders>
              <w:top w:val="single" w:color="auto" w:sz="4" w:space="0"/>
              <w:left w:val="nil"/>
              <w:bottom w:val="single" w:color="auto" w:sz="4" w:space="0"/>
              <w:right w:val="single" w:color="auto" w:sz="4" w:space="0"/>
            </w:tcBorders>
            <w:vAlign w:val="center"/>
          </w:tcPr>
          <w:p>
            <w:pPr>
              <w:keepNext/>
              <w:spacing w:line="360" w:lineRule="auto"/>
              <w:outlineLvl w:val="0"/>
              <w:rPr>
                <w:rFonts w:hAnsi="宋体" w:cs="宋体"/>
                <w:color w:val="auto"/>
                <w:sz w:val="21"/>
                <w:szCs w:val="21"/>
                <w:highlight w:val="none"/>
              </w:rPr>
            </w:pPr>
          </w:p>
        </w:tc>
      </w:tr>
      <w:tr>
        <w:tblPrEx>
          <w:tblCellMar>
            <w:top w:w="0" w:type="dxa"/>
            <w:left w:w="108" w:type="dxa"/>
            <w:bottom w:w="0" w:type="dxa"/>
            <w:right w:w="108" w:type="dxa"/>
          </w:tblCellMar>
        </w:tblPrEx>
        <w:trPr>
          <w:trHeight w:val="708"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color w:val="auto"/>
                <w:sz w:val="21"/>
                <w:szCs w:val="21"/>
                <w:highlight w:val="none"/>
              </w:rPr>
            </w:pPr>
            <w:r>
              <w:rPr>
                <w:rFonts w:hint="eastAsia" w:hAnsi="宋体" w:cs="宋体"/>
                <w:color w:val="auto"/>
                <w:sz w:val="21"/>
                <w:szCs w:val="21"/>
                <w:highlight w:val="none"/>
              </w:rPr>
              <w:t>单位详细地址</w:t>
            </w:r>
          </w:p>
        </w:tc>
        <w:tc>
          <w:tcPr>
            <w:tcW w:w="7470" w:type="dxa"/>
            <w:gridSpan w:val="4"/>
            <w:tcBorders>
              <w:top w:val="single" w:color="auto" w:sz="4" w:space="0"/>
              <w:left w:val="nil"/>
              <w:bottom w:val="single" w:color="auto" w:sz="4" w:space="0"/>
              <w:right w:val="single" w:color="auto" w:sz="4" w:space="0"/>
            </w:tcBorders>
            <w:vAlign w:val="center"/>
          </w:tcPr>
          <w:p>
            <w:pPr>
              <w:keepNext/>
              <w:spacing w:line="360" w:lineRule="auto"/>
              <w:outlineLvl w:val="0"/>
              <w:rPr>
                <w:rFonts w:hAnsi="宋体" w:cs="宋体"/>
                <w:color w:val="auto"/>
                <w:sz w:val="21"/>
                <w:szCs w:val="21"/>
                <w:highlight w:val="none"/>
              </w:rPr>
            </w:pPr>
          </w:p>
        </w:tc>
      </w:tr>
      <w:tr>
        <w:tblPrEx>
          <w:tblCellMar>
            <w:top w:w="0" w:type="dxa"/>
            <w:left w:w="108" w:type="dxa"/>
            <w:bottom w:w="0" w:type="dxa"/>
            <w:right w:w="108" w:type="dxa"/>
          </w:tblCellMar>
        </w:tblPrEx>
        <w:trPr>
          <w:cantSplit/>
          <w:trHeight w:val="49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color w:val="auto"/>
                <w:sz w:val="21"/>
                <w:szCs w:val="21"/>
                <w:highlight w:val="none"/>
              </w:rPr>
            </w:pPr>
            <w:r>
              <w:rPr>
                <w:rFonts w:hint="eastAsia" w:hAnsi="宋体" w:cs="宋体"/>
                <w:color w:val="auto"/>
                <w:sz w:val="21"/>
                <w:szCs w:val="21"/>
                <w:highlight w:val="none"/>
              </w:rPr>
              <w:t>营业执照注册号</w:t>
            </w:r>
          </w:p>
        </w:tc>
        <w:tc>
          <w:tcPr>
            <w:tcW w:w="7470" w:type="dxa"/>
            <w:gridSpan w:val="4"/>
            <w:tcBorders>
              <w:top w:val="single" w:color="auto" w:sz="4" w:space="0"/>
              <w:left w:val="nil"/>
              <w:bottom w:val="single" w:color="auto" w:sz="4" w:space="0"/>
              <w:right w:val="single" w:color="auto" w:sz="4" w:space="0"/>
            </w:tcBorders>
            <w:vAlign w:val="center"/>
          </w:tcPr>
          <w:p>
            <w:pPr>
              <w:keepNext/>
              <w:spacing w:line="360" w:lineRule="auto"/>
              <w:outlineLvl w:val="0"/>
              <w:rPr>
                <w:rFonts w:hAnsi="宋体" w:cs="宋体"/>
                <w:color w:val="auto"/>
                <w:sz w:val="21"/>
                <w:szCs w:val="21"/>
                <w:highlight w:val="none"/>
              </w:rPr>
            </w:pPr>
          </w:p>
        </w:tc>
      </w:tr>
      <w:tr>
        <w:tblPrEx>
          <w:tblCellMar>
            <w:top w:w="0" w:type="dxa"/>
            <w:left w:w="108" w:type="dxa"/>
            <w:bottom w:w="0" w:type="dxa"/>
            <w:right w:w="108" w:type="dxa"/>
          </w:tblCellMar>
        </w:tblPrEx>
        <w:trPr>
          <w:cantSplit/>
          <w:trHeight w:val="602"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color w:val="auto"/>
                <w:sz w:val="21"/>
                <w:szCs w:val="21"/>
                <w:highlight w:val="none"/>
              </w:rPr>
            </w:pPr>
            <w:r>
              <w:rPr>
                <w:rFonts w:hint="eastAsia" w:hAnsi="宋体" w:cs="宋体"/>
                <w:color w:val="auto"/>
                <w:sz w:val="21"/>
                <w:szCs w:val="21"/>
                <w:highlight w:val="none"/>
              </w:rPr>
              <w:t>单位成立时间</w:t>
            </w:r>
          </w:p>
        </w:tc>
        <w:tc>
          <w:tcPr>
            <w:tcW w:w="4320" w:type="dxa"/>
            <w:gridSpan w:val="2"/>
            <w:tcBorders>
              <w:top w:val="single" w:color="auto" w:sz="4" w:space="0"/>
              <w:left w:val="nil"/>
              <w:bottom w:val="single" w:color="auto" w:sz="4" w:space="0"/>
              <w:right w:val="single" w:color="auto" w:sz="4" w:space="0"/>
            </w:tcBorders>
            <w:vAlign w:val="center"/>
          </w:tcPr>
          <w:p>
            <w:pPr>
              <w:keepNext/>
              <w:spacing w:line="360" w:lineRule="auto"/>
              <w:outlineLvl w:val="0"/>
              <w:rPr>
                <w:rFonts w:hAnsi="宋体" w:cs="宋体"/>
                <w:color w:val="auto"/>
                <w:sz w:val="21"/>
                <w:szCs w:val="21"/>
                <w:highlight w:val="none"/>
              </w:rPr>
            </w:pPr>
          </w:p>
        </w:tc>
        <w:tc>
          <w:tcPr>
            <w:tcW w:w="3150" w:type="dxa"/>
            <w:gridSpan w:val="2"/>
            <w:tcBorders>
              <w:top w:val="single" w:color="auto" w:sz="4" w:space="0"/>
              <w:left w:val="nil"/>
              <w:bottom w:val="single" w:color="auto" w:sz="4" w:space="0"/>
              <w:right w:val="single" w:color="auto" w:sz="4" w:space="0"/>
            </w:tcBorders>
            <w:vAlign w:val="center"/>
          </w:tcPr>
          <w:p>
            <w:pPr>
              <w:spacing w:line="360" w:lineRule="auto"/>
              <w:rPr>
                <w:rFonts w:hAnsi="宋体" w:cs="宋体"/>
                <w:color w:val="auto"/>
                <w:sz w:val="21"/>
                <w:szCs w:val="21"/>
                <w:highlight w:val="none"/>
              </w:rPr>
            </w:pPr>
            <w:r>
              <w:rPr>
                <w:rFonts w:hint="eastAsia" w:hAnsi="宋体" w:cs="宋体"/>
                <w:color w:val="auto"/>
                <w:sz w:val="21"/>
                <w:szCs w:val="21"/>
                <w:highlight w:val="none"/>
              </w:rPr>
              <w:t>固定资产净值：（万元）</w:t>
            </w:r>
          </w:p>
        </w:tc>
      </w:tr>
      <w:tr>
        <w:tblPrEx>
          <w:tblCellMar>
            <w:top w:w="0" w:type="dxa"/>
            <w:left w:w="108" w:type="dxa"/>
            <w:bottom w:w="0" w:type="dxa"/>
            <w:right w:w="108" w:type="dxa"/>
          </w:tblCellMar>
        </w:tblPrEx>
        <w:trPr>
          <w:cantSplit/>
          <w:trHeight w:val="805"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color w:val="auto"/>
                <w:sz w:val="21"/>
                <w:szCs w:val="21"/>
                <w:highlight w:val="none"/>
              </w:rPr>
            </w:pPr>
            <w:r>
              <w:rPr>
                <w:rFonts w:hint="eastAsia" w:hAnsi="宋体" w:cs="宋体"/>
                <w:color w:val="auto"/>
                <w:sz w:val="21"/>
                <w:szCs w:val="21"/>
                <w:highlight w:val="none"/>
              </w:rPr>
              <w:t>获得相关资质证书情况</w:t>
            </w:r>
          </w:p>
        </w:tc>
        <w:tc>
          <w:tcPr>
            <w:tcW w:w="7470" w:type="dxa"/>
            <w:gridSpan w:val="4"/>
            <w:tcBorders>
              <w:top w:val="single" w:color="auto" w:sz="4" w:space="0"/>
              <w:left w:val="nil"/>
              <w:bottom w:val="single" w:color="auto" w:sz="4" w:space="0"/>
              <w:right w:val="single" w:color="auto" w:sz="4" w:space="0"/>
            </w:tcBorders>
            <w:vAlign w:val="center"/>
          </w:tcPr>
          <w:p>
            <w:pPr>
              <w:keepNext/>
              <w:spacing w:line="360" w:lineRule="auto"/>
              <w:outlineLvl w:val="0"/>
              <w:rPr>
                <w:rFonts w:hAnsi="宋体" w:cs="宋体"/>
                <w:color w:val="auto"/>
                <w:sz w:val="21"/>
                <w:szCs w:val="21"/>
                <w:highlight w:val="none"/>
              </w:rPr>
            </w:pPr>
          </w:p>
        </w:tc>
      </w:tr>
      <w:tr>
        <w:tblPrEx>
          <w:tblCellMar>
            <w:top w:w="0" w:type="dxa"/>
            <w:left w:w="108" w:type="dxa"/>
            <w:bottom w:w="0" w:type="dxa"/>
            <w:right w:w="108" w:type="dxa"/>
          </w:tblCellMar>
        </w:tblPrEx>
        <w:trPr>
          <w:cantSplit/>
          <w:trHeight w:val="638"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color w:val="auto"/>
                <w:sz w:val="21"/>
                <w:szCs w:val="21"/>
                <w:highlight w:val="none"/>
              </w:rPr>
            </w:pPr>
            <w:r>
              <w:rPr>
                <w:rFonts w:hint="eastAsia" w:hAnsi="宋体" w:cs="宋体"/>
                <w:color w:val="auto"/>
                <w:sz w:val="21"/>
                <w:szCs w:val="21"/>
                <w:highlight w:val="none"/>
              </w:rPr>
              <w:t>法定代表人</w:t>
            </w:r>
          </w:p>
        </w:tc>
        <w:tc>
          <w:tcPr>
            <w:tcW w:w="7470" w:type="dxa"/>
            <w:gridSpan w:val="4"/>
            <w:tcBorders>
              <w:top w:val="single" w:color="auto" w:sz="4" w:space="0"/>
              <w:left w:val="nil"/>
              <w:bottom w:val="single" w:color="auto" w:sz="4" w:space="0"/>
              <w:right w:val="single" w:color="auto" w:sz="4" w:space="0"/>
            </w:tcBorders>
            <w:vAlign w:val="center"/>
          </w:tcPr>
          <w:p>
            <w:pPr>
              <w:spacing w:line="360" w:lineRule="auto"/>
              <w:rPr>
                <w:rFonts w:hAnsi="宋体" w:cs="宋体"/>
                <w:color w:val="auto"/>
                <w:sz w:val="21"/>
                <w:szCs w:val="21"/>
                <w:highlight w:val="none"/>
              </w:rPr>
            </w:pPr>
            <w:r>
              <w:rPr>
                <w:rFonts w:hint="eastAsia" w:hAnsi="宋体" w:cs="宋体"/>
                <w:color w:val="auto"/>
                <w:sz w:val="21"/>
                <w:szCs w:val="21"/>
                <w:highlight w:val="none"/>
              </w:rPr>
              <w:t>姓名：职务：职称：</w:t>
            </w:r>
          </w:p>
        </w:tc>
      </w:tr>
      <w:tr>
        <w:tblPrEx>
          <w:tblCellMar>
            <w:top w:w="0" w:type="dxa"/>
            <w:left w:w="108" w:type="dxa"/>
            <w:bottom w:w="0" w:type="dxa"/>
            <w:right w:w="108" w:type="dxa"/>
          </w:tblCellMar>
        </w:tblPrEx>
        <w:trPr>
          <w:cantSplit/>
          <w:trHeight w:val="55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color w:val="auto"/>
                <w:sz w:val="21"/>
                <w:szCs w:val="21"/>
                <w:highlight w:val="none"/>
              </w:rPr>
            </w:pPr>
            <w:r>
              <w:rPr>
                <w:rFonts w:hint="eastAsia" w:hAnsi="宋体" w:cs="宋体"/>
                <w:color w:val="auto"/>
                <w:sz w:val="21"/>
                <w:szCs w:val="21"/>
                <w:highlight w:val="none"/>
              </w:rPr>
              <w:t>公司总经理</w:t>
            </w:r>
          </w:p>
        </w:tc>
        <w:tc>
          <w:tcPr>
            <w:tcW w:w="7470" w:type="dxa"/>
            <w:gridSpan w:val="4"/>
            <w:tcBorders>
              <w:top w:val="single" w:color="auto" w:sz="4" w:space="0"/>
              <w:left w:val="nil"/>
              <w:bottom w:val="single" w:color="auto" w:sz="4" w:space="0"/>
              <w:right w:val="single" w:color="auto" w:sz="4" w:space="0"/>
            </w:tcBorders>
            <w:vAlign w:val="center"/>
          </w:tcPr>
          <w:p>
            <w:pPr>
              <w:spacing w:line="360" w:lineRule="auto"/>
              <w:rPr>
                <w:rFonts w:hAnsi="宋体" w:cs="宋体"/>
                <w:color w:val="auto"/>
                <w:sz w:val="21"/>
                <w:szCs w:val="21"/>
                <w:highlight w:val="none"/>
              </w:rPr>
            </w:pPr>
            <w:r>
              <w:rPr>
                <w:rFonts w:hint="eastAsia" w:hAnsi="宋体" w:cs="宋体"/>
                <w:color w:val="auto"/>
                <w:sz w:val="21"/>
                <w:szCs w:val="21"/>
                <w:highlight w:val="none"/>
              </w:rPr>
              <w:t>姓名：职务：职称：</w:t>
            </w:r>
          </w:p>
        </w:tc>
      </w:tr>
      <w:tr>
        <w:tblPrEx>
          <w:tblCellMar>
            <w:top w:w="0" w:type="dxa"/>
            <w:left w:w="108" w:type="dxa"/>
            <w:bottom w:w="0" w:type="dxa"/>
            <w:right w:w="108" w:type="dxa"/>
          </w:tblCellMar>
        </w:tblPrEx>
        <w:trPr>
          <w:cantSplit/>
          <w:trHeight w:val="45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rPr>
                <w:rFonts w:hAnsi="宋体" w:cs="宋体"/>
                <w:color w:val="auto"/>
                <w:sz w:val="21"/>
                <w:szCs w:val="21"/>
                <w:highlight w:val="none"/>
              </w:rPr>
            </w:pPr>
            <w:r>
              <w:rPr>
                <w:rFonts w:hint="eastAsia" w:hAnsi="宋体" w:cs="宋体"/>
                <w:color w:val="auto"/>
                <w:sz w:val="21"/>
                <w:szCs w:val="21"/>
                <w:highlight w:val="none"/>
              </w:rPr>
              <w:t>职工人数</w:t>
            </w:r>
          </w:p>
        </w:tc>
        <w:tc>
          <w:tcPr>
            <w:tcW w:w="7470" w:type="dxa"/>
            <w:gridSpan w:val="4"/>
            <w:tcBorders>
              <w:top w:val="single" w:color="auto" w:sz="4" w:space="0"/>
              <w:left w:val="nil"/>
              <w:bottom w:val="single" w:color="auto" w:sz="4" w:space="0"/>
              <w:right w:val="single" w:color="auto" w:sz="4" w:space="0"/>
            </w:tcBorders>
            <w:vAlign w:val="center"/>
          </w:tcPr>
          <w:p>
            <w:pPr>
              <w:rPr>
                <w:rFonts w:hAnsi="宋体" w:cs="宋体"/>
                <w:color w:val="auto"/>
                <w:sz w:val="21"/>
                <w:szCs w:val="21"/>
                <w:highlight w:val="none"/>
              </w:rPr>
            </w:pPr>
          </w:p>
        </w:tc>
      </w:tr>
      <w:tr>
        <w:tblPrEx>
          <w:tblCellMar>
            <w:top w:w="0" w:type="dxa"/>
            <w:left w:w="108" w:type="dxa"/>
            <w:bottom w:w="0" w:type="dxa"/>
            <w:right w:w="108" w:type="dxa"/>
          </w:tblCellMar>
        </w:tblPrEx>
        <w:trPr>
          <w:cantSplit/>
          <w:trHeight w:val="1095"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rPr>
                <w:rFonts w:hAnsi="宋体" w:cs="宋体"/>
                <w:color w:val="auto"/>
                <w:sz w:val="21"/>
                <w:szCs w:val="21"/>
                <w:highlight w:val="none"/>
              </w:rPr>
            </w:pPr>
            <w:r>
              <w:rPr>
                <w:rFonts w:hint="eastAsia" w:hAnsi="宋体" w:cs="宋体"/>
                <w:color w:val="auto"/>
                <w:sz w:val="21"/>
                <w:szCs w:val="21"/>
                <w:highlight w:val="none"/>
              </w:rPr>
              <w:t>投标人在企业注册地以外设立分支机构的情况</w:t>
            </w:r>
          </w:p>
        </w:tc>
        <w:tc>
          <w:tcPr>
            <w:tcW w:w="7470" w:type="dxa"/>
            <w:gridSpan w:val="4"/>
            <w:tcBorders>
              <w:top w:val="single" w:color="auto" w:sz="4" w:space="0"/>
              <w:left w:val="nil"/>
              <w:bottom w:val="single" w:color="auto" w:sz="4" w:space="0"/>
              <w:right w:val="single" w:color="auto" w:sz="4" w:space="0"/>
            </w:tcBorders>
            <w:vAlign w:val="center"/>
          </w:tcPr>
          <w:p>
            <w:pPr>
              <w:rPr>
                <w:rFonts w:hAnsi="宋体" w:cs="宋体"/>
                <w:color w:val="auto"/>
                <w:sz w:val="21"/>
                <w:szCs w:val="21"/>
                <w:highlight w:val="none"/>
              </w:rPr>
            </w:pPr>
          </w:p>
        </w:tc>
      </w:tr>
      <w:tr>
        <w:tblPrEx>
          <w:tblCellMar>
            <w:top w:w="0" w:type="dxa"/>
            <w:left w:w="108" w:type="dxa"/>
            <w:bottom w:w="0" w:type="dxa"/>
            <w:right w:w="108" w:type="dxa"/>
          </w:tblCellMar>
        </w:tblPrEx>
        <w:trPr>
          <w:cantSpli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color w:val="auto"/>
                <w:sz w:val="21"/>
                <w:szCs w:val="21"/>
                <w:highlight w:val="none"/>
              </w:rPr>
            </w:pPr>
            <w:r>
              <w:rPr>
                <w:rFonts w:hint="eastAsia" w:hAnsi="宋体" w:cs="宋体"/>
                <w:color w:val="auto"/>
                <w:sz w:val="21"/>
                <w:szCs w:val="21"/>
                <w:highlight w:val="none"/>
              </w:rPr>
              <w:t>联系方式</w:t>
            </w:r>
          </w:p>
        </w:tc>
        <w:tc>
          <w:tcPr>
            <w:tcW w:w="7470" w:type="dxa"/>
            <w:gridSpan w:val="4"/>
            <w:tcBorders>
              <w:top w:val="single" w:color="auto" w:sz="4" w:space="0"/>
              <w:left w:val="nil"/>
              <w:bottom w:val="single" w:color="auto" w:sz="4" w:space="0"/>
              <w:right w:val="single" w:color="auto" w:sz="4" w:space="0"/>
            </w:tcBorders>
            <w:vAlign w:val="center"/>
          </w:tcPr>
          <w:p>
            <w:pPr>
              <w:spacing w:line="360" w:lineRule="auto"/>
              <w:rPr>
                <w:rFonts w:hAnsi="宋体" w:cs="宋体"/>
                <w:color w:val="auto"/>
                <w:sz w:val="21"/>
                <w:szCs w:val="21"/>
                <w:highlight w:val="none"/>
              </w:rPr>
            </w:pPr>
            <w:r>
              <w:rPr>
                <w:rFonts w:hint="eastAsia" w:hAnsi="宋体" w:cs="宋体"/>
                <w:color w:val="auto"/>
                <w:sz w:val="21"/>
                <w:szCs w:val="21"/>
                <w:highlight w:val="none"/>
              </w:rPr>
              <w:t>地址：邮编：电话：</w:t>
            </w:r>
          </w:p>
          <w:p>
            <w:pPr>
              <w:spacing w:line="360" w:lineRule="auto"/>
              <w:rPr>
                <w:rFonts w:hAnsi="宋体" w:cs="宋体"/>
                <w:color w:val="auto"/>
                <w:sz w:val="21"/>
                <w:szCs w:val="21"/>
                <w:highlight w:val="none"/>
              </w:rPr>
            </w:pPr>
            <w:r>
              <w:rPr>
                <w:rFonts w:hint="eastAsia" w:hAnsi="宋体" w:cs="宋体"/>
                <w:color w:val="auto"/>
                <w:sz w:val="21"/>
                <w:szCs w:val="21"/>
                <w:highlight w:val="none"/>
              </w:rPr>
              <w:t>传真：</w:t>
            </w:r>
          </w:p>
        </w:tc>
      </w:tr>
      <w:tr>
        <w:tblPrEx>
          <w:tblCellMar>
            <w:top w:w="0" w:type="dxa"/>
            <w:left w:w="108" w:type="dxa"/>
            <w:bottom w:w="0" w:type="dxa"/>
            <w:right w:w="108" w:type="dxa"/>
          </w:tblCellMar>
        </w:tblPrEx>
        <w:trPr>
          <w:cantSpli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color w:val="auto"/>
                <w:sz w:val="21"/>
                <w:szCs w:val="21"/>
                <w:highlight w:val="none"/>
              </w:rPr>
            </w:pPr>
            <w:r>
              <w:rPr>
                <w:rFonts w:hint="eastAsia" w:hAnsi="宋体" w:cs="宋体"/>
                <w:color w:val="auto"/>
                <w:sz w:val="21"/>
                <w:szCs w:val="21"/>
                <w:highlight w:val="none"/>
              </w:rPr>
              <w:t>开户银行</w:t>
            </w:r>
          </w:p>
        </w:tc>
        <w:tc>
          <w:tcPr>
            <w:tcW w:w="7470" w:type="dxa"/>
            <w:gridSpan w:val="4"/>
            <w:tcBorders>
              <w:top w:val="single" w:color="auto" w:sz="4" w:space="0"/>
              <w:left w:val="nil"/>
              <w:bottom w:val="single" w:color="auto" w:sz="4" w:space="0"/>
              <w:right w:val="single" w:color="auto" w:sz="4" w:space="0"/>
            </w:tcBorders>
            <w:vAlign w:val="center"/>
          </w:tcPr>
          <w:p>
            <w:pPr>
              <w:spacing w:line="360" w:lineRule="auto"/>
              <w:rPr>
                <w:rFonts w:hAnsi="宋体" w:cs="宋体"/>
                <w:color w:val="auto"/>
                <w:sz w:val="21"/>
                <w:szCs w:val="21"/>
                <w:highlight w:val="none"/>
              </w:rPr>
            </w:pPr>
            <w:r>
              <w:rPr>
                <w:rFonts w:hint="eastAsia" w:hAnsi="宋体" w:cs="宋体"/>
                <w:color w:val="auto"/>
                <w:sz w:val="21"/>
                <w:szCs w:val="21"/>
                <w:highlight w:val="none"/>
              </w:rPr>
              <w:t>名称：</w:t>
            </w:r>
          </w:p>
          <w:p>
            <w:pPr>
              <w:spacing w:line="360" w:lineRule="auto"/>
              <w:rPr>
                <w:rFonts w:hAnsi="宋体" w:cs="宋体"/>
                <w:color w:val="auto"/>
                <w:sz w:val="21"/>
                <w:szCs w:val="21"/>
                <w:highlight w:val="none"/>
              </w:rPr>
            </w:pPr>
            <w:r>
              <w:rPr>
                <w:rFonts w:hint="eastAsia" w:hAnsi="宋体" w:cs="宋体"/>
                <w:color w:val="auto"/>
                <w:sz w:val="21"/>
                <w:szCs w:val="21"/>
                <w:highlight w:val="none"/>
              </w:rPr>
              <w:t>帐号：</w:t>
            </w:r>
          </w:p>
        </w:tc>
      </w:tr>
      <w:tr>
        <w:tblPrEx>
          <w:tblCellMar>
            <w:top w:w="0" w:type="dxa"/>
            <w:left w:w="108" w:type="dxa"/>
            <w:bottom w:w="0" w:type="dxa"/>
            <w:right w:w="108" w:type="dxa"/>
          </w:tblCellMar>
        </w:tblPrEx>
        <w:trPr>
          <w:cantSplit/>
          <w:trHeight w:val="1285"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color w:val="auto"/>
                <w:sz w:val="21"/>
                <w:szCs w:val="21"/>
                <w:highlight w:val="none"/>
              </w:rPr>
            </w:pPr>
            <w:r>
              <w:rPr>
                <w:rFonts w:hint="eastAsia" w:hAnsi="宋体" w:cs="宋体"/>
                <w:color w:val="auto"/>
                <w:sz w:val="21"/>
                <w:szCs w:val="21"/>
                <w:highlight w:val="none"/>
              </w:rPr>
              <w:t>公司组织</w:t>
            </w:r>
          </w:p>
          <w:p>
            <w:pPr>
              <w:spacing w:line="360" w:lineRule="auto"/>
              <w:jc w:val="center"/>
              <w:rPr>
                <w:rFonts w:hAnsi="宋体" w:cs="宋体"/>
                <w:color w:val="auto"/>
                <w:sz w:val="21"/>
                <w:szCs w:val="21"/>
                <w:highlight w:val="none"/>
              </w:rPr>
            </w:pPr>
            <w:r>
              <w:rPr>
                <w:rFonts w:hint="eastAsia" w:hAnsi="宋体" w:cs="宋体"/>
                <w:color w:val="auto"/>
                <w:sz w:val="21"/>
                <w:szCs w:val="21"/>
                <w:highlight w:val="none"/>
              </w:rPr>
              <w:t>机构框图</w:t>
            </w:r>
          </w:p>
        </w:tc>
        <w:tc>
          <w:tcPr>
            <w:tcW w:w="7470" w:type="dxa"/>
            <w:gridSpan w:val="4"/>
            <w:tcBorders>
              <w:top w:val="single" w:color="auto" w:sz="4" w:space="0"/>
              <w:left w:val="nil"/>
              <w:bottom w:val="single" w:color="auto" w:sz="4" w:space="0"/>
              <w:right w:val="single" w:color="auto" w:sz="4" w:space="0"/>
            </w:tcBorders>
            <w:vAlign w:val="center"/>
          </w:tcPr>
          <w:p>
            <w:pPr>
              <w:keepNext/>
              <w:spacing w:line="360" w:lineRule="auto"/>
              <w:jc w:val="center"/>
              <w:outlineLvl w:val="0"/>
              <w:rPr>
                <w:rFonts w:hAnsi="宋体" w:cs="宋体"/>
                <w:color w:val="auto"/>
                <w:sz w:val="21"/>
                <w:szCs w:val="21"/>
                <w:highlight w:val="none"/>
              </w:rPr>
            </w:pPr>
          </w:p>
        </w:tc>
      </w:tr>
    </w:tbl>
    <w:p>
      <w:pPr>
        <w:snapToGrid w:val="0"/>
        <w:spacing w:line="500" w:lineRule="exact"/>
        <w:rPr>
          <w:rFonts w:hAnsi="宋体" w:cs="宋体"/>
          <w:color w:val="auto"/>
          <w:sz w:val="21"/>
          <w:szCs w:val="21"/>
          <w:highlight w:val="none"/>
        </w:rPr>
      </w:pPr>
      <w:r>
        <w:rPr>
          <w:rFonts w:hint="eastAsia" w:hAnsi="宋体" w:cs="宋体"/>
          <w:color w:val="auto"/>
          <w:sz w:val="21"/>
          <w:szCs w:val="21"/>
          <w:highlight w:val="none"/>
        </w:rPr>
        <w:t>法定代表人或其授权代表签字：</w:t>
      </w:r>
    </w:p>
    <w:p>
      <w:pPr>
        <w:snapToGrid w:val="0"/>
        <w:spacing w:line="500" w:lineRule="exact"/>
        <w:rPr>
          <w:rFonts w:hAnsi="宋体" w:cs="宋体"/>
          <w:color w:val="auto"/>
          <w:sz w:val="21"/>
          <w:szCs w:val="21"/>
          <w:highlight w:val="none"/>
        </w:rPr>
      </w:pPr>
      <w:r>
        <w:rPr>
          <w:rFonts w:hint="eastAsia" w:hAnsi="宋体" w:cs="宋体"/>
          <w:color w:val="auto"/>
          <w:sz w:val="21"/>
          <w:szCs w:val="21"/>
          <w:highlight w:val="none"/>
        </w:rPr>
        <w:t xml:space="preserve">投标人全称（加盖公章）：                     </w:t>
      </w:r>
    </w:p>
    <w:p>
      <w:pPr>
        <w:pStyle w:val="28"/>
        <w:snapToGrid w:val="0"/>
        <w:spacing w:line="500" w:lineRule="exact"/>
        <w:rPr>
          <w:rFonts w:ascii="宋体" w:hAnsi="宋体" w:cs="宋体"/>
          <w:color w:val="auto"/>
          <w:highlight w:val="none"/>
        </w:rPr>
      </w:pPr>
      <w:r>
        <w:rPr>
          <w:rFonts w:hint="eastAsia" w:ascii="宋体" w:hAnsi="宋体" w:cs="宋体"/>
          <w:color w:val="auto"/>
          <w:sz w:val="24"/>
          <w:szCs w:val="24"/>
          <w:highlight w:val="none"/>
        </w:rPr>
        <w:t>日期：  年  月   日</w:t>
      </w:r>
    </w:p>
    <w:p>
      <w:pPr>
        <w:autoSpaceDE/>
        <w:autoSpaceDN/>
        <w:snapToGrid w:val="0"/>
        <w:spacing w:line="500" w:lineRule="exact"/>
        <w:ind w:firstLine="420" w:firstLineChars="200"/>
        <w:jc w:val="both"/>
        <w:rPr>
          <w:rFonts w:hAnsi="宋体" w:cs="宋体"/>
          <w:color w:val="auto"/>
          <w:sz w:val="21"/>
          <w:szCs w:val="21"/>
          <w:highlight w:val="none"/>
        </w:rPr>
      </w:pPr>
    </w:p>
    <w:p>
      <w:pPr>
        <w:autoSpaceDE/>
        <w:autoSpaceDN/>
        <w:adjustRightInd/>
        <w:snapToGrid w:val="0"/>
        <w:spacing w:line="460" w:lineRule="exact"/>
        <w:rPr>
          <w:rFonts w:hAnsi="宋体" w:cs="宋体"/>
          <w:b/>
          <w:color w:val="auto"/>
          <w:sz w:val="24"/>
          <w:szCs w:val="22"/>
          <w:highlight w:val="none"/>
        </w:rPr>
      </w:pPr>
      <w:r>
        <w:rPr>
          <w:rFonts w:hint="eastAsia" w:hAnsi="宋体" w:cs="宋体"/>
          <w:b/>
          <w:color w:val="auto"/>
          <w:sz w:val="24"/>
          <w:szCs w:val="22"/>
          <w:highlight w:val="none"/>
        </w:rPr>
        <w:t>3.投标人相关资质证书及获得的相关荣誉证书（扫描件或复印件加盖单位公章）；</w:t>
      </w:r>
    </w:p>
    <w:p>
      <w:pPr>
        <w:snapToGrid w:val="0"/>
        <w:spacing w:before="50" w:after="50"/>
        <w:jc w:val="center"/>
        <w:rPr>
          <w:rFonts w:hAnsi="宋体" w:cs="宋体"/>
          <w:b/>
          <w:color w:val="auto"/>
          <w:sz w:val="24"/>
          <w:highlight w:val="none"/>
        </w:rPr>
      </w:pPr>
      <w:r>
        <w:rPr>
          <w:rFonts w:hint="eastAsia" w:hAnsi="宋体" w:cs="宋体"/>
          <w:b/>
          <w:bCs/>
          <w:color w:val="auto"/>
          <w:sz w:val="24"/>
          <w:highlight w:val="none"/>
        </w:rPr>
        <w:br w:type="page"/>
      </w:r>
      <w:r>
        <w:rPr>
          <w:rFonts w:hint="eastAsia" w:hAnsi="宋体" w:cs="宋体"/>
          <w:b/>
          <w:color w:val="auto"/>
          <w:sz w:val="24"/>
          <w:szCs w:val="22"/>
          <w:highlight w:val="none"/>
        </w:rPr>
        <w:t>4.投标人2019年1月1日以来的同类项目业绩</w:t>
      </w:r>
    </w:p>
    <w:tbl>
      <w:tblPr>
        <w:tblStyle w:val="47"/>
        <w:tblW w:w="9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1823"/>
        <w:gridCol w:w="2324"/>
        <w:gridCol w:w="1548"/>
        <w:gridCol w:w="1200"/>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4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cs="宋体"/>
                <w:color w:val="auto"/>
                <w:sz w:val="24"/>
                <w:szCs w:val="24"/>
                <w:highlight w:val="none"/>
              </w:rPr>
            </w:pPr>
            <w:r>
              <w:rPr>
                <w:rFonts w:hint="eastAsia" w:hAnsi="宋体" w:cs="宋体"/>
                <w:color w:val="auto"/>
                <w:sz w:val="24"/>
                <w:szCs w:val="24"/>
                <w:highlight w:val="none"/>
              </w:rPr>
              <w:t>序号</w:t>
            </w:r>
          </w:p>
        </w:tc>
        <w:tc>
          <w:tcPr>
            <w:tcW w:w="182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cs="宋体"/>
                <w:color w:val="auto"/>
                <w:sz w:val="24"/>
                <w:szCs w:val="24"/>
                <w:highlight w:val="none"/>
              </w:rPr>
            </w:pPr>
            <w:r>
              <w:rPr>
                <w:rFonts w:hint="eastAsia" w:hAnsi="宋体" w:cs="宋体"/>
                <w:color w:val="auto"/>
                <w:sz w:val="24"/>
                <w:szCs w:val="24"/>
                <w:highlight w:val="none"/>
              </w:rPr>
              <w:t>项 目 名 称</w:t>
            </w:r>
          </w:p>
        </w:tc>
        <w:tc>
          <w:tcPr>
            <w:tcW w:w="2324"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cs="宋体"/>
                <w:color w:val="auto"/>
                <w:sz w:val="24"/>
                <w:szCs w:val="24"/>
                <w:highlight w:val="none"/>
              </w:rPr>
            </w:pPr>
            <w:r>
              <w:rPr>
                <w:rFonts w:hint="eastAsia" w:hAnsi="宋体" w:cs="宋体"/>
                <w:color w:val="auto"/>
                <w:sz w:val="24"/>
                <w:szCs w:val="24"/>
                <w:highlight w:val="none"/>
              </w:rPr>
              <w:t>项 目 概 况</w:t>
            </w:r>
          </w:p>
        </w:tc>
        <w:tc>
          <w:tcPr>
            <w:tcW w:w="154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cs="宋体"/>
                <w:color w:val="auto"/>
                <w:sz w:val="24"/>
                <w:szCs w:val="24"/>
                <w:highlight w:val="none"/>
              </w:rPr>
            </w:pPr>
            <w:r>
              <w:rPr>
                <w:rFonts w:hint="eastAsia" w:hAnsi="宋体" w:cs="宋体"/>
                <w:color w:val="auto"/>
                <w:sz w:val="24"/>
                <w:szCs w:val="24"/>
                <w:highlight w:val="none"/>
              </w:rPr>
              <w:t>起讫时间</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cs="宋体"/>
                <w:color w:val="auto"/>
                <w:sz w:val="24"/>
                <w:szCs w:val="24"/>
                <w:highlight w:val="none"/>
              </w:rPr>
            </w:pPr>
            <w:r>
              <w:rPr>
                <w:rFonts w:hint="eastAsia" w:hAnsi="宋体" w:cs="宋体"/>
                <w:color w:val="auto"/>
                <w:sz w:val="24"/>
                <w:szCs w:val="24"/>
                <w:highlight w:val="none"/>
              </w:rPr>
              <w:t>合同金额</w:t>
            </w:r>
          </w:p>
        </w:tc>
        <w:tc>
          <w:tcPr>
            <w:tcW w:w="147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cs="宋体"/>
                <w:color w:val="auto"/>
                <w:sz w:val="24"/>
                <w:szCs w:val="24"/>
                <w:highlight w:val="none"/>
              </w:rPr>
            </w:pPr>
            <w:r>
              <w:rPr>
                <w:rFonts w:hint="eastAsia" w:hAnsi="宋体" w:cs="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cs="宋体"/>
                <w:color w:val="auto"/>
                <w:sz w:val="24"/>
                <w:szCs w:val="24"/>
                <w:highlight w:val="none"/>
              </w:rPr>
            </w:pPr>
            <w:r>
              <w:rPr>
                <w:rFonts w:hint="eastAsia" w:hAnsi="宋体" w:cs="宋体"/>
                <w:color w:val="auto"/>
                <w:sz w:val="24"/>
                <w:szCs w:val="24"/>
                <w:highlight w:val="none"/>
              </w:rPr>
              <w:t> </w:t>
            </w:r>
          </w:p>
        </w:tc>
        <w:tc>
          <w:tcPr>
            <w:tcW w:w="182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cs="宋体"/>
                <w:color w:val="auto"/>
                <w:sz w:val="24"/>
                <w:szCs w:val="24"/>
                <w:highlight w:val="none"/>
              </w:rPr>
            </w:pPr>
            <w:r>
              <w:rPr>
                <w:rFonts w:hint="eastAsia" w:hAnsi="宋体" w:cs="宋体"/>
                <w:color w:val="auto"/>
                <w:sz w:val="24"/>
                <w:szCs w:val="24"/>
                <w:highlight w:val="none"/>
              </w:rPr>
              <w:t> </w:t>
            </w:r>
          </w:p>
        </w:tc>
        <w:tc>
          <w:tcPr>
            <w:tcW w:w="2324" w:type="dxa"/>
            <w:tcBorders>
              <w:top w:val="single" w:color="auto" w:sz="4" w:space="0"/>
              <w:left w:val="single" w:color="auto" w:sz="4" w:space="0"/>
              <w:bottom w:val="single" w:color="auto" w:sz="4" w:space="0"/>
              <w:right w:val="single" w:color="auto" w:sz="4" w:space="0"/>
            </w:tcBorders>
          </w:tcPr>
          <w:p>
            <w:pPr>
              <w:widowControl/>
              <w:snapToGrid w:val="0"/>
              <w:jc w:val="center"/>
              <w:rPr>
                <w:rFonts w:hAnsi="宋体" w:cs="宋体"/>
                <w:color w:val="auto"/>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cs="宋体"/>
                <w:color w:val="auto"/>
                <w:sz w:val="24"/>
                <w:szCs w:val="24"/>
                <w:highlight w:val="none"/>
              </w:rPr>
            </w:pPr>
            <w:r>
              <w:rPr>
                <w:rFonts w:hint="eastAsia" w:hAnsi="宋体" w:cs="宋体"/>
                <w:color w:val="auto"/>
                <w:sz w:val="24"/>
                <w:szCs w:val="24"/>
                <w:highlight w:val="none"/>
              </w:rPr>
              <w:t> </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cs="宋体"/>
                <w:color w:val="auto"/>
                <w:sz w:val="24"/>
                <w:szCs w:val="24"/>
                <w:highlight w:val="none"/>
              </w:rPr>
            </w:pPr>
            <w:r>
              <w:rPr>
                <w:rFonts w:hint="eastAsia" w:hAnsi="宋体" w:cs="宋体"/>
                <w:color w:val="auto"/>
                <w:sz w:val="24"/>
                <w:szCs w:val="24"/>
                <w:highlight w:val="none"/>
              </w:rPr>
              <w:t> </w:t>
            </w:r>
          </w:p>
        </w:tc>
        <w:tc>
          <w:tcPr>
            <w:tcW w:w="147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cs="宋体"/>
                <w:color w:val="auto"/>
                <w:sz w:val="24"/>
                <w:szCs w:val="24"/>
                <w:highlight w:val="none"/>
              </w:rPr>
            </w:pPr>
            <w:r>
              <w:rPr>
                <w:rFonts w:hint="eastAsia" w:hAnsi="宋体" w:cs="宋体"/>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cs="宋体"/>
                <w:color w:val="auto"/>
                <w:sz w:val="24"/>
                <w:szCs w:val="24"/>
                <w:highlight w:val="none"/>
              </w:rPr>
            </w:pPr>
            <w:r>
              <w:rPr>
                <w:rFonts w:hint="eastAsia" w:hAnsi="宋体" w:cs="宋体"/>
                <w:color w:val="auto"/>
                <w:sz w:val="24"/>
                <w:szCs w:val="24"/>
                <w:highlight w:val="none"/>
              </w:rPr>
              <w:t> </w:t>
            </w:r>
          </w:p>
        </w:tc>
        <w:tc>
          <w:tcPr>
            <w:tcW w:w="182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cs="宋体"/>
                <w:color w:val="auto"/>
                <w:sz w:val="24"/>
                <w:szCs w:val="24"/>
                <w:highlight w:val="none"/>
              </w:rPr>
            </w:pPr>
            <w:r>
              <w:rPr>
                <w:rFonts w:hint="eastAsia" w:hAnsi="宋体" w:cs="宋体"/>
                <w:color w:val="auto"/>
                <w:sz w:val="24"/>
                <w:szCs w:val="24"/>
                <w:highlight w:val="none"/>
              </w:rPr>
              <w:t> </w:t>
            </w:r>
          </w:p>
        </w:tc>
        <w:tc>
          <w:tcPr>
            <w:tcW w:w="2324" w:type="dxa"/>
            <w:tcBorders>
              <w:top w:val="single" w:color="auto" w:sz="4" w:space="0"/>
              <w:left w:val="single" w:color="auto" w:sz="4" w:space="0"/>
              <w:bottom w:val="single" w:color="auto" w:sz="4" w:space="0"/>
              <w:right w:val="single" w:color="auto" w:sz="4" w:space="0"/>
            </w:tcBorders>
          </w:tcPr>
          <w:p>
            <w:pPr>
              <w:widowControl/>
              <w:snapToGrid w:val="0"/>
              <w:jc w:val="center"/>
              <w:rPr>
                <w:rFonts w:hAnsi="宋体" w:cs="宋体"/>
                <w:color w:val="auto"/>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cs="宋体"/>
                <w:color w:val="auto"/>
                <w:sz w:val="24"/>
                <w:szCs w:val="24"/>
                <w:highlight w:val="none"/>
              </w:rPr>
            </w:pPr>
            <w:r>
              <w:rPr>
                <w:rFonts w:hint="eastAsia" w:hAnsi="宋体" w:cs="宋体"/>
                <w:color w:val="auto"/>
                <w:sz w:val="24"/>
                <w:szCs w:val="24"/>
                <w:highlight w:val="none"/>
              </w:rPr>
              <w:t> </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cs="宋体"/>
                <w:color w:val="auto"/>
                <w:sz w:val="24"/>
                <w:szCs w:val="24"/>
                <w:highlight w:val="none"/>
              </w:rPr>
            </w:pPr>
            <w:r>
              <w:rPr>
                <w:rFonts w:hint="eastAsia" w:hAnsi="宋体" w:cs="宋体"/>
                <w:color w:val="auto"/>
                <w:sz w:val="24"/>
                <w:szCs w:val="24"/>
                <w:highlight w:val="none"/>
              </w:rPr>
              <w:t> </w:t>
            </w:r>
          </w:p>
        </w:tc>
        <w:tc>
          <w:tcPr>
            <w:tcW w:w="147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cs="宋体"/>
                <w:color w:val="auto"/>
                <w:sz w:val="24"/>
                <w:szCs w:val="24"/>
                <w:highlight w:val="none"/>
              </w:rPr>
            </w:pPr>
            <w:r>
              <w:rPr>
                <w:rFonts w:hint="eastAsia" w:hAnsi="宋体" w:cs="宋体"/>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cs="宋体"/>
                <w:color w:val="auto"/>
                <w:sz w:val="24"/>
                <w:szCs w:val="24"/>
                <w:highlight w:val="none"/>
              </w:rPr>
            </w:pPr>
            <w:r>
              <w:rPr>
                <w:rFonts w:hint="eastAsia" w:hAnsi="宋体" w:cs="宋体"/>
                <w:color w:val="auto"/>
                <w:sz w:val="24"/>
                <w:szCs w:val="24"/>
                <w:highlight w:val="none"/>
              </w:rPr>
              <w:t> </w:t>
            </w:r>
          </w:p>
        </w:tc>
        <w:tc>
          <w:tcPr>
            <w:tcW w:w="182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cs="宋体"/>
                <w:color w:val="auto"/>
                <w:sz w:val="24"/>
                <w:szCs w:val="24"/>
                <w:highlight w:val="none"/>
              </w:rPr>
            </w:pPr>
            <w:r>
              <w:rPr>
                <w:rFonts w:hint="eastAsia" w:hAnsi="宋体" w:cs="宋体"/>
                <w:color w:val="auto"/>
                <w:sz w:val="24"/>
                <w:szCs w:val="24"/>
                <w:highlight w:val="none"/>
              </w:rPr>
              <w:t> </w:t>
            </w:r>
          </w:p>
        </w:tc>
        <w:tc>
          <w:tcPr>
            <w:tcW w:w="2324" w:type="dxa"/>
            <w:tcBorders>
              <w:top w:val="single" w:color="auto" w:sz="4" w:space="0"/>
              <w:left w:val="single" w:color="auto" w:sz="4" w:space="0"/>
              <w:bottom w:val="single" w:color="auto" w:sz="4" w:space="0"/>
              <w:right w:val="single" w:color="auto" w:sz="4" w:space="0"/>
            </w:tcBorders>
          </w:tcPr>
          <w:p>
            <w:pPr>
              <w:widowControl/>
              <w:snapToGrid w:val="0"/>
              <w:jc w:val="center"/>
              <w:rPr>
                <w:rFonts w:hAnsi="宋体" w:cs="宋体"/>
                <w:color w:val="auto"/>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cs="宋体"/>
                <w:color w:val="auto"/>
                <w:sz w:val="24"/>
                <w:szCs w:val="24"/>
                <w:highlight w:val="none"/>
              </w:rPr>
            </w:pPr>
            <w:r>
              <w:rPr>
                <w:rFonts w:hint="eastAsia" w:hAnsi="宋体" w:cs="宋体"/>
                <w:color w:val="auto"/>
                <w:sz w:val="24"/>
                <w:szCs w:val="24"/>
                <w:highlight w:val="none"/>
              </w:rPr>
              <w:t> </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cs="宋体"/>
                <w:color w:val="auto"/>
                <w:sz w:val="24"/>
                <w:szCs w:val="24"/>
                <w:highlight w:val="none"/>
              </w:rPr>
            </w:pPr>
            <w:r>
              <w:rPr>
                <w:rFonts w:hint="eastAsia" w:hAnsi="宋体" w:cs="宋体"/>
                <w:color w:val="auto"/>
                <w:sz w:val="24"/>
                <w:szCs w:val="24"/>
                <w:highlight w:val="none"/>
              </w:rPr>
              <w:t> </w:t>
            </w:r>
          </w:p>
        </w:tc>
        <w:tc>
          <w:tcPr>
            <w:tcW w:w="147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cs="宋体"/>
                <w:color w:val="auto"/>
                <w:sz w:val="24"/>
                <w:szCs w:val="24"/>
                <w:highlight w:val="none"/>
              </w:rPr>
            </w:pPr>
            <w:r>
              <w:rPr>
                <w:rFonts w:hint="eastAsia" w:hAnsi="宋体" w:cs="宋体"/>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cs="宋体"/>
                <w:color w:val="auto"/>
                <w:sz w:val="24"/>
                <w:szCs w:val="24"/>
                <w:highlight w:val="none"/>
              </w:rPr>
            </w:pPr>
            <w:r>
              <w:rPr>
                <w:rFonts w:hint="eastAsia" w:hAnsi="宋体" w:cs="宋体"/>
                <w:color w:val="auto"/>
                <w:sz w:val="24"/>
                <w:szCs w:val="24"/>
                <w:highlight w:val="none"/>
              </w:rPr>
              <w:t> </w:t>
            </w:r>
          </w:p>
        </w:tc>
        <w:tc>
          <w:tcPr>
            <w:tcW w:w="182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cs="宋体"/>
                <w:color w:val="auto"/>
                <w:sz w:val="24"/>
                <w:szCs w:val="24"/>
                <w:highlight w:val="none"/>
              </w:rPr>
            </w:pPr>
            <w:r>
              <w:rPr>
                <w:rFonts w:hint="eastAsia" w:hAnsi="宋体" w:cs="宋体"/>
                <w:color w:val="auto"/>
                <w:sz w:val="24"/>
                <w:szCs w:val="24"/>
                <w:highlight w:val="none"/>
              </w:rPr>
              <w:t> </w:t>
            </w:r>
          </w:p>
        </w:tc>
        <w:tc>
          <w:tcPr>
            <w:tcW w:w="2324" w:type="dxa"/>
            <w:tcBorders>
              <w:top w:val="single" w:color="auto" w:sz="4" w:space="0"/>
              <w:left w:val="single" w:color="auto" w:sz="4" w:space="0"/>
              <w:bottom w:val="single" w:color="auto" w:sz="4" w:space="0"/>
              <w:right w:val="single" w:color="auto" w:sz="4" w:space="0"/>
            </w:tcBorders>
          </w:tcPr>
          <w:p>
            <w:pPr>
              <w:widowControl/>
              <w:snapToGrid w:val="0"/>
              <w:jc w:val="center"/>
              <w:rPr>
                <w:rFonts w:hAnsi="宋体" w:cs="宋体"/>
                <w:color w:val="auto"/>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cs="宋体"/>
                <w:color w:val="auto"/>
                <w:sz w:val="24"/>
                <w:szCs w:val="24"/>
                <w:highlight w:val="none"/>
              </w:rPr>
            </w:pPr>
            <w:r>
              <w:rPr>
                <w:rFonts w:hint="eastAsia" w:hAnsi="宋体" w:cs="宋体"/>
                <w:color w:val="auto"/>
                <w:sz w:val="24"/>
                <w:szCs w:val="24"/>
                <w:highlight w:val="none"/>
              </w:rPr>
              <w:t> </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cs="宋体"/>
                <w:color w:val="auto"/>
                <w:sz w:val="24"/>
                <w:szCs w:val="24"/>
                <w:highlight w:val="none"/>
              </w:rPr>
            </w:pPr>
            <w:r>
              <w:rPr>
                <w:rFonts w:hint="eastAsia" w:hAnsi="宋体" w:cs="宋体"/>
                <w:color w:val="auto"/>
                <w:sz w:val="24"/>
                <w:szCs w:val="24"/>
                <w:highlight w:val="none"/>
              </w:rPr>
              <w:t> </w:t>
            </w:r>
          </w:p>
        </w:tc>
        <w:tc>
          <w:tcPr>
            <w:tcW w:w="147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cs="宋体"/>
                <w:color w:val="auto"/>
                <w:sz w:val="24"/>
                <w:szCs w:val="24"/>
                <w:highlight w:val="none"/>
              </w:rPr>
            </w:pPr>
            <w:r>
              <w:rPr>
                <w:rFonts w:hint="eastAsia" w:hAnsi="宋体" w:cs="宋体"/>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cs="宋体"/>
                <w:color w:val="auto"/>
                <w:sz w:val="24"/>
                <w:szCs w:val="24"/>
                <w:highlight w:val="none"/>
              </w:rPr>
            </w:pPr>
            <w:r>
              <w:rPr>
                <w:rFonts w:hint="eastAsia" w:hAnsi="宋体" w:cs="宋体"/>
                <w:color w:val="auto"/>
                <w:sz w:val="24"/>
                <w:szCs w:val="24"/>
                <w:highlight w:val="none"/>
              </w:rPr>
              <w:t> </w:t>
            </w:r>
          </w:p>
        </w:tc>
        <w:tc>
          <w:tcPr>
            <w:tcW w:w="182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cs="宋体"/>
                <w:color w:val="auto"/>
                <w:sz w:val="24"/>
                <w:szCs w:val="24"/>
                <w:highlight w:val="none"/>
              </w:rPr>
            </w:pPr>
            <w:r>
              <w:rPr>
                <w:rFonts w:hint="eastAsia" w:hAnsi="宋体" w:cs="宋体"/>
                <w:color w:val="auto"/>
                <w:sz w:val="24"/>
                <w:szCs w:val="24"/>
                <w:highlight w:val="none"/>
              </w:rPr>
              <w:t> </w:t>
            </w:r>
          </w:p>
        </w:tc>
        <w:tc>
          <w:tcPr>
            <w:tcW w:w="2324" w:type="dxa"/>
            <w:tcBorders>
              <w:top w:val="single" w:color="auto" w:sz="4" w:space="0"/>
              <w:left w:val="single" w:color="auto" w:sz="4" w:space="0"/>
              <w:bottom w:val="single" w:color="auto" w:sz="4" w:space="0"/>
              <w:right w:val="single" w:color="auto" w:sz="4" w:space="0"/>
            </w:tcBorders>
          </w:tcPr>
          <w:p>
            <w:pPr>
              <w:widowControl/>
              <w:snapToGrid w:val="0"/>
              <w:jc w:val="center"/>
              <w:rPr>
                <w:rFonts w:hAnsi="宋体" w:cs="宋体"/>
                <w:color w:val="auto"/>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cs="宋体"/>
                <w:color w:val="auto"/>
                <w:sz w:val="24"/>
                <w:szCs w:val="24"/>
                <w:highlight w:val="none"/>
              </w:rPr>
            </w:pPr>
            <w:r>
              <w:rPr>
                <w:rFonts w:hint="eastAsia" w:hAnsi="宋体" w:cs="宋体"/>
                <w:color w:val="auto"/>
                <w:sz w:val="24"/>
                <w:szCs w:val="24"/>
                <w:highlight w:val="none"/>
              </w:rPr>
              <w:t> </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cs="宋体"/>
                <w:color w:val="auto"/>
                <w:sz w:val="24"/>
                <w:szCs w:val="24"/>
                <w:highlight w:val="none"/>
              </w:rPr>
            </w:pPr>
            <w:r>
              <w:rPr>
                <w:rFonts w:hint="eastAsia" w:hAnsi="宋体" w:cs="宋体"/>
                <w:color w:val="auto"/>
                <w:sz w:val="24"/>
                <w:szCs w:val="24"/>
                <w:highlight w:val="none"/>
              </w:rPr>
              <w:t> </w:t>
            </w:r>
          </w:p>
        </w:tc>
        <w:tc>
          <w:tcPr>
            <w:tcW w:w="147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cs="宋体"/>
                <w:color w:val="auto"/>
                <w:sz w:val="24"/>
                <w:szCs w:val="24"/>
                <w:highlight w:val="none"/>
              </w:rPr>
            </w:pPr>
            <w:r>
              <w:rPr>
                <w:rFonts w:hint="eastAsia" w:hAnsi="宋体" w:cs="宋体"/>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cs="宋体"/>
                <w:color w:val="auto"/>
                <w:sz w:val="24"/>
                <w:szCs w:val="24"/>
                <w:highlight w:val="none"/>
              </w:rPr>
            </w:pPr>
            <w:r>
              <w:rPr>
                <w:rFonts w:hint="eastAsia" w:hAnsi="宋体" w:cs="宋体"/>
                <w:color w:val="auto"/>
                <w:sz w:val="24"/>
                <w:szCs w:val="24"/>
                <w:highlight w:val="none"/>
              </w:rPr>
              <w:t> </w:t>
            </w:r>
          </w:p>
        </w:tc>
        <w:tc>
          <w:tcPr>
            <w:tcW w:w="182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cs="宋体"/>
                <w:color w:val="auto"/>
                <w:sz w:val="24"/>
                <w:szCs w:val="24"/>
                <w:highlight w:val="none"/>
              </w:rPr>
            </w:pPr>
            <w:r>
              <w:rPr>
                <w:rFonts w:hint="eastAsia" w:hAnsi="宋体" w:cs="宋体"/>
                <w:color w:val="auto"/>
                <w:sz w:val="24"/>
                <w:szCs w:val="24"/>
                <w:highlight w:val="none"/>
              </w:rPr>
              <w:t> </w:t>
            </w:r>
          </w:p>
        </w:tc>
        <w:tc>
          <w:tcPr>
            <w:tcW w:w="2324" w:type="dxa"/>
            <w:tcBorders>
              <w:top w:val="single" w:color="auto" w:sz="4" w:space="0"/>
              <w:left w:val="single" w:color="auto" w:sz="4" w:space="0"/>
              <w:bottom w:val="single" w:color="auto" w:sz="4" w:space="0"/>
              <w:right w:val="single" w:color="auto" w:sz="4" w:space="0"/>
            </w:tcBorders>
          </w:tcPr>
          <w:p>
            <w:pPr>
              <w:widowControl/>
              <w:snapToGrid w:val="0"/>
              <w:jc w:val="center"/>
              <w:rPr>
                <w:rFonts w:hAnsi="宋体" w:cs="宋体"/>
                <w:color w:val="auto"/>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cs="宋体"/>
                <w:color w:val="auto"/>
                <w:sz w:val="24"/>
                <w:szCs w:val="24"/>
                <w:highlight w:val="none"/>
              </w:rPr>
            </w:pPr>
            <w:r>
              <w:rPr>
                <w:rFonts w:hint="eastAsia" w:hAnsi="宋体" w:cs="宋体"/>
                <w:color w:val="auto"/>
                <w:sz w:val="24"/>
                <w:szCs w:val="24"/>
                <w:highlight w:val="none"/>
              </w:rPr>
              <w:t> </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cs="宋体"/>
                <w:color w:val="auto"/>
                <w:sz w:val="24"/>
                <w:szCs w:val="24"/>
                <w:highlight w:val="none"/>
              </w:rPr>
            </w:pPr>
            <w:r>
              <w:rPr>
                <w:rFonts w:hint="eastAsia" w:hAnsi="宋体" w:cs="宋体"/>
                <w:color w:val="auto"/>
                <w:sz w:val="24"/>
                <w:szCs w:val="24"/>
                <w:highlight w:val="none"/>
              </w:rPr>
              <w:t> </w:t>
            </w:r>
          </w:p>
        </w:tc>
        <w:tc>
          <w:tcPr>
            <w:tcW w:w="147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cs="宋体"/>
                <w:color w:val="auto"/>
                <w:sz w:val="24"/>
                <w:szCs w:val="24"/>
                <w:highlight w:val="none"/>
              </w:rPr>
            </w:pPr>
            <w:r>
              <w:rPr>
                <w:rFonts w:hint="eastAsia" w:hAnsi="宋体" w:cs="宋体"/>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cs="宋体"/>
                <w:color w:val="auto"/>
                <w:sz w:val="24"/>
                <w:szCs w:val="24"/>
                <w:highlight w:val="none"/>
              </w:rPr>
            </w:pPr>
            <w:r>
              <w:rPr>
                <w:rFonts w:hint="eastAsia" w:hAnsi="宋体" w:cs="宋体"/>
                <w:color w:val="auto"/>
                <w:sz w:val="24"/>
                <w:szCs w:val="24"/>
                <w:highlight w:val="none"/>
              </w:rPr>
              <w:t> </w:t>
            </w:r>
          </w:p>
        </w:tc>
        <w:tc>
          <w:tcPr>
            <w:tcW w:w="182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cs="宋体"/>
                <w:color w:val="auto"/>
                <w:sz w:val="24"/>
                <w:szCs w:val="24"/>
                <w:highlight w:val="none"/>
              </w:rPr>
            </w:pPr>
            <w:r>
              <w:rPr>
                <w:rFonts w:hint="eastAsia" w:hAnsi="宋体" w:cs="宋体"/>
                <w:color w:val="auto"/>
                <w:sz w:val="24"/>
                <w:szCs w:val="24"/>
                <w:highlight w:val="none"/>
              </w:rPr>
              <w:t> </w:t>
            </w:r>
          </w:p>
        </w:tc>
        <w:tc>
          <w:tcPr>
            <w:tcW w:w="2324" w:type="dxa"/>
            <w:tcBorders>
              <w:top w:val="single" w:color="auto" w:sz="4" w:space="0"/>
              <w:left w:val="single" w:color="auto" w:sz="4" w:space="0"/>
              <w:bottom w:val="single" w:color="auto" w:sz="4" w:space="0"/>
              <w:right w:val="single" w:color="auto" w:sz="4" w:space="0"/>
            </w:tcBorders>
          </w:tcPr>
          <w:p>
            <w:pPr>
              <w:widowControl/>
              <w:snapToGrid w:val="0"/>
              <w:jc w:val="center"/>
              <w:rPr>
                <w:rFonts w:hAnsi="宋体" w:cs="宋体"/>
                <w:color w:val="auto"/>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cs="宋体"/>
                <w:color w:val="auto"/>
                <w:sz w:val="24"/>
                <w:szCs w:val="24"/>
                <w:highlight w:val="none"/>
              </w:rPr>
            </w:pPr>
            <w:r>
              <w:rPr>
                <w:rFonts w:hint="eastAsia" w:hAnsi="宋体" w:cs="宋体"/>
                <w:color w:val="auto"/>
                <w:sz w:val="24"/>
                <w:szCs w:val="24"/>
                <w:highlight w:val="none"/>
              </w:rPr>
              <w:t> </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cs="宋体"/>
                <w:color w:val="auto"/>
                <w:sz w:val="24"/>
                <w:szCs w:val="24"/>
                <w:highlight w:val="none"/>
              </w:rPr>
            </w:pPr>
            <w:r>
              <w:rPr>
                <w:rFonts w:hint="eastAsia" w:hAnsi="宋体" w:cs="宋体"/>
                <w:color w:val="auto"/>
                <w:sz w:val="24"/>
                <w:szCs w:val="24"/>
                <w:highlight w:val="none"/>
              </w:rPr>
              <w:t> </w:t>
            </w:r>
          </w:p>
        </w:tc>
        <w:tc>
          <w:tcPr>
            <w:tcW w:w="147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cs="宋体"/>
                <w:color w:val="auto"/>
                <w:sz w:val="24"/>
                <w:szCs w:val="24"/>
                <w:highlight w:val="none"/>
              </w:rPr>
            </w:pPr>
            <w:r>
              <w:rPr>
                <w:rFonts w:hint="eastAsia" w:hAnsi="宋体" w:cs="宋体"/>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cs="宋体"/>
                <w:color w:val="auto"/>
                <w:sz w:val="24"/>
                <w:szCs w:val="24"/>
                <w:highlight w:val="none"/>
              </w:rPr>
            </w:pPr>
            <w:r>
              <w:rPr>
                <w:rFonts w:hint="eastAsia" w:hAnsi="宋体" w:cs="宋体"/>
                <w:color w:val="auto"/>
                <w:sz w:val="24"/>
                <w:szCs w:val="24"/>
                <w:highlight w:val="none"/>
              </w:rPr>
              <w:t> </w:t>
            </w:r>
          </w:p>
        </w:tc>
        <w:tc>
          <w:tcPr>
            <w:tcW w:w="182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cs="宋体"/>
                <w:color w:val="auto"/>
                <w:sz w:val="24"/>
                <w:szCs w:val="24"/>
                <w:highlight w:val="none"/>
              </w:rPr>
            </w:pPr>
            <w:r>
              <w:rPr>
                <w:rFonts w:hint="eastAsia" w:hAnsi="宋体" w:cs="宋体"/>
                <w:color w:val="auto"/>
                <w:sz w:val="24"/>
                <w:szCs w:val="24"/>
                <w:highlight w:val="none"/>
              </w:rPr>
              <w:t> </w:t>
            </w:r>
          </w:p>
        </w:tc>
        <w:tc>
          <w:tcPr>
            <w:tcW w:w="2324" w:type="dxa"/>
            <w:tcBorders>
              <w:top w:val="single" w:color="auto" w:sz="4" w:space="0"/>
              <w:left w:val="single" w:color="auto" w:sz="4" w:space="0"/>
              <w:bottom w:val="single" w:color="auto" w:sz="4" w:space="0"/>
              <w:right w:val="single" w:color="auto" w:sz="4" w:space="0"/>
            </w:tcBorders>
          </w:tcPr>
          <w:p>
            <w:pPr>
              <w:widowControl/>
              <w:snapToGrid w:val="0"/>
              <w:jc w:val="center"/>
              <w:rPr>
                <w:rFonts w:hAnsi="宋体" w:cs="宋体"/>
                <w:color w:val="auto"/>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cs="宋体"/>
                <w:color w:val="auto"/>
                <w:sz w:val="24"/>
                <w:szCs w:val="24"/>
                <w:highlight w:val="none"/>
              </w:rPr>
            </w:pPr>
            <w:r>
              <w:rPr>
                <w:rFonts w:hint="eastAsia" w:hAnsi="宋体" w:cs="宋体"/>
                <w:color w:val="auto"/>
                <w:sz w:val="24"/>
                <w:szCs w:val="24"/>
                <w:highlight w:val="none"/>
              </w:rPr>
              <w:t> </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cs="宋体"/>
                <w:color w:val="auto"/>
                <w:sz w:val="24"/>
                <w:szCs w:val="24"/>
                <w:highlight w:val="none"/>
              </w:rPr>
            </w:pPr>
            <w:r>
              <w:rPr>
                <w:rFonts w:hint="eastAsia" w:hAnsi="宋体" w:cs="宋体"/>
                <w:color w:val="auto"/>
                <w:sz w:val="24"/>
                <w:szCs w:val="24"/>
                <w:highlight w:val="none"/>
              </w:rPr>
              <w:t> </w:t>
            </w:r>
          </w:p>
        </w:tc>
        <w:tc>
          <w:tcPr>
            <w:tcW w:w="147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cs="宋体"/>
                <w:color w:val="auto"/>
                <w:sz w:val="24"/>
                <w:szCs w:val="24"/>
                <w:highlight w:val="none"/>
              </w:rPr>
            </w:pPr>
            <w:r>
              <w:rPr>
                <w:rFonts w:hint="eastAsia" w:hAnsi="宋体" w:cs="宋体"/>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cs="宋体"/>
                <w:color w:val="auto"/>
                <w:sz w:val="24"/>
                <w:szCs w:val="24"/>
                <w:highlight w:val="none"/>
              </w:rPr>
            </w:pPr>
            <w:r>
              <w:rPr>
                <w:rFonts w:hint="eastAsia" w:hAnsi="宋体" w:cs="宋体"/>
                <w:color w:val="auto"/>
                <w:sz w:val="24"/>
                <w:szCs w:val="24"/>
                <w:highlight w:val="none"/>
              </w:rPr>
              <w:t> </w:t>
            </w:r>
          </w:p>
        </w:tc>
        <w:tc>
          <w:tcPr>
            <w:tcW w:w="182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cs="宋体"/>
                <w:color w:val="auto"/>
                <w:sz w:val="24"/>
                <w:szCs w:val="24"/>
                <w:highlight w:val="none"/>
              </w:rPr>
            </w:pPr>
            <w:r>
              <w:rPr>
                <w:rFonts w:hint="eastAsia" w:hAnsi="宋体" w:cs="宋体"/>
                <w:color w:val="auto"/>
                <w:sz w:val="24"/>
                <w:szCs w:val="24"/>
                <w:highlight w:val="none"/>
              </w:rPr>
              <w:t> </w:t>
            </w:r>
          </w:p>
        </w:tc>
        <w:tc>
          <w:tcPr>
            <w:tcW w:w="2324" w:type="dxa"/>
            <w:tcBorders>
              <w:top w:val="single" w:color="auto" w:sz="4" w:space="0"/>
              <w:left w:val="single" w:color="auto" w:sz="4" w:space="0"/>
              <w:bottom w:val="single" w:color="auto" w:sz="4" w:space="0"/>
              <w:right w:val="single" w:color="auto" w:sz="4" w:space="0"/>
            </w:tcBorders>
          </w:tcPr>
          <w:p>
            <w:pPr>
              <w:widowControl/>
              <w:snapToGrid w:val="0"/>
              <w:jc w:val="center"/>
              <w:rPr>
                <w:rFonts w:hAnsi="宋体" w:cs="宋体"/>
                <w:color w:val="auto"/>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cs="宋体"/>
                <w:color w:val="auto"/>
                <w:sz w:val="24"/>
                <w:szCs w:val="24"/>
                <w:highlight w:val="none"/>
              </w:rPr>
            </w:pPr>
            <w:r>
              <w:rPr>
                <w:rFonts w:hint="eastAsia" w:hAnsi="宋体" w:cs="宋体"/>
                <w:color w:val="auto"/>
                <w:sz w:val="24"/>
                <w:szCs w:val="24"/>
                <w:highlight w:val="none"/>
              </w:rPr>
              <w:t> </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cs="宋体"/>
                <w:color w:val="auto"/>
                <w:sz w:val="24"/>
                <w:szCs w:val="24"/>
                <w:highlight w:val="none"/>
              </w:rPr>
            </w:pPr>
            <w:r>
              <w:rPr>
                <w:rFonts w:hint="eastAsia" w:hAnsi="宋体" w:cs="宋体"/>
                <w:color w:val="auto"/>
                <w:sz w:val="24"/>
                <w:szCs w:val="24"/>
                <w:highlight w:val="none"/>
              </w:rPr>
              <w:t> </w:t>
            </w:r>
          </w:p>
        </w:tc>
        <w:tc>
          <w:tcPr>
            <w:tcW w:w="147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Ansi="宋体" w:cs="宋体"/>
                <w:color w:val="auto"/>
                <w:sz w:val="24"/>
                <w:szCs w:val="24"/>
                <w:highlight w:val="none"/>
              </w:rPr>
            </w:pPr>
            <w:r>
              <w:rPr>
                <w:rFonts w:hint="eastAsia" w:hAnsi="宋体" w:cs="宋体"/>
                <w:color w:val="auto"/>
                <w:sz w:val="24"/>
                <w:szCs w:val="24"/>
                <w:highlight w:val="none"/>
              </w:rPr>
              <w:t> </w:t>
            </w:r>
          </w:p>
        </w:tc>
      </w:tr>
    </w:tbl>
    <w:p>
      <w:pPr>
        <w:pStyle w:val="5"/>
        <w:rPr>
          <w:rFonts w:ascii="宋体" w:hAnsi="宋体" w:cs="宋体"/>
          <w:color w:val="auto"/>
          <w:highlight w:val="none"/>
        </w:rPr>
      </w:pPr>
    </w:p>
    <w:p>
      <w:pPr>
        <w:spacing w:line="360" w:lineRule="auto"/>
        <w:ind w:firstLine="478" w:firstLineChars="228"/>
        <w:rPr>
          <w:rFonts w:hAnsi="宋体" w:cs="宋体"/>
          <w:color w:val="auto"/>
          <w:sz w:val="21"/>
          <w:szCs w:val="21"/>
          <w:highlight w:val="none"/>
        </w:rPr>
      </w:pPr>
      <w:r>
        <w:rPr>
          <w:rFonts w:hint="eastAsia" w:hAnsi="宋体" w:cs="宋体"/>
          <w:color w:val="auto"/>
          <w:sz w:val="21"/>
          <w:szCs w:val="21"/>
          <w:highlight w:val="none"/>
        </w:rPr>
        <w:t>法定代表人或其授权代表签字：</w:t>
      </w:r>
    </w:p>
    <w:p>
      <w:pPr>
        <w:autoSpaceDE/>
        <w:autoSpaceDN/>
        <w:adjustRightInd/>
        <w:spacing w:line="360" w:lineRule="auto"/>
        <w:ind w:firstLine="630" w:firstLineChars="300"/>
        <w:rPr>
          <w:rFonts w:hAnsi="宋体" w:cs="宋体"/>
          <w:color w:val="auto"/>
          <w:sz w:val="21"/>
          <w:szCs w:val="21"/>
          <w:highlight w:val="none"/>
        </w:rPr>
      </w:pPr>
      <w:r>
        <w:rPr>
          <w:rFonts w:hint="eastAsia" w:hAnsi="宋体" w:cs="宋体"/>
          <w:color w:val="auto"/>
          <w:sz w:val="21"/>
          <w:szCs w:val="21"/>
          <w:highlight w:val="none"/>
        </w:rPr>
        <w:t xml:space="preserve">投标人全称（加盖公章）：                     </w:t>
      </w:r>
    </w:p>
    <w:p>
      <w:pPr>
        <w:snapToGrid w:val="0"/>
        <w:spacing w:before="50" w:after="50"/>
        <w:jc w:val="center"/>
        <w:rPr>
          <w:rFonts w:hAnsi="宋体" w:cs="宋体"/>
          <w:b/>
          <w:color w:val="auto"/>
          <w:sz w:val="24"/>
          <w:highlight w:val="none"/>
        </w:rPr>
      </w:pPr>
      <w:r>
        <w:rPr>
          <w:rFonts w:hint="eastAsia" w:hAnsi="宋体" w:cs="宋体"/>
          <w:color w:val="auto"/>
          <w:sz w:val="24"/>
          <w:szCs w:val="24"/>
          <w:highlight w:val="none"/>
        </w:rPr>
        <w:t>日期：  年  月   日</w:t>
      </w:r>
    </w:p>
    <w:p>
      <w:pPr>
        <w:jc w:val="center"/>
        <w:rPr>
          <w:rFonts w:hAnsi="宋体" w:cs="宋体"/>
          <w:b/>
          <w:color w:val="auto"/>
          <w:sz w:val="21"/>
          <w:szCs w:val="21"/>
          <w:highlight w:val="none"/>
        </w:rPr>
      </w:pPr>
      <w:bookmarkStart w:id="46" w:name="_Toc295737642"/>
      <w:bookmarkStart w:id="47" w:name="_Toc296074353"/>
      <w:bookmarkStart w:id="48" w:name="_Toc354841327"/>
      <w:bookmarkStart w:id="49" w:name="_Toc296075064"/>
      <w:bookmarkStart w:id="50" w:name="_Toc295910890"/>
    </w:p>
    <w:p>
      <w:pPr>
        <w:jc w:val="center"/>
        <w:rPr>
          <w:rFonts w:hAnsi="宋体" w:cs="宋体"/>
          <w:b/>
          <w:color w:val="auto"/>
          <w:sz w:val="21"/>
          <w:szCs w:val="21"/>
          <w:highlight w:val="none"/>
        </w:rPr>
      </w:pPr>
    </w:p>
    <w:p>
      <w:pPr>
        <w:jc w:val="center"/>
        <w:rPr>
          <w:rFonts w:hAnsi="宋体" w:cs="宋体"/>
          <w:b/>
          <w:color w:val="auto"/>
          <w:sz w:val="21"/>
          <w:szCs w:val="21"/>
          <w:highlight w:val="none"/>
        </w:rPr>
      </w:pPr>
    </w:p>
    <w:p>
      <w:pPr>
        <w:jc w:val="center"/>
        <w:rPr>
          <w:rFonts w:hAnsi="宋体" w:cs="宋体"/>
          <w:b/>
          <w:color w:val="auto"/>
          <w:sz w:val="21"/>
          <w:szCs w:val="21"/>
          <w:highlight w:val="none"/>
        </w:rPr>
      </w:pPr>
    </w:p>
    <w:p>
      <w:pPr>
        <w:jc w:val="center"/>
        <w:rPr>
          <w:rFonts w:hAnsi="宋体" w:cs="宋体"/>
          <w:b/>
          <w:color w:val="auto"/>
          <w:sz w:val="21"/>
          <w:szCs w:val="21"/>
          <w:highlight w:val="none"/>
        </w:rPr>
      </w:pPr>
    </w:p>
    <w:p>
      <w:pPr>
        <w:jc w:val="center"/>
        <w:rPr>
          <w:rFonts w:hAnsi="宋体" w:cs="宋体"/>
          <w:b/>
          <w:color w:val="auto"/>
          <w:sz w:val="21"/>
          <w:szCs w:val="21"/>
          <w:highlight w:val="none"/>
        </w:rPr>
      </w:pPr>
    </w:p>
    <w:p>
      <w:pPr>
        <w:jc w:val="center"/>
        <w:rPr>
          <w:rFonts w:hAnsi="宋体" w:cs="宋体"/>
          <w:b/>
          <w:color w:val="auto"/>
          <w:sz w:val="21"/>
          <w:szCs w:val="21"/>
          <w:highlight w:val="none"/>
        </w:rPr>
      </w:pPr>
    </w:p>
    <w:p>
      <w:pPr>
        <w:jc w:val="center"/>
        <w:rPr>
          <w:rFonts w:hAnsi="宋体" w:cs="宋体"/>
          <w:b/>
          <w:color w:val="auto"/>
          <w:sz w:val="21"/>
          <w:szCs w:val="21"/>
          <w:highlight w:val="none"/>
        </w:rPr>
      </w:pPr>
      <w:r>
        <w:rPr>
          <w:rFonts w:hint="eastAsia" w:hAnsi="宋体" w:cs="宋体"/>
          <w:b/>
          <w:color w:val="auto"/>
          <w:sz w:val="21"/>
          <w:szCs w:val="21"/>
          <w:highlight w:val="none"/>
        </w:rPr>
        <w:t>5.</w:t>
      </w:r>
      <w:bookmarkEnd w:id="46"/>
      <w:bookmarkEnd w:id="47"/>
      <w:bookmarkEnd w:id="48"/>
      <w:bookmarkEnd w:id="49"/>
      <w:bookmarkEnd w:id="50"/>
      <w:r>
        <w:rPr>
          <w:rFonts w:hint="eastAsia" w:hAnsi="宋体" w:cs="宋体"/>
          <w:b/>
          <w:color w:val="auto"/>
          <w:sz w:val="21"/>
          <w:szCs w:val="21"/>
          <w:highlight w:val="none"/>
        </w:rPr>
        <w:t>拟投入本项目的服务人员配置表</w:t>
      </w:r>
    </w:p>
    <w:tbl>
      <w:tblPr>
        <w:tblStyle w:val="47"/>
        <w:tblW w:w="4998"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037"/>
        <w:gridCol w:w="1037"/>
        <w:gridCol w:w="1673"/>
        <w:gridCol w:w="645"/>
        <w:gridCol w:w="645"/>
        <w:gridCol w:w="1291"/>
        <w:gridCol w:w="1161"/>
        <w:gridCol w:w="202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545" w:type="pct"/>
            <w:vAlign w:val="center"/>
          </w:tcPr>
          <w:p>
            <w:pPr>
              <w:jc w:val="center"/>
              <w:rPr>
                <w:rFonts w:hAnsi="宋体" w:cs="宋体"/>
                <w:bCs/>
                <w:color w:val="auto"/>
                <w:sz w:val="21"/>
                <w:szCs w:val="21"/>
                <w:highlight w:val="none"/>
              </w:rPr>
            </w:pPr>
            <w:r>
              <w:rPr>
                <w:rFonts w:hint="eastAsia" w:hAnsi="宋体" w:cs="宋体"/>
                <w:bCs/>
                <w:color w:val="auto"/>
                <w:sz w:val="21"/>
                <w:szCs w:val="21"/>
                <w:highlight w:val="none"/>
              </w:rPr>
              <w:t>序号</w:t>
            </w:r>
          </w:p>
        </w:tc>
        <w:tc>
          <w:tcPr>
            <w:tcW w:w="545" w:type="pct"/>
            <w:vAlign w:val="center"/>
          </w:tcPr>
          <w:p>
            <w:pPr>
              <w:jc w:val="center"/>
              <w:rPr>
                <w:rFonts w:hAnsi="宋体" w:cs="宋体"/>
                <w:bCs/>
                <w:color w:val="auto"/>
                <w:sz w:val="21"/>
                <w:szCs w:val="21"/>
                <w:highlight w:val="none"/>
              </w:rPr>
            </w:pPr>
            <w:r>
              <w:rPr>
                <w:rFonts w:hint="eastAsia" w:hAnsi="宋体" w:cs="宋体"/>
                <w:bCs/>
                <w:color w:val="auto"/>
                <w:sz w:val="21"/>
                <w:szCs w:val="21"/>
                <w:highlight w:val="none"/>
              </w:rPr>
              <w:t>姓名</w:t>
            </w:r>
          </w:p>
        </w:tc>
        <w:tc>
          <w:tcPr>
            <w:tcW w:w="879" w:type="pct"/>
            <w:vAlign w:val="center"/>
          </w:tcPr>
          <w:p>
            <w:pPr>
              <w:jc w:val="center"/>
              <w:rPr>
                <w:rFonts w:hAnsi="宋体" w:cs="宋体"/>
                <w:bCs/>
                <w:color w:val="auto"/>
                <w:sz w:val="21"/>
                <w:szCs w:val="21"/>
                <w:highlight w:val="none"/>
              </w:rPr>
            </w:pPr>
            <w:r>
              <w:rPr>
                <w:rFonts w:hint="eastAsia" w:hAnsi="宋体" w:cs="宋体"/>
                <w:bCs/>
                <w:color w:val="auto"/>
                <w:sz w:val="21"/>
                <w:szCs w:val="21"/>
                <w:highlight w:val="none"/>
              </w:rPr>
              <w:t>本项目主要工作</w:t>
            </w:r>
          </w:p>
        </w:tc>
        <w:tc>
          <w:tcPr>
            <w:tcW w:w="339" w:type="pct"/>
            <w:vAlign w:val="center"/>
          </w:tcPr>
          <w:p>
            <w:pPr>
              <w:jc w:val="center"/>
              <w:rPr>
                <w:rFonts w:hAnsi="宋体" w:cs="宋体"/>
                <w:bCs/>
                <w:color w:val="auto"/>
                <w:sz w:val="21"/>
                <w:szCs w:val="21"/>
                <w:highlight w:val="none"/>
              </w:rPr>
            </w:pPr>
            <w:r>
              <w:rPr>
                <w:rFonts w:hint="eastAsia" w:hAnsi="宋体" w:cs="宋体"/>
                <w:bCs/>
                <w:color w:val="auto"/>
                <w:sz w:val="21"/>
                <w:szCs w:val="21"/>
                <w:highlight w:val="none"/>
              </w:rPr>
              <w:t>年龄</w:t>
            </w:r>
          </w:p>
        </w:tc>
        <w:tc>
          <w:tcPr>
            <w:tcW w:w="339" w:type="pct"/>
            <w:vAlign w:val="center"/>
          </w:tcPr>
          <w:p>
            <w:pPr>
              <w:jc w:val="center"/>
              <w:rPr>
                <w:rFonts w:hAnsi="宋体" w:cs="宋体"/>
                <w:bCs/>
                <w:color w:val="auto"/>
                <w:sz w:val="21"/>
                <w:szCs w:val="21"/>
                <w:highlight w:val="none"/>
              </w:rPr>
            </w:pPr>
            <w:r>
              <w:rPr>
                <w:rFonts w:hint="eastAsia" w:hAnsi="宋体" w:cs="宋体"/>
                <w:bCs/>
                <w:color w:val="auto"/>
                <w:sz w:val="21"/>
                <w:szCs w:val="21"/>
                <w:highlight w:val="none"/>
              </w:rPr>
              <w:t>性别</w:t>
            </w:r>
          </w:p>
        </w:tc>
        <w:tc>
          <w:tcPr>
            <w:tcW w:w="678" w:type="pct"/>
            <w:vAlign w:val="center"/>
          </w:tcPr>
          <w:p>
            <w:pPr>
              <w:jc w:val="center"/>
              <w:rPr>
                <w:rFonts w:hAnsi="宋体" w:cs="宋体"/>
                <w:bCs/>
                <w:color w:val="auto"/>
                <w:sz w:val="21"/>
                <w:szCs w:val="21"/>
                <w:highlight w:val="none"/>
              </w:rPr>
            </w:pPr>
            <w:r>
              <w:rPr>
                <w:rFonts w:hint="eastAsia" w:hAnsi="宋体" w:cs="宋体"/>
                <w:bCs/>
                <w:color w:val="auto"/>
                <w:sz w:val="21"/>
                <w:szCs w:val="21"/>
                <w:highlight w:val="none"/>
              </w:rPr>
              <w:t>职称/职务</w:t>
            </w:r>
          </w:p>
        </w:tc>
        <w:tc>
          <w:tcPr>
            <w:tcW w:w="610" w:type="pct"/>
            <w:vAlign w:val="center"/>
          </w:tcPr>
          <w:p>
            <w:pPr>
              <w:jc w:val="center"/>
              <w:rPr>
                <w:rFonts w:hAnsi="宋体" w:cs="宋体"/>
                <w:bCs/>
                <w:color w:val="auto"/>
                <w:sz w:val="21"/>
                <w:szCs w:val="21"/>
                <w:highlight w:val="none"/>
              </w:rPr>
            </w:pPr>
            <w:r>
              <w:rPr>
                <w:rFonts w:hint="eastAsia" w:hAnsi="宋体" w:cs="宋体"/>
                <w:bCs/>
                <w:color w:val="auto"/>
                <w:sz w:val="21"/>
                <w:szCs w:val="21"/>
                <w:highlight w:val="none"/>
              </w:rPr>
              <w:t>专业/年限</w:t>
            </w:r>
          </w:p>
        </w:tc>
        <w:tc>
          <w:tcPr>
            <w:tcW w:w="1061" w:type="pct"/>
            <w:vAlign w:val="center"/>
          </w:tcPr>
          <w:p>
            <w:pPr>
              <w:jc w:val="center"/>
              <w:rPr>
                <w:rFonts w:hAnsi="宋体" w:cs="宋体"/>
                <w:bCs/>
                <w:color w:val="auto"/>
                <w:sz w:val="21"/>
                <w:szCs w:val="21"/>
                <w:highlight w:val="none"/>
              </w:rPr>
            </w:pPr>
            <w:r>
              <w:rPr>
                <w:rFonts w:hint="eastAsia" w:hAnsi="宋体" w:cs="宋体"/>
                <w:bCs/>
                <w:color w:val="auto"/>
                <w:sz w:val="21"/>
                <w:szCs w:val="21"/>
                <w:highlight w:val="none"/>
              </w:rPr>
              <w:t>联系方式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545" w:type="pct"/>
            <w:vAlign w:val="center"/>
          </w:tcPr>
          <w:p>
            <w:pPr>
              <w:spacing w:line="360" w:lineRule="auto"/>
              <w:rPr>
                <w:rFonts w:hAnsi="宋体" w:cs="宋体"/>
                <w:color w:val="auto"/>
                <w:sz w:val="21"/>
                <w:szCs w:val="21"/>
                <w:highlight w:val="none"/>
              </w:rPr>
            </w:pPr>
          </w:p>
        </w:tc>
        <w:tc>
          <w:tcPr>
            <w:tcW w:w="545" w:type="pct"/>
            <w:vAlign w:val="center"/>
          </w:tcPr>
          <w:p>
            <w:pPr>
              <w:spacing w:line="360" w:lineRule="auto"/>
              <w:rPr>
                <w:rFonts w:hAnsi="宋体" w:cs="宋体"/>
                <w:color w:val="auto"/>
                <w:sz w:val="21"/>
                <w:szCs w:val="21"/>
                <w:highlight w:val="none"/>
              </w:rPr>
            </w:pPr>
          </w:p>
        </w:tc>
        <w:tc>
          <w:tcPr>
            <w:tcW w:w="879" w:type="pct"/>
            <w:vAlign w:val="center"/>
          </w:tcPr>
          <w:p>
            <w:pPr>
              <w:jc w:val="center"/>
              <w:rPr>
                <w:rFonts w:hAnsi="宋体" w:cs="宋体"/>
                <w:bCs/>
                <w:color w:val="auto"/>
                <w:sz w:val="21"/>
                <w:szCs w:val="21"/>
                <w:highlight w:val="none"/>
              </w:rPr>
            </w:pPr>
            <w:r>
              <w:rPr>
                <w:rFonts w:hint="eastAsia" w:hAnsi="宋体" w:cs="宋体"/>
                <w:bCs/>
                <w:color w:val="auto"/>
                <w:sz w:val="21"/>
                <w:szCs w:val="21"/>
                <w:highlight w:val="none"/>
              </w:rPr>
              <w:t>项目负责人</w:t>
            </w:r>
          </w:p>
        </w:tc>
        <w:tc>
          <w:tcPr>
            <w:tcW w:w="339" w:type="pct"/>
            <w:vAlign w:val="center"/>
          </w:tcPr>
          <w:p>
            <w:pPr>
              <w:spacing w:line="360" w:lineRule="auto"/>
              <w:rPr>
                <w:rFonts w:hAnsi="宋体" w:cs="宋体"/>
                <w:color w:val="auto"/>
                <w:sz w:val="21"/>
                <w:szCs w:val="21"/>
                <w:highlight w:val="none"/>
              </w:rPr>
            </w:pPr>
          </w:p>
        </w:tc>
        <w:tc>
          <w:tcPr>
            <w:tcW w:w="339" w:type="pct"/>
            <w:vAlign w:val="center"/>
          </w:tcPr>
          <w:p>
            <w:pPr>
              <w:spacing w:line="360" w:lineRule="auto"/>
              <w:rPr>
                <w:rFonts w:hAnsi="宋体" w:cs="宋体"/>
                <w:color w:val="auto"/>
                <w:sz w:val="21"/>
                <w:szCs w:val="21"/>
                <w:highlight w:val="none"/>
              </w:rPr>
            </w:pPr>
          </w:p>
        </w:tc>
        <w:tc>
          <w:tcPr>
            <w:tcW w:w="678" w:type="pct"/>
            <w:vAlign w:val="center"/>
          </w:tcPr>
          <w:p>
            <w:pPr>
              <w:spacing w:line="360" w:lineRule="auto"/>
              <w:rPr>
                <w:rFonts w:hAnsi="宋体" w:cs="宋体"/>
                <w:color w:val="auto"/>
                <w:sz w:val="21"/>
                <w:szCs w:val="21"/>
                <w:highlight w:val="none"/>
              </w:rPr>
            </w:pPr>
          </w:p>
        </w:tc>
        <w:tc>
          <w:tcPr>
            <w:tcW w:w="610" w:type="pct"/>
            <w:vAlign w:val="center"/>
          </w:tcPr>
          <w:p>
            <w:pPr>
              <w:spacing w:line="360" w:lineRule="auto"/>
              <w:rPr>
                <w:rFonts w:hAnsi="宋体" w:cs="宋体"/>
                <w:color w:val="auto"/>
                <w:sz w:val="21"/>
                <w:szCs w:val="21"/>
                <w:highlight w:val="none"/>
              </w:rPr>
            </w:pPr>
          </w:p>
        </w:tc>
        <w:tc>
          <w:tcPr>
            <w:tcW w:w="1061" w:type="pct"/>
            <w:vAlign w:val="center"/>
          </w:tcPr>
          <w:p>
            <w:pPr>
              <w:spacing w:line="360" w:lineRule="auto"/>
              <w:rPr>
                <w:rFonts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545" w:type="pct"/>
            <w:vAlign w:val="center"/>
          </w:tcPr>
          <w:p>
            <w:pPr>
              <w:spacing w:line="360" w:lineRule="auto"/>
              <w:rPr>
                <w:rFonts w:hAnsi="宋体" w:cs="宋体"/>
                <w:color w:val="auto"/>
                <w:sz w:val="21"/>
                <w:szCs w:val="21"/>
                <w:highlight w:val="none"/>
              </w:rPr>
            </w:pPr>
          </w:p>
        </w:tc>
        <w:tc>
          <w:tcPr>
            <w:tcW w:w="545" w:type="pct"/>
            <w:vAlign w:val="center"/>
          </w:tcPr>
          <w:p>
            <w:pPr>
              <w:spacing w:line="360" w:lineRule="auto"/>
              <w:rPr>
                <w:rFonts w:hAnsi="宋体" w:cs="宋体"/>
                <w:color w:val="auto"/>
                <w:sz w:val="21"/>
                <w:szCs w:val="21"/>
                <w:highlight w:val="none"/>
              </w:rPr>
            </w:pPr>
          </w:p>
        </w:tc>
        <w:tc>
          <w:tcPr>
            <w:tcW w:w="879" w:type="pct"/>
            <w:vAlign w:val="center"/>
          </w:tcPr>
          <w:p>
            <w:pPr>
              <w:spacing w:line="360" w:lineRule="auto"/>
              <w:rPr>
                <w:rFonts w:hAnsi="宋体" w:cs="宋体"/>
                <w:color w:val="auto"/>
                <w:sz w:val="21"/>
                <w:szCs w:val="21"/>
                <w:highlight w:val="none"/>
              </w:rPr>
            </w:pPr>
          </w:p>
        </w:tc>
        <w:tc>
          <w:tcPr>
            <w:tcW w:w="339" w:type="pct"/>
            <w:vAlign w:val="center"/>
          </w:tcPr>
          <w:p>
            <w:pPr>
              <w:spacing w:line="360" w:lineRule="auto"/>
              <w:rPr>
                <w:rFonts w:hAnsi="宋体" w:cs="宋体"/>
                <w:color w:val="auto"/>
                <w:sz w:val="21"/>
                <w:szCs w:val="21"/>
                <w:highlight w:val="none"/>
              </w:rPr>
            </w:pPr>
          </w:p>
        </w:tc>
        <w:tc>
          <w:tcPr>
            <w:tcW w:w="339" w:type="pct"/>
            <w:vAlign w:val="center"/>
          </w:tcPr>
          <w:p>
            <w:pPr>
              <w:spacing w:line="360" w:lineRule="auto"/>
              <w:rPr>
                <w:rFonts w:hAnsi="宋体" w:cs="宋体"/>
                <w:color w:val="auto"/>
                <w:sz w:val="21"/>
                <w:szCs w:val="21"/>
                <w:highlight w:val="none"/>
              </w:rPr>
            </w:pPr>
          </w:p>
        </w:tc>
        <w:tc>
          <w:tcPr>
            <w:tcW w:w="678" w:type="pct"/>
            <w:vAlign w:val="center"/>
          </w:tcPr>
          <w:p>
            <w:pPr>
              <w:spacing w:line="360" w:lineRule="auto"/>
              <w:rPr>
                <w:rFonts w:hAnsi="宋体" w:cs="宋体"/>
                <w:color w:val="auto"/>
                <w:sz w:val="21"/>
                <w:szCs w:val="21"/>
                <w:highlight w:val="none"/>
              </w:rPr>
            </w:pPr>
          </w:p>
        </w:tc>
        <w:tc>
          <w:tcPr>
            <w:tcW w:w="610" w:type="pct"/>
            <w:vAlign w:val="center"/>
          </w:tcPr>
          <w:p>
            <w:pPr>
              <w:spacing w:line="360" w:lineRule="auto"/>
              <w:rPr>
                <w:rFonts w:hAnsi="宋体" w:cs="宋体"/>
                <w:color w:val="auto"/>
                <w:sz w:val="21"/>
                <w:szCs w:val="21"/>
                <w:highlight w:val="none"/>
              </w:rPr>
            </w:pPr>
          </w:p>
        </w:tc>
        <w:tc>
          <w:tcPr>
            <w:tcW w:w="1061" w:type="pct"/>
            <w:vAlign w:val="center"/>
          </w:tcPr>
          <w:p>
            <w:pPr>
              <w:spacing w:line="360" w:lineRule="auto"/>
              <w:rPr>
                <w:rFonts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545" w:type="pct"/>
            <w:vAlign w:val="center"/>
          </w:tcPr>
          <w:p>
            <w:pPr>
              <w:spacing w:line="360" w:lineRule="auto"/>
              <w:rPr>
                <w:rFonts w:hAnsi="宋体" w:cs="宋体"/>
                <w:color w:val="auto"/>
                <w:sz w:val="21"/>
                <w:szCs w:val="21"/>
                <w:highlight w:val="none"/>
              </w:rPr>
            </w:pPr>
          </w:p>
        </w:tc>
        <w:tc>
          <w:tcPr>
            <w:tcW w:w="545" w:type="pct"/>
            <w:vAlign w:val="center"/>
          </w:tcPr>
          <w:p>
            <w:pPr>
              <w:spacing w:line="360" w:lineRule="auto"/>
              <w:rPr>
                <w:rFonts w:hAnsi="宋体" w:cs="宋体"/>
                <w:color w:val="auto"/>
                <w:sz w:val="21"/>
                <w:szCs w:val="21"/>
                <w:highlight w:val="none"/>
              </w:rPr>
            </w:pPr>
          </w:p>
        </w:tc>
        <w:tc>
          <w:tcPr>
            <w:tcW w:w="879" w:type="pct"/>
            <w:vAlign w:val="center"/>
          </w:tcPr>
          <w:p>
            <w:pPr>
              <w:spacing w:line="360" w:lineRule="auto"/>
              <w:rPr>
                <w:rFonts w:hAnsi="宋体" w:cs="宋体"/>
                <w:color w:val="auto"/>
                <w:sz w:val="21"/>
                <w:szCs w:val="21"/>
                <w:highlight w:val="none"/>
              </w:rPr>
            </w:pPr>
          </w:p>
        </w:tc>
        <w:tc>
          <w:tcPr>
            <w:tcW w:w="339" w:type="pct"/>
            <w:vAlign w:val="center"/>
          </w:tcPr>
          <w:p>
            <w:pPr>
              <w:spacing w:line="360" w:lineRule="auto"/>
              <w:rPr>
                <w:rFonts w:hAnsi="宋体" w:cs="宋体"/>
                <w:color w:val="auto"/>
                <w:sz w:val="21"/>
                <w:szCs w:val="21"/>
                <w:highlight w:val="none"/>
              </w:rPr>
            </w:pPr>
          </w:p>
        </w:tc>
        <w:tc>
          <w:tcPr>
            <w:tcW w:w="339" w:type="pct"/>
            <w:vAlign w:val="center"/>
          </w:tcPr>
          <w:p>
            <w:pPr>
              <w:spacing w:line="360" w:lineRule="auto"/>
              <w:rPr>
                <w:rFonts w:hAnsi="宋体" w:cs="宋体"/>
                <w:color w:val="auto"/>
                <w:sz w:val="21"/>
                <w:szCs w:val="21"/>
                <w:highlight w:val="none"/>
              </w:rPr>
            </w:pPr>
          </w:p>
        </w:tc>
        <w:tc>
          <w:tcPr>
            <w:tcW w:w="678" w:type="pct"/>
            <w:vAlign w:val="center"/>
          </w:tcPr>
          <w:p>
            <w:pPr>
              <w:spacing w:line="360" w:lineRule="auto"/>
              <w:rPr>
                <w:rFonts w:hAnsi="宋体" w:cs="宋体"/>
                <w:color w:val="auto"/>
                <w:sz w:val="21"/>
                <w:szCs w:val="21"/>
                <w:highlight w:val="none"/>
              </w:rPr>
            </w:pPr>
          </w:p>
        </w:tc>
        <w:tc>
          <w:tcPr>
            <w:tcW w:w="610" w:type="pct"/>
            <w:vAlign w:val="center"/>
          </w:tcPr>
          <w:p>
            <w:pPr>
              <w:spacing w:line="360" w:lineRule="auto"/>
              <w:rPr>
                <w:rFonts w:hAnsi="宋体" w:cs="宋体"/>
                <w:color w:val="auto"/>
                <w:sz w:val="21"/>
                <w:szCs w:val="21"/>
                <w:highlight w:val="none"/>
              </w:rPr>
            </w:pPr>
          </w:p>
        </w:tc>
        <w:tc>
          <w:tcPr>
            <w:tcW w:w="1061" w:type="pct"/>
            <w:vAlign w:val="center"/>
          </w:tcPr>
          <w:p>
            <w:pPr>
              <w:spacing w:line="360" w:lineRule="auto"/>
              <w:rPr>
                <w:rFonts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545" w:type="pct"/>
            <w:vAlign w:val="center"/>
          </w:tcPr>
          <w:p>
            <w:pPr>
              <w:spacing w:line="360" w:lineRule="auto"/>
              <w:rPr>
                <w:rFonts w:hAnsi="宋体" w:cs="宋体"/>
                <w:color w:val="auto"/>
                <w:sz w:val="21"/>
                <w:szCs w:val="21"/>
                <w:highlight w:val="none"/>
              </w:rPr>
            </w:pPr>
          </w:p>
        </w:tc>
        <w:tc>
          <w:tcPr>
            <w:tcW w:w="545" w:type="pct"/>
            <w:vAlign w:val="center"/>
          </w:tcPr>
          <w:p>
            <w:pPr>
              <w:spacing w:line="360" w:lineRule="auto"/>
              <w:rPr>
                <w:rFonts w:hAnsi="宋体" w:cs="宋体"/>
                <w:color w:val="auto"/>
                <w:sz w:val="21"/>
                <w:szCs w:val="21"/>
                <w:highlight w:val="none"/>
              </w:rPr>
            </w:pPr>
          </w:p>
        </w:tc>
        <w:tc>
          <w:tcPr>
            <w:tcW w:w="879" w:type="pct"/>
            <w:vAlign w:val="center"/>
          </w:tcPr>
          <w:p>
            <w:pPr>
              <w:spacing w:line="360" w:lineRule="auto"/>
              <w:rPr>
                <w:rFonts w:hAnsi="宋体" w:cs="宋体"/>
                <w:color w:val="auto"/>
                <w:sz w:val="21"/>
                <w:szCs w:val="21"/>
                <w:highlight w:val="none"/>
              </w:rPr>
            </w:pPr>
          </w:p>
        </w:tc>
        <w:tc>
          <w:tcPr>
            <w:tcW w:w="339" w:type="pct"/>
            <w:vAlign w:val="center"/>
          </w:tcPr>
          <w:p>
            <w:pPr>
              <w:spacing w:line="360" w:lineRule="auto"/>
              <w:rPr>
                <w:rFonts w:hAnsi="宋体" w:cs="宋体"/>
                <w:color w:val="auto"/>
                <w:sz w:val="21"/>
                <w:szCs w:val="21"/>
                <w:highlight w:val="none"/>
              </w:rPr>
            </w:pPr>
          </w:p>
        </w:tc>
        <w:tc>
          <w:tcPr>
            <w:tcW w:w="339" w:type="pct"/>
            <w:vAlign w:val="center"/>
          </w:tcPr>
          <w:p>
            <w:pPr>
              <w:spacing w:line="360" w:lineRule="auto"/>
              <w:rPr>
                <w:rFonts w:hAnsi="宋体" w:cs="宋体"/>
                <w:color w:val="auto"/>
                <w:sz w:val="21"/>
                <w:szCs w:val="21"/>
                <w:highlight w:val="none"/>
              </w:rPr>
            </w:pPr>
          </w:p>
        </w:tc>
        <w:tc>
          <w:tcPr>
            <w:tcW w:w="678" w:type="pct"/>
            <w:vAlign w:val="center"/>
          </w:tcPr>
          <w:p>
            <w:pPr>
              <w:spacing w:line="360" w:lineRule="auto"/>
              <w:rPr>
                <w:rFonts w:hAnsi="宋体" w:cs="宋体"/>
                <w:color w:val="auto"/>
                <w:sz w:val="21"/>
                <w:szCs w:val="21"/>
                <w:highlight w:val="none"/>
              </w:rPr>
            </w:pPr>
          </w:p>
        </w:tc>
        <w:tc>
          <w:tcPr>
            <w:tcW w:w="610" w:type="pct"/>
            <w:vAlign w:val="center"/>
          </w:tcPr>
          <w:p>
            <w:pPr>
              <w:spacing w:line="360" w:lineRule="auto"/>
              <w:rPr>
                <w:rFonts w:hAnsi="宋体" w:cs="宋体"/>
                <w:color w:val="auto"/>
                <w:sz w:val="21"/>
                <w:szCs w:val="21"/>
                <w:highlight w:val="none"/>
              </w:rPr>
            </w:pPr>
          </w:p>
        </w:tc>
        <w:tc>
          <w:tcPr>
            <w:tcW w:w="1061" w:type="pct"/>
            <w:vAlign w:val="center"/>
          </w:tcPr>
          <w:p>
            <w:pPr>
              <w:spacing w:line="360" w:lineRule="auto"/>
              <w:rPr>
                <w:rFonts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545" w:type="pct"/>
            <w:vAlign w:val="center"/>
          </w:tcPr>
          <w:p>
            <w:pPr>
              <w:spacing w:line="360" w:lineRule="auto"/>
              <w:rPr>
                <w:rFonts w:hAnsi="宋体" w:cs="宋体"/>
                <w:color w:val="auto"/>
                <w:sz w:val="21"/>
                <w:szCs w:val="21"/>
                <w:highlight w:val="none"/>
              </w:rPr>
            </w:pPr>
          </w:p>
        </w:tc>
        <w:tc>
          <w:tcPr>
            <w:tcW w:w="545" w:type="pct"/>
            <w:vAlign w:val="center"/>
          </w:tcPr>
          <w:p>
            <w:pPr>
              <w:spacing w:line="360" w:lineRule="auto"/>
              <w:rPr>
                <w:rFonts w:hAnsi="宋体" w:cs="宋体"/>
                <w:color w:val="auto"/>
                <w:sz w:val="21"/>
                <w:szCs w:val="21"/>
                <w:highlight w:val="none"/>
              </w:rPr>
            </w:pPr>
          </w:p>
        </w:tc>
        <w:tc>
          <w:tcPr>
            <w:tcW w:w="879" w:type="pct"/>
            <w:vAlign w:val="center"/>
          </w:tcPr>
          <w:p>
            <w:pPr>
              <w:spacing w:line="360" w:lineRule="auto"/>
              <w:rPr>
                <w:rFonts w:hAnsi="宋体" w:cs="宋体"/>
                <w:color w:val="auto"/>
                <w:sz w:val="21"/>
                <w:szCs w:val="21"/>
                <w:highlight w:val="none"/>
              </w:rPr>
            </w:pPr>
          </w:p>
        </w:tc>
        <w:tc>
          <w:tcPr>
            <w:tcW w:w="339" w:type="pct"/>
            <w:vAlign w:val="center"/>
          </w:tcPr>
          <w:p>
            <w:pPr>
              <w:spacing w:line="360" w:lineRule="auto"/>
              <w:rPr>
                <w:rFonts w:hAnsi="宋体" w:cs="宋体"/>
                <w:color w:val="auto"/>
                <w:sz w:val="21"/>
                <w:szCs w:val="21"/>
                <w:highlight w:val="none"/>
              </w:rPr>
            </w:pPr>
          </w:p>
        </w:tc>
        <w:tc>
          <w:tcPr>
            <w:tcW w:w="339" w:type="pct"/>
            <w:vAlign w:val="center"/>
          </w:tcPr>
          <w:p>
            <w:pPr>
              <w:spacing w:line="360" w:lineRule="auto"/>
              <w:rPr>
                <w:rFonts w:hAnsi="宋体" w:cs="宋体"/>
                <w:color w:val="auto"/>
                <w:sz w:val="21"/>
                <w:szCs w:val="21"/>
                <w:highlight w:val="none"/>
              </w:rPr>
            </w:pPr>
          </w:p>
        </w:tc>
        <w:tc>
          <w:tcPr>
            <w:tcW w:w="678" w:type="pct"/>
            <w:vAlign w:val="center"/>
          </w:tcPr>
          <w:p>
            <w:pPr>
              <w:spacing w:line="360" w:lineRule="auto"/>
              <w:rPr>
                <w:rFonts w:hAnsi="宋体" w:cs="宋体"/>
                <w:color w:val="auto"/>
                <w:sz w:val="21"/>
                <w:szCs w:val="21"/>
                <w:highlight w:val="none"/>
              </w:rPr>
            </w:pPr>
          </w:p>
        </w:tc>
        <w:tc>
          <w:tcPr>
            <w:tcW w:w="610" w:type="pct"/>
            <w:vAlign w:val="center"/>
          </w:tcPr>
          <w:p>
            <w:pPr>
              <w:spacing w:line="360" w:lineRule="auto"/>
              <w:rPr>
                <w:rFonts w:hAnsi="宋体" w:cs="宋体"/>
                <w:color w:val="auto"/>
                <w:sz w:val="21"/>
                <w:szCs w:val="21"/>
                <w:highlight w:val="none"/>
              </w:rPr>
            </w:pPr>
          </w:p>
        </w:tc>
        <w:tc>
          <w:tcPr>
            <w:tcW w:w="1061" w:type="pct"/>
            <w:vAlign w:val="center"/>
          </w:tcPr>
          <w:p>
            <w:pPr>
              <w:spacing w:line="360" w:lineRule="auto"/>
              <w:rPr>
                <w:rFonts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545" w:type="pct"/>
            <w:vAlign w:val="center"/>
          </w:tcPr>
          <w:p>
            <w:pPr>
              <w:spacing w:line="360" w:lineRule="auto"/>
              <w:rPr>
                <w:rFonts w:hAnsi="宋体" w:cs="宋体"/>
                <w:color w:val="auto"/>
                <w:sz w:val="21"/>
                <w:szCs w:val="21"/>
                <w:highlight w:val="none"/>
              </w:rPr>
            </w:pPr>
          </w:p>
        </w:tc>
        <w:tc>
          <w:tcPr>
            <w:tcW w:w="545" w:type="pct"/>
            <w:vAlign w:val="center"/>
          </w:tcPr>
          <w:p>
            <w:pPr>
              <w:spacing w:line="360" w:lineRule="auto"/>
              <w:rPr>
                <w:rFonts w:hAnsi="宋体" w:cs="宋体"/>
                <w:color w:val="auto"/>
                <w:sz w:val="21"/>
                <w:szCs w:val="21"/>
                <w:highlight w:val="none"/>
              </w:rPr>
            </w:pPr>
          </w:p>
        </w:tc>
        <w:tc>
          <w:tcPr>
            <w:tcW w:w="879" w:type="pct"/>
            <w:vAlign w:val="center"/>
          </w:tcPr>
          <w:p>
            <w:pPr>
              <w:spacing w:line="360" w:lineRule="auto"/>
              <w:rPr>
                <w:rFonts w:hAnsi="宋体" w:cs="宋体"/>
                <w:color w:val="auto"/>
                <w:sz w:val="21"/>
                <w:szCs w:val="21"/>
                <w:highlight w:val="none"/>
              </w:rPr>
            </w:pPr>
          </w:p>
        </w:tc>
        <w:tc>
          <w:tcPr>
            <w:tcW w:w="339" w:type="pct"/>
            <w:vAlign w:val="center"/>
          </w:tcPr>
          <w:p>
            <w:pPr>
              <w:spacing w:line="360" w:lineRule="auto"/>
              <w:rPr>
                <w:rFonts w:hAnsi="宋体" w:cs="宋体"/>
                <w:color w:val="auto"/>
                <w:sz w:val="21"/>
                <w:szCs w:val="21"/>
                <w:highlight w:val="none"/>
              </w:rPr>
            </w:pPr>
          </w:p>
        </w:tc>
        <w:tc>
          <w:tcPr>
            <w:tcW w:w="339" w:type="pct"/>
            <w:vAlign w:val="center"/>
          </w:tcPr>
          <w:p>
            <w:pPr>
              <w:spacing w:line="360" w:lineRule="auto"/>
              <w:rPr>
                <w:rFonts w:hAnsi="宋体" w:cs="宋体"/>
                <w:color w:val="auto"/>
                <w:sz w:val="21"/>
                <w:szCs w:val="21"/>
                <w:highlight w:val="none"/>
              </w:rPr>
            </w:pPr>
          </w:p>
        </w:tc>
        <w:tc>
          <w:tcPr>
            <w:tcW w:w="678" w:type="pct"/>
            <w:vAlign w:val="center"/>
          </w:tcPr>
          <w:p>
            <w:pPr>
              <w:spacing w:line="360" w:lineRule="auto"/>
              <w:rPr>
                <w:rFonts w:hAnsi="宋体" w:cs="宋体"/>
                <w:color w:val="auto"/>
                <w:sz w:val="21"/>
                <w:szCs w:val="21"/>
                <w:highlight w:val="none"/>
              </w:rPr>
            </w:pPr>
          </w:p>
        </w:tc>
        <w:tc>
          <w:tcPr>
            <w:tcW w:w="610" w:type="pct"/>
            <w:vAlign w:val="center"/>
          </w:tcPr>
          <w:p>
            <w:pPr>
              <w:spacing w:line="360" w:lineRule="auto"/>
              <w:rPr>
                <w:rFonts w:hAnsi="宋体" w:cs="宋体"/>
                <w:color w:val="auto"/>
                <w:sz w:val="21"/>
                <w:szCs w:val="21"/>
                <w:highlight w:val="none"/>
              </w:rPr>
            </w:pPr>
          </w:p>
        </w:tc>
        <w:tc>
          <w:tcPr>
            <w:tcW w:w="1061" w:type="pct"/>
            <w:vAlign w:val="center"/>
          </w:tcPr>
          <w:p>
            <w:pPr>
              <w:spacing w:line="360" w:lineRule="auto"/>
              <w:rPr>
                <w:rFonts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545" w:type="pct"/>
            <w:vAlign w:val="center"/>
          </w:tcPr>
          <w:p>
            <w:pPr>
              <w:spacing w:line="360" w:lineRule="auto"/>
              <w:rPr>
                <w:rFonts w:hAnsi="宋体" w:cs="宋体"/>
                <w:color w:val="auto"/>
                <w:sz w:val="21"/>
                <w:szCs w:val="21"/>
                <w:highlight w:val="none"/>
              </w:rPr>
            </w:pPr>
          </w:p>
        </w:tc>
        <w:tc>
          <w:tcPr>
            <w:tcW w:w="545" w:type="pct"/>
            <w:vAlign w:val="center"/>
          </w:tcPr>
          <w:p>
            <w:pPr>
              <w:spacing w:line="360" w:lineRule="auto"/>
              <w:rPr>
                <w:rFonts w:hAnsi="宋体" w:cs="宋体"/>
                <w:color w:val="auto"/>
                <w:sz w:val="21"/>
                <w:szCs w:val="21"/>
                <w:highlight w:val="none"/>
              </w:rPr>
            </w:pPr>
          </w:p>
        </w:tc>
        <w:tc>
          <w:tcPr>
            <w:tcW w:w="879" w:type="pct"/>
            <w:vAlign w:val="center"/>
          </w:tcPr>
          <w:p>
            <w:pPr>
              <w:spacing w:line="360" w:lineRule="auto"/>
              <w:rPr>
                <w:rFonts w:hAnsi="宋体" w:cs="宋体"/>
                <w:color w:val="auto"/>
                <w:sz w:val="21"/>
                <w:szCs w:val="21"/>
                <w:highlight w:val="none"/>
              </w:rPr>
            </w:pPr>
          </w:p>
        </w:tc>
        <w:tc>
          <w:tcPr>
            <w:tcW w:w="339" w:type="pct"/>
            <w:vAlign w:val="center"/>
          </w:tcPr>
          <w:p>
            <w:pPr>
              <w:spacing w:line="360" w:lineRule="auto"/>
              <w:rPr>
                <w:rFonts w:hAnsi="宋体" w:cs="宋体"/>
                <w:color w:val="auto"/>
                <w:sz w:val="21"/>
                <w:szCs w:val="21"/>
                <w:highlight w:val="none"/>
              </w:rPr>
            </w:pPr>
          </w:p>
        </w:tc>
        <w:tc>
          <w:tcPr>
            <w:tcW w:w="339" w:type="pct"/>
            <w:vAlign w:val="center"/>
          </w:tcPr>
          <w:p>
            <w:pPr>
              <w:spacing w:line="360" w:lineRule="auto"/>
              <w:rPr>
                <w:rFonts w:hAnsi="宋体" w:cs="宋体"/>
                <w:color w:val="auto"/>
                <w:sz w:val="21"/>
                <w:szCs w:val="21"/>
                <w:highlight w:val="none"/>
              </w:rPr>
            </w:pPr>
          </w:p>
        </w:tc>
        <w:tc>
          <w:tcPr>
            <w:tcW w:w="678" w:type="pct"/>
            <w:vAlign w:val="center"/>
          </w:tcPr>
          <w:p>
            <w:pPr>
              <w:spacing w:line="360" w:lineRule="auto"/>
              <w:rPr>
                <w:rFonts w:hAnsi="宋体" w:cs="宋体"/>
                <w:color w:val="auto"/>
                <w:sz w:val="21"/>
                <w:szCs w:val="21"/>
                <w:highlight w:val="none"/>
              </w:rPr>
            </w:pPr>
          </w:p>
        </w:tc>
        <w:tc>
          <w:tcPr>
            <w:tcW w:w="610" w:type="pct"/>
            <w:vAlign w:val="center"/>
          </w:tcPr>
          <w:p>
            <w:pPr>
              <w:spacing w:line="360" w:lineRule="auto"/>
              <w:rPr>
                <w:rFonts w:hAnsi="宋体" w:cs="宋体"/>
                <w:color w:val="auto"/>
                <w:sz w:val="21"/>
                <w:szCs w:val="21"/>
                <w:highlight w:val="none"/>
              </w:rPr>
            </w:pPr>
          </w:p>
        </w:tc>
        <w:tc>
          <w:tcPr>
            <w:tcW w:w="1061" w:type="pct"/>
            <w:vAlign w:val="center"/>
          </w:tcPr>
          <w:p>
            <w:pPr>
              <w:spacing w:line="360" w:lineRule="auto"/>
              <w:rPr>
                <w:rFonts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545" w:type="pct"/>
            <w:vAlign w:val="center"/>
          </w:tcPr>
          <w:p>
            <w:pPr>
              <w:spacing w:line="360" w:lineRule="auto"/>
              <w:rPr>
                <w:rFonts w:hAnsi="宋体" w:cs="宋体"/>
                <w:color w:val="auto"/>
                <w:sz w:val="21"/>
                <w:szCs w:val="21"/>
                <w:highlight w:val="none"/>
              </w:rPr>
            </w:pPr>
          </w:p>
        </w:tc>
        <w:tc>
          <w:tcPr>
            <w:tcW w:w="545" w:type="pct"/>
            <w:vAlign w:val="center"/>
          </w:tcPr>
          <w:p>
            <w:pPr>
              <w:spacing w:line="360" w:lineRule="auto"/>
              <w:rPr>
                <w:rFonts w:hAnsi="宋体" w:cs="宋体"/>
                <w:color w:val="auto"/>
                <w:sz w:val="21"/>
                <w:szCs w:val="21"/>
                <w:highlight w:val="none"/>
              </w:rPr>
            </w:pPr>
          </w:p>
        </w:tc>
        <w:tc>
          <w:tcPr>
            <w:tcW w:w="879" w:type="pct"/>
            <w:vAlign w:val="center"/>
          </w:tcPr>
          <w:p>
            <w:pPr>
              <w:spacing w:line="360" w:lineRule="auto"/>
              <w:rPr>
                <w:rFonts w:hAnsi="宋体" w:cs="宋体"/>
                <w:color w:val="auto"/>
                <w:sz w:val="21"/>
                <w:szCs w:val="21"/>
                <w:highlight w:val="none"/>
              </w:rPr>
            </w:pPr>
          </w:p>
        </w:tc>
        <w:tc>
          <w:tcPr>
            <w:tcW w:w="339" w:type="pct"/>
            <w:vAlign w:val="center"/>
          </w:tcPr>
          <w:p>
            <w:pPr>
              <w:spacing w:line="360" w:lineRule="auto"/>
              <w:rPr>
                <w:rFonts w:hAnsi="宋体" w:cs="宋体"/>
                <w:color w:val="auto"/>
                <w:sz w:val="21"/>
                <w:szCs w:val="21"/>
                <w:highlight w:val="none"/>
              </w:rPr>
            </w:pPr>
          </w:p>
        </w:tc>
        <w:tc>
          <w:tcPr>
            <w:tcW w:w="339" w:type="pct"/>
            <w:vAlign w:val="center"/>
          </w:tcPr>
          <w:p>
            <w:pPr>
              <w:spacing w:line="360" w:lineRule="auto"/>
              <w:rPr>
                <w:rFonts w:hAnsi="宋体" w:cs="宋体"/>
                <w:color w:val="auto"/>
                <w:sz w:val="21"/>
                <w:szCs w:val="21"/>
                <w:highlight w:val="none"/>
              </w:rPr>
            </w:pPr>
          </w:p>
        </w:tc>
        <w:tc>
          <w:tcPr>
            <w:tcW w:w="678" w:type="pct"/>
            <w:vAlign w:val="center"/>
          </w:tcPr>
          <w:p>
            <w:pPr>
              <w:spacing w:line="360" w:lineRule="auto"/>
              <w:rPr>
                <w:rFonts w:hAnsi="宋体" w:cs="宋体"/>
                <w:color w:val="auto"/>
                <w:sz w:val="21"/>
                <w:szCs w:val="21"/>
                <w:highlight w:val="none"/>
              </w:rPr>
            </w:pPr>
          </w:p>
        </w:tc>
        <w:tc>
          <w:tcPr>
            <w:tcW w:w="610" w:type="pct"/>
            <w:vAlign w:val="center"/>
          </w:tcPr>
          <w:p>
            <w:pPr>
              <w:spacing w:line="360" w:lineRule="auto"/>
              <w:rPr>
                <w:rFonts w:hAnsi="宋体" w:cs="宋体"/>
                <w:color w:val="auto"/>
                <w:sz w:val="21"/>
                <w:szCs w:val="21"/>
                <w:highlight w:val="none"/>
              </w:rPr>
            </w:pPr>
          </w:p>
        </w:tc>
        <w:tc>
          <w:tcPr>
            <w:tcW w:w="1061" w:type="pct"/>
            <w:vAlign w:val="center"/>
          </w:tcPr>
          <w:p>
            <w:pPr>
              <w:spacing w:line="360" w:lineRule="auto"/>
              <w:rPr>
                <w:rFonts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545" w:type="pct"/>
            <w:vAlign w:val="center"/>
          </w:tcPr>
          <w:p>
            <w:pPr>
              <w:spacing w:line="360" w:lineRule="auto"/>
              <w:rPr>
                <w:rFonts w:hAnsi="宋体" w:cs="宋体"/>
                <w:color w:val="auto"/>
                <w:sz w:val="21"/>
                <w:szCs w:val="21"/>
                <w:highlight w:val="none"/>
              </w:rPr>
            </w:pPr>
          </w:p>
        </w:tc>
        <w:tc>
          <w:tcPr>
            <w:tcW w:w="545" w:type="pct"/>
            <w:vAlign w:val="center"/>
          </w:tcPr>
          <w:p>
            <w:pPr>
              <w:spacing w:line="360" w:lineRule="auto"/>
              <w:rPr>
                <w:rFonts w:hAnsi="宋体" w:cs="宋体"/>
                <w:color w:val="auto"/>
                <w:sz w:val="21"/>
                <w:szCs w:val="21"/>
                <w:highlight w:val="none"/>
              </w:rPr>
            </w:pPr>
          </w:p>
        </w:tc>
        <w:tc>
          <w:tcPr>
            <w:tcW w:w="879" w:type="pct"/>
            <w:vAlign w:val="center"/>
          </w:tcPr>
          <w:p>
            <w:pPr>
              <w:spacing w:line="360" w:lineRule="auto"/>
              <w:rPr>
                <w:rFonts w:hAnsi="宋体" w:cs="宋体"/>
                <w:color w:val="auto"/>
                <w:sz w:val="21"/>
                <w:szCs w:val="21"/>
                <w:highlight w:val="none"/>
              </w:rPr>
            </w:pPr>
          </w:p>
        </w:tc>
        <w:tc>
          <w:tcPr>
            <w:tcW w:w="339" w:type="pct"/>
            <w:vAlign w:val="center"/>
          </w:tcPr>
          <w:p>
            <w:pPr>
              <w:spacing w:line="360" w:lineRule="auto"/>
              <w:rPr>
                <w:rFonts w:hAnsi="宋体" w:cs="宋体"/>
                <w:color w:val="auto"/>
                <w:sz w:val="21"/>
                <w:szCs w:val="21"/>
                <w:highlight w:val="none"/>
              </w:rPr>
            </w:pPr>
          </w:p>
        </w:tc>
        <w:tc>
          <w:tcPr>
            <w:tcW w:w="339" w:type="pct"/>
            <w:vAlign w:val="center"/>
          </w:tcPr>
          <w:p>
            <w:pPr>
              <w:spacing w:line="360" w:lineRule="auto"/>
              <w:rPr>
                <w:rFonts w:hAnsi="宋体" w:cs="宋体"/>
                <w:color w:val="auto"/>
                <w:sz w:val="21"/>
                <w:szCs w:val="21"/>
                <w:highlight w:val="none"/>
              </w:rPr>
            </w:pPr>
          </w:p>
        </w:tc>
        <w:tc>
          <w:tcPr>
            <w:tcW w:w="678" w:type="pct"/>
            <w:vAlign w:val="center"/>
          </w:tcPr>
          <w:p>
            <w:pPr>
              <w:spacing w:line="360" w:lineRule="auto"/>
              <w:rPr>
                <w:rFonts w:hAnsi="宋体" w:cs="宋体"/>
                <w:color w:val="auto"/>
                <w:sz w:val="21"/>
                <w:szCs w:val="21"/>
                <w:highlight w:val="none"/>
              </w:rPr>
            </w:pPr>
          </w:p>
        </w:tc>
        <w:tc>
          <w:tcPr>
            <w:tcW w:w="610" w:type="pct"/>
            <w:vAlign w:val="center"/>
          </w:tcPr>
          <w:p>
            <w:pPr>
              <w:spacing w:line="360" w:lineRule="auto"/>
              <w:rPr>
                <w:rFonts w:hAnsi="宋体" w:cs="宋体"/>
                <w:color w:val="auto"/>
                <w:sz w:val="21"/>
                <w:szCs w:val="21"/>
                <w:highlight w:val="none"/>
              </w:rPr>
            </w:pPr>
          </w:p>
        </w:tc>
        <w:tc>
          <w:tcPr>
            <w:tcW w:w="1061" w:type="pct"/>
            <w:vAlign w:val="center"/>
          </w:tcPr>
          <w:p>
            <w:pPr>
              <w:spacing w:line="360" w:lineRule="auto"/>
              <w:rPr>
                <w:rFonts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545" w:type="pct"/>
            <w:vAlign w:val="center"/>
          </w:tcPr>
          <w:p>
            <w:pPr>
              <w:spacing w:line="360" w:lineRule="auto"/>
              <w:rPr>
                <w:rFonts w:hAnsi="宋体" w:cs="宋体"/>
                <w:color w:val="auto"/>
                <w:sz w:val="21"/>
                <w:szCs w:val="21"/>
                <w:highlight w:val="none"/>
              </w:rPr>
            </w:pPr>
          </w:p>
        </w:tc>
        <w:tc>
          <w:tcPr>
            <w:tcW w:w="545" w:type="pct"/>
            <w:vAlign w:val="center"/>
          </w:tcPr>
          <w:p>
            <w:pPr>
              <w:spacing w:line="360" w:lineRule="auto"/>
              <w:rPr>
                <w:rFonts w:hAnsi="宋体" w:cs="宋体"/>
                <w:color w:val="auto"/>
                <w:sz w:val="21"/>
                <w:szCs w:val="21"/>
                <w:highlight w:val="none"/>
              </w:rPr>
            </w:pPr>
          </w:p>
        </w:tc>
        <w:tc>
          <w:tcPr>
            <w:tcW w:w="879" w:type="pct"/>
            <w:vAlign w:val="center"/>
          </w:tcPr>
          <w:p>
            <w:pPr>
              <w:spacing w:line="360" w:lineRule="auto"/>
              <w:rPr>
                <w:rFonts w:hAnsi="宋体" w:cs="宋体"/>
                <w:color w:val="auto"/>
                <w:sz w:val="21"/>
                <w:szCs w:val="21"/>
                <w:highlight w:val="none"/>
              </w:rPr>
            </w:pPr>
          </w:p>
        </w:tc>
        <w:tc>
          <w:tcPr>
            <w:tcW w:w="339" w:type="pct"/>
            <w:vAlign w:val="center"/>
          </w:tcPr>
          <w:p>
            <w:pPr>
              <w:spacing w:line="360" w:lineRule="auto"/>
              <w:rPr>
                <w:rFonts w:hAnsi="宋体" w:cs="宋体"/>
                <w:color w:val="auto"/>
                <w:sz w:val="21"/>
                <w:szCs w:val="21"/>
                <w:highlight w:val="none"/>
              </w:rPr>
            </w:pPr>
          </w:p>
        </w:tc>
        <w:tc>
          <w:tcPr>
            <w:tcW w:w="339" w:type="pct"/>
            <w:vAlign w:val="center"/>
          </w:tcPr>
          <w:p>
            <w:pPr>
              <w:spacing w:line="360" w:lineRule="auto"/>
              <w:rPr>
                <w:rFonts w:hAnsi="宋体" w:cs="宋体"/>
                <w:color w:val="auto"/>
                <w:sz w:val="21"/>
                <w:szCs w:val="21"/>
                <w:highlight w:val="none"/>
              </w:rPr>
            </w:pPr>
          </w:p>
        </w:tc>
        <w:tc>
          <w:tcPr>
            <w:tcW w:w="678" w:type="pct"/>
            <w:vAlign w:val="center"/>
          </w:tcPr>
          <w:p>
            <w:pPr>
              <w:spacing w:line="360" w:lineRule="auto"/>
              <w:rPr>
                <w:rFonts w:hAnsi="宋体" w:cs="宋体"/>
                <w:color w:val="auto"/>
                <w:sz w:val="21"/>
                <w:szCs w:val="21"/>
                <w:highlight w:val="none"/>
              </w:rPr>
            </w:pPr>
          </w:p>
        </w:tc>
        <w:tc>
          <w:tcPr>
            <w:tcW w:w="610" w:type="pct"/>
            <w:vAlign w:val="center"/>
          </w:tcPr>
          <w:p>
            <w:pPr>
              <w:spacing w:line="360" w:lineRule="auto"/>
              <w:rPr>
                <w:rFonts w:hAnsi="宋体" w:cs="宋体"/>
                <w:color w:val="auto"/>
                <w:sz w:val="21"/>
                <w:szCs w:val="21"/>
                <w:highlight w:val="none"/>
              </w:rPr>
            </w:pPr>
          </w:p>
        </w:tc>
        <w:tc>
          <w:tcPr>
            <w:tcW w:w="1061" w:type="pct"/>
            <w:vAlign w:val="center"/>
          </w:tcPr>
          <w:p>
            <w:pPr>
              <w:spacing w:line="360" w:lineRule="auto"/>
              <w:rPr>
                <w:rFonts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545" w:type="pct"/>
            <w:vAlign w:val="center"/>
          </w:tcPr>
          <w:p>
            <w:pPr>
              <w:spacing w:line="360" w:lineRule="auto"/>
              <w:rPr>
                <w:rFonts w:hAnsi="宋体" w:cs="宋体"/>
                <w:color w:val="auto"/>
                <w:sz w:val="21"/>
                <w:szCs w:val="21"/>
                <w:highlight w:val="none"/>
              </w:rPr>
            </w:pPr>
          </w:p>
        </w:tc>
        <w:tc>
          <w:tcPr>
            <w:tcW w:w="545" w:type="pct"/>
            <w:vAlign w:val="center"/>
          </w:tcPr>
          <w:p>
            <w:pPr>
              <w:spacing w:line="360" w:lineRule="auto"/>
              <w:rPr>
                <w:rFonts w:hAnsi="宋体" w:cs="宋体"/>
                <w:color w:val="auto"/>
                <w:sz w:val="21"/>
                <w:szCs w:val="21"/>
                <w:highlight w:val="none"/>
              </w:rPr>
            </w:pPr>
          </w:p>
        </w:tc>
        <w:tc>
          <w:tcPr>
            <w:tcW w:w="879" w:type="pct"/>
            <w:vAlign w:val="center"/>
          </w:tcPr>
          <w:p>
            <w:pPr>
              <w:spacing w:line="360" w:lineRule="auto"/>
              <w:rPr>
                <w:rFonts w:hAnsi="宋体" w:cs="宋体"/>
                <w:color w:val="auto"/>
                <w:sz w:val="21"/>
                <w:szCs w:val="21"/>
                <w:highlight w:val="none"/>
              </w:rPr>
            </w:pPr>
          </w:p>
        </w:tc>
        <w:tc>
          <w:tcPr>
            <w:tcW w:w="339" w:type="pct"/>
            <w:vAlign w:val="center"/>
          </w:tcPr>
          <w:p>
            <w:pPr>
              <w:spacing w:line="360" w:lineRule="auto"/>
              <w:rPr>
                <w:rFonts w:hAnsi="宋体" w:cs="宋体"/>
                <w:color w:val="auto"/>
                <w:sz w:val="21"/>
                <w:szCs w:val="21"/>
                <w:highlight w:val="none"/>
              </w:rPr>
            </w:pPr>
          </w:p>
        </w:tc>
        <w:tc>
          <w:tcPr>
            <w:tcW w:w="339" w:type="pct"/>
            <w:vAlign w:val="center"/>
          </w:tcPr>
          <w:p>
            <w:pPr>
              <w:spacing w:line="360" w:lineRule="auto"/>
              <w:rPr>
                <w:rFonts w:hAnsi="宋体" w:cs="宋体"/>
                <w:color w:val="auto"/>
                <w:sz w:val="21"/>
                <w:szCs w:val="21"/>
                <w:highlight w:val="none"/>
              </w:rPr>
            </w:pPr>
          </w:p>
        </w:tc>
        <w:tc>
          <w:tcPr>
            <w:tcW w:w="678" w:type="pct"/>
            <w:vAlign w:val="center"/>
          </w:tcPr>
          <w:p>
            <w:pPr>
              <w:spacing w:line="360" w:lineRule="auto"/>
              <w:rPr>
                <w:rFonts w:hAnsi="宋体" w:cs="宋体"/>
                <w:color w:val="auto"/>
                <w:sz w:val="21"/>
                <w:szCs w:val="21"/>
                <w:highlight w:val="none"/>
              </w:rPr>
            </w:pPr>
          </w:p>
        </w:tc>
        <w:tc>
          <w:tcPr>
            <w:tcW w:w="610" w:type="pct"/>
            <w:vAlign w:val="center"/>
          </w:tcPr>
          <w:p>
            <w:pPr>
              <w:spacing w:line="360" w:lineRule="auto"/>
              <w:rPr>
                <w:rFonts w:hAnsi="宋体" w:cs="宋体"/>
                <w:color w:val="auto"/>
                <w:sz w:val="21"/>
                <w:szCs w:val="21"/>
                <w:highlight w:val="none"/>
              </w:rPr>
            </w:pPr>
          </w:p>
        </w:tc>
        <w:tc>
          <w:tcPr>
            <w:tcW w:w="1061" w:type="pct"/>
            <w:vAlign w:val="center"/>
          </w:tcPr>
          <w:p>
            <w:pPr>
              <w:spacing w:line="360" w:lineRule="auto"/>
              <w:rPr>
                <w:rFonts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545" w:type="pct"/>
            <w:vAlign w:val="center"/>
          </w:tcPr>
          <w:p>
            <w:pPr>
              <w:spacing w:line="360" w:lineRule="auto"/>
              <w:rPr>
                <w:rFonts w:hAnsi="宋体" w:cs="宋体"/>
                <w:color w:val="auto"/>
                <w:sz w:val="21"/>
                <w:szCs w:val="21"/>
                <w:highlight w:val="none"/>
              </w:rPr>
            </w:pPr>
          </w:p>
        </w:tc>
        <w:tc>
          <w:tcPr>
            <w:tcW w:w="545" w:type="pct"/>
            <w:vAlign w:val="center"/>
          </w:tcPr>
          <w:p>
            <w:pPr>
              <w:spacing w:line="360" w:lineRule="auto"/>
              <w:rPr>
                <w:rFonts w:hAnsi="宋体" w:cs="宋体"/>
                <w:color w:val="auto"/>
                <w:sz w:val="21"/>
                <w:szCs w:val="21"/>
                <w:highlight w:val="none"/>
              </w:rPr>
            </w:pPr>
          </w:p>
        </w:tc>
        <w:tc>
          <w:tcPr>
            <w:tcW w:w="879" w:type="pct"/>
            <w:vAlign w:val="center"/>
          </w:tcPr>
          <w:p>
            <w:pPr>
              <w:spacing w:line="360" w:lineRule="auto"/>
              <w:rPr>
                <w:rFonts w:hAnsi="宋体" w:cs="宋体"/>
                <w:color w:val="auto"/>
                <w:sz w:val="21"/>
                <w:szCs w:val="21"/>
                <w:highlight w:val="none"/>
              </w:rPr>
            </w:pPr>
          </w:p>
        </w:tc>
        <w:tc>
          <w:tcPr>
            <w:tcW w:w="339" w:type="pct"/>
            <w:vAlign w:val="center"/>
          </w:tcPr>
          <w:p>
            <w:pPr>
              <w:spacing w:line="360" w:lineRule="auto"/>
              <w:rPr>
                <w:rFonts w:hAnsi="宋体" w:cs="宋体"/>
                <w:color w:val="auto"/>
                <w:sz w:val="21"/>
                <w:szCs w:val="21"/>
                <w:highlight w:val="none"/>
              </w:rPr>
            </w:pPr>
          </w:p>
        </w:tc>
        <w:tc>
          <w:tcPr>
            <w:tcW w:w="339" w:type="pct"/>
            <w:vAlign w:val="center"/>
          </w:tcPr>
          <w:p>
            <w:pPr>
              <w:spacing w:line="360" w:lineRule="auto"/>
              <w:rPr>
                <w:rFonts w:hAnsi="宋体" w:cs="宋体"/>
                <w:color w:val="auto"/>
                <w:sz w:val="21"/>
                <w:szCs w:val="21"/>
                <w:highlight w:val="none"/>
              </w:rPr>
            </w:pPr>
          </w:p>
        </w:tc>
        <w:tc>
          <w:tcPr>
            <w:tcW w:w="678" w:type="pct"/>
            <w:vAlign w:val="center"/>
          </w:tcPr>
          <w:p>
            <w:pPr>
              <w:spacing w:line="360" w:lineRule="auto"/>
              <w:rPr>
                <w:rFonts w:hAnsi="宋体" w:cs="宋体"/>
                <w:color w:val="auto"/>
                <w:sz w:val="21"/>
                <w:szCs w:val="21"/>
                <w:highlight w:val="none"/>
              </w:rPr>
            </w:pPr>
          </w:p>
        </w:tc>
        <w:tc>
          <w:tcPr>
            <w:tcW w:w="610" w:type="pct"/>
            <w:vAlign w:val="center"/>
          </w:tcPr>
          <w:p>
            <w:pPr>
              <w:spacing w:line="360" w:lineRule="auto"/>
              <w:rPr>
                <w:rFonts w:hAnsi="宋体" w:cs="宋体"/>
                <w:color w:val="auto"/>
                <w:sz w:val="21"/>
                <w:szCs w:val="21"/>
                <w:highlight w:val="none"/>
              </w:rPr>
            </w:pPr>
          </w:p>
        </w:tc>
        <w:tc>
          <w:tcPr>
            <w:tcW w:w="1061" w:type="pct"/>
            <w:vAlign w:val="center"/>
          </w:tcPr>
          <w:p>
            <w:pPr>
              <w:spacing w:line="360" w:lineRule="auto"/>
              <w:rPr>
                <w:rFonts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545" w:type="pct"/>
            <w:vAlign w:val="center"/>
          </w:tcPr>
          <w:p>
            <w:pPr>
              <w:spacing w:line="360" w:lineRule="auto"/>
              <w:rPr>
                <w:rFonts w:hAnsi="宋体" w:cs="宋体"/>
                <w:color w:val="auto"/>
                <w:sz w:val="21"/>
                <w:szCs w:val="21"/>
                <w:highlight w:val="none"/>
              </w:rPr>
            </w:pPr>
          </w:p>
        </w:tc>
        <w:tc>
          <w:tcPr>
            <w:tcW w:w="545" w:type="pct"/>
            <w:vAlign w:val="center"/>
          </w:tcPr>
          <w:p>
            <w:pPr>
              <w:spacing w:line="360" w:lineRule="auto"/>
              <w:rPr>
                <w:rFonts w:hAnsi="宋体" w:cs="宋体"/>
                <w:color w:val="auto"/>
                <w:sz w:val="21"/>
                <w:szCs w:val="21"/>
                <w:highlight w:val="none"/>
              </w:rPr>
            </w:pPr>
          </w:p>
        </w:tc>
        <w:tc>
          <w:tcPr>
            <w:tcW w:w="879" w:type="pct"/>
            <w:vAlign w:val="center"/>
          </w:tcPr>
          <w:p>
            <w:pPr>
              <w:spacing w:line="360" w:lineRule="auto"/>
              <w:rPr>
                <w:rFonts w:hAnsi="宋体" w:cs="宋体"/>
                <w:color w:val="auto"/>
                <w:sz w:val="21"/>
                <w:szCs w:val="21"/>
                <w:highlight w:val="none"/>
              </w:rPr>
            </w:pPr>
          </w:p>
        </w:tc>
        <w:tc>
          <w:tcPr>
            <w:tcW w:w="339" w:type="pct"/>
            <w:vAlign w:val="center"/>
          </w:tcPr>
          <w:p>
            <w:pPr>
              <w:spacing w:line="360" w:lineRule="auto"/>
              <w:rPr>
                <w:rFonts w:hAnsi="宋体" w:cs="宋体"/>
                <w:color w:val="auto"/>
                <w:sz w:val="21"/>
                <w:szCs w:val="21"/>
                <w:highlight w:val="none"/>
              </w:rPr>
            </w:pPr>
          </w:p>
        </w:tc>
        <w:tc>
          <w:tcPr>
            <w:tcW w:w="339" w:type="pct"/>
            <w:vAlign w:val="center"/>
          </w:tcPr>
          <w:p>
            <w:pPr>
              <w:spacing w:line="360" w:lineRule="auto"/>
              <w:rPr>
                <w:rFonts w:hAnsi="宋体" w:cs="宋体"/>
                <w:color w:val="auto"/>
                <w:sz w:val="21"/>
                <w:szCs w:val="21"/>
                <w:highlight w:val="none"/>
              </w:rPr>
            </w:pPr>
          </w:p>
        </w:tc>
        <w:tc>
          <w:tcPr>
            <w:tcW w:w="678" w:type="pct"/>
            <w:vAlign w:val="center"/>
          </w:tcPr>
          <w:p>
            <w:pPr>
              <w:spacing w:line="360" w:lineRule="auto"/>
              <w:rPr>
                <w:rFonts w:hAnsi="宋体" w:cs="宋体"/>
                <w:color w:val="auto"/>
                <w:sz w:val="21"/>
                <w:szCs w:val="21"/>
                <w:highlight w:val="none"/>
              </w:rPr>
            </w:pPr>
          </w:p>
        </w:tc>
        <w:tc>
          <w:tcPr>
            <w:tcW w:w="610" w:type="pct"/>
            <w:vAlign w:val="center"/>
          </w:tcPr>
          <w:p>
            <w:pPr>
              <w:spacing w:line="360" w:lineRule="auto"/>
              <w:rPr>
                <w:rFonts w:hAnsi="宋体" w:cs="宋体"/>
                <w:color w:val="auto"/>
                <w:sz w:val="21"/>
                <w:szCs w:val="21"/>
                <w:highlight w:val="none"/>
              </w:rPr>
            </w:pPr>
          </w:p>
        </w:tc>
        <w:tc>
          <w:tcPr>
            <w:tcW w:w="1061" w:type="pct"/>
            <w:vAlign w:val="center"/>
          </w:tcPr>
          <w:p>
            <w:pPr>
              <w:spacing w:line="360" w:lineRule="auto"/>
              <w:rPr>
                <w:rFonts w:hAnsi="宋体" w:cs="宋体"/>
                <w:color w:val="auto"/>
                <w:sz w:val="21"/>
                <w:szCs w:val="21"/>
                <w:highlight w:val="none"/>
              </w:rPr>
            </w:pPr>
          </w:p>
        </w:tc>
      </w:tr>
    </w:tbl>
    <w:p>
      <w:pPr>
        <w:rPr>
          <w:rFonts w:hAnsi="宋体" w:cs="宋体"/>
          <w:color w:val="auto"/>
          <w:sz w:val="21"/>
          <w:szCs w:val="21"/>
          <w:highlight w:val="none"/>
        </w:rPr>
      </w:pPr>
      <w:r>
        <w:rPr>
          <w:rFonts w:hint="eastAsia" w:hAnsi="宋体" w:cs="宋体"/>
          <w:color w:val="auto"/>
          <w:sz w:val="21"/>
          <w:szCs w:val="21"/>
          <w:highlight w:val="none"/>
        </w:rPr>
        <w:t xml:space="preserve">投标单位：（盖章）     </w:t>
      </w:r>
    </w:p>
    <w:p>
      <w:pPr>
        <w:rPr>
          <w:rFonts w:hAnsi="宋体" w:cs="宋体"/>
          <w:color w:val="auto"/>
          <w:sz w:val="21"/>
          <w:szCs w:val="21"/>
          <w:highlight w:val="none"/>
        </w:rPr>
      </w:pPr>
      <w:r>
        <w:rPr>
          <w:rFonts w:hint="eastAsia" w:hAnsi="宋体" w:cs="宋体"/>
          <w:color w:val="auto"/>
          <w:sz w:val="21"/>
          <w:szCs w:val="21"/>
          <w:highlight w:val="none"/>
        </w:rPr>
        <w:t>法定代表人或授权代表签字：                 日期：</w:t>
      </w:r>
    </w:p>
    <w:p>
      <w:pPr>
        <w:rPr>
          <w:rFonts w:hAnsi="宋体" w:cs="宋体"/>
          <w:color w:val="auto"/>
          <w:sz w:val="21"/>
          <w:szCs w:val="21"/>
          <w:highlight w:val="none"/>
        </w:rPr>
      </w:pPr>
    </w:p>
    <w:p>
      <w:pPr>
        <w:rPr>
          <w:rFonts w:hAnsi="宋体" w:cs="宋体"/>
          <w:color w:val="auto"/>
          <w:sz w:val="21"/>
          <w:szCs w:val="21"/>
          <w:highlight w:val="none"/>
        </w:rPr>
      </w:pPr>
      <w:r>
        <w:rPr>
          <w:rFonts w:hint="eastAsia" w:hAnsi="宋体" w:cs="宋体"/>
          <w:color w:val="auto"/>
          <w:sz w:val="21"/>
          <w:szCs w:val="21"/>
          <w:highlight w:val="none"/>
        </w:rPr>
        <w:t>注  1.此表在不改变表式的情况下，可自行制作。</w:t>
      </w:r>
    </w:p>
    <w:p>
      <w:pPr>
        <w:ind w:firstLine="420" w:firstLineChars="200"/>
        <w:rPr>
          <w:rFonts w:hAnsi="宋体" w:cs="宋体"/>
          <w:color w:val="auto"/>
          <w:sz w:val="21"/>
          <w:szCs w:val="21"/>
          <w:highlight w:val="none"/>
        </w:rPr>
      </w:pPr>
      <w:r>
        <w:rPr>
          <w:rFonts w:hint="eastAsia" w:hAnsi="宋体" w:cs="宋体"/>
          <w:color w:val="auto"/>
          <w:sz w:val="21"/>
          <w:szCs w:val="21"/>
          <w:highlight w:val="none"/>
        </w:rPr>
        <w:t>2.提供相关专业人员的资格执业证书复印件并加盖公章。</w:t>
      </w:r>
    </w:p>
    <w:p>
      <w:pPr>
        <w:pStyle w:val="44"/>
        <w:widowControl w:val="0"/>
        <w:jc w:val="center"/>
        <w:rPr>
          <w:rFonts w:ascii="宋体" w:cs="宋体"/>
          <w:b/>
          <w:color w:val="auto"/>
          <w:sz w:val="28"/>
          <w:szCs w:val="20"/>
          <w:highlight w:val="none"/>
        </w:rPr>
      </w:pPr>
    </w:p>
    <w:p>
      <w:pPr>
        <w:pStyle w:val="44"/>
        <w:widowControl w:val="0"/>
        <w:jc w:val="center"/>
        <w:rPr>
          <w:rFonts w:ascii="宋体" w:cs="宋体"/>
          <w:b/>
          <w:color w:val="auto"/>
          <w:sz w:val="28"/>
          <w:szCs w:val="20"/>
          <w:highlight w:val="none"/>
        </w:rPr>
      </w:pPr>
    </w:p>
    <w:p>
      <w:pPr>
        <w:rPr>
          <w:rFonts w:hAnsi="宋体" w:cs="宋体"/>
          <w:b/>
          <w:color w:val="auto"/>
          <w:sz w:val="21"/>
          <w:szCs w:val="21"/>
          <w:highlight w:val="none"/>
        </w:rPr>
      </w:pPr>
      <w:r>
        <w:rPr>
          <w:rFonts w:hint="eastAsia" w:hAnsi="宋体" w:cs="宋体"/>
          <w:b/>
          <w:color w:val="auto"/>
          <w:sz w:val="21"/>
          <w:szCs w:val="21"/>
          <w:highlight w:val="none"/>
        </w:rPr>
        <w:br w:type="page"/>
      </w:r>
    </w:p>
    <w:p>
      <w:pPr>
        <w:jc w:val="center"/>
        <w:rPr>
          <w:rFonts w:hAnsi="宋体" w:cs="宋体"/>
          <w:b/>
          <w:color w:val="auto"/>
          <w:sz w:val="21"/>
          <w:szCs w:val="21"/>
          <w:highlight w:val="none"/>
        </w:rPr>
      </w:pPr>
      <w:r>
        <w:rPr>
          <w:rFonts w:hint="eastAsia" w:hAnsi="宋体" w:cs="宋体"/>
          <w:b/>
          <w:color w:val="auto"/>
          <w:sz w:val="21"/>
          <w:szCs w:val="21"/>
          <w:highlight w:val="none"/>
        </w:rPr>
        <w:t>6.商务技术偏离表</w:t>
      </w:r>
    </w:p>
    <w:tbl>
      <w:tblPr>
        <w:tblStyle w:val="47"/>
        <w:tblW w:w="9412"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
      <w:tblGrid>
        <w:gridCol w:w="720"/>
        <w:gridCol w:w="1175"/>
        <w:gridCol w:w="2067"/>
        <w:gridCol w:w="1237"/>
        <w:gridCol w:w="2805"/>
        <w:gridCol w:w="1408"/>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454" w:hRule="atLeast"/>
          <w:jc w:val="center"/>
        </w:trPr>
        <w:tc>
          <w:tcPr>
            <w:tcW w:w="720" w:type="dxa"/>
            <w:vMerge w:val="restart"/>
            <w:shd w:val="clear" w:color="auto" w:fill="auto"/>
            <w:vAlign w:val="center"/>
          </w:tcPr>
          <w:p>
            <w:pPr>
              <w:keepNext/>
              <w:snapToGrid w:val="0"/>
              <w:jc w:val="center"/>
              <w:rPr>
                <w:rFonts w:hAnsi="宋体" w:cs="宋体"/>
                <w:color w:val="auto"/>
                <w:sz w:val="21"/>
                <w:szCs w:val="21"/>
                <w:highlight w:val="none"/>
              </w:rPr>
            </w:pPr>
            <w:r>
              <w:rPr>
                <w:rFonts w:hint="eastAsia" w:hAnsi="宋体" w:cs="宋体"/>
                <w:color w:val="auto"/>
                <w:sz w:val="21"/>
                <w:szCs w:val="21"/>
                <w:highlight w:val="none"/>
              </w:rPr>
              <w:t>序号</w:t>
            </w:r>
          </w:p>
        </w:tc>
        <w:tc>
          <w:tcPr>
            <w:tcW w:w="3242" w:type="dxa"/>
            <w:gridSpan w:val="2"/>
            <w:shd w:val="clear" w:color="auto" w:fill="auto"/>
            <w:vAlign w:val="center"/>
          </w:tcPr>
          <w:p>
            <w:pPr>
              <w:keepNext/>
              <w:snapToGrid w:val="0"/>
              <w:jc w:val="center"/>
              <w:rPr>
                <w:rFonts w:hAnsi="宋体" w:cs="宋体"/>
                <w:color w:val="auto"/>
                <w:sz w:val="21"/>
                <w:szCs w:val="21"/>
                <w:highlight w:val="none"/>
              </w:rPr>
            </w:pPr>
            <w:r>
              <w:rPr>
                <w:rFonts w:hint="eastAsia" w:hAnsi="宋体" w:cs="宋体"/>
                <w:color w:val="auto"/>
                <w:sz w:val="21"/>
                <w:szCs w:val="21"/>
                <w:highlight w:val="none"/>
              </w:rPr>
              <w:t>招标文件要求</w:t>
            </w:r>
          </w:p>
        </w:tc>
        <w:tc>
          <w:tcPr>
            <w:tcW w:w="4042" w:type="dxa"/>
            <w:gridSpan w:val="2"/>
            <w:shd w:val="clear" w:color="auto" w:fill="auto"/>
            <w:vAlign w:val="center"/>
          </w:tcPr>
          <w:p>
            <w:pPr>
              <w:keepNext/>
              <w:snapToGrid w:val="0"/>
              <w:jc w:val="center"/>
              <w:rPr>
                <w:rFonts w:hAnsi="宋体" w:cs="宋体"/>
                <w:color w:val="auto"/>
                <w:sz w:val="21"/>
                <w:szCs w:val="21"/>
                <w:highlight w:val="none"/>
              </w:rPr>
            </w:pPr>
            <w:r>
              <w:rPr>
                <w:rFonts w:hint="eastAsia" w:hAnsi="宋体" w:cs="宋体"/>
                <w:color w:val="auto"/>
                <w:sz w:val="21"/>
                <w:szCs w:val="21"/>
                <w:highlight w:val="none"/>
              </w:rPr>
              <w:t>投标文件内容</w:t>
            </w:r>
          </w:p>
        </w:tc>
        <w:tc>
          <w:tcPr>
            <w:tcW w:w="1408" w:type="dxa"/>
            <w:vMerge w:val="restart"/>
            <w:shd w:val="clear" w:color="auto" w:fill="auto"/>
            <w:vAlign w:val="center"/>
          </w:tcPr>
          <w:p>
            <w:pPr>
              <w:keepNext/>
              <w:snapToGrid w:val="0"/>
              <w:jc w:val="center"/>
              <w:rPr>
                <w:rFonts w:hAnsi="宋体" w:cs="宋体"/>
                <w:color w:val="auto"/>
                <w:sz w:val="21"/>
                <w:szCs w:val="21"/>
                <w:highlight w:val="none"/>
              </w:rPr>
            </w:pPr>
            <w:r>
              <w:rPr>
                <w:rFonts w:hint="eastAsia" w:hAnsi="宋体" w:cs="宋体"/>
                <w:color w:val="auto"/>
                <w:sz w:val="21"/>
                <w:szCs w:val="21"/>
                <w:highlight w:val="none"/>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454" w:hRule="atLeast"/>
          <w:jc w:val="center"/>
        </w:trPr>
        <w:tc>
          <w:tcPr>
            <w:tcW w:w="720" w:type="dxa"/>
            <w:vMerge w:val="continue"/>
            <w:shd w:val="clear" w:color="auto" w:fill="auto"/>
            <w:vAlign w:val="center"/>
          </w:tcPr>
          <w:p>
            <w:pPr>
              <w:keepNext/>
              <w:snapToGrid w:val="0"/>
              <w:jc w:val="center"/>
              <w:rPr>
                <w:rFonts w:hAnsi="宋体" w:cs="宋体"/>
                <w:color w:val="auto"/>
                <w:sz w:val="21"/>
                <w:szCs w:val="21"/>
                <w:highlight w:val="none"/>
              </w:rPr>
            </w:pPr>
          </w:p>
        </w:tc>
        <w:tc>
          <w:tcPr>
            <w:tcW w:w="1175" w:type="dxa"/>
            <w:shd w:val="clear" w:color="auto" w:fill="auto"/>
            <w:vAlign w:val="center"/>
          </w:tcPr>
          <w:p>
            <w:pPr>
              <w:keepNext/>
              <w:snapToGrid w:val="0"/>
              <w:jc w:val="center"/>
              <w:rPr>
                <w:rFonts w:hAnsi="宋体" w:cs="宋体"/>
                <w:color w:val="auto"/>
                <w:sz w:val="21"/>
                <w:szCs w:val="21"/>
                <w:highlight w:val="none"/>
              </w:rPr>
            </w:pPr>
            <w:r>
              <w:rPr>
                <w:rFonts w:hint="eastAsia" w:hAnsi="宋体" w:cs="宋体"/>
                <w:color w:val="auto"/>
                <w:sz w:val="21"/>
                <w:szCs w:val="21"/>
                <w:highlight w:val="none"/>
              </w:rPr>
              <w:t>条目</w:t>
            </w:r>
          </w:p>
        </w:tc>
        <w:tc>
          <w:tcPr>
            <w:tcW w:w="2067" w:type="dxa"/>
            <w:shd w:val="clear" w:color="auto" w:fill="auto"/>
            <w:vAlign w:val="center"/>
          </w:tcPr>
          <w:p>
            <w:pPr>
              <w:keepNext/>
              <w:snapToGrid w:val="0"/>
              <w:jc w:val="center"/>
              <w:rPr>
                <w:rFonts w:hAnsi="宋体" w:cs="宋体"/>
                <w:color w:val="auto"/>
                <w:sz w:val="21"/>
                <w:szCs w:val="21"/>
                <w:highlight w:val="none"/>
              </w:rPr>
            </w:pPr>
            <w:r>
              <w:rPr>
                <w:rFonts w:hint="eastAsia" w:hAnsi="宋体" w:cs="宋体"/>
                <w:color w:val="auto"/>
                <w:sz w:val="21"/>
                <w:szCs w:val="21"/>
                <w:highlight w:val="none"/>
              </w:rPr>
              <w:t>简要内容</w:t>
            </w:r>
          </w:p>
        </w:tc>
        <w:tc>
          <w:tcPr>
            <w:tcW w:w="1237" w:type="dxa"/>
            <w:shd w:val="clear" w:color="auto" w:fill="auto"/>
            <w:vAlign w:val="center"/>
          </w:tcPr>
          <w:p>
            <w:pPr>
              <w:keepNext/>
              <w:snapToGrid w:val="0"/>
              <w:jc w:val="center"/>
              <w:rPr>
                <w:rFonts w:hAnsi="宋体" w:cs="宋体"/>
                <w:color w:val="auto"/>
                <w:sz w:val="21"/>
                <w:szCs w:val="21"/>
                <w:highlight w:val="none"/>
              </w:rPr>
            </w:pPr>
            <w:r>
              <w:rPr>
                <w:rFonts w:hint="eastAsia" w:hAnsi="宋体" w:cs="宋体"/>
                <w:color w:val="auto"/>
                <w:sz w:val="21"/>
                <w:szCs w:val="21"/>
                <w:highlight w:val="none"/>
              </w:rPr>
              <w:t>条目</w:t>
            </w:r>
          </w:p>
        </w:tc>
        <w:tc>
          <w:tcPr>
            <w:tcW w:w="2805" w:type="dxa"/>
            <w:shd w:val="clear" w:color="auto" w:fill="auto"/>
            <w:vAlign w:val="center"/>
          </w:tcPr>
          <w:p>
            <w:pPr>
              <w:keepNext/>
              <w:snapToGrid w:val="0"/>
              <w:jc w:val="center"/>
              <w:rPr>
                <w:rFonts w:hAnsi="宋体" w:cs="宋体"/>
                <w:color w:val="auto"/>
                <w:sz w:val="21"/>
                <w:szCs w:val="21"/>
                <w:highlight w:val="none"/>
              </w:rPr>
            </w:pPr>
            <w:r>
              <w:rPr>
                <w:rFonts w:hint="eastAsia" w:hAnsi="宋体" w:cs="宋体"/>
                <w:color w:val="auto"/>
                <w:sz w:val="21"/>
                <w:szCs w:val="21"/>
                <w:highlight w:val="none"/>
              </w:rPr>
              <w:t>实际响应的具体内容</w:t>
            </w:r>
          </w:p>
        </w:tc>
        <w:tc>
          <w:tcPr>
            <w:tcW w:w="1408" w:type="dxa"/>
            <w:vMerge w:val="continue"/>
            <w:shd w:val="clear" w:color="auto" w:fill="auto"/>
            <w:vAlign w:val="center"/>
          </w:tcPr>
          <w:p>
            <w:pPr>
              <w:keepNext/>
              <w:snapToGrid w:val="0"/>
              <w:jc w:val="center"/>
              <w:rPr>
                <w:rFonts w:hAnsi="宋体" w:cs="宋体"/>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454" w:hRule="atLeast"/>
          <w:jc w:val="center"/>
        </w:trPr>
        <w:tc>
          <w:tcPr>
            <w:tcW w:w="720" w:type="dxa"/>
            <w:shd w:val="clear" w:color="auto" w:fill="auto"/>
            <w:vAlign w:val="center"/>
          </w:tcPr>
          <w:p>
            <w:pPr>
              <w:keepNext/>
              <w:snapToGrid w:val="0"/>
              <w:jc w:val="center"/>
              <w:rPr>
                <w:rFonts w:hAnsi="宋体" w:cs="宋体"/>
                <w:color w:val="auto"/>
                <w:sz w:val="21"/>
                <w:szCs w:val="21"/>
                <w:highlight w:val="none"/>
              </w:rPr>
            </w:pPr>
          </w:p>
        </w:tc>
        <w:tc>
          <w:tcPr>
            <w:tcW w:w="1175" w:type="dxa"/>
            <w:shd w:val="clear" w:color="auto" w:fill="auto"/>
            <w:vAlign w:val="center"/>
          </w:tcPr>
          <w:p>
            <w:pPr>
              <w:keepNext/>
              <w:snapToGrid w:val="0"/>
              <w:jc w:val="center"/>
              <w:rPr>
                <w:rFonts w:hAnsi="宋体" w:cs="宋体"/>
                <w:color w:val="auto"/>
                <w:sz w:val="21"/>
                <w:szCs w:val="21"/>
                <w:highlight w:val="none"/>
              </w:rPr>
            </w:pPr>
          </w:p>
        </w:tc>
        <w:tc>
          <w:tcPr>
            <w:tcW w:w="2067" w:type="dxa"/>
            <w:shd w:val="clear" w:color="auto" w:fill="auto"/>
            <w:vAlign w:val="center"/>
          </w:tcPr>
          <w:p>
            <w:pPr>
              <w:keepNext/>
              <w:snapToGrid w:val="0"/>
              <w:jc w:val="center"/>
              <w:rPr>
                <w:rFonts w:hAnsi="宋体" w:cs="宋体"/>
                <w:color w:val="auto"/>
                <w:sz w:val="21"/>
                <w:szCs w:val="21"/>
                <w:highlight w:val="none"/>
              </w:rPr>
            </w:pPr>
          </w:p>
        </w:tc>
        <w:tc>
          <w:tcPr>
            <w:tcW w:w="1237" w:type="dxa"/>
            <w:shd w:val="clear" w:color="auto" w:fill="auto"/>
            <w:vAlign w:val="center"/>
          </w:tcPr>
          <w:p>
            <w:pPr>
              <w:keepNext/>
              <w:snapToGrid w:val="0"/>
              <w:jc w:val="center"/>
              <w:rPr>
                <w:rFonts w:hAnsi="宋体" w:cs="宋体"/>
                <w:color w:val="auto"/>
                <w:sz w:val="21"/>
                <w:szCs w:val="21"/>
                <w:highlight w:val="none"/>
              </w:rPr>
            </w:pPr>
          </w:p>
        </w:tc>
        <w:tc>
          <w:tcPr>
            <w:tcW w:w="2805" w:type="dxa"/>
            <w:shd w:val="clear" w:color="auto" w:fill="auto"/>
            <w:vAlign w:val="center"/>
          </w:tcPr>
          <w:p>
            <w:pPr>
              <w:keepNext/>
              <w:snapToGrid w:val="0"/>
              <w:jc w:val="center"/>
              <w:rPr>
                <w:rFonts w:hAnsi="宋体" w:cs="宋体"/>
                <w:color w:val="auto"/>
                <w:sz w:val="21"/>
                <w:szCs w:val="21"/>
                <w:highlight w:val="none"/>
              </w:rPr>
            </w:pPr>
          </w:p>
        </w:tc>
        <w:tc>
          <w:tcPr>
            <w:tcW w:w="1408" w:type="dxa"/>
            <w:shd w:val="clear" w:color="auto" w:fill="auto"/>
            <w:vAlign w:val="center"/>
          </w:tcPr>
          <w:p>
            <w:pPr>
              <w:keepNext/>
              <w:snapToGrid w:val="0"/>
              <w:jc w:val="center"/>
              <w:rPr>
                <w:rFonts w:hAnsi="宋体" w:cs="宋体"/>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454" w:hRule="atLeast"/>
          <w:jc w:val="center"/>
        </w:trPr>
        <w:tc>
          <w:tcPr>
            <w:tcW w:w="720" w:type="dxa"/>
            <w:shd w:val="clear" w:color="auto" w:fill="auto"/>
            <w:vAlign w:val="center"/>
          </w:tcPr>
          <w:p>
            <w:pPr>
              <w:keepNext/>
              <w:snapToGrid w:val="0"/>
              <w:jc w:val="center"/>
              <w:rPr>
                <w:rFonts w:hAnsi="宋体" w:cs="宋体"/>
                <w:color w:val="auto"/>
                <w:sz w:val="21"/>
                <w:szCs w:val="21"/>
                <w:highlight w:val="none"/>
              </w:rPr>
            </w:pPr>
          </w:p>
        </w:tc>
        <w:tc>
          <w:tcPr>
            <w:tcW w:w="1175" w:type="dxa"/>
            <w:shd w:val="clear" w:color="auto" w:fill="auto"/>
            <w:vAlign w:val="center"/>
          </w:tcPr>
          <w:p>
            <w:pPr>
              <w:keepNext/>
              <w:snapToGrid w:val="0"/>
              <w:jc w:val="center"/>
              <w:rPr>
                <w:rFonts w:hAnsi="宋体" w:cs="宋体"/>
                <w:color w:val="auto"/>
                <w:sz w:val="21"/>
                <w:szCs w:val="21"/>
                <w:highlight w:val="none"/>
              </w:rPr>
            </w:pPr>
          </w:p>
        </w:tc>
        <w:tc>
          <w:tcPr>
            <w:tcW w:w="2067" w:type="dxa"/>
            <w:shd w:val="clear" w:color="auto" w:fill="auto"/>
            <w:vAlign w:val="center"/>
          </w:tcPr>
          <w:p>
            <w:pPr>
              <w:keepNext/>
              <w:snapToGrid w:val="0"/>
              <w:jc w:val="center"/>
              <w:rPr>
                <w:rFonts w:hAnsi="宋体" w:cs="宋体"/>
                <w:color w:val="auto"/>
                <w:sz w:val="21"/>
                <w:szCs w:val="21"/>
                <w:highlight w:val="none"/>
              </w:rPr>
            </w:pPr>
          </w:p>
        </w:tc>
        <w:tc>
          <w:tcPr>
            <w:tcW w:w="1237" w:type="dxa"/>
            <w:shd w:val="clear" w:color="auto" w:fill="auto"/>
            <w:vAlign w:val="center"/>
          </w:tcPr>
          <w:p>
            <w:pPr>
              <w:keepNext/>
              <w:snapToGrid w:val="0"/>
              <w:jc w:val="center"/>
              <w:rPr>
                <w:rFonts w:hAnsi="宋体" w:cs="宋体"/>
                <w:color w:val="auto"/>
                <w:sz w:val="21"/>
                <w:szCs w:val="21"/>
                <w:highlight w:val="none"/>
              </w:rPr>
            </w:pPr>
          </w:p>
        </w:tc>
        <w:tc>
          <w:tcPr>
            <w:tcW w:w="2805" w:type="dxa"/>
            <w:shd w:val="clear" w:color="auto" w:fill="auto"/>
            <w:vAlign w:val="center"/>
          </w:tcPr>
          <w:p>
            <w:pPr>
              <w:keepNext/>
              <w:snapToGrid w:val="0"/>
              <w:jc w:val="center"/>
              <w:rPr>
                <w:rFonts w:hAnsi="宋体" w:cs="宋体"/>
                <w:color w:val="auto"/>
                <w:sz w:val="21"/>
                <w:szCs w:val="21"/>
                <w:highlight w:val="none"/>
              </w:rPr>
            </w:pPr>
          </w:p>
        </w:tc>
        <w:tc>
          <w:tcPr>
            <w:tcW w:w="1408" w:type="dxa"/>
            <w:shd w:val="clear" w:color="auto" w:fill="auto"/>
            <w:vAlign w:val="center"/>
          </w:tcPr>
          <w:p>
            <w:pPr>
              <w:keepNext/>
              <w:snapToGrid w:val="0"/>
              <w:jc w:val="center"/>
              <w:rPr>
                <w:rFonts w:hAnsi="宋体" w:cs="宋体"/>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454" w:hRule="atLeast"/>
          <w:jc w:val="center"/>
        </w:trPr>
        <w:tc>
          <w:tcPr>
            <w:tcW w:w="720" w:type="dxa"/>
            <w:shd w:val="clear" w:color="auto" w:fill="auto"/>
            <w:vAlign w:val="center"/>
          </w:tcPr>
          <w:p>
            <w:pPr>
              <w:snapToGrid w:val="0"/>
              <w:jc w:val="center"/>
              <w:rPr>
                <w:rFonts w:hAnsi="宋体" w:cs="宋体"/>
                <w:color w:val="auto"/>
                <w:sz w:val="21"/>
                <w:szCs w:val="21"/>
                <w:highlight w:val="none"/>
              </w:rPr>
            </w:pPr>
          </w:p>
        </w:tc>
        <w:tc>
          <w:tcPr>
            <w:tcW w:w="1175" w:type="dxa"/>
            <w:shd w:val="clear" w:color="auto" w:fill="auto"/>
            <w:vAlign w:val="center"/>
          </w:tcPr>
          <w:p>
            <w:pPr>
              <w:snapToGrid w:val="0"/>
              <w:jc w:val="center"/>
              <w:rPr>
                <w:rFonts w:hAnsi="宋体" w:cs="宋体"/>
                <w:color w:val="auto"/>
                <w:sz w:val="21"/>
                <w:szCs w:val="21"/>
                <w:highlight w:val="none"/>
              </w:rPr>
            </w:pPr>
          </w:p>
        </w:tc>
        <w:tc>
          <w:tcPr>
            <w:tcW w:w="2067" w:type="dxa"/>
            <w:shd w:val="clear" w:color="auto" w:fill="auto"/>
            <w:vAlign w:val="center"/>
          </w:tcPr>
          <w:p>
            <w:pPr>
              <w:snapToGrid w:val="0"/>
              <w:jc w:val="center"/>
              <w:rPr>
                <w:rFonts w:hAnsi="宋体" w:cs="宋体"/>
                <w:color w:val="auto"/>
                <w:sz w:val="21"/>
                <w:szCs w:val="21"/>
                <w:highlight w:val="none"/>
              </w:rPr>
            </w:pPr>
          </w:p>
        </w:tc>
        <w:tc>
          <w:tcPr>
            <w:tcW w:w="1237" w:type="dxa"/>
            <w:shd w:val="clear" w:color="auto" w:fill="auto"/>
            <w:vAlign w:val="center"/>
          </w:tcPr>
          <w:p>
            <w:pPr>
              <w:snapToGrid w:val="0"/>
              <w:jc w:val="center"/>
              <w:rPr>
                <w:rFonts w:hAnsi="宋体" w:cs="宋体"/>
                <w:color w:val="auto"/>
                <w:sz w:val="21"/>
                <w:szCs w:val="21"/>
                <w:highlight w:val="none"/>
              </w:rPr>
            </w:pPr>
          </w:p>
        </w:tc>
        <w:tc>
          <w:tcPr>
            <w:tcW w:w="2805" w:type="dxa"/>
            <w:shd w:val="clear" w:color="auto" w:fill="auto"/>
            <w:vAlign w:val="center"/>
          </w:tcPr>
          <w:p>
            <w:pPr>
              <w:snapToGrid w:val="0"/>
              <w:jc w:val="center"/>
              <w:rPr>
                <w:rFonts w:hAnsi="宋体" w:cs="宋体"/>
                <w:color w:val="auto"/>
                <w:sz w:val="21"/>
                <w:szCs w:val="21"/>
                <w:highlight w:val="none"/>
              </w:rPr>
            </w:pPr>
          </w:p>
        </w:tc>
        <w:tc>
          <w:tcPr>
            <w:tcW w:w="1408" w:type="dxa"/>
            <w:shd w:val="clear" w:color="auto" w:fill="auto"/>
            <w:vAlign w:val="center"/>
          </w:tcPr>
          <w:p>
            <w:pPr>
              <w:snapToGrid w:val="0"/>
              <w:jc w:val="center"/>
              <w:rPr>
                <w:rFonts w:hAnsi="宋体" w:cs="宋体"/>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454" w:hRule="atLeast"/>
          <w:jc w:val="center"/>
        </w:trPr>
        <w:tc>
          <w:tcPr>
            <w:tcW w:w="720" w:type="dxa"/>
            <w:shd w:val="clear" w:color="auto" w:fill="auto"/>
            <w:vAlign w:val="center"/>
          </w:tcPr>
          <w:p>
            <w:pPr>
              <w:snapToGrid w:val="0"/>
              <w:jc w:val="center"/>
              <w:rPr>
                <w:rFonts w:hAnsi="宋体" w:cs="宋体"/>
                <w:color w:val="auto"/>
                <w:sz w:val="21"/>
                <w:szCs w:val="21"/>
                <w:highlight w:val="none"/>
              </w:rPr>
            </w:pPr>
          </w:p>
        </w:tc>
        <w:tc>
          <w:tcPr>
            <w:tcW w:w="1175" w:type="dxa"/>
            <w:shd w:val="clear" w:color="auto" w:fill="auto"/>
            <w:vAlign w:val="center"/>
          </w:tcPr>
          <w:p>
            <w:pPr>
              <w:snapToGrid w:val="0"/>
              <w:jc w:val="center"/>
              <w:rPr>
                <w:rFonts w:hAnsi="宋体" w:cs="宋体"/>
                <w:color w:val="auto"/>
                <w:sz w:val="21"/>
                <w:szCs w:val="21"/>
                <w:highlight w:val="none"/>
              </w:rPr>
            </w:pPr>
          </w:p>
        </w:tc>
        <w:tc>
          <w:tcPr>
            <w:tcW w:w="2067" w:type="dxa"/>
            <w:shd w:val="clear" w:color="auto" w:fill="auto"/>
            <w:vAlign w:val="center"/>
          </w:tcPr>
          <w:p>
            <w:pPr>
              <w:snapToGrid w:val="0"/>
              <w:jc w:val="center"/>
              <w:rPr>
                <w:rFonts w:hAnsi="宋体" w:cs="宋体"/>
                <w:color w:val="auto"/>
                <w:sz w:val="21"/>
                <w:szCs w:val="21"/>
                <w:highlight w:val="none"/>
              </w:rPr>
            </w:pPr>
          </w:p>
        </w:tc>
        <w:tc>
          <w:tcPr>
            <w:tcW w:w="1237" w:type="dxa"/>
            <w:shd w:val="clear" w:color="auto" w:fill="auto"/>
            <w:vAlign w:val="center"/>
          </w:tcPr>
          <w:p>
            <w:pPr>
              <w:snapToGrid w:val="0"/>
              <w:jc w:val="center"/>
              <w:rPr>
                <w:rFonts w:hAnsi="宋体" w:cs="宋体"/>
                <w:color w:val="auto"/>
                <w:sz w:val="21"/>
                <w:szCs w:val="21"/>
                <w:highlight w:val="none"/>
              </w:rPr>
            </w:pPr>
          </w:p>
        </w:tc>
        <w:tc>
          <w:tcPr>
            <w:tcW w:w="2805" w:type="dxa"/>
            <w:shd w:val="clear" w:color="auto" w:fill="auto"/>
            <w:vAlign w:val="center"/>
          </w:tcPr>
          <w:p>
            <w:pPr>
              <w:snapToGrid w:val="0"/>
              <w:jc w:val="center"/>
              <w:rPr>
                <w:rFonts w:hAnsi="宋体" w:cs="宋体"/>
                <w:color w:val="auto"/>
                <w:sz w:val="21"/>
                <w:szCs w:val="21"/>
                <w:highlight w:val="none"/>
              </w:rPr>
            </w:pPr>
          </w:p>
        </w:tc>
        <w:tc>
          <w:tcPr>
            <w:tcW w:w="1408" w:type="dxa"/>
            <w:shd w:val="clear" w:color="auto" w:fill="auto"/>
            <w:vAlign w:val="center"/>
          </w:tcPr>
          <w:p>
            <w:pPr>
              <w:snapToGrid w:val="0"/>
              <w:jc w:val="center"/>
              <w:rPr>
                <w:rFonts w:hAnsi="宋体" w:cs="宋体"/>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454" w:hRule="atLeast"/>
          <w:jc w:val="center"/>
        </w:trPr>
        <w:tc>
          <w:tcPr>
            <w:tcW w:w="720" w:type="dxa"/>
            <w:shd w:val="clear" w:color="auto" w:fill="auto"/>
            <w:vAlign w:val="center"/>
          </w:tcPr>
          <w:p>
            <w:pPr>
              <w:snapToGrid w:val="0"/>
              <w:jc w:val="center"/>
              <w:rPr>
                <w:rFonts w:hAnsi="宋体" w:cs="宋体"/>
                <w:color w:val="auto"/>
                <w:sz w:val="21"/>
                <w:szCs w:val="21"/>
                <w:highlight w:val="none"/>
              </w:rPr>
            </w:pPr>
          </w:p>
        </w:tc>
        <w:tc>
          <w:tcPr>
            <w:tcW w:w="1175" w:type="dxa"/>
            <w:shd w:val="clear" w:color="auto" w:fill="auto"/>
            <w:vAlign w:val="center"/>
          </w:tcPr>
          <w:p>
            <w:pPr>
              <w:snapToGrid w:val="0"/>
              <w:jc w:val="center"/>
              <w:rPr>
                <w:rFonts w:hAnsi="宋体" w:cs="宋体"/>
                <w:color w:val="auto"/>
                <w:sz w:val="21"/>
                <w:szCs w:val="21"/>
                <w:highlight w:val="none"/>
              </w:rPr>
            </w:pPr>
          </w:p>
        </w:tc>
        <w:tc>
          <w:tcPr>
            <w:tcW w:w="2067" w:type="dxa"/>
            <w:shd w:val="clear" w:color="auto" w:fill="auto"/>
            <w:vAlign w:val="center"/>
          </w:tcPr>
          <w:p>
            <w:pPr>
              <w:snapToGrid w:val="0"/>
              <w:jc w:val="center"/>
              <w:rPr>
                <w:rFonts w:hAnsi="宋体" w:cs="宋体"/>
                <w:color w:val="auto"/>
                <w:sz w:val="21"/>
                <w:szCs w:val="21"/>
                <w:highlight w:val="none"/>
              </w:rPr>
            </w:pPr>
          </w:p>
        </w:tc>
        <w:tc>
          <w:tcPr>
            <w:tcW w:w="1237" w:type="dxa"/>
            <w:shd w:val="clear" w:color="auto" w:fill="auto"/>
            <w:vAlign w:val="center"/>
          </w:tcPr>
          <w:p>
            <w:pPr>
              <w:snapToGrid w:val="0"/>
              <w:jc w:val="center"/>
              <w:rPr>
                <w:rFonts w:hAnsi="宋体" w:cs="宋体"/>
                <w:color w:val="auto"/>
                <w:sz w:val="21"/>
                <w:szCs w:val="21"/>
                <w:highlight w:val="none"/>
              </w:rPr>
            </w:pPr>
          </w:p>
        </w:tc>
        <w:tc>
          <w:tcPr>
            <w:tcW w:w="2805" w:type="dxa"/>
            <w:shd w:val="clear" w:color="auto" w:fill="auto"/>
            <w:vAlign w:val="center"/>
          </w:tcPr>
          <w:p>
            <w:pPr>
              <w:snapToGrid w:val="0"/>
              <w:jc w:val="center"/>
              <w:rPr>
                <w:rFonts w:hAnsi="宋体" w:cs="宋体"/>
                <w:color w:val="auto"/>
                <w:sz w:val="21"/>
                <w:szCs w:val="21"/>
                <w:highlight w:val="none"/>
              </w:rPr>
            </w:pPr>
          </w:p>
        </w:tc>
        <w:tc>
          <w:tcPr>
            <w:tcW w:w="1408" w:type="dxa"/>
            <w:shd w:val="clear" w:color="auto" w:fill="auto"/>
            <w:vAlign w:val="center"/>
          </w:tcPr>
          <w:p>
            <w:pPr>
              <w:snapToGrid w:val="0"/>
              <w:jc w:val="center"/>
              <w:rPr>
                <w:rFonts w:hAnsi="宋体" w:cs="宋体"/>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454" w:hRule="atLeast"/>
          <w:jc w:val="center"/>
        </w:trPr>
        <w:tc>
          <w:tcPr>
            <w:tcW w:w="720" w:type="dxa"/>
            <w:shd w:val="clear" w:color="auto" w:fill="auto"/>
            <w:vAlign w:val="center"/>
          </w:tcPr>
          <w:p>
            <w:pPr>
              <w:snapToGrid w:val="0"/>
              <w:jc w:val="center"/>
              <w:rPr>
                <w:rFonts w:hAnsi="宋体" w:cs="宋体"/>
                <w:color w:val="auto"/>
                <w:sz w:val="21"/>
                <w:szCs w:val="21"/>
                <w:highlight w:val="none"/>
              </w:rPr>
            </w:pPr>
          </w:p>
        </w:tc>
        <w:tc>
          <w:tcPr>
            <w:tcW w:w="1175" w:type="dxa"/>
            <w:shd w:val="clear" w:color="auto" w:fill="auto"/>
            <w:vAlign w:val="center"/>
          </w:tcPr>
          <w:p>
            <w:pPr>
              <w:snapToGrid w:val="0"/>
              <w:jc w:val="center"/>
              <w:rPr>
                <w:rFonts w:hAnsi="宋体" w:cs="宋体"/>
                <w:color w:val="auto"/>
                <w:sz w:val="21"/>
                <w:szCs w:val="21"/>
                <w:highlight w:val="none"/>
              </w:rPr>
            </w:pPr>
          </w:p>
        </w:tc>
        <w:tc>
          <w:tcPr>
            <w:tcW w:w="2067" w:type="dxa"/>
            <w:shd w:val="clear" w:color="auto" w:fill="auto"/>
            <w:vAlign w:val="center"/>
          </w:tcPr>
          <w:p>
            <w:pPr>
              <w:snapToGrid w:val="0"/>
              <w:jc w:val="center"/>
              <w:rPr>
                <w:rFonts w:hAnsi="宋体" w:cs="宋体"/>
                <w:color w:val="auto"/>
                <w:sz w:val="21"/>
                <w:szCs w:val="21"/>
                <w:highlight w:val="none"/>
              </w:rPr>
            </w:pPr>
          </w:p>
        </w:tc>
        <w:tc>
          <w:tcPr>
            <w:tcW w:w="1237" w:type="dxa"/>
            <w:shd w:val="clear" w:color="auto" w:fill="auto"/>
            <w:vAlign w:val="center"/>
          </w:tcPr>
          <w:p>
            <w:pPr>
              <w:snapToGrid w:val="0"/>
              <w:jc w:val="center"/>
              <w:rPr>
                <w:rFonts w:hAnsi="宋体" w:cs="宋体"/>
                <w:color w:val="auto"/>
                <w:sz w:val="21"/>
                <w:szCs w:val="21"/>
                <w:highlight w:val="none"/>
              </w:rPr>
            </w:pPr>
          </w:p>
        </w:tc>
        <w:tc>
          <w:tcPr>
            <w:tcW w:w="2805" w:type="dxa"/>
            <w:shd w:val="clear" w:color="auto" w:fill="auto"/>
            <w:vAlign w:val="center"/>
          </w:tcPr>
          <w:p>
            <w:pPr>
              <w:snapToGrid w:val="0"/>
              <w:jc w:val="center"/>
              <w:rPr>
                <w:rFonts w:hAnsi="宋体" w:cs="宋体"/>
                <w:color w:val="auto"/>
                <w:sz w:val="21"/>
                <w:szCs w:val="21"/>
                <w:highlight w:val="none"/>
              </w:rPr>
            </w:pPr>
          </w:p>
        </w:tc>
        <w:tc>
          <w:tcPr>
            <w:tcW w:w="1408" w:type="dxa"/>
            <w:shd w:val="clear" w:color="auto" w:fill="auto"/>
            <w:vAlign w:val="center"/>
          </w:tcPr>
          <w:p>
            <w:pPr>
              <w:snapToGrid w:val="0"/>
              <w:jc w:val="center"/>
              <w:rPr>
                <w:rFonts w:hAnsi="宋体" w:cs="宋体"/>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454" w:hRule="atLeast"/>
          <w:jc w:val="center"/>
        </w:trPr>
        <w:tc>
          <w:tcPr>
            <w:tcW w:w="720" w:type="dxa"/>
            <w:shd w:val="clear" w:color="auto" w:fill="auto"/>
            <w:vAlign w:val="center"/>
          </w:tcPr>
          <w:p>
            <w:pPr>
              <w:snapToGrid w:val="0"/>
              <w:jc w:val="center"/>
              <w:rPr>
                <w:rFonts w:hAnsi="宋体" w:cs="宋体"/>
                <w:color w:val="auto"/>
                <w:sz w:val="21"/>
                <w:szCs w:val="21"/>
                <w:highlight w:val="none"/>
              </w:rPr>
            </w:pPr>
          </w:p>
        </w:tc>
        <w:tc>
          <w:tcPr>
            <w:tcW w:w="1175" w:type="dxa"/>
            <w:shd w:val="clear" w:color="auto" w:fill="auto"/>
            <w:vAlign w:val="center"/>
          </w:tcPr>
          <w:p>
            <w:pPr>
              <w:snapToGrid w:val="0"/>
              <w:jc w:val="center"/>
              <w:rPr>
                <w:rFonts w:hAnsi="宋体" w:cs="宋体"/>
                <w:color w:val="auto"/>
                <w:sz w:val="21"/>
                <w:szCs w:val="21"/>
                <w:highlight w:val="none"/>
              </w:rPr>
            </w:pPr>
          </w:p>
        </w:tc>
        <w:tc>
          <w:tcPr>
            <w:tcW w:w="2067" w:type="dxa"/>
            <w:shd w:val="clear" w:color="auto" w:fill="auto"/>
            <w:vAlign w:val="center"/>
          </w:tcPr>
          <w:p>
            <w:pPr>
              <w:snapToGrid w:val="0"/>
              <w:jc w:val="center"/>
              <w:rPr>
                <w:rFonts w:hAnsi="宋体" w:cs="宋体"/>
                <w:color w:val="auto"/>
                <w:sz w:val="21"/>
                <w:szCs w:val="21"/>
                <w:highlight w:val="none"/>
              </w:rPr>
            </w:pPr>
          </w:p>
        </w:tc>
        <w:tc>
          <w:tcPr>
            <w:tcW w:w="1237" w:type="dxa"/>
            <w:shd w:val="clear" w:color="auto" w:fill="auto"/>
            <w:vAlign w:val="center"/>
          </w:tcPr>
          <w:p>
            <w:pPr>
              <w:snapToGrid w:val="0"/>
              <w:jc w:val="center"/>
              <w:rPr>
                <w:rFonts w:hAnsi="宋体" w:cs="宋体"/>
                <w:color w:val="auto"/>
                <w:sz w:val="21"/>
                <w:szCs w:val="21"/>
                <w:highlight w:val="none"/>
              </w:rPr>
            </w:pPr>
          </w:p>
        </w:tc>
        <w:tc>
          <w:tcPr>
            <w:tcW w:w="2805" w:type="dxa"/>
            <w:shd w:val="clear" w:color="auto" w:fill="auto"/>
            <w:vAlign w:val="center"/>
          </w:tcPr>
          <w:p>
            <w:pPr>
              <w:snapToGrid w:val="0"/>
              <w:jc w:val="center"/>
              <w:rPr>
                <w:rFonts w:hAnsi="宋体" w:cs="宋体"/>
                <w:color w:val="auto"/>
                <w:sz w:val="21"/>
                <w:szCs w:val="21"/>
                <w:highlight w:val="none"/>
              </w:rPr>
            </w:pPr>
          </w:p>
        </w:tc>
        <w:tc>
          <w:tcPr>
            <w:tcW w:w="1408" w:type="dxa"/>
            <w:shd w:val="clear" w:color="auto" w:fill="auto"/>
            <w:vAlign w:val="center"/>
          </w:tcPr>
          <w:p>
            <w:pPr>
              <w:snapToGrid w:val="0"/>
              <w:jc w:val="center"/>
              <w:rPr>
                <w:rFonts w:hAnsi="宋体" w:cs="宋体"/>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454" w:hRule="atLeast"/>
          <w:jc w:val="center"/>
        </w:trPr>
        <w:tc>
          <w:tcPr>
            <w:tcW w:w="720" w:type="dxa"/>
            <w:shd w:val="clear" w:color="auto" w:fill="auto"/>
            <w:vAlign w:val="center"/>
          </w:tcPr>
          <w:p>
            <w:pPr>
              <w:snapToGrid w:val="0"/>
              <w:jc w:val="center"/>
              <w:rPr>
                <w:rFonts w:hAnsi="宋体" w:cs="宋体"/>
                <w:color w:val="auto"/>
                <w:sz w:val="21"/>
                <w:szCs w:val="21"/>
                <w:highlight w:val="none"/>
              </w:rPr>
            </w:pPr>
          </w:p>
        </w:tc>
        <w:tc>
          <w:tcPr>
            <w:tcW w:w="1175" w:type="dxa"/>
            <w:shd w:val="clear" w:color="auto" w:fill="auto"/>
            <w:vAlign w:val="center"/>
          </w:tcPr>
          <w:p>
            <w:pPr>
              <w:snapToGrid w:val="0"/>
              <w:jc w:val="center"/>
              <w:rPr>
                <w:rFonts w:hAnsi="宋体" w:cs="宋体"/>
                <w:color w:val="auto"/>
                <w:sz w:val="21"/>
                <w:szCs w:val="21"/>
                <w:highlight w:val="none"/>
              </w:rPr>
            </w:pPr>
          </w:p>
        </w:tc>
        <w:tc>
          <w:tcPr>
            <w:tcW w:w="2067" w:type="dxa"/>
            <w:shd w:val="clear" w:color="auto" w:fill="auto"/>
            <w:vAlign w:val="center"/>
          </w:tcPr>
          <w:p>
            <w:pPr>
              <w:snapToGrid w:val="0"/>
              <w:jc w:val="center"/>
              <w:rPr>
                <w:rFonts w:hAnsi="宋体" w:cs="宋体"/>
                <w:color w:val="auto"/>
                <w:sz w:val="21"/>
                <w:szCs w:val="21"/>
                <w:highlight w:val="none"/>
              </w:rPr>
            </w:pPr>
          </w:p>
        </w:tc>
        <w:tc>
          <w:tcPr>
            <w:tcW w:w="1237" w:type="dxa"/>
            <w:shd w:val="clear" w:color="auto" w:fill="auto"/>
            <w:vAlign w:val="center"/>
          </w:tcPr>
          <w:p>
            <w:pPr>
              <w:snapToGrid w:val="0"/>
              <w:jc w:val="center"/>
              <w:rPr>
                <w:rFonts w:hAnsi="宋体" w:cs="宋体"/>
                <w:color w:val="auto"/>
                <w:sz w:val="21"/>
                <w:szCs w:val="21"/>
                <w:highlight w:val="none"/>
              </w:rPr>
            </w:pPr>
          </w:p>
        </w:tc>
        <w:tc>
          <w:tcPr>
            <w:tcW w:w="2805" w:type="dxa"/>
            <w:shd w:val="clear" w:color="auto" w:fill="auto"/>
            <w:vAlign w:val="center"/>
          </w:tcPr>
          <w:p>
            <w:pPr>
              <w:snapToGrid w:val="0"/>
              <w:jc w:val="center"/>
              <w:rPr>
                <w:rFonts w:hAnsi="宋体" w:cs="宋体"/>
                <w:color w:val="auto"/>
                <w:sz w:val="21"/>
                <w:szCs w:val="21"/>
                <w:highlight w:val="none"/>
              </w:rPr>
            </w:pPr>
          </w:p>
        </w:tc>
        <w:tc>
          <w:tcPr>
            <w:tcW w:w="1408" w:type="dxa"/>
            <w:shd w:val="clear" w:color="auto" w:fill="auto"/>
            <w:vAlign w:val="center"/>
          </w:tcPr>
          <w:p>
            <w:pPr>
              <w:snapToGrid w:val="0"/>
              <w:jc w:val="center"/>
              <w:rPr>
                <w:rFonts w:hAnsi="宋体" w:cs="宋体"/>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454" w:hRule="atLeast"/>
          <w:jc w:val="center"/>
        </w:trPr>
        <w:tc>
          <w:tcPr>
            <w:tcW w:w="720" w:type="dxa"/>
            <w:shd w:val="clear" w:color="auto" w:fill="auto"/>
            <w:vAlign w:val="center"/>
          </w:tcPr>
          <w:p>
            <w:pPr>
              <w:snapToGrid w:val="0"/>
              <w:jc w:val="center"/>
              <w:rPr>
                <w:rFonts w:hAnsi="宋体" w:cs="宋体"/>
                <w:color w:val="auto"/>
                <w:sz w:val="21"/>
                <w:szCs w:val="21"/>
                <w:highlight w:val="none"/>
              </w:rPr>
            </w:pPr>
          </w:p>
        </w:tc>
        <w:tc>
          <w:tcPr>
            <w:tcW w:w="1175" w:type="dxa"/>
            <w:shd w:val="clear" w:color="auto" w:fill="auto"/>
            <w:vAlign w:val="center"/>
          </w:tcPr>
          <w:p>
            <w:pPr>
              <w:snapToGrid w:val="0"/>
              <w:jc w:val="center"/>
              <w:rPr>
                <w:rFonts w:hAnsi="宋体" w:cs="宋体"/>
                <w:color w:val="auto"/>
                <w:sz w:val="21"/>
                <w:szCs w:val="21"/>
                <w:highlight w:val="none"/>
              </w:rPr>
            </w:pPr>
          </w:p>
        </w:tc>
        <w:tc>
          <w:tcPr>
            <w:tcW w:w="2067" w:type="dxa"/>
            <w:shd w:val="clear" w:color="auto" w:fill="auto"/>
            <w:vAlign w:val="center"/>
          </w:tcPr>
          <w:p>
            <w:pPr>
              <w:snapToGrid w:val="0"/>
              <w:jc w:val="center"/>
              <w:rPr>
                <w:rFonts w:hAnsi="宋体" w:cs="宋体"/>
                <w:color w:val="auto"/>
                <w:sz w:val="21"/>
                <w:szCs w:val="21"/>
                <w:highlight w:val="none"/>
              </w:rPr>
            </w:pPr>
          </w:p>
        </w:tc>
        <w:tc>
          <w:tcPr>
            <w:tcW w:w="1237" w:type="dxa"/>
            <w:shd w:val="clear" w:color="auto" w:fill="auto"/>
            <w:vAlign w:val="center"/>
          </w:tcPr>
          <w:p>
            <w:pPr>
              <w:snapToGrid w:val="0"/>
              <w:jc w:val="center"/>
              <w:rPr>
                <w:rFonts w:hAnsi="宋体" w:cs="宋体"/>
                <w:color w:val="auto"/>
                <w:sz w:val="21"/>
                <w:szCs w:val="21"/>
                <w:highlight w:val="none"/>
              </w:rPr>
            </w:pPr>
          </w:p>
        </w:tc>
        <w:tc>
          <w:tcPr>
            <w:tcW w:w="2805" w:type="dxa"/>
            <w:shd w:val="clear" w:color="auto" w:fill="auto"/>
            <w:vAlign w:val="center"/>
          </w:tcPr>
          <w:p>
            <w:pPr>
              <w:snapToGrid w:val="0"/>
              <w:jc w:val="center"/>
              <w:rPr>
                <w:rFonts w:hAnsi="宋体" w:cs="宋体"/>
                <w:color w:val="auto"/>
                <w:sz w:val="21"/>
                <w:szCs w:val="21"/>
                <w:highlight w:val="none"/>
              </w:rPr>
            </w:pPr>
          </w:p>
        </w:tc>
        <w:tc>
          <w:tcPr>
            <w:tcW w:w="1408" w:type="dxa"/>
            <w:shd w:val="clear" w:color="auto" w:fill="auto"/>
            <w:vAlign w:val="center"/>
          </w:tcPr>
          <w:p>
            <w:pPr>
              <w:snapToGrid w:val="0"/>
              <w:jc w:val="center"/>
              <w:rPr>
                <w:rFonts w:hAnsi="宋体" w:cs="宋体"/>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454" w:hRule="atLeast"/>
          <w:jc w:val="center"/>
        </w:trPr>
        <w:tc>
          <w:tcPr>
            <w:tcW w:w="720" w:type="dxa"/>
            <w:shd w:val="clear" w:color="auto" w:fill="auto"/>
            <w:vAlign w:val="center"/>
          </w:tcPr>
          <w:p>
            <w:pPr>
              <w:snapToGrid w:val="0"/>
              <w:jc w:val="center"/>
              <w:rPr>
                <w:rFonts w:hAnsi="宋体" w:cs="宋体"/>
                <w:color w:val="auto"/>
                <w:sz w:val="21"/>
                <w:szCs w:val="21"/>
                <w:highlight w:val="none"/>
              </w:rPr>
            </w:pPr>
          </w:p>
        </w:tc>
        <w:tc>
          <w:tcPr>
            <w:tcW w:w="1175" w:type="dxa"/>
            <w:shd w:val="clear" w:color="auto" w:fill="auto"/>
            <w:vAlign w:val="center"/>
          </w:tcPr>
          <w:p>
            <w:pPr>
              <w:snapToGrid w:val="0"/>
              <w:jc w:val="center"/>
              <w:rPr>
                <w:rFonts w:hAnsi="宋体" w:cs="宋体"/>
                <w:color w:val="auto"/>
                <w:sz w:val="21"/>
                <w:szCs w:val="21"/>
                <w:highlight w:val="none"/>
              </w:rPr>
            </w:pPr>
          </w:p>
        </w:tc>
        <w:tc>
          <w:tcPr>
            <w:tcW w:w="2067" w:type="dxa"/>
            <w:shd w:val="clear" w:color="auto" w:fill="auto"/>
            <w:vAlign w:val="center"/>
          </w:tcPr>
          <w:p>
            <w:pPr>
              <w:snapToGrid w:val="0"/>
              <w:jc w:val="center"/>
              <w:rPr>
                <w:rFonts w:hAnsi="宋体" w:cs="宋体"/>
                <w:color w:val="auto"/>
                <w:sz w:val="21"/>
                <w:szCs w:val="21"/>
                <w:highlight w:val="none"/>
              </w:rPr>
            </w:pPr>
          </w:p>
        </w:tc>
        <w:tc>
          <w:tcPr>
            <w:tcW w:w="1237" w:type="dxa"/>
            <w:shd w:val="clear" w:color="auto" w:fill="auto"/>
            <w:vAlign w:val="center"/>
          </w:tcPr>
          <w:p>
            <w:pPr>
              <w:snapToGrid w:val="0"/>
              <w:jc w:val="center"/>
              <w:rPr>
                <w:rFonts w:hAnsi="宋体" w:cs="宋体"/>
                <w:color w:val="auto"/>
                <w:sz w:val="21"/>
                <w:szCs w:val="21"/>
                <w:highlight w:val="none"/>
              </w:rPr>
            </w:pPr>
          </w:p>
        </w:tc>
        <w:tc>
          <w:tcPr>
            <w:tcW w:w="2805" w:type="dxa"/>
            <w:shd w:val="clear" w:color="auto" w:fill="auto"/>
            <w:vAlign w:val="center"/>
          </w:tcPr>
          <w:p>
            <w:pPr>
              <w:snapToGrid w:val="0"/>
              <w:jc w:val="center"/>
              <w:rPr>
                <w:rFonts w:hAnsi="宋体" w:cs="宋体"/>
                <w:color w:val="auto"/>
                <w:sz w:val="21"/>
                <w:szCs w:val="21"/>
                <w:highlight w:val="none"/>
              </w:rPr>
            </w:pPr>
          </w:p>
        </w:tc>
        <w:tc>
          <w:tcPr>
            <w:tcW w:w="1408" w:type="dxa"/>
            <w:shd w:val="clear" w:color="auto" w:fill="auto"/>
            <w:vAlign w:val="center"/>
          </w:tcPr>
          <w:p>
            <w:pPr>
              <w:snapToGrid w:val="0"/>
              <w:jc w:val="center"/>
              <w:rPr>
                <w:rFonts w:hAnsi="宋体" w:cs="宋体"/>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454" w:hRule="atLeast"/>
          <w:jc w:val="center"/>
        </w:trPr>
        <w:tc>
          <w:tcPr>
            <w:tcW w:w="720" w:type="dxa"/>
            <w:shd w:val="clear" w:color="auto" w:fill="auto"/>
            <w:vAlign w:val="center"/>
          </w:tcPr>
          <w:p>
            <w:pPr>
              <w:snapToGrid w:val="0"/>
              <w:jc w:val="center"/>
              <w:rPr>
                <w:rFonts w:hAnsi="宋体" w:cs="宋体"/>
                <w:color w:val="auto"/>
                <w:sz w:val="21"/>
                <w:szCs w:val="21"/>
                <w:highlight w:val="none"/>
              </w:rPr>
            </w:pPr>
          </w:p>
        </w:tc>
        <w:tc>
          <w:tcPr>
            <w:tcW w:w="1175" w:type="dxa"/>
            <w:shd w:val="clear" w:color="auto" w:fill="auto"/>
            <w:vAlign w:val="center"/>
          </w:tcPr>
          <w:p>
            <w:pPr>
              <w:snapToGrid w:val="0"/>
              <w:jc w:val="center"/>
              <w:rPr>
                <w:rFonts w:hAnsi="宋体" w:cs="宋体"/>
                <w:color w:val="auto"/>
                <w:sz w:val="21"/>
                <w:szCs w:val="21"/>
                <w:highlight w:val="none"/>
              </w:rPr>
            </w:pPr>
          </w:p>
        </w:tc>
        <w:tc>
          <w:tcPr>
            <w:tcW w:w="2067" w:type="dxa"/>
            <w:shd w:val="clear" w:color="auto" w:fill="auto"/>
            <w:vAlign w:val="center"/>
          </w:tcPr>
          <w:p>
            <w:pPr>
              <w:snapToGrid w:val="0"/>
              <w:jc w:val="center"/>
              <w:rPr>
                <w:rFonts w:hAnsi="宋体" w:cs="宋体"/>
                <w:color w:val="auto"/>
                <w:sz w:val="21"/>
                <w:szCs w:val="21"/>
                <w:highlight w:val="none"/>
              </w:rPr>
            </w:pPr>
          </w:p>
        </w:tc>
        <w:tc>
          <w:tcPr>
            <w:tcW w:w="1237" w:type="dxa"/>
            <w:shd w:val="clear" w:color="auto" w:fill="auto"/>
            <w:vAlign w:val="center"/>
          </w:tcPr>
          <w:p>
            <w:pPr>
              <w:snapToGrid w:val="0"/>
              <w:jc w:val="center"/>
              <w:rPr>
                <w:rFonts w:hAnsi="宋体" w:cs="宋体"/>
                <w:color w:val="auto"/>
                <w:sz w:val="21"/>
                <w:szCs w:val="21"/>
                <w:highlight w:val="none"/>
              </w:rPr>
            </w:pPr>
          </w:p>
        </w:tc>
        <w:tc>
          <w:tcPr>
            <w:tcW w:w="2805" w:type="dxa"/>
            <w:shd w:val="clear" w:color="auto" w:fill="auto"/>
            <w:vAlign w:val="center"/>
          </w:tcPr>
          <w:p>
            <w:pPr>
              <w:snapToGrid w:val="0"/>
              <w:jc w:val="center"/>
              <w:rPr>
                <w:rFonts w:hAnsi="宋体" w:cs="宋体"/>
                <w:color w:val="auto"/>
                <w:sz w:val="21"/>
                <w:szCs w:val="21"/>
                <w:highlight w:val="none"/>
              </w:rPr>
            </w:pPr>
          </w:p>
        </w:tc>
        <w:tc>
          <w:tcPr>
            <w:tcW w:w="1408" w:type="dxa"/>
            <w:shd w:val="clear" w:color="auto" w:fill="auto"/>
            <w:vAlign w:val="center"/>
          </w:tcPr>
          <w:p>
            <w:pPr>
              <w:snapToGrid w:val="0"/>
              <w:jc w:val="center"/>
              <w:rPr>
                <w:rFonts w:hAnsi="宋体" w:cs="宋体"/>
                <w:color w:val="auto"/>
                <w:sz w:val="21"/>
                <w:szCs w:val="21"/>
                <w:highlight w:val="none"/>
              </w:rPr>
            </w:pPr>
          </w:p>
        </w:tc>
      </w:tr>
    </w:tbl>
    <w:p>
      <w:pPr>
        <w:snapToGrid w:val="0"/>
        <w:spacing w:line="240" w:lineRule="atLeast"/>
        <w:ind w:firstLine="420" w:firstLineChars="200"/>
        <w:textAlignment w:val="center"/>
        <w:rPr>
          <w:rFonts w:hAnsi="宋体" w:cs="宋体"/>
          <w:color w:val="auto"/>
          <w:sz w:val="21"/>
          <w:szCs w:val="21"/>
          <w:highlight w:val="none"/>
        </w:rPr>
      </w:pPr>
      <w:r>
        <w:rPr>
          <w:rFonts w:hint="eastAsia" w:hAnsi="宋体" w:cs="宋体"/>
          <w:color w:val="auto"/>
          <w:sz w:val="21"/>
          <w:szCs w:val="21"/>
          <w:highlight w:val="none"/>
        </w:rPr>
        <w:t>注：行数不够可自行添加，有偏离请在商务技术偏离表中说明，若投标人未提供或未填写本表，均视作完全响应招标文件要求。</w:t>
      </w:r>
    </w:p>
    <w:p>
      <w:pPr>
        <w:spacing w:line="300" w:lineRule="auto"/>
        <w:rPr>
          <w:rFonts w:hAnsi="宋体" w:cs="宋体"/>
          <w:color w:val="auto"/>
          <w:sz w:val="21"/>
          <w:szCs w:val="21"/>
          <w:highlight w:val="none"/>
        </w:rPr>
      </w:pPr>
      <w:r>
        <w:rPr>
          <w:rFonts w:hint="eastAsia" w:hAnsi="宋体" w:cs="宋体"/>
          <w:color w:val="auto"/>
          <w:sz w:val="21"/>
          <w:szCs w:val="21"/>
          <w:highlight w:val="none"/>
        </w:rPr>
        <w:t xml:space="preserve">投标单位（盖章）：                </w:t>
      </w:r>
    </w:p>
    <w:p>
      <w:pPr>
        <w:spacing w:line="300" w:lineRule="auto"/>
        <w:rPr>
          <w:rFonts w:hAnsi="宋体" w:cs="宋体"/>
          <w:color w:val="auto"/>
          <w:sz w:val="21"/>
          <w:szCs w:val="21"/>
          <w:highlight w:val="none"/>
        </w:rPr>
      </w:pPr>
      <w:r>
        <w:rPr>
          <w:rFonts w:hint="eastAsia" w:hAnsi="宋体" w:cs="宋体"/>
          <w:color w:val="auto"/>
          <w:sz w:val="21"/>
          <w:szCs w:val="21"/>
          <w:highlight w:val="none"/>
        </w:rPr>
        <w:t>法定代表人或其授权代表签字：</w:t>
      </w:r>
    </w:p>
    <w:p>
      <w:pPr>
        <w:spacing w:line="300" w:lineRule="auto"/>
        <w:rPr>
          <w:rFonts w:hAnsi="宋体" w:cs="宋体"/>
          <w:color w:val="auto"/>
          <w:highlight w:val="none"/>
        </w:rPr>
      </w:pPr>
      <w:r>
        <w:rPr>
          <w:rFonts w:hint="eastAsia" w:hAnsi="宋体" w:cs="宋体"/>
          <w:color w:val="auto"/>
          <w:sz w:val="21"/>
          <w:szCs w:val="21"/>
          <w:highlight w:val="none"/>
        </w:rPr>
        <w:t xml:space="preserve">  年  月  日</w:t>
      </w:r>
    </w:p>
    <w:p>
      <w:pPr>
        <w:snapToGrid w:val="0"/>
        <w:spacing w:line="440" w:lineRule="exact"/>
        <w:ind w:firstLine="482" w:firstLineChars="200"/>
        <w:rPr>
          <w:rFonts w:hAnsi="宋体" w:cs="宋体"/>
          <w:b/>
          <w:bCs/>
          <w:color w:val="auto"/>
          <w:sz w:val="24"/>
          <w:szCs w:val="24"/>
          <w:highlight w:val="none"/>
        </w:rPr>
      </w:pPr>
    </w:p>
    <w:p>
      <w:pPr>
        <w:snapToGrid w:val="0"/>
        <w:spacing w:line="440" w:lineRule="exact"/>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7.针对本项目的服务方案（格式自拟）</w:t>
      </w:r>
    </w:p>
    <w:p>
      <w:pPr>
        <w:snapToGrid w:val="0"/>
        <w:spacing w:line="440" w:lineRule="exact"/>
        <w:ind w:firstLine="482" w:firstLineChars="200"/>
        <w:rPr>
          <w:rFonts w:hAnsi="宋体" w:cs="宋体"/>
          <w:b/>
          <w:bCs/>
          <w:color w:val="auto"/>
          <w:sz w:val="24"/>
          <w:szCs w:val="24"/>
          <w:highlight w:val="none"/>
        </w:rPr>
      </w:pPr>
    </w:p>
    <w:p>
      <w:pPr>
        <w:snapToGrid w:val="0"/>
        <w:spacing w:line="440" w:lineRule="exact"/>
        <w:ind w:firstLine="482" w:firstLineChars="200"/>
        <w:rPr>
          <w:rFonts w:hAnsi="宋体" w:cs="宋体"/>
          <w:b/>
          <w:bCs/>
          <w:color w:val="auto"/>
          <w:sz w:val="24"/>
          <w:szCs w:val="24"/>
          <w:highlight w:val="none"/>
        </w:rPr>
      </w:pPr>
    </w:p>
    <w:p>
      <w:pPr>
        <w:snapToGrid w:val="0"/>
        <w:spacing w:line="440" w:lineRule="exact"/>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8.投标人需要说明的其他文件和说明（格式略）</w:t>
      </w:r>
    </w:p>
    <w:p>
      <w:pPr>
        <w:snapToGrid w:val="0"/>
        <w:spacing w:before="50" w:afterLines="50"/>
        <w:rPr>
          <w:rFonts w:hAnsi="宋体" w:cs="宋体"/>
          <w:color w:val="auto"/>
          <w:sz w:val="24"/>
          <w:highlight w:val="none"/>
        </w:rPr>
      </w:pPr>
    </w:p>
    <w:p>
      <w:pPr>
        <w:spacing w:line="300" w:lineRule="auto"/>
        <w:rPr>
          <w:rFonts w:hAnsi="宋体" w:cs="宋体"/>
          <w:b/>
          <w:bCs/>
          <w:color w:val="auto"/>
          <w:sz w:val="24"/>
          <w:highlight w:val="none"/>
        </w:rPr>
      </w:pPr>
    </w:p>
    <w:p>
      <w:pPr>
        <w:rPr>
          <w:rFonts w:hAnsi="宋体" w:cs="宋体"/>
          <w:b/>
          <w:bCs/>
          <w:color w:val="auto"/>
          <w:sz w:val="24"/>
          <w:highlight w:val="none"/>
        </w:rPr>
      </w:pPr>
      <w:r>
        <w:rPr>
          <w:rFonts w:hint="eastAsia" w:hAnsi="宋体" w:cs="宋体"/>
          <w:b/>
          <w:bCs/>
          <w:color w:val="auto"/>
          <w:sz w:val="24"/>
          <w:highlight w:val="none"/>
        </w:rPr>
        <w:br w:type="page"/>
      </w:r>
    </w:p>
    <w:p>
      <w:pPr>
        <w:spacing w:line="300" w:lineRule="auto"/>
        <w:rPr>
          <w:rFonts w:hAnsi="宋体" w:cs="宋体"/>
          <w:b/>
          <w:bCs/>
          <w:color w:val="auto"/>
          <w:sz w:val="24"/>
          <w:highlight w:val="none"/>
        </w:rPr>
      </w:pPr>
      <w:r>
        <w:rPr>
          <w:rFonts w:hint="eastAsia" w:hAnsi="宋体" w:cs="宋体"/>
          <w:b/>
          <w:bCs/>
          <w:color w:val="auto"/>
          <w:sz w:val="24"/>
          <w:highlight w:val="none"/>
        </w:rPr>
        <w:t>（三）报价文件部分</w:t>
      </w:r>
    </w:p>
    <w:p>
      <w:pPr>
        <w:snapToGrid w:val="0"/>
        <w:spacing w:beforeLines="50" w:after="50"/>
        <w:rPr>
          <w:rFonts w:hAnsi="宋体" w:cs="宋体"/>
          <w:color w:val="auto"/>
          <w:sz w:val="24"/>
          <w:highlight w:val="none"/>
        </w:rPr>
      </w:pPr>
      <w:r>
        <w:rPr>
          <w:rFonts w:hint="eastAsia" w:hAnsi="宋体" w:cs="宋体"/>
          <w:color w:val="auto"/>
          <w:sz w:val="24"/>
          <w:highlight w:val="none"/>
        </w:rPr>
        <w:t>1.投标函格式：</w:t>
      </w:r>
    </w:p>
    <w:p>
      <w:pPr>
        <w:snapToGrid w:val="0"/>
        <w:spacing w:beforeLines="50" w:after="50"/>
        <w:jc w:val="center"/>
        <w:rPr>
          <w:rFonts w:hAnsi="宋体" w:cs="宋体"/>
          <w:b/>
          <w:color w:val="auto"/>
          <w:sz w:val="24"/>
          <w:highlight w:val="none"/>
        </w:rPr>
      </w:pPr>
      <w:r>
        <w:rPr>
          <w:rFonts w:hint="eastAsia" w:hAnsi="宋体" w:cs="宋体"/>
          <w:b/>
          <w:color w:val="auto"/>
          <w:sz w:val="24"/>
          <w:highlight w:val="none"/>
        </w:rPr>
        <w:t>投标函</w:t>
      </w:r>
    </w:p>
    <w:p>
      <w:pPr>
        <w:snapToGrid w:val="0"/>
        <w:spacing w:line="360" w:lineRule="auto"/>
        <w:rPr>
          <w:rFonts w:hAnsi="宋体" w:cs="宋体"/>
          <w:color w:val="auto"/>
          <w:sz w:val="24"/>
          <w:highlight w:val="none"/>
        </w:rPr>
      </w:pPr>
      <w:r>
        <w:rPr>
          <w:rFonts w:hint="eastAsia" w:hAnsi="宋体" w:cs="宋体"/>
          <w:color w:val="auto"/>
          <w:sz w:val="24"/>
          <w:highlight w:val="none"/>
        </w:rPr>
        <w:t>致：_________（招标采购单位名称）：</w:t>
      </w:r>
    </w:p>
    <w:p>
      <w:pPr>
        <w:snapToGrid w:val="0"/>
        <w:spacing w:line="360" w:lineRule="auto"/>
        <w:ind w:firstLine="480"/>
        <w:rPr>
          <w:rFonts w:hAnsi="宋体" w:cs="宋体"/>
          <w:color w:val="auto"/>
          <w:sz w:val="24"/>
          <w:highlight w:val="none"/>
        </w:rPr>
      </w:pPr>
      <w:r>
        <w:rPr>
          <w:rFonts w:hint="eastAsia" w:hAnsi="宋体" w:cs="宋体"/>
          <w:color w:val="auto"/>
          <w:sz w:val="24"/>
          <w:highlight w:val="none"/>
        </w:rPr>
        <w:t>根据贵方为项目的招标公告/投标邀请书</w:t>
      </w:r>
    </w:p>
    <w:p>
      <w:pPr>
        <w:snapToGrid w:val="0"/>
        <w:spacing w:line="360" w:lineRule="auto"/>
        <w:rPr>
          <w:rFonts w:hAnsi="宋体" w:cs="宋体"/>
          <w:color w:val="auto"/>
          <w:sz w:val="24"/>
          <w:highlight w:val="none"/>
        </w:rPr>
      </w:pPr>
      <w:r>
        <w:rPr>
          <w:rFonts w:hint="eastAsia" w:hAnsi="宋体" w:cs="宋体"/>
          <w:color w:val="auto"/>
          <w:sz w:val="24"/>
          <w:highlight w:val="none"/>
        </w:rPr>
        <w:t>（项目编号：_______），签字</w:t>
      </w:r>
      <w:r>
        <w:rPr>
          <w:rFonts w:hint="eastAsia" w:hAnsi="宋体" w:cs="宋体"/>
          <w:color w:val="auto"/>
          <w:sz w:val="24"/>
          <w:szCs w:val="22"/>
          <w:highlight w:val="none"/>
        </w:rPr>
        <w:t>代表_______（全名）经正式授权并代表投标人_________（投标人名称）提交</w:t>
      </w:r>
      <w:r>
        <w:rPr>
          <w:rFonts w:hint="eastAsia" w:hAnsi="宋体" w:cs="宋体"/>
          <w:color w:val="auto"/>
          <w:sz w:val="24"/>
          <w:highlight w:val="none"/>
        </w:rPr>
        <w:t>文件。</w:t>
      </w:r>
    </w:p>
    <w:p>
      <w:pPr>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据此函，签字代表宣布同意如下：</w:t>
      </w:r>
    </w:p>
    <w:p>
      <w:pPr>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1.我方自愿按照招标文件规定的各项要求向采购人提供所专业服务。</w:t>
      </w:r>
    </w:p>
    <w:p>
      <w:pPr>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2.我方已详细审查全部“招标文件”，包括修改文件（如有的话）以及全部参考资料和有关附件，已经了解我方对于招标文件、采购过程、采购结果有依法进行询问、质疑、投诉的权利及相关渠道和要求。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3.我方在投标之前已经与贵方进行了充分的沟通，完全理解并接受招标文件的各项规定和要求，对招标文件的合理性、合法性不再有异议。</w:t>
      </w:r>
    </w:p>
    <w:p>
      <w:pPr>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4.本投标有效期自开标截止日起__</w:t>
      </w:r>
      <w:r>
        <w:rPr>
          <w:rFonts w:hint="eastAsia" w:hAnsi="宋体" w:cs="宋体"/>
          <w:color w:val="auto"/>
          <w:sz w:val="24"/>
          <w:highlight w:val="none"/>
          <w:u w:val="single"/>
        </w:rPr>
        <w:t>90</w:t>
      </w:r>
      <w:r>
        <w:rPr>
          <w:rFonts w:hint="eastAsia" w:hAnsi="宋体" w:cs="宋体"/>
          <w:color w:val="auto"/>
          <w:sz w:val="24"/>
          <w:highlight w:val="none"/>
        </w:rPr>
        <w:t>___天。</w:t>
      </w:r>
    </w:p>
    <w:p>
      <w:pPr>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5.如中标，本投标文件至本项目合同履行完毕止均保持有效，本投标人将按“招标文件”及政府采购法律、法规的规定履行合同责任和义务。</w:t>
      </w:r>
    </w:p>
    <w:p>
      <w:pPr>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6.投标人同意按照贵方要求提供与投标有关的一切数据或资料。</w:t>
      </w:r>
    </w:p>
    <w:p>
      <w:pPr>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7.与本投标有关的一切正式往来信函请寄：</w:t>
      </w:r>
    </w:p>
    <w:p>
      <w:pPr>
        <w:snapToGrid w:val="0"/>
        <w:spacing w:line="360" w:lineRule="auto"/>
        <w:rPr>
          <w:rFonts w:hAnsi="宋体" w:cs="宋体"/>
          <w:color w:val="auto"/>
          <w:sz w:val="24"/>
          <w:highlight w:val="none"/>
        </w:rPr>
      </w:pPr>
      <w:r>
        <w:rPr>
          <w:rFonts w:hint="eastAsia" w:hAnsi="宋体" w:cs="宋体"/>
          <w:color w:val="auto"/>
          <w:sz w:val="24"/>
          <w:highlight w:val="none"/>
        </w:rPr>
        <w:t>地址：_______________邮编：__________电话：______________</w:t>
      </w:r>
    </w:p>
    <w:p>
      <w:pPr>
        <w:snapToGrid w:val="0"/>
        <w:spacing w:line="360" w:lineRule="auto"/>
        <w:rPr>
          <w:rFonts w:hAnsi="宋体" w:cs="宋体"/>
          <w:color w:val="auto"/>
          <w:sz w:val="24"/>
          <w:highlight w:val="none"/>
        </w:rPr>
      </w:pPr>
      <w:r>
        <w:rPr>
          <w:rFonts w:hint="eastAsia" w:hAnsi="宋体" w:cs="宋体"/>
          <w:color w:val="auto"/>
          <w:sz w:val="24"/>
          <w:highlight w:val="none"/>
        </w:rPr>
        <w:t>传真：______________投标人代表姓名___________职务：_____________</w:t>
      </w:r>
    </w:p>
    <w:p>
      <w:pPr>
        <w:snapToGrid w:val="0"/>
        <w:spacing w:line="360" w:lineRule="auto"/>
        <w:rPr>
          <w:rFonts w:hAnsi="宋体" w:cs="宋体"/>
          <w:color w:val="auto"/>
          <w:sz w:val="24"/>
          <w:highlight w:val="none"/>
        </w:rPr>
      </w:pPr>
      <w:r>
        <w:rPr>
          <w:rFonts w:hint="eastAsia" w:hAnsi="宋体" w:cs="宋体"/>
          <w:color w:val="auto"/>
          <w:sz w:val="24"/>
          <w:highlight w:val="none"/>
        </w:rPr>
        <w:t>投标人名称(公章):___________________</w:t>
      </w:r>
    </w:p>
    <w:p>
      <w:pPr>
        <w:snapToGrid w:val="0"/>
        <w:spacing w:line="360" w:lineRule="auto"/>
        <w:rPr>
          <w:rFonts w:hAnsi="宋体" w:cs="宋体"/>
          <w:color w:val="auto"/>
          <w:sz w:val="24"/>
          <w:highlight w:val="none"/>
        </w:rPr>
      </w:pPr>
      <w:r>
        <w:rPr>
          <w:rFonts w:hint="eastAsia" w:hAnsi="宋体" w:cs="宋体"/>
          <w:color w:val="auto"/>
          <w:sz w:val="24"/>
          <w:highlight w:val="none"/>
        </w:rPr>
        <w:t>开户银行：___________________银行帐号：___________________</w:t>
      </w:r>
    </w:p>
    <w:p>
      <w:pPr>
        <w:snapToGrid w:val="0"/>
        <w:spacing w:line="360" w:lineRule="auto"/>
        <w:rPr>
          <w:rFonts w:hAnsi="宋体" w:cs="宋体"/>
          <w:color w:val="auto"/>
          <w:sz w:val="30"/>
          <w:highlight w:val="none"/>
        </w:rPr>
      </w:pPr>
      <w:r>
        <w:rPr>
          <w:rFonts w:hint="eastAsia" w:hAnsi="宋体" w:cs="宋体"/>
          <w:color w:val="auto"/>
          <w:sz w:val="24"/>
          <w:highlight w:val="none"/>
        </w:rPr>
        <w:t>法定代表人或授权代表签名:___________日期:_____年___月___日</w:t>
      </w:r>
    </w:p>
    <w:p>
      <w:pPr>
        <w:pStyle w:val="28"/>
        <w:snapToGrid w:val="0"/>
        <w:spacing w:before="295" w:after="295"/>
        <w:rPr>
          <w:rFonts w:ascii="宋体" w:hAnsi="宋体" w:cs="宋体"/>
          <w:color w:val="auto"/>
          <w:highlight w:val="none"/>
        </w:rPr>
      </w:pPr>
    </w:p>
    <w:p>
      <w:pPr>
        <w:pStyle w:val="28"/>
        <w:snapToGrid w:val="0"/>
        <w:spacing w:before="295" w:after="295"/>
        <w:rPr>
          <w:rFonts w:ascii="宋体" w:hAnsi="宋体" w:cs="宋体"/>
          <w:color w:val="auto"/>
          <w:highlight w:val="none"/>
        </w:rPr>
      </w:pPr>
    </w:p>
    <w:p>
      <w:pPr>
        <w:pStyle w:val="28"/>
        <w:snapToGrid w:val="0"/>
        <w:spacing w:before="295" w:after="295"/>
        <w:rPr>
          <w:rFonts w:hint="eastAsia" w:ascii="宋体" w:hAnsi="宋体" w:cs="宋体"/>
          <w:bCs/>
          <w:color w:val="auto"/>
          <w:sz w:val="24"/>
          <w:highlight w:val="none"/>
        </w:rPr>
      </w:pPr>
      <w:r>
        <w:rPr>
          <w:rFonts w:hint="eastAsia" w:ascii="宋体" w:hAnsi="宋体" w:cs="宋体"/>
          <w:bCs/>
          <w:color w:val="auto"/>
          <w:sz w:val="24"/>
          <w:highlight w:val="none"/>
        </w:rPr>
        <w:br w:type="page"/>
      </w:r>
    </w:p>
    <w:p>
      <w:pPr>
        <w:pStyle w:val="28"/>
        <w:snapToGrid w:val="0"/>
        <w:spacing w:before="295" w:after="295"/>
        <w:rPr>
          <w:rFonts w:hint="eastAsia" w:ascii="宋体" w:hAnsi="宋体" w:cs="宋体"/>
          <w:bCs/>
          <w:color w:val="auto"/>
          <w:sz w:val="24"/>
          <w:highlight w:val="none"/>
        </w:rPr>
      </w:pPr>
    </w:p>
    <w:p>
      <w:pPr>
        <w:pStyle w:val="28"/>
        <w:snapToGrid w:val="0"/>
        <w:spacing w:before="295" w:after="295"/>
        <w:rPr>
          <w:rFonts w:hint="eastAsia" w:ascii="宋体" w:hAnsi="宋体" w:eastAsia="宋体" w:cs="宋体"/>
          <w:b/>
          <w:bCs w:val="0"/>
          <w:color w:val="auto"/>
          <w:sz w:val="24"/>
          <w:highlight w:val="none"/>
          <w:lang w:eastAsia="zh-CN"/>
        </w:rPr>
      </w:pPr>
      <w:r>
        <w:rPr>
          <w:rFonts w:hint="eastAsia" w:ascii="宋体" w:hAnsi="宋体" w:cs="宋体"/>
          <w:b/>
          <w:bCs w:val="0"/>
          <w:color w:val="auto"/>
          <w:sz w:val="24"/>
          <w:highlight w:val="none"/>
        </w:rPr>
        <w:t>2.</w:t>
      </w:r>
      <w:r>
        <w:rPr>
          <w:rFonts w:hint="eastAsia" w:ascii="宋体" w:hAnsi="宋体" w:cs="宋体"/>
          <w:b/>
          <w:bCs w:val="0"/>
          <w:color w:val="auto"/>
          <w:sz w:val="24"/>
          <w:highlight w:val="none"/>
          <w:lang w:eastAsia="zh-CN"/>
        </w:rPr>
        <w:t>开标（报价）一览表</w:t>
      </w:r>
    </w:p>
    <w:p>
      <w:pPr>
        <w:snapToGrid w:val="0"/>
        <w:spacing w:before="50" w:after="50"/>
        <w:jc w:val="center"/>
        <w:rPr>
          <w:rFonts w:hint="eastAsia" w:hAnsi="宋体" w:eastAsia="宋体" w:cs="宋体"/>
          <w:bCs/>
          <w:color w:val="auto"/>
          <w:sz w:val="24"/>
          <w:szCs w:val="21"/>
          <w:highlight w:val="none"/>
          <w:lang w:eastAsia="zh-CN"/>
        </w:rPr>
      </w:pPr>
      <w:r>
        <w:rPr>
          <w:rFonts w:hint="eastAsia" w:hAnsi="宋体" w:cs="宋体"/>
          <w:bCs/>
          <w:color w:val="auto"/>
          <w:sz w:val="24"/>
          <w:szCs w:val="21"/>
          <w:highlight w:val="none"/>
          <w:lang w:eastAsia="zh-CN"/>
        </w:rPr>
        <w:t>开标（报价）一览表</w:t>
      </w:r>
    </w:p>
    <w:tbl>
      <w:tblPr>
        <w:tblStyle w:val="47"/>
        <w:tblW w:w="898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03"/>
        <w:gridCol w:w="2595"/>
        <w:gridCol w:w="2757"/>
        <w:gridCol w:w="20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1603" w:type="dxa"/>
            <w:vAlign w:val="center"/>
          </w:tcPr>
          <w:p>
            <w:pPr>
              <w:snapToGrid w:val="0"/>
              <w:spacing w:line="500" w:lineRule="exact"/>
              <w:jc w:val="center"/>
              <w:rPr>
                <w:rFonts w:hAnsi="宋体" w:cs="宋体"/>
                <w:color w:val="auto"/>
                <w:sz w:val="21"/>
                <w:szCs w:val="21"/>
                <w:highlight w:val="none"/>
              </w:rPr>
            </w:pPr>
            <w:r>
              <w:rPr>
                <w:rFonts w:hint="eastAsia" w:hAnsi="宋体" w:cs="宋体"/>
                <w:color w:val="auto"/>
                <w:sz w:val="21"/>
                <w:szCs w:val="21"/>
                <w:highlight w:val="none"/>
              </w:rPr>
              <w:t>项目编号</w:t>
            </w:r>
          </w:p>
        </w:tc>
        <w:tc>
          <w:tcPr>
            <w:tcW w:w="7382" w:type="dxa"/>
            <w:gridSpan w:val="3"/>
          </w:tcPr>
          <w:p>
            <w:pPr>
              <w:snapToGrid w:val="0"/>
              <w:spacing w:line="500" w:lineRule="exact"/>
              <w:jc w:val="center"/>
              <w:rPr>
                <w:rFonts w:hAnsi="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trPr>
        <w:tc>
          <w:tcPr>
            <w:tcW w:w="1603" w:type="dxa"/>
            <w:vAlign w:val="center"/>
          </w:tcPr>
          <w:p>
            <w:pPr>
              <w:snapToGrid w:val="0"/>
              <w:spacing w:line="500" w:lineRule="exact"/>
              <w:jc w:val="center"/>
              <w:rPr>
                <w:rFonts w:hAnsi="宋体" w:cs="宋体"/>
                <w:color w:val="auto"/>
                <w:sz w:val="21"/>
                <w:szCs w:val="21"/>
                <w:highlight w:val="none"/>
              </w:rPr>
            </w:pPr>
            <w:r>
              <w:rPr>
                <w:rFonts w:hint="eastAsia" w:hAnsi="宋体" w:cs="宋体"/>
                <w:color w:val="auto"/>
                <w:sz w:val="21"/>
                <w:szCs w:val="21"/>
                <w:highlight w:val="none"/>
              </w:rPr>
              <w:t>项目名称</w:t>
            </w:r>
          </w:p>
        </w:tc>
        <w:tc>
          <w:tcPr>
            <w:tcW w:w="7382" w:type="dxa"/>
            <w:gridSpan w:val="3"/>
          </w:tcPr>
          <w:p>
            <w:pPr>
              <w:snapToGrid w:val="0"/>
              <w:spacing w:line="500" w:lineRule="exact"/>
              <w:jc w:val="center"/>
              <w:rPr>
                <w:rFonts w:hAnsi="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603" w:type="dxa"/>
            <w:vAlign w:val="center"/>
          </w:tcPr>
          <w:p>
            <w:pPr>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序号</w:t>
            </w:r>
          </w:p>
        </w:tc>
        <w:tc>
          <w:tcPr>
            <w:tcW w:w="2595" w:type="dxa"/>
            <w:tcBorders>
              <w:bottom w:val="single" w:color="auto" w:sz="4" w:space="0"/>
              <w:right w:val="single" w:color="auto" w:sz="4" w:space="0"/>
            </w:tcBorders>
            <w:vAlign w:val="center"/>
          </w:tcPr>
          <w:p>
            <w:pPr>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采购内容</w:t>
            </w:r>
          </w:p>
        </w:tc>
        <w:tc>
          <w:tcPr>
            <w:tcW w:w="2757" w:type="dxa"/>
            <w:tcBorders>
              <w:left w:val="single" w:color="auto" w:sz="4" w:space="0"/>
              <w:bottom w:val="single" w:color="auto" w:sz="4" w:space="0"/>
              <w:right w:val="single" w:color="auto" w:sz="4" w:space="0"/>
            </w:tcBorders>
            <w:vAlign w:val="center"/>
          </w:tcPr>
          <w:p>
            <w:pPr>
              <w:autoSpaceDE/>
              <w:autoSpaceDN/>
              <w:snapToGrid w:val="0"/>
              <w:spacing w:line="460" w:lineRule="exact"/>
              <w:jc w:val="center"/>
              <w:textAlignment w:val="baseline"/>
              <w:rPr>
                <w:rFonts w:hAnsi="宋体" w:cs="宋体"/>
                <w:color w:val="auto"/>
                <w:sz w:val="21"/>
                <w:szCs w:val="21"/>
                <w:highlight w:val="none"/>
              </w:rPr>
            </w:pPr>
            <w:r>
              <w:rPr>
                <w:rFonts w:hint="eastAsia" w:hAnsi="宋体" w:cs="宋体"/>
                <w:color w:val="auto"/>
                <w:sz w:val="21"/>
                <w:szCs w:val="21"/>
                <w:highlight w:val="none"/>
              </w:rPr>
              <w:t>投标单价报价（人民币）</w:t>
            </w:r>
          </w:p>
        </w:tc>
        <w:tc>
          <w:tcPr>
            <w:tcW w:w="2030" w:type="dxa"/>
            <w:tcBorders>
              <w:left w:val="single" w:color="auto" w:sz="4" w:space="0"/>
              <w:bottom w:val="single" w:color="auto" w:sz="4" w:space="0"/>
            </w:tcBorders>
            <w:vAlign w:val="center"/>
          </w:tcPr>
          <w:p>
            <w:pPr>
              <w:autoSpaceDE/>
              <w:autoSpaceDN/>
              <w:snapToGrid w:val="0"/>
              <w:spacing w:line="460" w:lineRule="exact"/>
              <w:jc w:val="center"/>
              <w:textAlignment w:val="baseline"/>
              <w:rPr>
                <w:rFonts w:hAnsi="宋体" w:cs="宋体"/>
                <w:color w:val="auto"/>
                <w:sz w:val="21"/>
                <w:szCs w:val="21"/>
                <w:highlight w:val="none"/>
              </w:rPr>
            </w:pPr>
            <w:r>
              <w:rPr>
                <w:rFonts w:hint="eastAsia" w:hAnsi="宋体" w:cs="宋体"/>
                <w:color w:val="auto"/>
                <w:sz w:val="21"/>
                <w:szCs w:val="21"/>
                <w:highlight w:val="none"/>
              </w:rPr>
              <w:t>最高单价限价（人民币）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6" w:hRule="atLeast"/>
        </w:trPr>
        <w:tc>
          <w:tcPr>
            <w:tcW w:w="1603" w:type="dxa"/>
            <w:vAlign w:val="center"/>
          </w:tcPr>
          <w:p>
            <w:pPr>
              <w:snapToGrid w:val="0"/>
              <w:spacing w:line="460" w:lineRule="exact"/>
              <w:jc w:val="center"/>
              <w:rPr>
                <w:rFonts w:hAnsi="宋体" w:cs="宋体"/>
                <w:color w:val="auto"/>
                <w:sz w:val="21"/>
                <w:szCs w:val="21"/>
                <w:highlight w:val="none"/>
              </w:rPr>
            </w:pPr>
            <w:r>
              <w:rPr>
                <w:rFonts w:hint="eastAsia"/>
                <w:color w:val="auto"/>
                <w:sz w:val="21"/>
                <w:szCs w:val="21"/>
                <w:highlight w:val="none"/>
              </w:rPr>
              <w:t>1</w:t>
            </w:r>
          </w:p>
        </w:tc>
        <w:tc>
          <w:tcPr>
            <w:tcW w:w="2595" w:type="dxa"/>
            <w:tcBorders>
              <w:bottom w:val="single" w:color="auto" w:sz="4" w:space="0"/>
              <w:right w:val="single" w:color="auto" w:sz="4" w:space="0"/>
            </w:tcBorders>
            <w:vAlign w:val="center"/>
          </w:tcPr>
          <w:p>
            <w:pPr>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管网测绘</w:t>
            </w:r>
          </w:p>
        </w:tc>
        <w:tc>
          <w:tcPr>
            <w:tcW w:w="2757" w:type="dxa"/>
            <w:tcBorders>
              <w:left w:val="single" w:color="auto" w:sz="4" w:space="0"/>
              <w:bottom w:val="single" w:color="auto" w:sz="4" w:space="0"/>
              <w:right w:val="single" w:color="auto" w:sz="4" w:space="0"/>
            </w:tcBorders>
            <w:vAlign w:val="center"/>
          </w:tcPr>
          <w:p>
            <w:pPr>
              <w:snapToGrid w:val="0"/>
              <w:spacing w:line="460" w:lineRule="exact"/>
              <w:rPr>
                <w:rFonts w:hAnsi="宋体" w:cs="宋体"/>
                <w:color w:val="auto"/>
                <w:sz w:val="21"/>
                <w:szCs w:val="21"/>
                <w:highlight w:val="none"/>
              </w:rPr>
            </w:pPr>
            <w:r>
              <w:rPr>
                <w:rFonts w:hint="eastAsia" w:hAnsi="宋体" w:cs="宋体"/>
                <w:color w:val="auto"/>
                <w:sz w:val="21"/>
                <w:szCs w:val="21"/>
                <w:highlight w:val="none"/>
              </w:rPr>
              <w:t>小写：</w:t>
            </w:r>
            <w:r>
              <w:rPr>
                <w:rFonts w:hint="eastAsia" w:hAnsi="宋体" w:cs="宋体"/>
                <w:color w:val="auto"/>
                <w:sz w:val="21"/>
                <w:szCs w:val="21"/>
                <w:highlight w:val="none"/>
              </w:rPr>
              <w:br w:type="textWrapping"/>
            </w:r>
            <w:r>
              <w:rPr>
                <w:rFonts w:hint="eastAsia" w:hAnsi="宋体" w:cs="宋体"/>
                <w:color w:val="auto"/>
                <w:sz w:val="21"/>
                <w:szCs w:val="21"/>
                <w:highlight w:val="none"/>
              </w:rPr>
              <w:t>大写：</w:t>
            </w:r>
          </w:p>
        </w:tc>
        <w:tc>
          <w:tcPr>
            <w:tcW w:w="2030" w:type="dxa"/>
            <w:tcBorders>
              <w:left w:val="single" w:color="auto" w:sz="4" w:space="0"/>
              <w:bottom w:val="single" w:color="auto" w:sz="4" w:space="0"/>
            </w:tcBorders>
            <w:vAlign w:val="center"/>
          </w:tcPr>
          <w:p>
            <w:pPr>
              <w:snapToGrid w:val="0"/>
              <w:spacing w:line="460" w:lineRule="exact"/>
              <w:jc w:val="center"/>
              <w:rPr>
                <w:rFonts w:hint="eastAsia" w:hAnsi="宋体" w:eastAsia="宋体" w:cs="宋体"/>
                <w:color w:val="auto"/>
                <w:sz w:val="21"/>
                <w:szCs w:val="21"/>
                <w:highlight w:val="none"/>
                <w:lang w:eastAsia="zh-CN"/>
              </w:rPr>
            </w:pPr>
            <w:r>
              <w:rPr>
                <w:rFonts w:hint="eastAsia" w:hAnsi="宋体" w:cs="宋体"/>
                <w:color w:val="auto"/>
                <w:sz w:val="21"/>
                <w:szCs w:val="21"/>
                <w:highlight w:val="none"/>
                <w:lang w:eastAsia="zh-CN"/>
              </w:rPr>
              <w:t>3.50元/米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6" w:hRule="atLeast"/>
        </w:trPr>
        <w:tc>
          <w:tcPr>
            <w:tcW w:w="1603" w:type="dxa"/>
            <w:vAlign w:val="center"/>
          </w:tcPr>
          <w:p>
            <w:pPr>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2</w:t>
            </w:r>
          </w:p>
        </w:tc>
        <w:tc>
          <w:tcPr>
            <w:tcW w:w="2595" w:type="dxa"/>
            <w:tcBorders>
              <w:bottom w:val="single" w:color="auto" w:sz="4" w:space="0"/>
              <w:right w:val="single" w:color="auto" w:sz="4" w:space="0"/>
            </w:tcBorders>
            <w:vAlign w:val="center"/>
          </w:tcPr>
          <w:p>
            <w:pPr>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管道检测</w:t>
            </w:r>
          </w:p>
        </w:tc>
        <w:tc>
          <w:tcPr>
            <w:tcW w:w="2757" w:type="dxa"/>
            <w:tcBorders>
              <w:left w:val="single" w:color="auto" w:sz="4" w:space="0"/>
              <w:bottom w:val="single" w:color="auto" w:sz="4" w:space="0"/>
              <w:right w:val="single" w:color="auto" w:sz="4" w:space="0"/>
            </w:tcBorders>
            <w:vAlign w:val="center"/>
          </w:tcPr>
          <w:p>
            <w:pPr>
              <w:snapToGrid w:val="0"/>
              <w:spacing w:line="460" w:lineRule="exact"/>
              <w:rPr>
                <w:rFonts w:hAnsi="宋体" w:cs="宋体"/>
                <w:color w:val="auto"/>
                <w:sz w:val="21"/>
                <w:szCs w:val="21"/>
                <w:highlight w:val="none"/>
              </w:rPr>
            </w:pPr>
            <w:r>
              <w:rPr>
                <w:rFonts w:hint="eastAsia" w:hAnsi="宋体" w:cs="宋体"/>
                <w:color w:val="auto"/>
                <w:sz w:val="21"/>
                <w:szCs w:val="21"/>
                <w:highlight w:val="none"/>
              </w:rPr>
              <w:t>小写：</w:t>
            </w:r>
            <w:r>
              <w:rPr>
                <w:rFonts w:hint="eastAsia" w:hAnsi="宋体" w:cs="宋体"/>
                <w:color w:val="auto"/>
                <w:sz w:val="21"/>
                <w:szCs w:val="21"/>
                <w:highlight w:val="none"/>
              </w:rPr>
              <w:br w:type="textWrapping"/>
            </w:r>
            <w:r>
              <w:rPr>
                <w:rFonts w:hint="eastAsia" w:hAnsi="宋体" w:cs="宋体"/>
                <w:color w:val="auto"/>
                <w:sz w:val="21"/>
                <w:szCs w:val="21"/>
                <w:highlight w:val="none"/>
              </w:rPr>
              <w:t>大写：</w:t>
            </w:r>
          </w:p>
        </w:tc>
        <w:tc>
          <w:tcPr>
            <w:tcW w:w="2030" w:type="dxa"/>
            <w:tcBorders>
              <w:left w:val="single" w:color="auto" w:sz="4" w:space="0"/>
              <w:bottom w:val="single" w:color="auto" w:sz="4" w:space="0"/>
            </w:tcBorders>
            <w:vAlign w:val="center"/>
          </w:tcPr>
          <w:p>
            <w:pPr>
              <w:snapToGrid w:val="0"/>
              <w:spacing w:line="460" w:lineRule="exact"/>
              <w:jc w:val="center"/>
              <w:rPr>
                <w:rFonts w:hint="eastAsia" w:hAnsi="宋体" w:eastAsia="宋体" w:cs="宋体"/>
                <w:color w:val="auto"/>
                <w:sz w:val="21"/>
                <w:szCs w:val="21"/>
                <w:highlight w:val="none"/>
                <w:lang w:eastAsia="zh-CN"/>
              </w:rPr>
            </w:pPr>
            <w:r>
              <w:rPr>
                <w:rFonts w:hint="eastAsia" w:hAnsi="宋体" w:cs="宋体"/>
                <w:color w:val="auto"/>
                <w:sz w:val="21"/>
                <w:szCs w:val="21"/>
                <w:highlight w:val="none"/>
                <w:lang w:eastAsia="zh-CN"/>
              </w:rPr>
              <w:t>21.00元/米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7" w:hRule="atLeast"/>
        </w:trPr>
        <w:tc>
          <w:tcPr>
            <w:tcW w:w="1603" w:type="dxa"/>
            <w:vAlign w:val="center"/>
          </w:tcPr>
          <w:p>
            <w:pPr>
              <w:snapToGrid w:val="0"/>
              <w:spacing w:line="500" w:lineRule="exact"/>
              <w:jc w:val="center"/>
              <w:rPr>
                <w:rFonts w:hAnsi="宋体" w:cs="宋体"/>
                <w:color w:val="auto"/>
                <w:sz w:val="21"/>
                <w:szCs w:val="21"/>
                <w:highlight w:val="none"/>
              </w:rPr>
            </w:pPr>
            <w:r>
              <w:rPr>
                <w:rFonts w:hint="eastAsia" w:hAnsi="宋体" w:cs="宋体"/>
                <w:color w:val="auto"/>
                <w:sz w:val="21"/>
                <w:szCs w:val="21"/>
                <w:highlight w:val="none"/>
              </w:rPr>
              <w:t>报价说明</w:t>
            </w:r>
          </w:p>
        </w:tc>
        <w:tc>
          <w:tcPr>
            <w:tcW w:w="7382" w:type="dxa"/>
            <w:gridSpan w:val="3"/>
            <w:vAlign w:val="center"/>
          </w:tcPr>
          <w:p>
            <w:pPr>
              <w:widowControl/>
              <w:snapToGrid w:val="0"/>
              <w:spacing w:line="400" w:lineRule="exact"/>
              <w:jc w:val="both"/>
              <w:rPr>
                <w:rFonts w:hAnsi="宋体" w:cs="宋体"/>
                <w:color w:val="auto"/>
                <w:sz w:val="21"/>
                <w:szCs w:val="21"/>
                <w:highlight w:val="none"/>
                <w:u w:val="single"/>
              </w:rPr>
            </w:pPr>
            <w:r>
              <w:rPr>
                <w:rFonts w:hint="eastAsia" w:hAnsi="宋体" w:cs="宋体"/>
                <w:color w:val="auto"/>
                <w:sz w:val="21"/>
                <w:szCs w:val="21"/>
                <w:highlight w:val="none"/>
              </w:rPr>
              <w:t>本投标人已知悉并同意，投标人中标后应根据招标文件中约定的金额向本项目的政府采购代理机构计算支付采购代理服务费，为此，我方已根据财政部财库〔2018〕2号《政府采购代理机构管理暂行办法》的规定并按本次招标的报价要求，将应支付的采购代理服务费包含在上述的项目报价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7" w:hRule="atLeast"/>
        </w:trPr>
        <w:tc>
          <w:tcPr>
            <w:tcW w:w="1603" w:type="dxa"/>
            <w:vAlign w:val="center"/>
          </w:tcPr>
          <w:p>
            <w:pPr>
              <w:jc w:val="center"/>
              <w:rPr>
                <w:rFonts w:hAnsi="宋体" w:cs="宋体"/>
                <w:color w:val="auto"/>
                <w:sz w:val="21"/>
                <w:szCs w:val="21"/>
                <w:highlight w:val="none"/>
              </w:rPr>
            </w:pPr>
            <w:r>
              <w:rPr>
                <w:rFonts w:hint="eastAsia" w:hAnsi="宋体" w:cs="宋体"/>
                <w:color w:val="auto"/>
                <w:sz w:val="21"/>
                <w:szCs w:val="21"/>
                <w:highlight w:val="none"/>
              </w:rPr>
              <w:t>投标人关于是否符合政策性价格扣除的说明</w:t>
            </w:r>
          </w:p>
        </w:tc>
        <w:tc>
          <w:tcPr>
            <w:tcW w:w="7382" w:type="dxa"/>
            <w:gridSpan w:val="3"/>
            <w:vAlign w:val="center"/>
          </w:tcPr>
          <w:p>
            <w:pPr>
              <w:spacing w:line="46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依照《政府采购促进中小企业发展管理办法》、《财政部 民政部 中国残疾人联合会关于促进残疾人就业政府采购政策的通知》（财库〔2017〕141号）、《财政部、司法部关于政府采购支持监狱企业发展有关问题的通知》（财库〔2014〕68号）的规定，本投标人</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（投标人应根据实际在空格处填写“符合”或“不符合”，不填写的视同“不符合”）小微企业（或残疾人福利性单位、或监狱企业）的相关要求。</w:t>
            </w:r>
          </w:p>
          <w:p>
            <w:pPr>
              <w:spacing w:line="46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本投标人对投标文件所提供的全部资料的真实性承担法律责任，并将无条件接受采购代理机构、</w:t>
            </w:r>
            <w:r>
              <w:rPr>
                <w:rFonts w:hint="eastAsia" w:hAnsi="宋体" w:cs="宋体"/>
                <w:color w:val="auto"/>
                <w:sz w:val="21"/>
                <w:szCs w:val="21"/>
                <w:highlight w:val="none"/>
                <w:lang w:eastAsia="zh-CN"/>
              </w:rPr>
              <w:t>采购单位</w:t>
            </w:r>
            <w:r>
              <w:rPr>
                <w:rFonts w:hint="eastAsia" w:hAnsi="宋体" w:cs="宋体"/>
                <w:color w:val="auto"/>
                <w:sz w:val="21"/>
                <w:szCs w:val="21"/>
                <w:highlight w:val="none"/>
              </w:rPr>
              <w:t>及政府采购监督管理部门等对其中任何资料进行核实的要求。</w:t>
            </w:r>
          </w:p>
        </w:tc>
      </w:tr>
    </w:tbl>
    <w:p>
      <w:pPr>
        <w:snapToGrid w:val="0"/>
        <w:spacing w:before="50" w:after="50" w:line="460" w:lineRule="exact"/>
        <w:rPr>
          <w:rFonts w:hAnsi="宋体" w:cs="宋体"/>
          <w:b/>
          <w:color w:val="auto"/>
          <w:sz w:val="21"/>
          <w:szCs w:val="21"/>
          <w:highlight w:val="none"/>
        </w:rPr>
      </w:pPr>
      <w:r>
        <w:rPr>
          <w:rFonts w:hint="eastAsia" w:hAnsi="宋体" w:cs="宋体"/>
          <w:color w:val="auto"/>
          <w:sz w:val="21"/>
          <w:szCs w:val="21"/>
          <w:highlight w:val="none"/>
        </w:rPr>
        <w:t>注:1.报价一经涂改，应在涂改处加盖单位公章或者由法定代表人或授权委托人签字或盖章，否则其投标作无效标处理。</w:t>
      </w:r>
    </w:p>
    <w:p>
      <w:pPr>
        <w:snapToGrid w:val="0"/>
        <w:spacing w:before="50" w:after="50" w:line="460" w:lineRule="exact"/>
        <w:ind w:left="-99" w:leftChars="-29" w:right="-1323" w:rightChars="-389" w:firstLine="420" w:firstLineChars="200"/>
        <w:rPr>
          <w:rFonts w:hAnsi="宋体" w:cs="宋体"/>
          <w:color w:val="auto"/>
          <w:sz w:val="21"/>
          <w:szCs w:val="21"/>
          <w:highlight w:val="none"/>
        </w:rPr>
      </w:pPr>
      <w:r>
        <w:rPr>
          <w:rFonts w:hint="eastAsia" w:hAnsi="宋体" w:cs="宋体"/>
          <w:color w:val="auto"/>
          <w:sz w:val="21"/>
          <w:szCs w:val="21"/>
          <w:highlight w:val="none"/>
        </w:rPr>
        <w:t>法定代表人或授权代表（（签字或盖章）：</w:t>
      </w:r>
    </w:p>
    <w:p>
      <w:pPr>
        <w:snapToGrid w:val="0"/>
        <w:spacing w:before="50" w:after="50" w:line="460" w:lineRule="exact"/>
        <w:ind w:left="-99" w:leftChars="-29" w:right="-1323" w:rightChars="-389" w:firstLine="420" w:firstLineChars="200"/>
        <w:rPr>
          <w:rFonts w:hAnsi="宋体" w:cs="宋体"/>
          <w:color w:val="auto"/>
          <w:sz w:val="21"/>
          <w:szCs w:val="21"/>
          <w:highlight w:val="none"/>
        </w:rPr>
      </w:pPr>
      <w:r>
        <w:rPr>
          <w:rFonts w:hint="eastAsia" w:hAnsi="宋体" w:cs="宋体"/>
          <w:color w:val="auto"/>
          <w:sz w:val="21"/>
          <w:szCs w:val="21"/>
          <w:highlight w:val="none"/>
        </w:rPr>
        <w:t xml:space="preserve">投标人名称（盖章）：                                 </w:t>
      </w:r>
    </w:p>
    <w:p>
      <w:pPr>
        <w:snapToGrid w:val="0"/>
        <w:spacing w:before="50" w:after="50" w:line="460" w:lineRule="exact"/>
        <w:ind w:left="-99" w:leftChars="-29" w:right="-1323" w:rightChars="-389" w:firstLine="420" w:firstLineChars="200"/>
        <w:rPr>
          <w:rFonts w:hAnsi="宋体" w:cs="宋体"/>
          <w:color w:val="auto"/>
          <w:highlight w:val="none"/>
        </w:rPr>
      </w:pPr>
      <w:r>
        <w:rPr>
          <w:rFonts w:hint="eastAsia" w:hAnsi="宋体" w:cs="宋体"/>
          <w:color w:val="auto"/>
          <w:sz w:val="21"/>
          <w:szCs w:val="21"/>
          <w:highlight w:val="none"/>
        </w:rPr>
        <w:t xml:space="preserve"> 日期：   年   月    日</w:t>
      </w:r>
    </w:p>
    <w:p>
      <w:pPr>
        <w:rPr>
          <w:rFonts w:hAnsi="宋体" w:cs="宋体"/>
          <w:color w:val="auto"/>
          <w:highlight w:val="none"/>
        </w:rPr>
      </w:pPr>
      <w:r>
        <w:rPr>
          <w:rFonts w:hint="eastAsia" w:hAnsi="宋体" w:cs="宋体"/>
          <w:color w:val="auto"/>
          <w:highlight w:val="none"/>
        </w:rPr>
        <w:br w:type="page"/>
      </w:r>
    </w:p>
    <w:p>
      <w:pPr>
        <w:ind w:firstLine="723" w:firstLineChars="300"/>
        <w:rPr>
          <w:rFonts w:hAnsi="宋体" w:cs="宋体"/>
          <w:color w:val="auto"/>
          <w:sz w:val="24"/>
          <w:szCs w:val="24"/>
          <w:highlight w:val="none"/>
        </w:rPr>
      </w:pPr>
      <w:r>
        <w:rPr>
          <w:rFonts w:hint="eastAsia" w:hAnsi="宋体" w:cs="宋体"/>
          <w:b/>
          <w:color w:val="auto"/>
          <w:sz w:val="24"/>
          <w:highlight w:val="none"/>
        </w:rPr>
        <w:t>3.中小企业（或残疾人福利性单位、监狱企业）提供服务的资料</w:t>
      </w:r>
    </w:p>
    <w:p>
      <w:pPr>
        <w:spacing w:line="440" w:lineRule="exact"/>
        <w:ind w:left="1418"/>
        <w:rPr>
          <w:rFonts w:hAnsi="宋体" w:cs="宋体"/>
          <w:color w:val="auto"/>
          <w:sz w:val="21"/>
          <w:szCs w:val="21"/>
          <w:highlight w:val="none"/>
        </w:rPr>
      </w:pPr>
      <w:r>
        <w:rPr>
          <w:rFonts w:hint="eastAsia" w:hAnsi="宋体" w:cs="宋体"/>
          <w:color w:val="auto"/>
          <w:spacing w:val="-1"/>
          <w:sz w:val="21"/>
          <w:szCs w:val="21"/>
          <w:highlight w:val="none"/>
        </w:rPr>
        <w:t>（投标人应完整提供以下资料，否则评审时将不能享受相应的价格折扣）</w:t>
      </w:r>
    </w:p>
    <w:p>
      <w:pPr>
        <w:spacing w:line="440" w:lineRule="exact"/>
        <w:jc w:val="center"/>
        <w:rPr>
          <w:rFonts w:hAnsi="宋体" w:cs="宋体"/>
          <w:color w:val="auto"/>
          <w:sz w:val="24"/>
          <w:szCs w:val="24"/>
          <w:highlight w:val="none"/>
        </w:rPr>
      </w:pPr>
      <w:r>
        <w:rPr>
          <w:rFonts w:hint="eastAsia" w:hAnsi="宋体" w:cs="宋体"/>
          <w:color w:val="auto"/>
          <w:sz w:val="24"/>
          <w:szCs w:val="24"/>
          <w:highlight w:val="none"/>
        </w:rPr>
        <w:t>（1）中小企业声明函（工程、服务类）</w:t>
      </w:r>
    </w:p>
    <w:p>
      <w:pPr>
        <w:snapToGrid w:val="0"/>
        <w:spacing w:line="440" w:lineRule="exact"/>
        <w:ind w:firstLine="420" w:firstLineChars="200"/>
        <w:rPr>
          <w:rFonts w:hAnsi="宋体" w:cs="宋体"/>
          <w:color w:val="auto"/>
          <w:kern w:val="2"/>
          <w:sz w:val="21"/>
          <w:szCs w:val="21"/>
          <w:highlight w:val="none"/>
        </w:rPr>
      </w:pPr>
      <w:r>
        <w:rPr>
          <w:rFonts w:hint="eastAsia" w:hAnsi="宋体" w:cs="宋体"/>
          <w:color w:val="auto"/>
          <w:kern w:val="2"/>
          <w:sz w:val="21"/>
          <w:szCs w:val="21"/>
          <w:highlight w:val="none"/>
        </w:rPr>
        <w:t>本公司（联合体）郑重声明，根据《政府采购促进中小企业发展管理办法》（财库﹝2020﹞46 号）的规定，本公司（联合体）参加</w:t>
      </w:r>
      <w:r>
        <w:rPr>
          <w:rFonts w:hint="eastAsia" w:hAnsi="宋体" w:cs="宋体"/>
          <w:color w:val="auto"/>
          <w:kern w:val="2"/>
          <w:sz w:val="21"/>
          <w:szCs w:val="21"/>
          <w:highlight w:val="none"/>
          <w:u w:val="single"/>
        </w:rPr>
        <w:t xml:space="preserve">  （单位名称）  </w:t>
      </w:r>
      <w:r>
        <w:rPr>
          <w:rFonts w:hint="eastAsia" w:hAnsi="宋体" w:cs="宋体"/>
          <w:color w:val="auto"/>
          <w:kern w:val="2"/>
          <w:sz w:val="21"/>
          <w:szCs w:val="21"/>
          <w:highlight w:val="none"/>
        </w:rPr>
        <w:t>的</w:t>
      </w:r>
      <w:r>
        <w:rPr>
          <w:rFonts w:hint="eastAsia" w:hAnsi="宋体" w:cs="宋体"/>
          <w:color w:val="auto"/>
          <w:kern w:val="2"/>
          <w:sz w:val="21"/>
          <w:szCs w:val="21"/>
          <w:highlight w:val="none"/>
          <w:u w:val="single"/>
        </w:rPr>
        <w:t xml:space="preserve">  （项目名称）</w:t>
      </w:r>
      <w:r>
        <w:rPr>
          <w:rFonts w:hint="eastAsia" w:hAnsi="宋体" w:cs="宋体"/>
          <w:color w:val="auto"/>
          <w:kern w:val="2"/>
          <w:sz w:val="21"/>
          <w:szCs w:val="21"/>
          <w:highlight w:val="none"/>
        </w:rPr>
        <w:t xml:space="preserve">  采购活动，工程的施工单位全部为符合政策要求的中小企业（或者：服务全部由符合政策要求的中小企业承接）。相关企业（含联合体中的中小企业、签订分包意向协议的中小企业）的具体情况如下： </w:t>
      </w:r>
    </w:p>
    <w:p>
      <w:pPr>
        <w:snapToGrid w:val="0"/>
        <w:spacing w:line="440" w:lineRule="exact"/>
        <w:ind w:firstLine="422" w:firstLineChars="200"/>
        <w:rPr>
          <w:rFonts w:hAnsi="宋体" w:cs="宋体"/>
          <w:b/>
          <w:bCs/>
          <w:color w:val="auto"/>
          <w:kern w:val="2"/>
          <w:sz w:val="21"/>
          <w:szCs w:val="21"/>
          <w:highlight w:val="none"/>
        </w:rPr>
      </w:pPr>
      <w:r>
        <w:rPr>
          <w:rFonts w:hint="eastAsia" w:hAnsi="宋体" w:cs="宋体"/>
          <w:b/>
          <w:bCs/>
          <w:color w:val="auto"/>
          <w:kern w:val="2"/>
          <w:sz w:val="21"/>
          <w:szCs w:val="21"/>
          <w:highlight w:val="none"/>
        </w:rPr>
        <w:t>1.</w:t>
      </w:r>
      <w:r>
        <w:rPr>
          <w:rFonts w:hint="eastAsia" w:hAnsi="宋体" w:cs="宋体"/>
          <w:b/>
          <w:bCs/>
          <w:color w:val="auto"/>
          <w:kern w:val="2"/>
          <w:sz w:val="21"/>
          <w:szCs w:val="21"/>
          <w:highlight w:val="none"/>
          <w:u w:val="single"/>
        </w:rPr>
        <w:t xml:space="preserve">（标的名称） </w:t>
      </w:r>
      <w:r>
        <w:rPr>
          <w:rFonts w:hint="eastAsia" w:hAnsi="宋体" w:cs="宋体"/>
          <w:b/>
          <w:bCs/>
          <w:color w:val="auto"/>
          <w:kern w:val="2"/>
          <w:sz w:val="21"/>
          <w:szCs w:val="21"/>
          <w:highlight w:val="none"/>
        </w:rPr>
        <w:t>，属于</w:t>
      </w:r>
      <w:r>
        <w:rPr>
          <w:rFonts w:hint="eastAsia" w:hAnsi="宋体" w:cs="宋体"/>
          <w:b/>
          <w:bCs/>
          <w:color w:val="auto"/>
          <w:kern w:val="2"/>
          <w:sz w:val="21"/>
          <w:szCs w:val="21"/>
          <w:highlight w:val="none"/>
          <w:u w:val="single"/>
        </w:rPr>
        <w:t>（采购文件中明确的所属行业）</w:t>
      </w:r>
      <w:r>
        <w:rPr>
          <w:rFonts w:hint="eastAsia" w:hAnsi="宋体" w:cs="宋体"/>
          <w:b/>
          <w:bCs/>
          <w:color w:val="auto"/>
          <w:kern w:val="2"/>
          <w:sz w:val="21"/>
          <w:szCs w:val="21"/>
          <w:highlight w:val="none"/>
        </w:rPr>
        <w:t>； 承建（承接）企业为</w:t>
      </w:r>
      <w:r>
        <w:rPr>
          <w:rFonts w:hint="eastAsia" w:hAnsi="宋体" w:cs="宋体"/>
          <w:b/>
          <w:bCs/>
          <w:color w:val="auto"/>
          <w:kern w:val="2"/>
          <w:sz w:val="21"/>
          <w:szCs w:val="21"/>
          <w:highlight w:val="none"/>
          <w:u w:val="single"/>
        </w:rPr>
        <w:t>（企业名称）</w:t>
      </w:r>
      <w:r>
        <w:rPr>
          <w:rFonts w:hint="eastAsia" w:hAnsi="宋体" w:cs="宋体"/>
          <w:b/>
          <w:bCs/>
          <w:color w:val="auto"/>
          <w:kern w:val="2"/>
          <w:sz w:val="21"/>
          <w:szCs w:val="21"/>
          <w:highlight w:val="none"/>
        </w:rPr>
        <w:t>，从业人员</w:t>
      </w:r>
      <w:r>
        <w:rPr>
          <w:rFonts w:hint="eastAsia" w:hAnsi="宋体" w:cs="宋体"/>
          <w:b/>
          <w:bCs/>
          <w:color w:val="auto"/>
          <w:kern w:val="2"/>
          <w:sz w:val="21"/>
          <w:szCs w:val="21"/>
          <w:highlight w:val="none"/>
          <w:u w:val="single"/>
        </w:rPr>
        <w:t xml:space="preserve">   </w:t>
      </w:r>
      <w:r>
        <w:rPr>
          <w:rFonts w:hint="eastAsia" w:hAnsi="宋体" w:cs="宋体"/>
          <w:b/>
          <w:bCs/>
          <w:color w:val="auto"/>
          <w:kern w:val="2"/>
          <w:sz w:val="21"/>
          <w:szCs w:val="21"/>
          <w:highlight w:val="none"/>
        </w:rPr>
        <w:t>人，营业收入为</w:t>
      </w:r>
      <w:r>
        <w:rPr>
          <w:rFonts w:hint="eastAsia" w:hAnsi="宋体" w:cs="宋体"/>
          <w:b/>
          <w:bCs/>
          <w:color w:val="auto"/>
          <w:kern w:val="2"/>
          <w:sz w:val="21"/>
          <w:szCs w:val="21"/>
          <w:highlight w:val="none"/>
          <w:u w:val="single"/>
        </w:rPr>
        <w:t xml:space="preserve">    </w:t>
      </w:r>
      <w:r>
        <w:rPr>
          <w:rFonts w:hint="eastAsia" w:hAnsi="宋体" w:cs="宋体"/>
          <w:b/>
          <w:bCs/>
          <w:color w:val="auto"/>
          <w:kern w:val="2"/>
          <w:sz w:val="21"/>
          <w:szCs w:val="21"/>
          <w:highlight w:val="none"/>
        </w:rPr>
        <w:t>万元，资产总额为</w:t>
      </w:r>
      <w:r>
        <w:rPr>
          <w:rFonts w:hint="eastAsia" w:hAnsi="宋体" w:cs="宋体"/>
          <w:b/>
          <w:bCs/>
          <w:color w:val="auto"/>
          <w:kern w:val="2"/>
          <w:sz w:val="21"/>
          <w:szCs w:val="21"/>
          <w:highlight w:val="none"/>
          <w:u w:val="single"/>
        </w:rPr>
        <w:t xml:space="preserve">   </w:t>
      </w:r>
      <w:r>
        <w:rPr>
          <w:rFonts w:hint="eastAsia" w:hAnsi="宋体" w:cs="宋体"/>
          <w:b/>
          <w:bCs/>
          <w:color w:val="auto"/>
          <w:kern w:val="2"/>
          <w:sz w:val="21"/>
          <w:szCs w:val="21"/>
          <w:highlight w:val="none"/>
        </w:rPr>
        <w:t>万元，属于</w:t>
      </w:r>
      <w:r>
        <w:rPr>
          <w:rFonts w:hint="eastAsia" w:hAnsi="宋体" w:cs="宋体"/>
          <w:b/>
          <w:bCs/>
          <w:color w:val="auto"/>
          <w:kern w:val="2"/>
          <w:sz w:val="21"/>
          <w:szCs w:val="21"/>
          <w:highlight w:val="none"/>
          <w:u w:val="single"/>
        </w:rPr>
        <w:t>（中型企业、小型企业、微型企业）</w:t>
      </w:r>
      <w:r>
        <w:rPr>
          <w:rFonts w:hint="eastAsia" w:hAnsi="宋体" w:cs="宋体"/>
          <w:b/>
          <w:bCs/>
          <w:color w:val="auto"/>
          <w:kern w:val="2"/>
          <w:sz w:val="21"/>
          <w:szCs w:val="21"/>
          <w:highlight w:val="none"/>
        </w:rPr>
        <w:t xml:space="preserve">； </w:t>
      </w:r>
    </w:p>
    <w:p>
      <w:pPr>
        <w:snapToGrid w:val="0"/>
        <w:spacing w:line="440" w:lineRule="exact"/>
        <w:ind w:firstLine="422" w:firstLineChars="200"/>
        <w:rPr>
          <w:rFonts w:hAnsi="宋体" w:cs="宋体"/>
          <w:b/>
          <w:bCs/>
          <w:color w:val="auto"/>
          <w:kern w:val="2"/>
          <w:sz w:val="21"/>
          <w:szCs w:val="21"/>
          <w:highlight w:val="none"/>
        </w:rPr>
      </w:pPr>
      <w:r>
        <w:rPr>
          <w:rFonts w:hint="eastAsia" w:hAnsi="宋体" w:cs="宋体"/>
          <w:b/>
          <w:bCs/>
          <w:color w:val="auto"/>
          <w:kern w:val="2"/>
          <w:sz w:val="21"/>
          <w:szCs w:val="21"/>
          <w:highlight w:val="none"/>
        </w:rPr>
        <w:t>2.</w:t>
      </w:r>
      <w:r>
        <w:rPr>
          <w:rFonts w:hint="eastAsia" w:hAnsi="宋体" w:cs="宋体"/>
          <w:b/>
          <w:bCs/>
          <w:color w:val="auto"/>
          <w:kern w:val="2"/>
          <w:sz w:val="21"/>
          <w:szCs w:val="21"/>
          <w:highlight w:val="none"/>
          <w:u w:val="single"/>
        </w:rPr>
        <w:t xml:space="preserve">（标的名称） </w:t>
      </w:r>
      <w:r>
        <w:rPr>
          <w:rFonts w:hint="eastAsia" w:hAnsi="宋体" w:cs="宋体"/>
          <w:b/>
          <w:bCs/>
          <w:color w:val="auto"/>
          <w:kern w:val="2"/>
          <w:sz w:val="21"/>
          <w:szCs w:val="21"/>
          <w:highlight w:val="none"/>
        </w:rPr>
        <w:t>，属于</w:t>
      </w:r>
      <w:r>
        <w:rPr>
          <w:rFonts w:hint="eastAsia" w:hAnsi="宋体" w:cs="宋体"/>
          <w:b/>
          <w:bCs/>
          <w:color w:val="auto"/>
          <w:kern w:val="2"/>
          <w:sz w:val="21"/>
          <w:szCs w:val="21"/>
          <w:highlight w:val="none"/>
          <w:u w:val="single"/>
        </w:rPr>
        <w:t>（采购文件中明确的所属行业）</w:t>
      </w:r>
      <w:r>
        <w:rPr>
          <w:rFonts w:hint="eastAsia" w:hAnsi="宋体" w:cs="宋体"/>
          <w:b/>
          <w:bCs/>
          <w:color w:val="auto"/>
          <w:kern w:val="2"/>
          <w:sz w:val="21"/>
          <w:szCs w:val="21"/>
          <w:highlight w:val="none"/>
        </w:rPr>
        <w:t>； 承建（承接）企业为</w:t>
      </w:r>
      <w:r>
        <w:rPr>
          <w:rFonts w:hint="eastAsia" w:hAnsi="宋体" w:cs="宋体"/>
          <w:b/>
          <w:bCs/>
          <w:color w:val="auto"/>
          <w:kern w:val="2"/>
          <w:sz w:val="21"/>
          <w:szCs w:val="21"/>
          <w:highlight w:val="none"/>
          <w:u w:val="single"/>
        </w:rPr>
        <w:t>（企业名称）</w:t>
      </w:r>
      <w:r>
        <w:rPr>
          <w:rFonts w:hint="eastAsia" w:hAnsi="宋体" w:cs="宋体"/>
          <w:b/>
          <w:bCs/>
          <w:color w:val="auto"/>
          <w:kern w:val="2"/>
          <w:sz w:val="21"/>
          <w:szCs w:val="21"/>
          <w:highlight w:val="none"/>
        </w:rPr>
        <w:t>，从业人员</w:t>
      </w:r>
      <w:r>
        <w:rPr>
          <w:rFonts w:hint="eastAsia" w:hAnsi="宋体" w:cs="宋体"/>
          <w:b/>
          <w:bCs/>
          <w:color w:val="auto"/>
          <w:kern w:val="2"/>
          <w:sz w:val="21"/>
          <w:szCs w:val="21"/>
          <w:highlight w:val="none"/>
          <w:u w:val="single"/>
        </w:rPr>
        <w:t xml:space="preserve">   </w:t>
      </w:r>
      <w:r>
        <w:rPr>
          <w:rFonts w:hint="eastAsia" w:hAnsi="宋体" w:cs="宋体"/>
          <w:b/>
          <w:bCs/>
          <w:color w:val="auto"/>
          <w:kern w:val="2"/>
          <w:sz w:val="21"/>
          <w:szCs w:val="21"/>
          <w:highlight w:val="none"/>
        </w:rPr>
        <w:t>人，营业收入为</w:t>
      </w:r>
      <w:r>
        <w:rPr>
          <w:rFonts w:hint="eastAsia" w:hAnsi="宋体" w:cs="宋体"/>
          <w:b/>
          <w:bCs/>
          <w:color w:val="auto"/>
          <w:kern w:val="2"/>
          <w:sz w:val="21"/>
          <w:szCs w:val="21"/>
          <w:highlight w:val="none"/>
          <w:u w:val="single"/>
        </w:rPr>
        <w:t xml:space="preserve">    </w:t>
      </w:r>
      <w:r>
        <w:rPr>
          <w:rFonts w:hint="eastAsia" w:hAnsi="宋体" w:cs="宋体"/>
          <w:b/>
          <w:bCs/>
          <w:color w:val="auto"/>
          <w:kern w:val="2"/>
          <w:sz w:val="21"/>
          <w:szCs w:val="21"/>
          <w:highlight w:val="none"/>
        </w:rPr>
        <w:t>万元，资产总额为</w:t>
      </w:r>
      <w:r>
        <w:rPr>
          <w:rFonts w:hint="eastAsia" w:hAnsi="宋体" w:cs="宋体"/>
          <w:b/>
          <w:bCs/>
          <w:color w:val="auto"/>
          <w:kern w:val="2"/>
          <w:sz w:val="21"/>
          <w:szCs w:val="21"/>
          <w:highlight w:val="none"/>
          <w:u w:val="single"/>
        </w:rPr>
        <w:t xml:space="preserve">   </w:t>
      </w:r>
      <w:r>
        <w:rPr>
          <w:rFonts w:hint="eastAsia" w:hAnsi="宋体" w:cs="宋体"/>
          <w:b/>
          <w:bCs/>
          <w:color w:val="auto"/>
          <w:kern w:val="2"/>
          <w:sz w:val="21"/>
          <w:szCs w:val="21"/>
          <w:highlight w:val="none"/>
        </w:rPr>
        <w:t>万元，属于</w:t>
      </w:r>
      <w:r>
        <w:rPr>
          <w:rFonts w:hint="eastAsia" w:hAnsi="宋体" w:cs="宋体"/>
          <w:b/>
          <w:bCs/>
          <w:color w:val="auto"/>
          <w:kern w:val="2"/>
          <w:sz w:val="21"/>
          <w:szCs w:val="21"/>
          <w:highlight w:val="none"/>
          <w:u w:val="single"/>
        </w:rPr>
        <w:t>（中型企业、小型企业、微型企业）</w:t>
      </w:r>
      <w:r>
        <w:rPr>
          <w:rFonts w:hint="eastAsia" w:hAnsi="宋体" w:cs="宋体"/>
          <w:b/>
          <w:bCs/>
          <w:color w:val="auto"/>
          <w:kern w:val="2"/>
          <w:sz w:val="21"/>
          <w:szCs w:val="21"/>
          <w:highlight w:val="none"/>
        </w:rPr>
        <w:t xml:space="preserve">； </w:t>
      </w:r>
    </w:p>
    <w:p>
      <w:pPr>
        <w:snapToGrid w:val="0"/>
        <w:spacing w:line="440" w:lineRule="exact"/>
        <w:ind w:firstLine="630" w:firstLineChars="300"/>
        <w:rPr>
          <w:rFonts w:hAnsi="宋体" w:cs="宋体"/>
          <w:color w:val="auto"/>
          <w:kern w:val="2"/>
          <w:sz w:val="21"/>
          <w:szCs w:val="21"/>
          <w:highlight w:val="none"/>
        </w:rPr>
      </w:pPr>
      <w:r>
        <w:rPr>
          <w:rFonts w:hint="eastAsia" w:hAnsi="宋体" w:cs="宋体"/>
          <w:color w:val="auto"/>
          <w:kern w:val="2"/>
          <w:sz w:val="21"/>
          <w:szCs w:val="21"/>
          <w:highlight w:val="none"/>
        </w:rPr>
        <w:t xml:space="preserve">…… </w:t>
      </w:r>
    </w:p>
    <w:p>
      <w:pPr>
        <w:snapToGrid w:val="0"/>
        <w:spacing w:line="440" w:lineRule="exact"/>
        <w:ind w:firstLine="420" w:firstLineChars="200"/>
        <w:rPr>
          <w:rFonts w:hAnsi="宋体" w:cs="宋体"/>
          <w:color w:val="auto"/>
          <w:kern w:val="2"/>
          <w:sz w:val="21"/>
          <w:szCs w:val="21"/>
          <w:highlight w:val="none"/>
        </w:rPr>
      </w:pPr>
      <w:r>
        <w:rPr>
          <w:rFonts w:hint="eastAsia" w:hAnsi="宋体" w:cs="宋体"/>
          <w:color w:val="auto"/>
          <w:kern w:val="2"/>
          <w:sz w:val="21"/>
          <w:szCs w:val="21"/>
          <w:highlight w:val="none"/>
        </w:rPr>
        <w:t xml:space="preserve">以上企业，不属于大企业的分支机构，不存在控股股东为大企业的情形，也不存在与大企业的负责人为同一人的情形。 </w:t>
      </w:r>
    </w:p>
    <w:p>
      <w:pPr>
        <w:snapToGrid w:val="0"/>
        <w:spacing w:line="440" w:lineRule="exact"/>
        <w:ind w:firstLine="420" w:firstLineChars="200"/>
        <w:rPr>
          <w:rFonts w:hAnsi="宋体" w:cs="宋体"/>
          <w:color w:val="auto"/>
          <w:kern w:val="2"/>
          <w:sz w:val="21"/>
          <w:szCs w:val="21"/>
          <w:highlight w:val="none"/>
        </w:rPr>
      </w:pPr>
      <w:r>
        <w:rPr>
          <w:rFonts w:hint="eastAsia" w:hAnsi="宋体" w:cs="宋体"/>
          <w:color w:val="auto"/>
          <w:kern w:val="2"/>
          <w:sz w:val="21"/>
          <w:szCs w:val="21"/>
          <w:highlight w:val="none"/>
        </w:rPr>
        <w:t xml:space="preserve">本企业对上述声明内容的真实性负责。如有虚假，将依法承担相应责任。 </w:t>
      </w:r>
    </w:p>
    <w:p>
      <w:pPr>
        <w:snapToGrid w:val="0"/>
        <w:spacing w:line="440" w:lineRule="exact"/>
        <w:ind w:firstLine="210" w:firstLineChars="100"/>
        <w:rPr>
          <w:rFonts w:hAnsi="宋体" w:cs="宋体"/>
          <w:color w:val="auto"/>
          <w:kern w:val="2"/>
          <w:sz w:val="21"/>
          <w:szCs w:val="21"/>
          <w:highlight w:val="none"/>
        </w:rPr>
      </w:pPr>
      <w:r>
        <w:rPr>
          <w:rFonts w:hint="eastAsia" w:hAnsi="宋体" w:cs="宋体"/>
          <w:color w:val="auto"/>
          <w:kern w:val="2"/>
          <w:sz w:val="21"/>
          <w:szCs w:val="21"/>
          <w:highlight w:val="none"/>
        </w:rPr>
        <w:t xml:space="preserve">企业名称（盖章）： </w:t>
      </w:r>
    </w:p>
    <w:p>
      <w:pPr>
        <w:snapToGrid w:val="0"/>
        <w:spacing w:line="440" w:lineRule="exact"/>
        <w:ind w:firstLine="210" w:firstLineChars="100"/>
        <w:rPr>
          <w:rFonts w:hAnsi="宋体" w:cs="宋体"/>
          <w:color w:val="auto"/>
          <w:kern w:val="2"/>
          <w:sz w:val="21"/>
          <w:szCs w:val="21"/>
          <w:highlight w:val="none"/>
        </w:rPr>
      </w:pPr>
      <w:r>
        <w:rPr>
          <w:rFonts w:hint="eastAsia" w:hAnsi="宋体" w:cs="宋体"/>
          <w:color w:val="auto"/>
          <w:kern w:val="2"/>
          <w:sz w:val="21"/>
          <w:szCs w:val="21"/>
          <w:highlight w:val="none"/>
        </w:rPr>
        <w:t xml:space="preserve">日 期： </w:t>
      </w:r>
    </w:p>
    <w:p>
      <w:pPr>
        <w:snapToGrid w:val="0"/>
        <w:spacing w:line="440" w:lineRule="exact"/>
        <w:rPr>
          <w:rFonts w:hAnsi="宋体" w:cs="宋体"/>
          <w:color w:val="auto"/>
          <w:kern w:val="2"/>
          <w:sz w:val="21"/>
          <w:szCs w:val="21"/>
          <w:highlight w:val="none"/>
        </w:rPr>
      </w:pPr>
      <w:r>
        <w:rPr>
          <w:rFonts w:hint="eastAsia" w:hAnsi="宋体" w:cs="宋体"/>
          <w:b/>
          <w:color w:val="auto"/>
          <w:kern w:val="2"/>
          <w:sz w:val="21"/>
          <w:szCs w:val="21"/>
          <w:highlight w:val="none"/>
        </w:rPr>
        <w:t>填报说明：</w:t>
      </w:r>
      <w:r>
        <w:rPr>
          <w:rFonts w:hint="eastAsia" w:hAnsi="宋体" w:cs="宋体"/>
          <w:color w:val="auto"/>
          <w:kern w:val="2"/>
          <w:sz w:val="21"/>
          <w:szCs w:val="21"/>
          <w:highlight w:val="none"/>
        </w:rPr>
        <w:t>①本声明函中“从业人员”、“营业收入”、“资产总额”填报上一年度数据，无上一年度数据的新成立企业可不填报。</w:t>
      </w:r>
    </w:p>
    <w:p>
      <w:pPr>
        <w:autoSpaceDE/>
        <w:autoSpaceDN/>
        <w:adjustRightInd/>
        <w:spacing w:line="44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rPr>
        <w:t>②本项目采购标的对应的中小企业划分标准所属行业为《中小企业划型标准规定》（工信部联企业〔2011〕300号）中的“</w:t>
      </w:r>
      <w:r>
        <w:rPr>
          <w:rFonts w:hint="eastAsia" w:hAnsi="宋体" w:cs="宋体"/>
          <w:color w:val="auto"/>
          <w:sz w:val="21"/>
          <w:szCs w:val="21"/>
          <w:highlight w:val="none"/>
        </w:rPr>
        <w:t>其他未列明行业--科学研究和技术服务业</w:t>
      </w:r>
      <w:r>
        <w:rPr>
          <w:rFonts w:hint="eastAsia" w:hAnsi="宋体" w:cs="宋体"/>
          <w:color w:val="auto"/>
          <w:kern w:val="2"/>
          <w:sz w:val="21"/>
          <w:szCs w:val="21"/>
          <w:highlight w:val="none"/>
        </w:rPr>
        <w:t>”，划型标准为：</w:t>
      </w:r>
      <w:r>
        <w:rPr>
          <w:rFonts w:hint="eastAsia" w:hAnsi="宋体" w:cs="宋体"/>
          <w:color w:val="auto"/>
          <w:sz w:val="21"/>
          <w:szCs w:val="21"/>
          <w:highlight w:val="none"/>
        </w:rPr>
        <w:t>从业人员300人以下的为中小微型企业。其中，从业人员100人及以上的为中型企业；从业人员10人及以上的为小型企业；从业人员10人以下的为微型企业。</w:t>
      </w:r>
    </w:p>
    <w:p>
      <w:pPr>
        <w:autoSpaceDE/>
        <w:autoSpaceDN/>
        <w:adjustRightInd/>
        <w:spacing w:line="44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rPr>
        <w:t>③符合中小企业划分标准的个体工商户、其他组织机构，在本项目采购活动中视同中小企业；</w:t>
      </w:r>
    </w:p>
    <w:p>
      <w:pPr>
        <w:spacing w:line="440" w:lineRule="exact"/>
        <w:ind w:firstLine="420" w:firstLineChars="200"/>
        <w:rPr>
          <w:rFonts w:hAnsi="宋体" w:cs="宋体"/>
          <w:color w:val="auto"/>
          <w:highlight w:val="none"/>
        </w:rPr>
      </w:pPr>
      <w:r>
        <w:rPr>
          <w:rFonts w:hint="eastAsia" w:hAnsi="宋体" w:cs="宋体"/>
          <w:color w:val="auto"/>
          <w:kern w:val="2"/>
          <w:sz w:val="21"/>
          <w:szCs w:val="21"/>
          <w:highlight w:val="none"/>
        </w:rPr>
        <w:t>④投标人应当按照《政府采购促进中小企业发展管理办法》规定和《中小企业划型标准规定》（工信部联企业〔2011〕300号），如实填写并提交《中小企业声明函》，对其声明内容的真实性负责，声明函内容不实的，属于提供虚假材料谋取中标、成交，将依照《中华人民共和国政府采购法》等国家有关规定追究相应责任</w:t>
      </w:r>
      <w:r>
        <w:rPr>
          <w:rFonts w:hint="eastAsia" w:hAnsi="宋体" w:cs="宋体"/>
          <w:color w:val="auto"/>
          <w:spacing w:val="-1"/>
          <w:sz w:val="20"/>
          <w:highlight w:val="none"/>
        </w:rPr>
        <w:t>。</w:t>
      </w:r>
    </w:p>
    <w:p>
      <w:pPr>
        <w:spacing w:line="458" w:lineRule="exact"/>
        <w:jc w:val="center"/>
        <w:rPr>
          <w:rFonts w:hAnsi="宋体" w:cs="宋体"/>
          <w:color w:val="auto"/>
          <w:sz w:val="21"/>
          <w:szCs w:val="21"/>
          <w:highlight w:val="none"/>
        </w:rPr>
      </w:pPr>
    </w:p>
    <w:p>
      <w:pPr>
        <w:spacing w:line="352" w:lineRule="exact"/>
        <w:jc w:val="center"/>
        <w:rPr>
          <w:rFonts w:hAnsi="宋体" w:cs="宋体"/>
          <w:color w:val="auto"/>
          <w:sz w:val="21"/>
          <w:szCs w:val="21"/>
          <w:highlight w:val="none"/>
        </w:rPr>
      </w:pPr>
    </w:p>
    <w:p>
      <w:pPr>
        <w:spacing w:line="352" w:lineRule="exact"/>
        <w:jc w:val="center"/>
        <w:rPr>
          <w:rFonts w:hAnsi="宋体" w:cs="宋体"/>
          <w:color w:val="auto"/>
          <w:sz w:val="21"/>
          <w:szCs w:val="21"/>
          <w:highlight w:val="none"/>
        </w:rPr>
      </w:pPr>
    </w:p>
    <w:p>
      <w:pPr>
        <w:spacing w:line="352" w:lineRule="exact"/>
        <w:jc w:val="center"/>
        <w:rPr>
          <w:rFonts w:hAnsi="宋体" w:cs="宋体"/>
          <w:color w:val="auto"/>
          <w:sz w:val="21"/>
          <w:szCs w:val="21"/>
          <w:highlight w:val="none"/>
        </w:rPr>
      </w:pPr>
      <w:r>
        <w:rPr>
          <w:rFonts w:hint="eastAsia" w:hAnsi="宋体" w:cs="宋体"/>
          <w:color w:val="auto"/>
          <w:sz w:val="21"/>
          <w:szCs w:val="21"/>
          <w:highlight w:val="none"/>
        </w:rPr>
        <w:t>（2）残疾人福利性单位声明函</w:t>
      </w:r>
    </w:p>
    <w:p>
      <w:pPr>
        <w:pStyle w:val="80"/>
        <w:spacing w:beforeLines="100" w:line="500" w:lineRule="exact"/>
        <w:ind w:firstLine="601"/>
        <w:rPr>
          <w:rFonts w:hint="default" w:ascii="宋体" w:hAnsi="宋体" w:eastAsia="宋体" w:cs="宋体"/>
          <w:color w:val="auto"/>
          <w:kern w:val="2"/>
          <w:szCs w:val="21"/>
          <w:highlight w:val="none"/>
        </w:rPr>
      </w:pPr>
      <w:r>
        <w:rPr>
          <w:rFonts w:ascii="宋体" w:hAnsi="宋体" w:eastAsia="宋体" w:cs="宋体"/>
          <w:color w:val="auto"/>
          <w:kern w:val="2"/>
          <w:szCs w:val="21"/>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80"/>
        <w:spacing w:line="500" w:lineRule="exact"/>
        <w:ind w:firstLine="600"/>
        <w:rPr>
          <w:rFonts w:hint="default" w:ascii="宋体" w:hAnsi="宋体" w:eastAsia="宋体" w:cs="宋体"/>
          <w:color w:val="auto"/>
          <w:kern w:val="2"/>
          <w:szCs w:val="21"/>
          <w:highlight w:val="none"/>
        </w:rPr>
      </w:pPr>
      <w:r>
        <w:rPr>
          <w:rFonts w:ascii="宋体" w:hAnsi="宋体" w:eastAsia="宋体" w:cs="宋体"/>
          <w:color w:val="auto"/>
          <w:kern w:val="2"/>
          <w:szCs w:val="21"/>
          <w:highlight w:val="none"/>
        </w:rPr>
        <w:t>本单位对上述声明的真实性负责。如有虚假，将依法承担相应责任。</w:t>
      </w:r>
    </w:p>
    <w:p>
      <w:pPr>
        <w:pStyle w:val="80"/>
        <w:spacing w:line="500" w:lineRule="exact"/>
        <w:rPr>
          <w:rFonts w:hint="default" w:ascii="宋体" w:hAnsi="宋体" w:eastAsia="宋体" w:cs="宋体"/>
          <w:color w:val="auto"/>
          <w:spacing w:val="6"/>
          <w:szCs w:val="21"/>
          <w:highlight w:val="none"/>
        </w:rPr>
      </w:pPr>
    </w:p>
    <w:p>
      <w:pPr>
        <w:pStyle w:val="80"/>
        <w:spacing w:line="500" w:lineRule="exact"/>
        <w:ind w:right="1560" w:firstLine="600"/>
        <w:jc w:val="center"/>
        <w:rPr>
          <w:rFonts w:hint="default" w:ascii="宋体" w:hAnsi="宋体" w:eastAsia="宋体" w:cs="宋体"/>
          <w:color w:val="auto"/>
          <w:kern w:val="2"/>
          <w:szCs w:val="21"/>
          <w:highlight w:val="none"/>
        </w:rPr>
      </w:pPr>
      <w:r>
        <w:rPr>
          <w:rFonts w:ascii="宋体" w:hAnsi="宋体" w:eastAsia="宋体" w:cs="宋体"/>
          <w:color w:val="auto"/>
          <w:kern w:val="2"/>
          <w:szCs w:val="21"/>
          <w:highlight w:val="none"/>
        </w:rPr>
        <w:t>单位名称（盖章）：</w:t>
      </w:r>
    </w:p>
    <w:p>
      <w:pPr>
        <w:pStyle w:val="80"/>
        <w:spacing w:line="500" w:lineRule="exact"/>
        <w:ind w:right="1560" w:firstLine="600"/>
        <w:jc w:val="center"/>
        <w:rPr>
          <w:rFonts w:hint="default" w:ascii="宋体" w:hAnsi="宋体" w:eastAsia="宋体" w:cs="宋体"/>
          <w:color w:val="auto"/>
          <w:kern w:val="2"/>
          <w:szCs w:val="21"/>
          <w:highlight w:val="none"/>
          <w:lang w:eastAsia="zh-CN"/>
        </w:rPr>
      </w:pPr>
      <w:r>
        <w:rPr>
          <w:rFonts w:ascii="宋体" w:hAnsi="宋体" w:eastAsia="宋体" w:cs="宋体"/>
          <w:color w:val="auto"/>
          <w:kern w:val="2"/>
          <w:szCs w:val="21"/>
          <w:highlight w:val="none"/>
        </w:rPr>
        <w:t xml:space="preserve">       日  期：</w:t>
      </w:r>
    </w:p>
    <w:p>
      <w:pPr>
        <w:snapToGrid w:val="0"/>
        <w:spacing w:line="500" w:lineRule="exact"/>
        <w:jc w:val="center"/>
        <w:rPr>
          <w:rFonts w:hAnsi="宋体" w:cs="宋体"/>
          <w:color w:val="auto"/>
          <w:sz w:val="21"/>
          <w:szCs w:val="21"/>
          <w:highlight w:val="none"/>
        </w:rPr>
      </w:pPr>
    </w:p>
    <w:p>
      <w:pPr>
        <w:snapToGrid w:val="0"/>
        <w:spacing w:line="500" w:lineRule="exact"/>
        <w:jc w:val="center"/>
        <w:rPr>
          <w:rFonts w:hAnsi="宋体" w:cs="宋体"/>
          <w:color w:val="auto"/>
          <w:sz w:val="21"/>
          <w:szCs w:val="21"/>
          <w:highlight w:val="none"/>
        </w:rPr>
      </w:pPr>
    </w:p>
    <w:p>
      <w:pPr>
        <w:snapToGrid w:val="0"/>
        <w:spacing w:line="500" w:lineRule="exact"/>
        <w:jc w:val="center"/>
        <w:rPr>
          <w:rFonts w:hAnsi="宋体" w:cs="宋体"/>
          <w:color w:val="auto"/>
          <w:sz w:val="21"/>
          <w:szCs w:val="21"/>
          <w:highlight w:val="none"/>
        </w:rPr>
      </w:pPr>
      <w:r>
        <w:rPr>
          <w:rFonts w:hint="eastAsia" w:hAnsi="宋体" w:cs="宋体"/>
          <w:color w:val="auto"/>
          <w:sz w:val="21"/>
          <w:szCs w:val="21"/>
          <w:highlight w:val="none"/>
        </w:rPr>
        <w:t>（3）监狱企业证明文件</w:t>
      </w:r>
    </w:p>
    <w:p>
      <w:pPr>
        <w:widowControl/>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监狱企业参加政府采购活动时，应当提供由省级以上监狱管理局、戒毒管理局（含新疆生产建设兵团）出具的属于监狱企业的证明文件。</w:t>
      </w:r>
    </w:p>
    <w:bookmarkEnd w:id="44"/>
    <w:p>
      <w:pPr>
        <w:spacing w:line="458" w:lineRule="exact"/>
        <w:rPr>
          <w:rFonts w:hAnsi="宋体" w:cs="宋体"/>
          <w:color w:val="auto"/>
          <w:sz w:val="21"/>
          <w:szCs w:val="21"/>
          <w:highlight w:val="none"/>
        </w:rPr>
      </w:pPr>
    </w:p>
    <w:p>
      <w:pPr>
        <w:rPr>
          <w:rFonts w:hAnsi="宋体" w:cs="宋体"/>
          <w:color w:val="auto"/>
          <w:sz w:val="21"/>
          <w:szCs w:val="21"/>
          <w:highlight w:val="none"/>
        </w:rPr>
      </w:pPr>
      <w:r>
        <w:rPr>
          <w:rFonts w:hint="eastAsia" w:hAnsi="宋体" w:cs="宋体"/>
          <w:color w:val="auto"/>
          <w:sz w:val="21"/>
          <w:szCs w:val="21"/>
          <w:highlight w:val="none"/>
        </w:rPr>
        <w:br w:type="page"/>
      </w:r>
    </w:p>
    <w:p>
      <w:pPr>
        <w:jc w:val="both"/>
        <w:rPr>
          <w:rFonts w:hAnsi="宋体" w:cs="宋体"/>
          <w:color w:val="auto"/>
          <w:sz w:val="21"/>
          <w:szCs w:val="21"/>
          <w:highlight w:val="none"/>
        </w:rPr>
      </w:pPr>
      <w:r>
        <w:rPr>
          <w:rFonts w:hint="eastAsia" w:hAnsi="宋体" w:cs="宋体"/>
          <w:color w:val="auto"/>
          <w:sz w:val="21"/>
          <w:szCs w:val="21"/>
          <w:highlight w:val="none"/>
        </w:rPr>
        <w:t>附件：金华市市区二环内市政道路雨水管网清单，本清单中的数量</w:t>
      </w:r>
      <w:r>
        <w:rPr>
          <w:rFonts w:hint="eastAsia" w:hAnsi="宋体" w:cs="宋体"/>
          <w:color w:val="auto"/>
          <w:sz w:val="21"/>
          <w:szCs w:val="21"/>
          <w:highlight w:val="none"/>
          <w:lang w:eastAsia="zh-CN"/>
        </w:rPr>
        <w:t>为概率数，</w:t>
      </w:r>
      <w:r>
        <w:rPr>
          <w:rFonts w:hint="eastAsia" w:hAnsi="宋体" w:cs="宋体"/>
          <w:color w:val="auto"/>
          <w:sz w:val="21"/>
          <w:szCs w:val="21"/>
          <w:highlight w:val="none"/>
        </w:rPr>
        <w:t>仅供参考，最终结算以实际完成量进行结算</w:t>
      </w:r>
      <w:r>
        <w:rPr>
          <w:rFonts w:hint="eastAsia" w:hAnsi="宋体" w:cs="宋体"/>
          <w:color w:val="auto"/>
          <w:sz w:val="21"/>
          <w:szCs w:val="21"/>
          <w:highlight w:val="none"/>
          <w:lang w:eastAsia="zh-CN"/>
        </w:rPr>
        <w:t>。</w:t>
      </w:r>
      <w:r>
        <w:rPr>
          <w:rFonts w:hint="eastAsia" w:hAnsi="宋体" w:cs="宋体"/>
          <w:color w:val="auto"/>
          <w:sz w:val="21"/>
          <w:szCs w:val="21"/>
          <w:highlight w:val="none"/>
        </w:rPr>
        <w:br w:type="textWrapping"/>
      </w:r>
      <w:r>
        <w:rPr>
          <w:rFonts w:hint="eastAsia" w:hAnsi="宋体" w:cs="宋体"/>
          <w:color w:val="auto"/>
          <w:sz w:val="21"/>
          <w:szCs w:val="21"/>
          <w:highlight w:val="none"/>
        </w:rPr>
        <w:t>1.江北市本级雨水管网清单：</w:t>
      </w:r>
    </w:p>
    <w:tbl>
      <w:tblPr>
        <w:tblStyle w:val="47"/>
        <w:tblW w:w="5000" w:type="pct"/>
        <w:tblInd w:w="0" w:type="dxa"/>
        <w:tblLayout w:type="autofit"/>
        <w:tblCellMar>
          <w:top w:w="0" w:type="dxa"/>
          <w:left w:w="108" w:type="dxa"/>
          <w:bottom w:w="0" w:type="dxa"/>
          <w:right w:w="108" w:type="dxa"/>
        </w:tblCellMar>
      </w:tblPr>
      <w:tblGrid>
        <w:gridCol w:w="902"/>
        <w:gridCol w:w="2156"/>
        <w:gridCol w:w="2900"/>
        <w:gridCol w:w="1764"/>
        <w:gridCol w:w="1792"/>
      </w:tblGrid>
      <w:tr>
        <w:tblPrEx>
          <w:tblCellMar>
            <w:top w:w="0" w:type="dxa"/>
            <w:left w:w="108" w:type="dxa"/>
            <w:bottom w:w="0" w:type="dxa"/>
            <w:right w:w="108" w:type="dxa"/>
          </w:tblCellMar>
        </w:tblPrEx>
        <w:trPr>
          <w:trHeight w:val="555"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Ansi="宋体" w:cs="宋体"/>
                <w:b/>
                <w:bCs/>
                <w:color w:val="auto"/>
                <w:sz w:val="21"/>
                <w:szCs w:val="21"/>
                <w:highlight w:val="none"/>
              </w:rPr>
            </w:pPr>
            <w:r>
              <w:rPr>
                <w:rFonts w:hint="eastAsia" w:hAnsi="宋体" w:cs="宋体"/>
                <w:b/>
                <w:bCs/>
                <w:color w:val="auto"/>
                <w:sz w:val="21"/>
                <w:szCs w:val="21"/>
                <w:highlight w:val="none"/>
              </w:rPr>
              <w:t>江北市本级雨水管网清单</w:t>
            </w:r>
          </w:p>
        </w:tc>
      </w:tr>
      <w:tr>
        <w:tblPrEx>
          <w:tblCellMar>
            <w:top w:w="0" w:type="dxa"/>
            <w:left w:w="108" w:type="dxa"/>
            <w:bottom w:w="0" w:type="dxa"/>
            <w:right w:w="108" w:type="dxa"/>
          </w:tblCellMar>
        </w:tblPrEx>
        <w:trPr>
          <w:trHeight w:val="564" w:hRule="atLeast"/>
        </w:trPr>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Ansi="宋体" w:cs="宋体"/>
                <w:b/>
                <w:bCs/>
                <w:color w:val="auto"/>
                <w:sz w:val="21"/>
                <w:szCs w:val="21"/>
                <w:highlight w:val="none"/>
              </w:rPr>
            </w:pPr>
            <w:r>
              <w:rPr>
                <w:rFonts w:hint="eastAsia" w:hAnsi="宋体" w:cs="宋体"/>
                <w:b/>
                <w:bCs/>
                <w:color w:val="auto"/>
                <w:sz w:val="21"/>
                <w:szCs w:val="21"/>
                <w:highlight w:val="none"/>
              </w:rPr>
              <w:t>序号</w:t>
            </w:r>
          </w:p>
        </w:tc>
        <w:tc>
          <w:tcPr>
            <w:tcW w:w="11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Ansi="宋体" w:cs="宋体"/>
                <w:b/>
                <w:bCs/>
                <w:color w:val="auto"/>
                <w:sz w:val="21"/>
                <w:szCs w:val="21"/>
                <w:highlight w:val="none"/>
              </w:rPr>
            </w:pPr>
            <w:r>
              <w:rPr>
                <w:rFonts w:hint="eastAsia" w:hAnsi="宋体" w:cs="宋体"/>
                <w:b/>
                <w:bCs/>
                <w:color w:val="auto"/>
                <w:sz w:val="21"/>
                <w:szCs w:val="21"/>
                <w:highlight w:val="none"/>
              </w:rPr>
              <w:t>道路名称</w:t>
            </w:r>
          </w:p>
        </w:tc>
        <w:tc>
          <w:tcPr>
            <w:tcW w:w="15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Ansi="宋体" w:cs="宋体"/>
                <w:b/>
                <w:bCs/>
                <w:color w:val="auto"/>
                <w:sz w:val="21"/>
                <w:szCs w:val="21"/>
                <w:highlight w:val="none"/>
              </w:rPr>
            </w:pPr>
            <w:r>
              <w:rPr>
                <w:rFonts w:hint="eastAsia" w:hAnsi="宋体" w:cs="宋体"/>
                <w:b/>
                <w:bCs/>
                <w:color w:val="auto"/>
                <w:sz w:val="21"/>
                <w:szCs w:val="21"/>
                <w:highlight w:val="none"/>
              </w:rPr>
              <w:t>起止点</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Ansi="宋体" w:cs="宋体"/>
                <w:b/>
                <w:bCs/>
                <w:color w:val="auto"/>
                <w:sz w:val="21"/>
                <w:szCs w:val="21"/>
                <w:highlight w:val="none"/>
              </w:rPr>
            </w:pPr>
            <w:r>
              <w:rPr>
                <w:rFonts w:hint="eastAsia" w:hAnsi="宋体" w:cs="宋体"/>
                <w:b/>
                <w:bCs/>
                <w:color w:val="auto"/>
                <w:sz w:val="21"/>
                <w:szCs w:val="21"/>
                <w:highlight w:val="none"/>
              </w:rPr>
              <w:t>道路长度（m）</w:t>
            </w:r>
          </w:p>
        </w:tc>
        <w:tc>
          <w:tcPr>
            <w:tcW w:w="9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Ansi="宋体" w:cs="宋体"/>
                <w:b/>
                <w:bCs/>
                <w:color w:val="auto"/>
                <w:sz w:val="21"/>
                <w:szCs w:val="21"/>
                <w:highlight w:val="none"/>
              </w:rPr>
            </w:pPr>
            <w:r>
              <w:rPr>
                <w:rFonts w:hint="eastAsia" w:hAnsi="宋体" w:cs="宋体"/>
                <w:b/>
                <w:bCs/>
                <w:color w:val="auto"/>
                <w:sz w:val="21"/>
                <w:szCs w:val="21"/>
                <w:highlight w:val="none"/>
              </w:rPr>
              <w:t>雨水管道（m）</w:t>
            </w:r>
          </w:p>
        </w:tc>
      </w:tr>
      <w:tr>
        <w:tblPrEx>
          <w:tblCellMar>
            <w:top w:w="0" w:type="dxa"/>
            <w:left w:w="108" w:type="dxa"/>
            <w:bottom w:w="0" w:type="dxa"/>
            <w:right w:w="108" w:type="dxa"/>
          </w:tblCellMar>
        </w:tblPrEx>
        <w:trPr>
          <w:trHeight w:val="270" w:hRule="atLeast"/>
        </w:trPr>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Ansi="宋体" w:cs="宋体"/>
                <w:color w:val="auto"/>
                <w:sz w:val="21"/>
                <w:szCs w:val="21"/>
                <w:highlight w:val="none"/>
              </w:rPr>
            </w:pPr>
            <w:r>
              <w:rPr>
                <w:rFonts w:hint="eastAsia" w:hAnsi="宋体" w:cs="宋体"/>
                <w:color w:val="auto"/>
                <w:sz w:val="21"/>
                <w:szCs w:val="21"/>
                <w:highlight w:val="none"/>
              </w:rPr>
              <w:t>1</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Ansi="宋体" w:cs="宋体"/>
                <w:color w:val="auto"/>
                <w:sz w:val="21"/>
                <w:szCs w:val="21"/>
                <w:highlight w:val="none"/>
              </w:rPr>
            </w:pPr>
            <w:r>
              <w:rPr>
                <w:rFonts w:hint="eastAsia" w:hAnsi="宋体" w:cs="宋体"/>
                <w:color w:val="auto"/>
                <w:sz w:val="21"/>
                <w:szCs w:val="21"/>
                <w:highlight w:val="none"/>
              </w:rPr>
              <w:t>西市街</w:t>
            </w:r>
          </w:p>
        </w:tc>
        <w:tc>
          <w:tcPr>
            <w:tcW w:w="1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Ansi="宋体" w:cs="宋体"/>
                <w:color w:val="auto"/>
                <w:sz w:val="21"/>
                <w:szCs w:val="21"/>
                <w:highlight w:val="none"/>
              </w:rPr>
            </w:pPr>
            <w:r>
              <w:rPr>
                <w:rFonts w:hint="eastAsia" w:hAnsi="宋体" w:cs="宋体"/>
                <w:color w:val="auto"/>
                <w:sz w:val="21"/>
                <w:szCs w:val="21"/>
                <w:highlight w:val="none"/>
              </w:rPr>
              <w:t>婺江东路-解放东路</w:t>
            </w:r>
          </w:p>
        </w:tc>
        <w:tc>
          <w:tcPr>
            <w:tcW w:w="9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Ansi="宋体" w:cs="宋体"/>
                <w:color w:val="auto"/>
                <w:sz w:val="21"/>
                <w:szCs w:val="21"/>
                <w:highlight w:val="none"/>
              </w:rPr>
            </w:pPr>
            <w:r>
              <w:rPr>
                <w:rFonts w:hint="eastAsia" w:hAnsi="宋体" w:cs="宋体"/>
                <w:color w:val="auto"/>
                <w:sz w:val="21"/>
                <w:szCs w:val="21"/>
                <w:highlight w:val="none"/>
              </w:rPr>
              <w:t>548</w:t>
            </w:r>
          </w:p>
        </w:tc>
        <w:tc>
          <w:tcPr>
            <w:tcW w:w="9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Ansi="宋体" w:cs="宋体"/>
                <w:color w:val="auto"/>
                <w:sz w:val="21"/>
                <w:szCs w:val="21"/>
                <w:highlight w:val="none"/>
              </w:rPr>
            </w:pPr>
            <w:r>
              <w:rPr>
                <w:rFonts w:hint="eastAsia" w:hAnsi="宋体" w:cs="宋体"/>
                <w:color w:val="auto"/>
                <w:sz w:val="21"/>
                <w:szCs w:val="21"/>
                <w:highlight w:val="none"/>
              </w:rPr>
              <w:t xml:space="preserve">718 </w:t>
            </w:r>
          </w:p>
        </w:tc>
      </w:tr>
      <w:tr>
        <w:tblPrEx>
          <w:tblCellMar>
            <w:top w:w="0" w:type="dxa"/>
            <w:left w:w="108" w:type="dxa"/>
            <w:bottom w:w="0" w:type="dxa"/>
            <w:right w:w="108" w:type="dxa"/>
          </w:tblCellMar>
        </w:tblPrEx>
        <w:trPr>
          <w:trHeight w:val="270" w:hRule="atLeast"/>
        </w:trPr>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Ansi="宋体" w:cs="宋体"/>
                <w:color w:val="auto"/>
                <w:sz w:val="21"/>
                <w:szCs w:val="21"/>
                <w:highlight w:val="none"/>
              </w:rPr>
            </w:pPr>
            <w:r>
              <w:rPr>
                <w:rFonts w:hint="eastAsia" w:hAnsi="宋体" w:cs="宋体"/>
                <w:color w:val="auto"/>
                <w:sz w:val="21"/>
                <w:szCs w:val="21"/>
                <w:highlight w:val="none"/>
              </w:rPr>
              <w:t>2</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Ansi="宋体" w:cs="宋体"/>
                <w:color w:val="auto"/>
                <w:sz w:val="21"/>
                <w:szCs w:val="21"/>
                <w:highlight w:val="none"/>
              </w:rPr>
            </w:pPr>
            <w:r>
              <w:rPr>
                <w:rFonts w:hint="eastAsia" w:hAnsi="宋体" w:cs="宋体"/>
                <w:color w:val="auto"/>
                <w:sz w:val="21"/>
                <w:szCs w:val="21"/>
                <w:highlight w:val="none"/>
              </w:rPr>
              <w:t>水门巷</w:t>
            </w:r>
          </w:p>
        </w:tc>
        <w:tc>
          <w:tcPr>
            <w:tcW w:w="1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Ansi="宋体" w:cs="宋体"/>
                <w:color w:val="auto"/>
                <w:sz w:val="21"/>
                <w:szCs w:val="21"/>
                <w:highlight w:val="none"/>
              </w:rPr>
            </w:pPr>
            <w:r>
              <w:rPr>
                <w:rFonts w:hint="eastAsia" w:hAnsi="宋体" w:cs="宋体"/>
                <w:color w:val="auto"/>
                <w:sz w:val="21"/>
                <w:szCs w:val="21"/>
                <w:highlight w:val="none"/>
              </w:rPr>
              <w:t>中山路-婺江东路</w:t>
            </w:r>
          </w:p>
        </w:tc>
        <w:tc>
          <w:tcPr>
            <w:tcW w:w="9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Ansi="宋体" w:cs="宋体"/>
                <w:color w:val="auto"/>
                <w:sz w:val="21"/>
                <w:szCs w:val="21"/>
                <w:highlight w:val="none"/>
              </w:rPr>
            </w:pPr>
            <w:r>
              <w:rPr>
                <w:rFonts w:hint="eastAsia" w:hAnsi="宋体" w:cs="宋体"/>
                <w:color w:val="auto"/>
                <w:sz w:val="21"/>
                <w:szCs w:val="21"/>
                <w:highlight w:val="none"/>
              </w:rPr>
              <w:t>143</w:t>
            </w:r>
          </w:p>
        </w:tc>
        <w:tc>
          <w:tcPr>
            <w:tcW w:w="9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Ansi="宋体" w:cs="宋体"/>
                <w:color w:val="auto"/>
                <w:sz w:val="21"/>
                <w:szCs w:val="21"/>
                <w:highlight w:val="none"/>
              </w:rPr>
            </w:pPr>
            <w:r>
              <w:rPr>
                <w:rFonts w:hint="eastAsia" w:hAnsi="宋体" w:cs="宋体"/>
                <w:color w:val="auto"/>
                <w:sz w:val="21"/>
                <w:szCs w:val="21"/>
                <w:highlight w:val="none"/>
              </w:rPr>
              <w:t xml:space="preserve">171 </w:t>
            </w:r>
          </w:p>
        </w:tc>
      </w:tr>
      <w:tr>
        <w:tblPrEx>
          <w:tblCellMar>
            <w:top w:w="0" w:type="dxa"/>
            <w:left w:w="108" w:type="dxa"/>
            <w:bottom w:w="0" w:type="dxa"/>
            <w:right w:w="108" w:type="dxa"/>
          </w:tblCellMar>
        </w:tblPrEx>
        <w:trPr>
          <w:trHeight w:val="270" w:hRule="atLeast"/>
        </w:trPr>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Ansi="宋体" w:cs="宋体"/>
                <w:color w:val="auto"/>
                <w:sz w:val="21"/>
                <w:szCs w:val="21"/>
                <w:highlight w:val="none"/>
              </w:rPr>
            </w:pPr>
            <w:r>
              <w:rPr>
                <w:rFonts w:hint="eastAsia" w:hAnsi="宋体" w:cs="宋体"/>
                <w:color w:val="auto"/>
                <w:sz w:val="21"/>
                <w:szCs w:val="21"/>
                <w:highlight w:val="none"/>
              </w:rPr>
              <w:t>3</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Ansi="宋体" w:cs="宋体"/>
                <w:color w:val="auto"/>
                <w:sz w:val="21"/>
                <w:szCs w:val="21"/>
                <w:highlight w:val="none"/>
              </w:rPr>
            </w:pPr>
            <w:r>
              <w:rPr>
                <w:rFonts w:hint="eastAsia" w:hAnsi="宋体" w:cs="宋体"/>
                <w:color w:val="auto"/>
                <w:sz w:val="21"/>
                <w:szCs w:val="21"/>
                <w:highlight w:val="none"/>
              </w:rPr>
              <w:t>体育街</w:t>
            </w:r>
          </w:p>
        </w:tc>
        <w:tc>
          <w:tcPr>
            <w:tcW w:w="1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Ansi="宋体" w:cs="宋体"/>
                <w:color w:val="auto"/>
                <w:sz w:val="21"/>
                <w:szCs w:val="21"/>
                <w:highlight w:val="none"/>
              </w:rPr>
            </w:pPr>
            <w:r>
              <w:rPr>
                <w:rFonts w:hint="eastAsia" w:hAnsi="宋体" w:cs="宋体"/>
                <w:color w:val="auto"/>
                <w:sz w:val="21"/>
                <w:szCs w:val="21"/>
                <w:highlight w:val="none"/>
              </w:rPr>
              <w:t>文化路-游泳巷</w:t>
            </w:r>
          </w:p>
        </w:tc>
        <w:tc>
          <w:tcPr>
            <w:tcW w:w="9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Ansi="宋体" w:cs="宋体"/>
                <w:color w:val="auto"/>
                <w:sz w:val="21"/>
                <w:szCs w:val="21"/>
                <w:highlight w:val="none"/>
              </w:rPr>
            </w:pPr>
            <w:r>
              <w:rPr>
                <w:rFonts w:hint="eastAsia" w:hAnsi="宋体" w:cs="宋体"/>
                <w:color w:val="auto"/>
                <w:sz w:val="21"/>
                <w:szCs w:val="21"/>
                <w:highlight w:val="none"/>
              </w:rPr>
              <w:t>400</w:t>
            </w:r>
          </w:p>
        </w:tc>
        <w:tc>
          <w:tcPr>
            <w:tcW w:w="9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Ansi="宋体" w:cs="宋体"/>
                <w:color w:val="auto"/>
                <w:sz w:val="21"/>
                <w:szCs w:val="21"/>
                <w:highlight w:val="none"/>
              </w:rPr>
            </w:pPr>
            <w:r>
              <w:rPr>
                <w:rFonts w:hint="eastAsia" w:hAnsi="宋体" w:cs="宋体"/>
                <w:color w:val="auto"/>
                <w:sz w:val="21"/>
                <w:szCs w:val="21"/>
                <w:highlight w:val="none"/>
              </w:rPr>
              <w:t xml:space="preserve">622 </w:t>
            </w:r>
          </w:p>
        </w:tc>
      </w:tr>
      <w:tr>
        <w:tblPrEx>
          <w:tblCellMar>
            <w:top w:w="0" w:type="dxa"/>
            <w:left w:w="108" w:type="dxa"/>
            <w:bottom w:w="0" w:type="dxa"/>
            <w:right w:w="108" w:type="dxa"/>
          </w:tblCellMar>
        </w:tblPrEx>
        <w:trPr>
          <w:trHeight w:val="270" w:hRule="atLeast"/>
        </w:trPr>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Ansi="宋体" w:cs="宋体"/>
                <w:color w:val="auto"/>
                <w:sz w:val="21"/>
                <w:szCs w:val="21"/>
                <w:highlight w:val="none"/>
              </w:rPr>
            </w:pPr>
            <w:r>
              <w:rPr>
                <w:rFonts w:hint="eastAsia" w:hAnsi="宋体" w:cs="宋体"/>
                <w:color w:val="auto"/>
                <w:sz w:val="21"/>
                <w:szCs w:val="21"/>
                <w:highlight w:val="none"/>
              </w:rPr>
              <w:t>4</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Ansi="宋体" w:cs="宋体"/>
                <w:color w:val="auto"/>
                <w:sz w:val="21"/>
                <w:szCs w:val="21"/>
                <w:highlight w:val="none"/>
              </w:rPr>
            </w:pPr>
            <w:r>
              <w:rPr>
                <w:rFonts w:hint="eastAsia" w:hAnsi="宋体" w:cs="宋体"/>
                <w:color w:val="auto"/>
                <w:sz w:val="21"/>
                <w:szCs w:val="21"/>
                <w:highlight w:val="none"/>
              </w:rPr>
              <w:t>雅堂街</w:t>
            </w:r>
          </w:p>
        </w:tc>
        <w:tc>
          <w:tcPr>
            <w:tcW w:w="1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Ansi="宋体" w:cs="宋体"/>
                <w:color w:val="auto"/>
                <w:sz w:val="21"/>
                <w:szCs w:val="21"/>
                <w:highlight w:val="none"/>
              </w:rPr>
            </w:pPr>
            <w:r>
              <w:rPr>
                <w:rFonts w:hint="eastAsia" w:hAnsi="宋体" w:cs="宋体"/>
                <w:color w:val="auto"/>
                <w:sz w:val="21"/>
                <w:szCs w:val="21"/>
                <w:highlight w:val="none"/>
              </w:rPr>
              <w:t>后街-明月街</w:t>
            </w:r>
          </w:p>
        </w:tc>
        <w:tc>
          <w:tcPr>
            <w:tcW w:w="9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Ansi="宋体" w:cs="宋体"/>
                <w:color w:val="auto"/>
                <w:sz w:val="21"/>
                <w:szCs w:val="21"/>
                <w:highlight w:val="none"/>
              </w:rPr>
            </w:pPr>
            <w:r>
              <w:rPr>
                <w:rFonts w:hint="eastAsia" w:hAnsi="宋体" w:cs="宋体"/>
                <w:color w:val="auto"/>
                <w:sz w:val="21"/>
                <w:szCs w:val="21"/>
                <w:highlight w:val="none"/>
              </w:rPr>
              <w:t>264</w:t>
            </w:r>
          </w:p>
        </w:tc>
        <w:tc>
          <w:tcPr>
            <w:tcW w:w="9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Ansi="宋体" w:cs="宋体"/>
                <w:color w:val="auto"/>
                <w:sz w:val="21"/>
                <w:szCs w:val="21"/>
                <w:highlight w:val="none"/>
              </w:rPr>
            </w:pPr>
            <w:r>
              <w:rPr>
                <w:rFonts w:hint="eastAsia" w:hAnsi="宋体" w:cs="宋体"/>
                <w:color w:val="auto"/>
                <w:sz w:val="21"/>
                <w:szCs w:val="21"/>
                <w:highlight w:val="none"/>
              </w:rPr>
              <w:t xml:space="preserve">359 </w:t>
            </w:r>
          </w:p>
        </w:tc>
      </w:tr>
      <w:tr>
        <w:tblPrEx>
          <w:tblCellMar>
            <w:top w:w="0" w:type="dxa"/>
            <w:left w:w="108" w:type="dxa"/>
            <w:bottom w:w="0" w:type="dxa"/>
            <w:right w:w="108" w:type="dxa"/>
          </w:tblCellMar>
        </w:tblPrEx>
        <w:trPr>
          <w:trHeight w:val="352" w:hRule="atLeast"/>
        </w:trPr>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Ansi="宋体" w:cs="宋体"/>
                <w:color w:val="auto"/>
                <w:sz w:val="21"/>
                <w:szCs w:val="21"/>
                <w:highlight w:val="none"/>
              </w:rPr>
            </w:pPr>
            <w:r>
              <w:rPr>
                <w:rFonts w:hint="eastAsia" w:hAnsi="宋体" w:cs="宋体"/>
                <w:color w:val="auto"/>
                <w:sz w:val="21"/>
                <w:szCs w:val="21"/>
                <w:highlight w:val="none"/>
              </w:rPr>
              <w:t>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Ansi="宋体" w:cs="宋体"/>
                <w:color w:val="auto"/>
                <w:sz w:val="21"/>
                <w:szCs w:val="21"/>
                <w:highlight w:val="none"/>
              </w:rPr>
            </w:pPr>
            <w:r>
              <w:rPr>
                <w:rFonts w:hint="eastAsia" w:hAnsi="宋体" w:cs="宋体"/>
                <w:color w:val="auto"/>
                <w:sz w:val="21"/>
                <w:szCs w:val="21"/>
                <w:highlight w:val="none"/>
              </w:rPr>
              <w:t>恒大路</w:t>
            </w:r>
          </w:p>
        </w:tc>
        <w:tc>
          <w:tcPr>
            <w:tcW w:w="1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Ansi="宋体" w:cs="宋体"/>
                <w:color w:val="auto"/>
                <w:sz w:val="21"/>
                <w:szCs w:val="21"/>
                <w:highlight w:val="none"/>
              </w:rPr>
            </w:pPr>
            <w:r>
              <w:rPr>
                <w:rFonts w:hint="eastAsia" w:hAnsi="宋体" w:cs="宋体"/>
                <w:color w:val="auto"/>
                <w:sz w:val="21"/>
                <w:szCs w:val="21"/>
                <w:highlight w:val="none"/>
              </w:rPr>
              <w:t>西市街-新华街</w:t>
            </w:r>
          </w:p>
        </w:tc>
        <w:tc>
          <w:tcPr>
            <w:tcW w:w="9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Ansi="宋体" w:cs="宋体"/>
                <w:color w:val="auto"/>
                <w:sz w:val="21"/>
                <w:szCs w:val="21"/>
                <w:highlight w:val="none"/>
              </w:rPr>
            </w:pPr>
            <w:r>
              <w:rPr>
                <w:rFonts w:hint="eastAsia" w:hAnsi="宋体" w:cs="宋体"/>
                <w:color w:val="auto"/>
                <w:sz w:val="21"/>
                <w:szCs w:val="21"/>
                <w:highlight w:val="none"/>
              </w:rPr>
              <w:t>88</w:t>
            </w:r>
          </w:p>
        </w:tc>
        <w:tc>
          <w:tcPr>
            <w:tcW w:w="9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Ansi="宋体" w:cs="宋体"/>
                <w:color w:val="auto"/>
                <w:sz w:val="21"/>
                <w:szCs w:val="21"/>
                <w:highlight w:val="none"/>
              </w:rPr>
            </w:pPr>
            <w:r>
              <w:rPr>
                <w:rFonts w:hint="eastAsia" w:hAnsi="宋体" w:cs="宋体"/>
                <w:color w:val="auto"/>
                <w:sz w:val="21"/>
                <w:szCs w:val="21"/>
                <w:highlight w:val="none"/>
              </w:rPr>
              <w:t xml:space="preserve">171 </w:t>
            </w:r>
          </w:p>
        </w:tc>
      </w:tr>
      <w:tr>
        <w:tblPrEx>
          <w:tblCellMar>
            <w:top w:w="0" w:type="dxa"/>
            <w:left w:w="108" w:type="dxa"/>
            <w:bottom w:w="0" w:type="dxa"/>
            <w:right w:w="108" w:type="dxa"/>
          </w:tblCellMar>
        </w:tblPrEx>
        <w:trPr>
          <w:trHeight w:val="270" w:hRule="atLeast"/>
        </w:trPr>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Ansi="宋体" w:cs="宋体"/>
                <w:color w:val="auto"/>
                <w:sz w:val="21"/>
                <w:szCs w:val="21"/>
                <w:highlight w:val="none"/>
              </w:rPr>
            </w:pPr>
            <w:r>
              <w:rPr>
                <w:rFonts w:hint="eastAsia" w:hAnsi="宋体" w:cs="宋体"/>
                <w:color w:val="auto"/>
                <w:sz w:val="21"/>
                <w:szCs w:val="21"/>
                <w:highlight w:val="none"/>
              </w:rPr>
              <w:t>6</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Ansi="宋体" w:cs="宋体"/>
                <w:color w:val="auto"/>
                <w:sz w:val="21"/>
                <w:szCs w:val="21"/>
                <w:highlight w:val="none"/>
              </w:rPr>
            </w:pPr>
            <w:r>
              <w:rPr>
                <w:rFonts w:hint="eastAsia" w:hAnsi="宋体" w:cs="宋体"/>
                <w:color w:val="auto"/>
                <w:sz w:val="21"/>
                <w:szCs w:val="21"/>
                <w:highlight w:val="none"/>
              </w:rPr>
              <w:t>新兰路</w:t>
            </w:r>
          </w:p>
        </w:tc>
        <w:tc>
          <w:tcPr>
            <w:tcW w:w="1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Ansi="宋体" w:cs="宋体"/>
                <w:color w:val="auto"/>
                <w:sz w:val="21"/>
                <w:szCs w:val="21"/>
                <w:highlight w:val="none"/>
              </w:rPr>
            </w:pPr>
            <w:r>
              <w:rPr>
                <w:rFonts w:hint="eastAsia" w:hAnsi="宋体" w:cs="宋体"/>
                <w:color w:val="auto"/>
                <w:sz w:val="21"/>
                <w:szCs w:val="21"/>
                <w:highlight w:val="none"/>
              </w:rPr>
              <w:t>八一北街-体育街</w:t>
            </w:r>
          </w:p>
        </w:tc>
        <w:tc>
          <w:tcPr>
            <w:tcW w:w="9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Ansi="宋体" w:cs="宋体"/>
                <w:color w:val="auto"/>
                <w:sz w:val="21"/>
                <w:szCs w:val="21"/>
                <w:highlight w:val="none"/>
              </w:rPr>
            </w:pPr>
            <w:r>
              <w:rPr>
                <w:rFonts w:hint="eastAsia" w:hAnsi="宋体" w:cs="宋体"/>
                <w:color w:val="auto"/>
                <w:sz w:val="21"/>
                <w:szCs w:val="21"/>
                <w:highlight w:val="none"/>
              </w:rPr>
              <w:t>93</w:t>
            </w:r>
          </w:p>
        </w:tc>
        <w:tc>
          <w:tcPr>
            <w:tcW w:w="9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Ansi="宋体" w:cs="宋体"/>
                <w:color w:val="auto"/>
                <w:sz w:val="21"/>
                <w:szCs w:val="21"/>
                <w:highlight w:val="none"/>
              </w:rPr>
            </w:pPr>
            <w:r>
              <w:rPr>
                <w:rFonts w:hint="eastAsia" w:hAnsi="宋体" w:cs="宋体"/>
                <w:color w:val="auto"/>
                <w:sz w:val="21"/>
                <w:szCs w:val="21"/>
                <w:highlight w:val="none"/>
              </w:rPr>
              <w:t xml:space="preserve">168 </w:t>
            </w:r>
          </w:p>
        </w:tc>
      </w:tr>
      <w:tr>
        <w:tblPrEx>
          <w:tblCellMar>
            <w:top w:w="0" w:type="dxa"/>
            <w:left w:w="108" w:type="dxa"/>
            <w:bottom w:w="0" w:type="dxa"/>
            <w:right w:w="108" w:type="dxa"/>
          </w:tblCellMar>
        </w:tblPrEx>
        <w:trPr>
          <w:trHeight w:val="270" w:hRule="atLeast"/>
        </w:trPr>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Ansi="宋体" w:cs="宋体"/>
                <w:color w:val="auto"/>
                <w:sz w:val="21"/>
                <w:szCs w:val="21"/>
                <w:highlight w:val="none"/>
              </w:rPr>
            </w:pPr>
            <w:r>
              <w:rPr>
                <w:rFonts w:hint="eastAsia" w:hAnsi="宋体" w:cs="宋体"/>
                <w:color w:val="auto"/>
                <w:sz w:val="21"/>
                <w:szCs w:val="21"/>
                <w:highlight w:val="none"/>
              </w:rPr>
              <w:t>7</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Ansi="宋体" w:cs="宋体"/>
                <w:color w:val="auto"/>
                <w:sz w:val="21"/>
                <w:szCs w:val="21"/>
                <w:highlight w:val="none"/>
              </w:rPr>
            </w:pPr>
            <w:r>
              <w:rPr>
                <w:rFonts w:hint="eastAsia" w:hAnsi="宋体" w:cs="宋体"/>
                <w:color w:val="auto"/>
                <w:sz w:val="21"/>
                <w:szCs w:val="21"/>
                <w:highlight w:val="none"/>
              </w:rPr>
              <w:t>人民东路</w:t>
            </w:r>
          </w:p>
        </w:tc>
        <w:tc>
          <w:tcPr>
            <w:tcW w:w="1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Ansi="宋体" w:cs="宋体"/>
                <w:color w:val="auto"/>
                <w:sz w:val="21"/>
                <w:szCs w:val="21"/>
                <w:highlight w:val="none"/>
              </w:rPr>
            </w:pPr>
            <w:r>
              <w:rPr>
                <w:rFonts w:hint="eastAsia" w:hAnsi="宋体" w:cs="宋体"/>
                <w:color w:val="auto"/>
                <w:sz w:val="21"/>
                <w:szCs w:val="21"/>
                <w:highlight w:val="none"/>
              </w:rPr>
              <w:t>八一北街-环城东路</w:t>
            </w:r>
          </w:p>
        </w:tc>
        <w:tc>
          <w:tcPr>
            <w:tcW w:w="9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Ansi="宋体" w:cs="宋体"/>
                <w:color w:val="auto"/>
                <w:sz w:val="21"/>
                <w:szCs w:val="21"/>
                <w:highlight w:val="none"/>
              </w:rPr>
            </w:pPr>
            <w:r>
              <w:rPr>
                <w:rFonts w:hint="eastAsia" w:hAnsi="宋体" w:cs="宋体"/>
                <w:color w:val="auto"/>
                <w:sz w:val="21"/>
                <w:szCs w:val="21"/>
                <w:highlight w:val="none"/>
              </w:rPr>
              <w:t>2860</w:t>
            </w:r>
          </w:p>
        </w:tc>
        <w:tc>
          <w:tcPr>
            <w:tcW w:w="9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Ansi="宋体" w:cs="宋体"/>
                <w:color w:val="auto"/>
                <w:sz w:val="21"/>
                <w:szCs w:val="21"/>
                <w:highlight w:val="none"/>
              </w:rPr>
            </w:pPr>
            <w:r>
              <w:rPr>
                <w:rFonts w:hint="eastAsia" w:hAnsi="宋体" w:cs="宋体"/>
                <w:color w:val="auto"/>
                <w:sz w:val="21"/>
                <w:szCs w:val="21"/>
                <w:highlight w:val="none"/>
              </w:rPr>
              <w:t xml:space="preserve">4752 </w:t>
            </w:r>
          </w:p>
        </w:tc>
      </w:tr>
      <w:tr>
        <w:tblPrEx>
          <w:tblCellMar>
            <w:top w:w="0" w:type="dxa"/>
            <w:left w:w="108" w:type="dxa"/>
            <w:bottom w:w="0" w:type="dxa"/>
            <w:right w:w="108" w:type="dxa"/>
          </w:tblCellMar>
        </w:tblPrEx>
        <w:trPr>
          <w:trHeight w:val="270" w:hRule="atLeast"/>
        </w:trPr>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Ansi="宋体" w:cs="宋体"/>
                <w:color w:val="auto"/>
                <w:sz w:val="21"/>
                <w:szCs w:val="21"/>
                <w:highlight w:val="none"/>
              </w:rPr>
            </w:pPr>
            <w:r>
              <w:rPr>
                <w:rFonts w:hint="eastAsia" w:hAnsi="宋体" w:cs="宋体"/>
                <w:color w:val="auto"/>
                <w:sz w:val="21"/>
                <w:szCs w:val="21"/>
                <w:highlight w:val="none"/>
              </w:rPr>
              <w:t>8</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Ansi="宋体" w:cs="宋体"/>
                <w:color w:val="auto"/>
                <w:sz w:val="21"/>
                <w:szCs w:val="21"/>
                <w:highlight w:val="none"/>
              </w:rPr>
            </w:pPr>
            <w:r>
              <w:rPr>
                <w:rFonts w:hint="eastAsia" w:hAnsi="宋体" w:cs="宋体"/>
                <w:color w:val="auto"/>
                <w:sz w:val="21"/>
                <w:szCs w:val="21"/>
                <w:highlight w:val="none"/>
              </w:rPr>
              <w:t>保险街</w:t>
            </w:r>
          </w:p>
        </w:tc>
        <w:tc>
          <w:tcPr>
            <w:tcW w:w="1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Ansi="宋体" w:cs="宋体"/>
                <w:color w:val="auto"/>
                <w:sz w:val="21"/>
                <w:szCs w:val="21"/>
                <w:highlight w:val="none"/>
              </w:rPr>
            </w:pPr>
            <w:r>
              <w:rPr>
                <w:rFonts w:hint="eastAsia" w:hAnsi="宋体" w:cs="宋体"/>
                <w:color w:val="auto"/>
                <w:sz w:val="21"/>
                <w:szCs w:val="21"/>
                <w:highlight w:val="none"/>
              </w:rPr>
              <w:t>青春路-人民东路</w:t>
            </w:r>
          </w:p>
        </w:tc>
        <w:tc>
          <w:tcPr>
            <w:tcW w:w="9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Ansi="宋体" w:cs="宋体"/>
                <w:color w:val="auto"/>
                <w:sz w:val="21"/>
                <w:szCs w:val="21"/>
                <w:highlight w:val="none"/>
              </w:rPr>
            </w:pPr>
            <w:r>
              <w:rPr>
                <w:rFonts w:hint="eastAsia" w:hAnsi="宋体" w:cs="宋体"/>
                <w:color w:val="auto"/>
                <w:sz w:val="21"/>
                <w:szCs w:val="21"/>
                <w:highlight w:val="none"/>
              </w:rPr>
              <w:t>220</w:t>
            </w:r>
          </w:p>
        </w:tc>
        <w:tc>
          <w:tcPr>
            <w:tcW w:w="9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Ansi="宋体" w:cs="宋体"/>
                <w:color w:val="auto"/>
                <w:sz w:val="21"/>
                <w:szCs w:val="21"/>
                <w:highlight w:val="none"/>
              </w:rPr>
            </w:pPr>
            <w:r>
              <w:rPr>
                <w:rFonts w:hint="eastAsia" w:hAnsi="宋体" w:cs="宋体"/>
                <w:color w:val="auto"/>
                <w:sz w:val="21"/>
                <w:szCs w:val="21"/>
                <w:highlight w:val="none"/>
              </w:rPr>
              <w:t xml:space="preserve">396 </w:t>
            </w:r>
          </w:p>
        </w:tc>
      </w:tr>
      <w:tr>
        <w:tblPrEx>
          <w:tblCellMar>
            <w:top w:w="0" w:type="dxa"/>
            <w:left w:w="108" w:type="dxa"/>
            <w:bottom w:w="0" w:type="dxa"/>
            <w:right w:w="108" w:type="dxa"/>
          </w:tblCellMar>
        </w:tblPrEx>
        <w:trPr>
          <w:trHeight w:val="270" w:hRule="atLeast"/>
        </w:trPr>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Ansi="宋体" w:cs="宋体"/>
                <w:color w:val="auto"/>
                <w:sz w:val="21"/>
                <w:szCs w:val="21"/>
                <w:highlight w:val="none"/>
              </w:rPr>
            </w:pPr>
            <w:r>
              <w:rPr>
                <w:rFonts w:hint="eastAsia" w:hAnsi="宋体" w:cs="宋体"/>
                <w:color w:val="auto"/>
                <w:sz w:val="21"/>
                <w:szCs w:val="21"/>
                <w:highlight w:val="none"/>
              </w:rPr>
              <w:t>9</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Ansi="宋体" w:cs="宋体"/>
                <w:color w:val="auto"/>
                <w:sz w:val="21"/>
                <w:szCs w:val="21"/>
                <w:highlight w:val="none"/>
              </w:rPr>
            </w:pPr>
            <w:r>
              <w:rPr>
                <w:rFonts w:hint="eastAsia" w:hAnsi="宋体" w:cs="宋体"/>
                <w:color w:val="auto"/>
                <w:sz w:val="21"/>
                <w:szCs w:val="21"/>
                <w:highlight w:val="none"/>
              </w:rPr>
              <w:t>佳音街</w:t>
            </w:r>
          </w:p>
        </w:tc>
        <w:tc>
          <w:tcPr>
            <w:tcW w:w="1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Ansi="宋体" w:cs="宋体"/>
                <w:color w:val="auto"/>
                <w:sz w:val="21"/>
                <w:szCs w:val="21"/>
                <w:highlight w:val="none"/>
              </w:rPr>
            </w:pPr>
            <w:r>
              <w:rPr>
                <w:rFonts w:hint="eastAsia" w:hAnsi="宋体" w:cs="宋体"/>
                <w:color w:val="auto"/>
                <w:sz w:val="21"/>
                <w:szCs w:val="21"/>
                <w:highlight w:val="none"/>
              </w:rPr>
              <w:t>人民东路-青春路</w:t>
            </w:r>
          </w:p>
        </w:tc>
        <w:tc>
          <w:tcPr>
            <w:tcW w:w="9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Ansi="宋体" w:cs="宋体"/>
                <w:color w:val="auto"/>
                <w:sz w:val="21"/>
                <w:szCs w:val="21"/>
                <w:highlight w:val="none"/>
              </w:rPr>
            </w:pPr>
            <w:r>
              <w:rPr>
                <w:rFonts w:hint="eastAsia" w:hAnsi="宋体" w:cs="宋体"/>
                <w:color w:val="auto"/>
                <w:sz w:val="21"/>
                <w:szCs w:val="21"/>
                <w:highlight w:val="none"/>
              </w:rPr>
              <w:t>270</w:t>
            </w:r>
          </w:p>
        </w:tc>
        <w:tc>
          <w:tcPr>
            <w:tcW w:w="9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Ansi="宋体" w:cs="宋体"/>
                <w:color w:val="auto"/>
                <w:sz w:val="21"/>
                <w:szCs w:val="21"/>
                <w:highlight w:val="none"/>
              </w:rPr>
            </w:pPr>
            <w:r>
              <w:rPr>
                <w:rFonts w:hint="eastAsia" w:hAnsi="宋体" w:cs="宋体"/>
                <w:color w:val="auto"/>
                <w:sz w:val="21"/>
                <w:szCs w:val="21"/>
                <w:highlight w:val="none"/>
              </w:rPr>
              <w:t xml:space="preserve">391 </w:t>
            </w:r>
          </w:p>
        </w:tc>
      </w:tr>
      <w:tr>
        <w:tblPrEx>
          <w:tblCellMar>
            <w:top w:w="0" w:type="dxa"/>
            <w:left w:w="108" w:type="dxa"/>
            <w:bottom w:w="0" w:type="dxa"/>
            <w:right w:w="108" w:type="dxa"/>
          </w:tblCellMar>
        </w:tblPrEx>
        <w:trPr>
          <w:trHeight w:val="270" w:hRule="atLeast"/>
        </w:trPr>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Ansi="宋体" w:cs="宋体"/>
                <w:color w:val="auto"/>
                <w:sz w:val="21"/>
                <w:szCs w:val="21"/>
                <w:highlight w:val="none"/>
              </w:rPr>
            </w:pPr>
            <w:r>
              <w:rPr>
                <w:rFonts w:hint="eastAsia" w:hAnsi="宋体" w:cs="宋体"/>
                <w:color w:val="auto"/>
                <w:sz w:val="21"/>
                <w:szCs w:val="21"/>
                <w:highlight w:val="none"/>
              </w:rPr>
              <w:t>10</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Ansi="宋体" w:cs="宋体"/>
                <w:color w:val="auto"/>
                <w:sz w:val="21"/>
                <w:szCs w:val="21"/>
                <w:highlight w:val="none"/>
              </w:rPr>
            </w:pPr>
            <w:r>
              <w:rPr>
                <w:rFonts w:hint="eastAsia" w:hAnsi="宋体" w:cs="宋体"/>
                <w:color w:val="auto"/>
                <w:sz w:val="21"/>
                <w:szCs w:val="21"/>
                <w:highlight w:val="none"/>
              </w:rPr>
              <w:t>杨环路</w:t>
            </w:r>
          </w:p>
        </w:tc>
        <w:tc>
          <w:tcPr>
            <w:tcW w:w="1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Ansi="宋体" w:cs="宋体"/>
                <w:color w:val="auto"/>
                <w:sz w:val="21"/>
                <w:szCs w:val="21"/>
                <w:highlight w:val="none"/>
              </w:rPr>
            </w:pPr>
            <w:r>
              <w:rPr>
                <w:rFonts w:hint="eastAsia" w:hAnsi="宋体" w:cs="宋体"/>
                <w:color w:val="auto"/>
                <w:sz w:val="21"/>
                <w:szCs w:val="21"/>
                <w:highlight w:val="none"/>
              </w:rPr>
              <w:t>警民巷-胜利街</w:t>
            </w:r>
          </w:p>
        </w:tc>
        <w:tc>
          <w:tcPr>
            <w:tcW w:w="9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Ansi="宋体" w:cs="宋体"/>
                <w:color w:val="auto"/>
                <w:sz w:val="21"/>
                <w:szCs w:val="21"/>
                <w:highlight w:val="none"/>
              </w:rPr>
            </w:pPr>
            <w:r>
              <w:rPr>
                <w:rFonts w:hint="eastAsia" w:hAnsi="宋体" w:cs="宋体"/>
                <w:color w:val="auto"/>
                <w:sz w:val="21"/>
                <w:szCs w:val="21"/>
                <w:highlight w:val="none"/>
              </w:rPr>
              <w:t>243</w:t>
            </w:r>
          </w:p>
        </w:tc>
        <w:tc>
          <w:tcPr>
            <w:tcW w:w="9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Ansi="宋体" w:cs="宋体"/>
                <w:color w:val="auto"/>
                <w:sz w:val="21"/>
                <w:szCs w:val="21"/>
                <w:highlight w:val="none"/>
              </w:rPr>
            </w:pPr>
            <w:r>
              <w:rPr>
                <w:rFonts w:hint="eastAsia" w:hAnsi="宋体" w:cs="宋体"/>
                <w:color w:val="auto"/>
                <w:sz w:val="21"/>
                <w:szCs w:val="21"/>
                <w:highlight w:val="none"/>
              </w:rPr>
              <w:t xml:space="preserve">340 </w:t>
            </w:r>
          </w:p>
        </w:tc>
      </w:tr>
      <w:tr>
        <w:tblPrEx>
          <w:tblCellMar>
            <w:top w:w="0" w:type="dxa"/>
            <w:left w:w="108" w:type="dxa"/>
            <w:bottom w:w="0" w:type="dxa"/>
            <w:right w:w="108" w:type="dxa"/>
          </w:tblCellMar>
        </w:tblPrEx>
        <w:trPr>
          <w:trHeight w:val="270" w:hRule="atLeast"/>
        </w:trPr>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Ansi="宋体" w:cs="宋体"/>
                <w:color w:val="auto"/>
                <w:sz w:val="21"/>
                <w:szCs w:val="21"/>
                <w:highlight w:val="none"/>
              </w:rPr>
            </w:pPr>
            <w:r>
              <w:rPr>
                <w:rFonts w:hint="eastAsia" w:hAnsi="宋体" w:cs="宋体"/>
                <w:color w:val="auto"/>
                <w:sz w:val="21"/>
                <w:szCs w:val="21"/>
                <w:highlight w:val="none"/>
              </w:rPr>
              <w:t>11</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Ansi="宋体" w:cs="宋体"/>
                <w:color w:val="auto"/>
                <w:sz w:val="21"/>
                <w:szCs w:val="21"/>
                <w:highlight w:val="none"/>
              </w:rPr>
            </w:pPr>
            <w:r>
              <w:rPr>
                <w:rFonts w:hint="eastAsia" w:hAnsi="宋体" w:cs="宋体"/>
                <w:color w:val="auto"/>
                <w:sz w:val="21"/>
                <w:szCs w:val="21"/>
                <w:highlight w:val="none"/>
              </w:rPr>
              <w:t>后丰路</w:t>
            </w:r>
          </w:p>
        </w:tc>
        <w:tc>
          <w:tcPr>
            <w:tcW w:w="1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Ansi="宋体" w:cs="宋体"/>
                <w:color w:val="auto"/>
                <w:sz w:val="21"/>
                <w:szCs w:val="21"/>
                <w:highlight w:val="none"/>
              </w:rPr>
            </w:pPr>
            <w:r>
              <w:rPr>
                <w:rFonts w:hint="eastAsia" w:hAnsi="宋体" w:cs="宋体"/>
                <w:color w:val="auto"/>
                <w:sz w:val="21"/>
                <w:szCs w:val="21"/>
                <w:highlight w:val="none"/>
              </w:rPr>
              <w:t>五一路-后城里街</w:t>
            </w:r>
          </w:p>
        </w:tc>
        <w:tc>
          <w:tcPr>
            <w:tcW w:w="9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Ansi="宋体" w:cs="宋体"/>
                <w:color w:val="auto"/>
                <w:sz w:val="21"/>
                <w:szCs w:val="21"/>
                <w:highlight w:val="none"/>
              </w:rPr>
            </w:pPr>
            <w:r>
              <w:rPr>
                <w:rFonts w:hint="eastAsia" w:hAnsi="宋体" w:cs="宋体"/>
                <w:color w:val="auto"/>
                <w:sz w:val="21"/>
                <w:szCs w:val="21"/>
                <w:highlight w:val="none"/>
              </w:rPr>
              <w:t>550</w:t>
            </w:r>
          </w:p>
        </w:tc>
        <w:tc>
          <w:tcPr>
            <w:tcW w:w="9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Ansi="宋体" w:cs="宋体"/>
                <w:color w:val="auto"/>
                <w:sz w:val="21"/>
                <w:szCs w:val="21"/>
                <w:highlight w:val="none"/>
              </w:rPr>
            </w:pPr>
            <w:r>
              <w:rPr>
                <w:rFonts w:hint="eastAsia" w:hAnsi="宋体" w:cs="宋体"/>
                <w:color w:val="auto"/>
                <w:sz w:val="21"/>
                <w:szCs w:val="21"/>
                <w:highlight w:val="none"/>
              </w:rPr>
              <w:t xml:space="preserve">746 </w:t>
            </w:r>
          </w:p>
        </w:tc>
      </w:tr>
      <w:tr>
        <w:tblPrEx>
          <w:tblCellMar>
            <w:top w:w="0" w:type="dxa"/>
            <w:left w:w="108" w:type="dxa"/>
            <w:bottom w:w="0" w:type="dxa"/>
            <w:right w:w="108" w:type="dxa"/>
          </w:tblCellMar>
        </w:tblPrEx>
        <w:trPr>
          <w:trHeight w:val="270" w:hRule="atLeast"/>
        </w:trPr>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Ansi="宋体" w:cs="宋体"/>
                <w:color w:val="auto"/>
                <w:sz w:val="21"/>
                <w:szCs w:val="21"/>
                <w:highlight w:val="none"/>
              </w:rPr>
            </w:pPr>
            <w:r>
              <w:rPr>
                <w:rFonts w:hint="eastAsia" w:hAnsi="宋体" w:cs="宋体"/>
                <w:color w:val="auto"/>
                <w:sz w:val="21"/>
                <w:szCs w:val="21"/>
                <w:highlight w:val="none"/>
              </w:rPr>
              <w:t>12</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Ansi="宋体" w:cs="宋体"/>
                <w:color w:val="auto"/>
                <w:sz w:val="21"/>
                <w:szCs w:val="21"/>
                <w:highlight w:val="none"/>
              </w:rPr>
            </w:pPr>
            <w:r>
              <w:rPr>
                <w:rFonts w:hint="eastAsia" w:hAnsi="宋体" w:cs="宋体"/>
                <w:color w:val="auto"/>
                <w:sz w:val="21"/>
                <w:szCs w:val="21"/>
                <w:highlight w:val="none"/>
              </w:rPr>
              <w:t>中山西路</w:t>
            </w:r>
          </w:p>
        </w:tc>
        <w:tc>
          <w:tcPr>
            <w:tcW w:w="1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Ansi="宋体" w:cs="宋体"/>
                <w:color w:val="auto"/>
                <w:sz w:val="21"/>
                <w:szCs w:val="21"/>
                <w:highlight w:val="none"/>
              </w:rPr>
            </w:pPr>
            <w:r>
              <w:rPr>
                <w:rFonts w:hint="eastAsia" w:hAnsi="宋体" w:cs="宋体"/>
                <w:color w:val="auto"/>
                <w:sz w:val="21"/>
                <w:szCs w:val="21"/>
                <w:highlight w:val="none"/>
              </w:rPr>
              <w:t>五一路-婺江西路</w:t>
            </w:r>
          </w:p>
        </w:tc>
        <w:tc>
          <w:tcPr>
            <w:tcW w:w="9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Ansi="宋体" w:cs="宋体"/>
                <w:color w:val="auto"/>
                <w:sz w:val="21"/>
                <w:szCs w:val="21"/>
                <w:highlight w:val="none"/>
              </w:rPr>
            </w:pPr>
            <w:r>
              <w:rPr>
                <w:rFonts w:hint="eastAsia" w:hAnsi="宋体" w:cs="宋体"/>
                <w:color w:val="auto"/>
                <w:sz w:val="21"/>
                <w:szCs w:val="21"/>
                <w:highlight w:val="none"/>
              </w:rPr>
              <w:t>610</w:t>
            </w:r>
          </w:p>
        </w:tc>
        <w:tc>
          <w:tcPr>
            <w:tcW w:w="9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Ansi="宋体" w:cs="宋体"/>
                <w:color w:val="auto"/>
                <w:sz w:val="21"/>
                <w:szCs w:val="21"/>
                <w:highlight w:val="none"/>
              </w:rPr>
            </w:pPr>
            <w:r>
              <w:rPr>
                <w:rFonts w:hint="eastAsia" w:hAnsi="宋体" w:cs="宋体"/>
                <w:color w:val="auto"/>
                <w:sz w:val="21"/>
                <w:szCs w:val="21"/>
                <w:highlight w:val="none"/>
              </w:rPr>
              <w:t xml:space="preserve">130 </w:t>
            </w:r>
          </w:p>
        </w:tc>
      </w:tr>
      <w:tr>
        <w:tblPrEx>
          <w:tblCellMar>
            <w:top w:w="0" w:type="dxa"/>
            <w:left w:w="108" w:type="dxa"/>
            <w:bottom w:w="0" w:type="dxa"/>
            <w:right w:w="108" w:type="dxa"/>
          </w:tblCellMar>
        </w:tblPrEx>
        <w:trPr>
          <w:trHeight w:val="540" w:hRule="atLeast"/>
        </w:trPr>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Ansi="宋体" w:cs="宋体"/>
                <w:color w:val="auto"/>
                <w:sz w:val="21"/>
                <w:szCs w:val="21"/>
                <w:highlight w:val="none"/>
              </w:rPr>
            </w:pPr>
            <w:r>
              <w:rPr>
                <w:rFonts w:hint="eastAsia" w:hAnsi="宋体" w:cs="宋体"/>
                <w:color w:val="auto"/>
                <w:sz w:val="21"/>
                <w:szCs w:val="21"/>
                <w:highlight w:val="none"/>
              </w:rPr>
              <w:t>13</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Ansi="宋体" w:cs="宋体"/>
                <w:color w:val="auto"/>
                <w:sz w:val="21"/>
                <w:szCs w:val="21"/>
                <w:highlight w:val="none"/>
              </w:rPr>
            </w:pPr>
            <w:r>
              <w:rPr>
                <w:rFonts w:hint="eastAsia" w:hAnsi="宋体" w:cs="宋体"/>
                <w:color w:val="auto"/>
                <w:sz w:val="21"/>
                <w:szCs w:val="21"/>
                <w:highlight w:val="none"/>
              </w:rPr>
              <w:t>二环北路</w:t>
            </w:r>
          </w:p>
        </w:tc>
        <w:tc>
          <w:tcPr>
            <w:tcW w:w="15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Ansi="宋体" w:cs="宋体"/>
                <w:color w:val="auto"/>
                <w:sz w:val="21"/>
                <w:szCs w:val="21"/>
                <w:highlight w:val="none"/>
              </w:rPr>
            </w:pPr>
            <w:r>
              <w:rPr>
                <w:rFonts w:hint="eastAsia" w:hAnsi="宋体" w:cs="宋体"/>
                <w:color w:val="auto"/>
                <w:sz w:val="21"/>
                <w:szCs w:val="21"/>
                <w:highlight w:val="none"/>
              </w:rPr>
              <w:t>迎宾大道-人民西路延伸口</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Ansi="宋体" w:cs="宋体"/>
                <w:color w:val="auto"/>
                <w:sz w:val="21"/>
                <w:szCs w:val="21"/>
                <w:highlight w:val="none"/>
              </w:rPr>
            </w:pPr>
            <w:r>
              <w:rPr>
                <w:rFonts w:hint="eastAsia" w:hAnsi="宋体" w:cs="宋体"/>
                <w:color w:val="auto"/>
                <w:sz w:val="21"/>
                <w:szCs w:val="21"/>
                <w:highlight w:val="none"/>
              </w:rPr>
              <w:t>5890</w:t>
            </w:r>
          </w:p>
        </w:tc>
        <w:tc>
          <w:tcPr>
            <w:tcW w:w="9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Ansi="宋体" w:cs="宋体"/>
                <w:color w:val="auto"/>
                <w:sz w:val="21"/>
                <w:szCs w:val="21"/>
                <w:highlight w:val="none"/>
              </w:rPr>
            </w:pPr>
            <w:r>
              <w:rPr>
                <w:rFonts w:hint="eastAsia" w:hAnsi="宋体" w:cs="宋体"/>
                <w:color w:val="auto"/>
                <w:sz w:val="21"/>
                <w:szCs w:val="21"/>
                <w:highlight w:val="none"/>
              </w:rPr>
              <w:t xml:space="preserve">16784 </w:t>
            </w:r>
          </w:p>
        </w:tc>
      </w:tr>
      <w:tr>
        <w:tblPrEx>
          <w:tblCellMar>
            <w:top w:w="0" w:type="dxa"/>
            <w:left w:w="108" w:type="dxa"/>
            <w:bottom w:w="0" w:type="dxa"/>
            <w:right w:w="108" w:type="dxa"/>
          </w:tblCellMar>
        </w:tblPrEx>
        <w:trPr>
          <w:trHeight w:val="270" w:hRule="atLeast"/>
        </w:trPr>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Ansi="宋体" w:cs="宋体"/>
                <w:color w:val="auto"/>
                <w:sz w:val="21"/>
                <w:szCs w:val="21"/>
                <w:highlight w:val="none"/>
              </w:rPr>
            </w:pPr>
            <w:r>
              <w:rPr>
                <w:rFonts w:hint="eastAsia" w:hAnsi="宋体" w:cs="宋体"/>
                <w:color w:val="auto"/>
                <w:sz w:val="21"/>
                <w:szCs w:val="21"/>
                <w:highlight w:val="none"/>
              </w:rPr>
              <w:t>14</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Ansi="宋体" w:cs="宋体"/>
                <w:color w:val="auto"/>
                <w:sz w:val="21"/>
                <w:szCs w:val="21"/>
                <w:highlight w:val="none"/>
              </w:rPr>
            </w:pPr>
            <w:r>
              <w:rPr>
                <w:rFonts w:hint="eastAsia" w:hAnsi="宋体" w:cs="宋体"/>
                <w:color w:val="auto"/>
                <w:sz w:val="21"/>
                <w:szCs w:val="21"/>
                <w:highlight w:val="none"/>
              </w:rPr>
              <w:t>北山路</w:t>
            </w:r>
          </w:p>
        </w:tc>
        <w:tc>
          <w:tcPr>
            <w:tcW w:w="1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Ansi="宋体" w:cs="宋体"/>
                <w:color w:val="auto"/>
                <w:sz w:val="21"/>
                <w:szCs w:val="21"/>
                <w:highlight w:val="none"/>
              </w:rPr>
            </w:pPr>
            <w:r>
              <w:rPr>
                <w:rFonts w:hint="eastAsia" w:hAnsi="宋体" w:cs="宋体"/>
                <w:color w:val="auto"/>
                <w:sz w:val="21"/>
                <w:szCs w:val="21"/>
                <w:highlight w:val="none"/>
              </w:rPr>
              <w:t>环城西路-高速桥洞</w:t>
            </w:r>
          </w:p>
        </w:tc>
        <w:tc>
          <w:tcPr>
            <w:tcW w:w="9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Ansi="宋体" w:cs="宋体"/>
                <w:color w:val="auto"/>
                <w:sz w:val="21"/>
                <w:szCs w:val="21"/>
                <w:highlight w:val="none"/>
              </w:rPr>
            </w:pPr>
            <w:r>
              <w:rPr>
                <w:rFonts w:hint="eastAsia" w:hAnsi="宋体" w:cs="宋体"/>
                <w:color w:val="auto"/>
                <w:sz w:val="21"/>
                <w:szCs w:val="21"/>
                <w:highlight w:val="none"/>
              </w:rPr>
              <w:t>2462</w:t>
            </w:r>
          </w:p>
        </w:tc>
        <w:tc>
          <w:tcPr>
            <w:tcW w:w="9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Ansi="宋体" w:cs="宋体"/>
                <w:color w:val="auto"/>
                <w:sz w:val="21"/>
                <w:szCs w:val="21"/>
                <w:highlight w:val="none"/>
              </w:rPr>
            </w:pPr>
            <w:r>
              <w:rPr>
                <w:rFonts w:hint="eastAsia" w:hAnsi="宋体" w:cs="宋体"/>
                <w:color w:val="auto"/>
                <w:sz w:val="21"/>
                <w:szCs w:val="21"/>
                <w:highlight w:val="none"/>
              </w:rPr>
              <w:t xml:space="preserve">6928 </w:t>
            </w:r>
          </w:p>
        </w:tc>
      </w:tr>
      <w:tr>
        <w:tblPrEx>
          <w:tblCellMar>
            <w:top w:w="0" w:type="dxa"/>
            <w:left w:w="108" w:type="dxa"/>
            <w:bottom w:w="0" w:type="dxa"/>
            <w:right w:w="108" w:type="dxa"/>
          </w:tblCellMar>
        </w:tblPrEx>
        <w:trPr>
          <w:trHeight w:val="540" w:hRule="atLeast"/>
        </w:trPr>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Ansi="宋体" w:cs="宋体"/>
                <w:color w:val="auto"/>
                <w:sz w:val="21"/>
                <w:szCs w:val="21"/>
                <w:highlight w:val="none"/>
              </w:rPr>
            </w:pPr>
            <w:r>
              <w:rPr>
                <w:rFonts w:hint="eastAsia" w:hAnsi="宋体" w:cs="宋体"/>
                <w:color w:val="auto"/>
                <w:sz w:val="21"/>
                <w:szCs w:val="21"/>
                <w:highlight w:val="none"/>
              </w:rPr>
              <w:t>15</w:t>
            </w:r>
          </w:p>
        </w:tc>
        <w:tc>
          <w:tcPr>
            <w:tcW w:w="11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Ansi="宋体" w:cs="宋体"/>
                <w:color w:val="auto"/>
                <w:sz w:val="21"/>
                <w:szCs w:val="21"/>
                <w:highlight w:val="none"/>
              </w:rPr>
            </w:pPr>
            <w:r>
              <w:rPr>
                <w:rFonts w:hint="eastAsia" w:hAnsi="宋体" w:cs="宋体"/>
                <w:color w:val="auto"/>
                <w:sz w:val="21"/>
                <w:szCs w:val="21"/>
                <w:highlight w:val="none"/>
              </w:rPr>
              <w:t>杭金衢高速连接线</w:t>
            </w:r>
          </w:p>
        </w:tc>
        <w:tc>
          <w:tcPr>
            <w:tcW w:w="1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Ansi="宋体" w:cs="宋体"/>
                <w:color w:val="auto"/>
                <w:sz w:val="21"/>
                <w:szCs w:val="21"/>
                <w:highlight w:val="none"/>
              </w:rPr>
            </w:pPr>
            <w:r>
              <w:rPr>
                <w:rFonts w:hint="eastAsia" w:hAnsi="宋体" w:cs="宋体"/>
                <w:color w:val="auto"/>
                <w:sz w:val="21"/>
                <w:szCs w:val="21"/>
                <w:highlight w:val="none"/>
              </w:rPr>
              <w:t>迎宾大道-高速收费站</w:t>
            </w:r>
          </w:p>
        </w:tc>
        <w:tc>
          <w:tcPr>
            <w:tcW w:w="9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Ansi="宋体" w:cs="宋体"/>
                <w:color w:val="auto"/>
                <w:sz w:val="21"/>
                <w:szCs w:val="21"/>
                <w:highlight w:val="none"/>
              </w:rPr>
            </w:pPr>
            <w:r>
              <w:rPr>
                <w:rFonts w:hint="eastAsia" w:hAnsi="宋体" w:cs="宋体"/>
                <w:color w:val="auto"/>
                <w:sz w:val="21"/>
                <w:szCs w:val="21"/>
                <w:highlight w:val="none"/>
              </w:rPr>
              <w:t>560</w:t>
            </w:r>
          </w:p>
        </w:tc>
        <w:tc>
          <w:tcPr>
            <w:tcW w:w="9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Ansi="宋体" w:cs="宋体"/>
                <w:color w:val="auto"/>
                <w:sz w:val="21"/>
                <w:szCs w:val="21"/>
                <w:highlight w:val="none"/>
              </w:rPr>
            </w:pPr>
            <w:r>
              <w:rPr>
                <w:rFonts w:hint="eastAsia" w:hAnsi="宋体" w:cs="宋体"/>
                <w:color w:val="auto"/>
                <w:sz w:val="21"/>
                <w:szCs w:val="21"/>
                <w:highlight w:val="none"/>
              </w:rPr>
              <w:t xml:space="preserve">918 </w:t>
            </w:r>
          </w:p>
        </w:tc>
      </w:tr>
      <w:tr>
        <w:tblPrEx>
          <w:tblCellMar>
            <w:top w:w="0" w:type="dxa"/>
            <w:left w:w="108" w:type="dxa"/>
            <w:bottom w:w="0" w:type="dxa"/>
            <w:right w:w="108" w:type="dxa"/>
          </w:tblCellMar>
        </w:tblPrEx>
        <w:trPr>
          <w:trHeight w:val="270" w:hRule="atLeast"/>
        </w:trPr>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Ansi="宋体" w:cs="宋体"/>
                <w:color w:val="auto"/>
                <w:sz w:val="21"/>
                <w:szCs w:val="21"/>
                <w:highlight w:val="none"/>
              </w:rPr>
            </w:pPr>
            <w:r>
              <w:rPr>
                <w:rFonts w:hint="eastAsia" w:hAnsi="宋体" w:cs="宋体"/>
                <w:color w:val="auto"/>
                <w:sz w:val="21"/>
                <w:szCs w:val="21"/>
                <w:highlight w:val="none"/>
              </w:rPr>
              <w:t>16</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Ansi="宋体" w:cs="宋体"/>
                <w:color w:val="auto"/>
                <w:sz w:val="21"/>
                <w:szCs w:val="21"/>
                <w:highlight w:val="none"/>
              </w:rPr>
            </w:pPr>
            <w:r>
              <w:rPr>
                <w:rFonts w:hint="eastAsia" w:hAnsi="宋体" w:cs="宋体"/>
                <w:color w:val="auto"/>
                <w:sz w:val="21"/>
                <w:szCs w:val="21"/>
                <w:highlight w:val="none"/>
              </w:rPr>
              <w:t>芙峰街一期</w:t>
            </w:r>
          </w:p>
        </w:tc>
        <w:tc>
          <w:tcPr>
            <w:tcW w:w="1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Ansi="宋体" w:cs="宋体"/>
                <w:color w:val="auto"/>
                <w:sz w:val="21"/>
                <w:szCs w:val="21"/>
                <w:highlight w:val="none"/>
              </w:rPr>
            </w:pPr>
            <w:r>
              <w:rPr>
                <w:rFonts w:hint="eastAsia" w:hAnsi="宋体" w:cs="宋体"/>
                <w:color w:val="auto"/>
                <w:sz w:val="21"/>
                <w:szCs w:val="21"/>
                <w:highlight w:val="none"/>
              </w:rPr>
              <w:t>丰亭东路-丹光东路</w:t>
            </w:r>
          </w:p>
        </w:tc>
        <w:tc>
          <w:tcPr>
            <w:tcW w:w="9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Ansi="宋体" w:cs="宋体"/>
                <w:color w:val="auto"/>
                <w:sz w:val="21"/>
                <w:szCs w:val="21"/>
                <w:highlight w:val="none"/>
              </w:rPr>
            </w:pPr>
            <w:r>
              <w:rPr>
                <w:rFonts w:hint="eastAsia" w:hAnsi="宋体" w:cs="宋体"/>
                <w:color w:val="auto"/>
                <w:sz w:val="21"/>
                <w:szCs w:val="21"/>
                <w:highlight w:val="none"/>
              </w:rPr>
              <w:t>973</w:t>
            </w:r>
          </w:p>
        </w:tc>
        <w:tc>
          <w:tcPr>
            <w:tcW w:w="9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Ansi="宋体" w:cs="宋体"/>
                <w:color w:val="auto"/>
                <w:sz w:val="21"/>
                <w:szCs w:val="21"/>
                <w:highlight w:val="none"/>
              </w:rPr>
            </w:pPr>
            <w:r>
              <w:rPr>
                <w:rFonts w:hint="eastAsia" w:hAnsi="宋体" w:cs="宋体"/>
                <w:color w:val="auto"/>
                <w:sz w:val="21"/>
                <w:szCs w:val="21"/>
                <w:highlight w:val="none"/>
              </w:rPr>
              <w:t xml:space="preserve">1733 </w:t>
            </w:r>
          </w:p>
        </w:tc>
      </w:tr>
      <w:tr>
        <w:tblPrEx>
          <w:tblCellMar>
            <w:top w:w="0" w:type="dxa"/>
            <w:left w:w="108" w:type="dxa"/>
            <w:bottom w:w="0" w:type="dxa"/>
            <w:right w:w="108" w:type="dxa"/>
          </w:tblCellMar>
        </w:tblPrEx>
        <w:trPr>
          <w:trHeight w:val="270" w:hRule="atLeast"/>
        </w:trPr>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Ansi="宋体" w:cs="宋体"/>
                <w:color w:val="auto"/>
                <w:sz w:val="21"/>
                <w:szCs w:val="21"/>
                <w:highlight w:val="none"/>
              </w:rPr>
            </w:pPr>
            <w:r>
              <w:rPr>
                <w:rFonts w:hint="eastAsia" w:hAnsi="宋体" w:cs="宋体"/>
                <w:color w:val="auto"/>
                <w:sz w:val="21"/>
                <w:szCs w:val="21"/>
                <w:highlight w:val="none"/>
              </w:rPr>
              <w:t>17</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Ansi="宋体" w:cs="宋体"/>
                <w:color w:val="auto"/>
                <w:sz w:val="21"/>
                <w:szCs w:val="21"/>
                <w:highlight w:val="none"/>
              </w:rPr>
            </w:pPr>
            <w:r>
              <w:rPr>
                <w:rFonts w:hint="eastAsia" w:hAnsi="宋体" w:cs="宋体"/>
                <w:color w:val="auto"/>
                <w:sz w:val="21"/>
                <w:szCs w:val="21"/>
                <w:highlight w:val="none"/>
              </w:rPr>
              <w:t>芙峰街铁路下穿</w:t>
            </w:r>
          </w:p>
        </w:tc>
        <w:tc>
          <w:tcPr>
            <w:tcW w:w="1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Ansi="宋体" w:cs="宋体"/>
                <w:color w:val="auto"/>
                <w:sz w:val="21"/>
                <w:szCs w:val="21"/>
                <w:highlight w:val="none"/>
              </w:rPr>
            </w:pPr>
            <w:r>
              <w:rPr>
                <w:rFonts w:hint="eastAsia" w:hAnsi="宋体" w:cs="宋体"/>
                <w:color w:val="auto"/>
                <w:sz w:val="21"/>
                <w:szCs w:val="21"/>
                <w:highlight w:val="none"/>
              </w:rPr>
              <w:t>新华街-丰亭路</w:t>
            </w:r>
          </w:p>
        </w:tc>
        <w:tc>
          <w:tcPr>
            <w:tcW w:w="9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Ansi="宋体" w:cs="宋体"/>
                <w:color w:val="auto"/>
                <w:sz w:val="21"/>
                <w:szCs w:val="21"/>
                <w:highlight w:val="none"/>
              </w:rPr>
            </w:pPr>
            <w:r>
              <w:rPr>
                <w:rFonts w:hint="eastAsia" w:hAnsi="宋体" w:cs="宋体"/>
                <w:color w:val="auto"/>
                <w:sz w:val="21"/>
                <w:szCs w:val="21"/>
                <w:highlight w:val="none"/>
              </w:rPr>
              <w:t>373</w:t>
            </w:r>
          </w:p>
        </w:tc>
        <w:tc>
          <w:tcPr>
            <w:tcW w:w="9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Ansi="宋体" w:cs="宋体"/>
                <w:color w:val="auto"/>
                <w:sz w:val="21"/>
                <w:szCs w:val="21"/>
                <w:highlight w:val="none"/>
              </w:rPr>
            </w:pPr>
            <w:r>
              <w:rPr>
                <w:rFonts w:hint="eastAsia" w:hAnsi="宋体" w:cs="宋体"/>
                <w:color w:val="auto"/>
                <w:sz w:val="21"/>
                <w:szCs w:val="21"/>
                <w:highlight w:val="none"/>
              </w:rPr>
              <w:t xml:space="preserve">412 </w:t>
            </w:r>
          </w:p>
        </w:tc>
      </w:tr>
      <w:tr>
        <w:tblPrEx>
          <w:tblCellMar>
            <w:top w:w="0" w:type="dxa"/>
            <w:left w:w="108" w:type="dxa"/>
            <w:bottom w:w="0" w:type="dxa"/>
            <w:right w:w="108" w:type="dxa"/>
          </w:tblCellMar>
        </w:tblPrEx>
        <w:trPr>
          <w:trHeight w:val="270" w:hRule="atLeast"/>
        </w:trPr>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Ansi="宋体" w:cs="宋体"/>
                <w:color w:val="auto"/>
                <w:sz w:val="21"/>
                <w:szCs w:val="21"/>
                <w:highlight w:val="none"/>
              </w:rPr>
            </w:pPr>
            <w:r>
              <w:rPr>
                <w:rFonts w:hint="eastAsia" w:hAnsi="宋体" w:cs="宋体"/>
                <w:color w:val="auto"/>
                <w:sz w:val="21"/>
                <w:szCs w:val="21"/>
                <w:highlight w:val="none"/>
              </w:rPr>
              <w:t>18</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Ansi="宋体" w:cs="宋体"/>
                <w:color w:val="auto"/>
                <w:sz w:val="21"/>
                <w:szCs w:val="21"/>
                <w:highlight w:val="none"/>
              </w:rPr>
            </w:pPr>
            <w:r>
              <w:rPr>
                <w:rFonts w:hint="eastAsia" w:hAnsi="宋体" w:cs="宋体"/>
                <w:color w:val="auto"/>
                <w:sz w:val="21"/>
                <w:szCs w:val="21"/>
                <w:highlight w:val="none"/>
              </w:rPr>
              <w:t>曙光路</w:t>
            </w:r>
          </w:p>
        </w:tc>
        <w:tc>
          <w:tcPr>
            <w:tcW w:w="1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Ansi="宋体" w:cs="宋体"/>
                <w:color w:val="auto"/>
                <w:sz w:val="21"/>
                <w:szCs w:val="21"/>
                <w:highlight w:val="none"/>
              </w:rPr>
            </w:pPr>
            <w:r>
              <w:rPr>
                <w:rFonts w:hint="eastAsia" w:hAnsi="宋体" w:cs="宋体"/>
                <w:color w:val="auto"/>
                <w:sz w:val="21"/>
                <w:szCs w:val="21"/>
                <w:highlight w:val="none"/>
              </w:rPr>
              <w:t>回溪街-后城里街</w:t>
            </w:r>
          </w:p>
        </w:tc>
        <w:tc>
          <w:tcPr>
            <w:tcW w:w="9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Ansi="宋体" w:cs="宋体"/>
                <w:color w:val="auto"/>
                <w:sz w:val="21"/>
                <w:szCs w:val="21"/>
                <w:highlight w:val="none"/>
              </w:rPr>
            </w:pPr>
            <w:r>
              <w:rPr>
                <w:rFonts w:hint="eastAsia" w:hAnsi="宋体" w:cs="宋体"/>
                <w:color w:val="auto"/>
                <w:sz w:val="21"/>
                <w:szCs w:val="21"/>
                <w:highlight w:val="none"/>
              </w:rPr>
              <w:t>446</w:t>
            </w:r>
          </w:p>
        </w:tc>
        <w:tc>
          <w:tcPr>
            <w:tcW w:w="9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Ansi="宋体" w:cs="宋体"/>
                <w:color w:val="auto"/>
                <w:sz w:val="21"/>
                <w:szCs w:val="21"/>
                <w:highlight w:val="none"/>
              </w:rPr>
            </w:pPr>
            <w:r>
              <w:rPr>
                <w:rFonts w:hint="eastAsia" w:hAnsi="宋体" w:cs="宋体"/>
                <w:color w:val="auto"/>
                <w:sz w:val="21"/>
                <w:szCs w:val="21"/>
                <w:highlight w:val="none"/>
              </w:rPr>
              <w:t xml:space="preserve">627 </w:t>
            </w:r>
          </w:p>
        </w:tc>
      </w:tr>
      <w:tr>
        <w:tblPrEx>
          <w:tblCellMar>
            <w:top w:w="0" w:type="dxa"/>
            <w:left w:w="108" w:type="dxa"/>
            <w:bottom w:w="0" w:type="dxa"/>
            <w:right w:w="108" w:type="dxa"/>
          </w:tblCellMar>
        </w:tblPrEx>
        <w:trPr>
          <w:trHeight w:val="540" w:hRule="atLeast"/>
        </w:trPr>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Ansi="宋体" w:cs="宋体"/>
                <w:color w:val="auto"/>
                <w:sz w:val="21"/>
                <w:szCs w:val="21"/>
                <w:highlight w:val="none"/>
              </w:rPr>
            </w:pPr>
            <w:r>
              <w:rPr>
                <w:rFonts w:hint="eastAsia" w:hAnsi="宋体" w:cs="宋体"/>
                <w:color w:val="auto"/>
                <w:sz w:val="21"/>
                <w:szCs w:val="21"/>
                <w:highlight w:val="none"/>
              </w:rPr>
              <w:t>19</w:t>
            </w:r>
          </w:p>
        </w:tc>
        <w:tc>
          <w:tcPr>
            <w:tcW w:w="11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Ansi="宋体" w:cs="宋体"/>
                <w:color w:val="auto"/>
                <w:sz w:val="21"/>
                <w:szCs w:val="21"/>
                <w:highlight w:val="none"/>
              </w:rPr>
            </w:pPr>
            <w:r>
              <w:rPr>
                <w:rFonts w:hint="eastAsia" w:hAnsi="宋体" w:cs="宋体"/>
                <w:color w:val="auto"/>
                <w:sz w:val="21"/>
                <w:szCs w:val="21"/>
                <w:highlight w:val="none"/>
              </w:rPr>
              <w:t>高铁站改周边市政管网配套工程</w:t>
            </w:r>
          </w:p>
        </w:tc>
        <w:tc>
          <w:tcPr>
            <w:tcW w:w="1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Ansi="宋体" w:cs="宋体"/>
                <w:color w:val="auto"/>
                <w:sz w:val="21"/>
                <w:szCs w:val="21"/>
                <w:highlight w:val="none"/>
              </w:rPr>
            </w:pPr>
            <w:r>
              <w:rPr>
                <w:rFonts w:hint="eastAsia" w:hAnsi="宋体" w:cs="宋体"/>
                <w:color w:val="auto"/>
                <w:sz w:val="21"/>
                <w:szCs w:val="21"/>
                <w:highlight w:val="none"/>
              </w:rPr>
              <w:t>环城西路-铁路</w:t>
            </w:r>
          </w:p>
        </w:tc>
        <w:tc>
          <w:tcPr>
            <w:tcW w:w="9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Ansi="宋体" w:cs="宋体"/>
                <w:color w:val="auto"/>
                <w:sz w:val="21"/>
                <w:szCs w:val="21"/>
                <w:highlight w:val="none"/>
              </w:rPr>
            </w:pPr>
            <w:r>
              <w:rPr>
                <w:rFonts w:hint="eastAsia" w:hAnsi="宋体" w:cs="宋体"/>
                <w:color w:val="auto"/>
                <w:sz w:val="21"/>
                <w:szCs w:val="21"/>
                <w:highlight w:val="none"/>
              </w:rPr>
              <w:t>215</w:t>
            </w:r>
          </w:p>
        </w:tc>
        <w:tc>
          <w:tcPr>
            <w:tcW w:w="9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Ansi="宋体" w:cs="宋体"/>
                <w:color w:val="auto"/>
                <w:sz w:val="21"/>
                <w:szCs w:val="21"/>
                <w:highlight w:val="none"/>
              </w:rPr>
            </w:pPr>
            <w:r>
              <w:rPr>
                <w:rFonts w:hint="eastAsia" w:hAnsi="宋体" w:cs="宋体"/>
                <w:color w:val="auto"/>
                <w:sz w:val="21"/>
                <w:szCs w:val="21"/>
                <w:highlight w:val="none"/>
              </w:rPr>
              <w:t xml:space="preserve">480 </w:t>
            </w:r>
          </w:p>
        </w:tc>
      </w:tr>
      <w:tr>
        <w:tblPrEx>
          <w:tblCellMar>
            <w:top w:w="0" w:type="dxa"/>
            <w:left w:w="108" w:type="dxa"/>
            <w:bottom w:w="0" w:type="dxa"/>
            <w:right w:w="108" w:type="dxa"/>
          </w:tblCellMar>
        </w:tblPrEx>
        <w:trPr>
          <w:trHeight w:val="270" w:hRule="atLeast"/>
        </w:trPr>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Ansi="宋体" w:cs="宋体"/>
                <w:color w:val="auto"/>
                <w:sz w:val="21"/>
                <w:szCs w:val="21"/>
                <w:highlight w:val="none"/>
              </w:rPr>
            </w:pPr>
            <w:r>
              <w:rPr>
                <w:rFonts w:hint="eastAsia" w:hAnsi="宋体" w:cs="宋体"/>
                <w:color w:val="auto"/>
                <w:sz w:val="21"/>
                <w:szCs w:val="21"/>
                <w:highlight w:val="none"/>
              </w:rPr>
              <w:t>20</w:t>
            </w:r>
          </w:p>
        </w:tc>
        <w:tc>
          <w:tcPr>
            <w:tcW w:w="113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Ansi="宋体" w:cs="宋体"/>
                <w:color w:val="auto"/>
                <w:sz w:val="21"/>
                <w:szCs w:val="21"/>
                <w:highlight w:val="none"/>
              </w:rPr>
            </w:pPr>
            <w:r>
              <w:rPr>
                <w:rFonts w:hint="eastAsia" w:hAnsi="宋体" w:cs="宋体"/>
                <w:color w:val="auto"/>
                <w:sz w:val="21"/>
                <w:szCs w:val="21"/>
                <w:highlight w:val="none"/>
              </w:rPr>
              <w:t>凤山街</w:t>
            </w:r>
          </w:p>
        </w:tc>
        <w:tc>
          <w:tcPr>
            <w:tcW w:w="1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Ansi="宋体" w:cs="宋体"/>
                <w:color w:val="auto"/>
                <w:sz w:val="21"/>
                <w:szCs w:val="21"/>
                <w:highlight w:val="none"/>
              </w:rPr>
            </w:pPr>
            <w:r>
              <w:rPr>
                <w:rFonts w:hint="eastAsia" w:hAnsi="宋体" w:cs="宋体"/>
                <w:color w:val="auto"/>
                <w:sz w:val="21"/>
                <w:szCs w:val="21"/>
                <w:highlight w:val="none"/>
              </w:rPr>
              <w:t>解放西路-人民西路</w:t>
            </w:r>
          </w:p>
        </w:tc>
        <w:tc>
          <w:tcPr>
            <w:tcW w:w="9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Ansi="宋体" w:cs="宋体"/>
                <w:color w:val="auto"/>
                <w:sz w:val="21"/>
                <w:szCs w:val="21"/>
                <w:highlight w:val="none"/>
              </w:rPr>
            </w:pPr>
            <w:r>
              <w:rPr>
                <w:rFonts w:hint="eastAsia" w:hAnsi="宋体" w:cs="宋体"/>
                <w:color w:val="auto"/>
                <w:sz w:val="21"/>
                <w:szCs w:val="21"/>
                <w:highlight w:val="none"/>
              </w:rPr>
              <w:t>820</w:t>
            </w:r>
          </w:p>
        </w:tc>
        <w:tc>
          <w:tcPr>
            <w:tcW w:w="9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Ansi="宋体" w:cs="宋体"/>
                <w:color w:val="auto"/>
                <w:sz w:val="21"/>
                <w:szCs w:val="21"/>
                <w:highlight w:val="none"/>
              </w:rPr>
            </w:pPr>
            <w:r>
              <w:rPr>
                <w:rFonts w:hint="eastAsia" w:hAnsi="宋体" w:cs="宋体"/>
                <w:color w:val="auto"/>
                <w:sz w:val="21"/>
                <w:szCs w:val="21"/>
                <w:highlight w:val="none"/>
              </w:rPr>
              <w:t xml:space="preserve">1004 </w:t>
            </w:r>
          </w:p>
        </w:tc>
      </w:tr>
      <w:tr>
        <w:tblPrEx>
          <w:tblCellMar>
            <w:top w:w="0" w:type="dxa"/>
            <w:left w:w="108" w:type="dxa"/>
            <w:bottom w:w="0" w:type="dxa"/>
            <w:right w:w="108" w:type="dxa"/>
          </w:tblCellMar>
        </w:tblPrEx>
        <w:trPr>
          <w:trHeight w:val="270"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Ansi="宋体" w:cs="宋体"/>
                <w:color w:val="auto"/>
                <w:sz w:val="21"/>
                <w:szCs w:val="21"/>
                <w:highlight w:val="none"/>
              </w:rPr>
            </w:pPr>
          </w:p>
        </w:tc>
        <w:tc>
          <w:tcPr>
            <w:tcW w:w="113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Ansi="宋体" w:cs="宋体"/>
                <w:color w:val="auto"/>
                <w:sz w:val="21"/>
                <w:szCs w:val="21"/>
                <w:highlight w:val="none"/>
              </w:rPr>
            </w:pPr>
          </w:p>
        </w:tc>
        <w:tc>
          <w:tcPr>
            <w:tcW w:w="1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Ansi="宋体" w:cs="宋体"/>
                <w:color w:val="auto"/>
                <w:sz w:val="21"/>
                <w:szCs w:val="21"/>
                <w:highlight w:val="none"/>
              </w:rPr>
            </w:pPr>
            <w:r>
              <w:rPr>
                <w:rFonts w:hint="eastAsia" w:hAnsi="宋体" w:cs="宋体"/>
                <w:color w:val="auto"/>
                <w:sz w:val="21"/>
                <w:szCs w:val="21"/>
                <w:highlight w:val="none"/>
              </w:rPr>
              <w:t>人民西路-迪耳路</w:t>
            </w:r>
          </w:p>
        </w:tc>
        <w:tc>
          <w:tcPr>
            <w:tcW w:w="9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Ansi="宋体" w:cs="宋体"/>
                <w:color w:val="auto"/>
                <w:sz w:val="21"/>
                <w:szCs w:val="21"/>
                <w:highlight w:val="none"/>
              </w:rPr>
            </w:pPr>
            <w:r>
              <w:rPr>
                <w:rFonts w:hint="eastAsia" w:hAnsi="宋体" w:cs="宋体"/>
                <w:color w:val="auto"/>
                <w:sz w:val="21"/>
                <w:szCs w:val="21"/>
                <w:highlight w:val="none"/>
              </w:rPr>
              <w:t>174</w:t>
            </w:r>
          </w:p>
        </w:tc>
        <w:tc>
          <w:tcPr>
            <w:tcW w:w="9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Ansi="宋体" w:cs="宋体"/>
                <w:color w:val="auto"/>
                <w:sz w:val="21"/>
                <w:szCs w:val="21"/>
                <w:highlight w:val="none"/>
              </w:rPr>
            </w:pPr>
            <w:r>
              <w:rPr>
                <w:rFonts w:hint="eastAsia" w:hAnsi="宋体" w:cs="宋体"/>
                <w:color w:val="auto"/>
                <w:sz w:val="21"/>
                <w:szCs w:val="21"/>
                <w:highlight w:val="none"/>
              </w:rPr>
              <w:t xml:space="preserve">216 </w:t>
            </w:r>
          </w:p>
        </w:tc>
      </w:tr>
      <w:tr>
        <w:tblPrEx>
          <w:tblCellMar>
            <w:top w:w="0" w:type="dxa"/>
            <w:left w:w="108" w:type="dxa"/>
            <w:bottom w:w="0" w:type="dxa"/>
            <w:right w:w="108" w:type="dxa"/>
          </w:tblCellMar>
        </w:tblPrEx>
        <w:trPr>
          <w:trHeight w:val="270" w:hRule="atLeast"/>
        </w:trPr>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Ansi="宋体" w:cs="宋体"/>
                <w:color w:val="auto"/>
                <w:sz w:val="21"/>
                <w:szCs w:val="21"/>
                <w:highlight w:val="none"/>
              </w:rPr>
            </w:pPr>
            <w:r>
              <w:rPr>
                <w:rFonts w:hint="eastAsia" w:hAnsi="宋体" w:cs="宋体"/>
                <w:color w:val="auto"/>
                <w:sz w:val="21"/>
                <w:szCs w:val="21"/>
                <w:highlight w:val="none"/>
              </w:rPr>
              <w:t>21</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Ansi="宋体" w:cs="宋体"/>
                <w:color w:val="auto"/>
                <w:sz w:val="21"/>
                <w:szCs w:val="21"/>
                <w:highlight w:val="none"/>
              </w:rPr>
            </w:pPr>
            <w:r>
              <w:rPr>
                <w:rFonts w:hint="eastAsia" w:hAnsi="宋体" w:cs="宋体"/>
                <w:color w:val="auto"/>
                <w:sz w:val="21"/>
                <w:szCs w:val="21"/>
                <w:highlight w:val="none"/>
              </w:rPr>
              <w:t>环城东路</w:t>
            </w:r>
          </w:p>
        </w:tc>
        <w:tc>
          <w:tcPr>
            <w:tcW w:w="1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Ansi="宋体" w:cs="宋体"/>
                <w:color w:val="auto"/>
                <w:sz w:val="21"/>
                <w:szCs w:val="21"/>
                <w:highlight w:val="none"/>
              </w:rPr>
            </w:pPr>
            <w:r>
              <w:rPr>
                <w:rFonts w:hint="eastAsia" w:hAnsi="宋体" w:cs="宋体"/>
                <w:color w:val="auto"/>
                <w:sz w:val="21"/>
                <w:szCs w:val="21"/>
                <w:highlight w:val="none"/>
              </w:rPr>
              <w:t>环城北路-东关大桥</w:t>
            </w:r>
          </w:p>
        </w:tc>
        <w:tc>
          <w:tcPr>
            <w:tcW w:w="9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Ansi="宋体" w:cs="宋体"/>
                <w:color w:val="auto"/>
                <w:sz w:val="21"/>
                <w:szCs w:val="21"/>
                <w:highlight w:val="none"/>
              </w:rPr>
            </w:pPr>
            <w:r>
              <w:rPr>
                <w:rFonts w:hint="eastAsia" w:hAnsi="宋体" w:cs="宋体"/>
                <w:color w:val="auto"/>
                <w:sz w:val="21"/>
                <w:szCs w:val="21"/>
                <w:highlight w:val="none"/>
              </w:rPr>
              <w:t>1300</w:t>
            </w:r>
          </w:p>
        </w:tc>
        <w:tc>
          <w:tcPr>
            <w:tcW w:w="9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Ansi="宋体" w:cs="宋体"/>
                <w:color w:val="auto"/>
                <w:sz w:val="21"/>
                <w:szCs w:val="21"/>
                <w:highlight w:val="none"/>
              </w:rPr>
            </w:pPr>
            <w:r>
              <w:rPr>
                <w:rFonts w:hint="eastAsia" w:hAnsi="宋体" w:cs="宋体"/>
                <w:color w:val="auto"/>
                <w:sz w:val="21"/>
                <w:szCs w:val="21"/>
                <w:highlight w:val="none"/>
              </w:rPr>
              <w:t xml:space="preserve">2659 </w:t>
            </w:r>
          </w:p>
        </w:tc>
      </w:tr>
      <w:tr>
        <w:tblPrEx>
          <w:tblCellMar>
            <w:top w:w="0" w:type="dxa"/>
            <w:left w:w="108" w:type="dxa"/>
            <w:bottom w:w="0" w:type="dxa"/>
            <w:right w:w="108" w:type="dxa"/>
          </w:tblCellMar>
        </w:tblPrEx>
        <w:trPr>
          <w:trHeight w:val="270" w:hRule="atLeast"/>
        </w:trPr>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Ansi="宋体" w:cs="宋体"/>
                <w:color w:val="auto"/>
                <w:sz w:val="21"/>
                <w:szCs w:val="21"/>
                <w:highlight w:val="none"/>
              </w:rPr>
            </w:pPr>
            <w:r>
              <w:rPr>
                <w:rFonts w:hint="eastAsia" w:hAnsi="宋体" w:cs="宋体"/>
                <w:color w:val="auto"/>
                <w:sz w:val="21"/>
                <w:szCs w:val="21"/>
                <w:highlight w:val="none"/>
              </w:rPr>
              <w:t>22</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Ansi="宋体" w:cs="宋体"/>
                <w:color w:val="auto"/>
                <w:sz w:val="21"/>
                <w:szCs w:val="21"/>
                <w:highlight w:val="none"/>
              </w:rPr>
            </w:pPr>
            <w:r>
              <w:rPr>
                <w:rFonts w:hint="eastAsia" w:hAnsi="宋体" w:cs="宋体"/>
                <w:color w:val="auto"/>
                <w:sz w:val="21"/>
                <w:szCs w:val="21"/>
                <w:highlight w:val="none"/>
              </w:rPr>
              <w:t>游新北街</w:t>
            </w:r>
          </w:p>
        </w:tc>
        <w:tc>
          <w:tcPr>
            <w:tcW w:w="1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Ansi="宋体" w:cs="宋体"/>
                <w:color w:val="auto"/>
                <w:sz w:val="21"/>
                <w:szCs w:val="21"/>
                <w:highlight w:val="none"/>
              </w:rPr>
            </w:pPr>
            <w:r>
              <w:rPr>
                <w:rFonts w:hint="eastAsia" w:hAnsi="宋体" w:cs="宋体"/>
                <w:color w:val="auto"/>
                <w:sz w:val="21"/>
                <w:szCs w:val="21"/>
                <w:highlight w:val="none"/>
              </w:rPr>
              <w:t>人民东路-旌孝街</w:t>
            </w:r>
          </w:p>
        </w:tc>
        <w:tc>
          <w:tcPr>
            <w:tcW w:w="9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Ansi="宋体" w:cs="宋体"/>
                <w:color w:val="auto"/>
                <w:sz w:val="21"/>
                <w:szCs w:val="21"/>
                <w:highlight w:val="none"/>
              </w:rPr>
            </w:pPr>
            <w:r>
              <w:rPr>
                <w:rFonts w:hint="eastAsia" w:hAnsi="宋体" w:cs="宋体"/>
                <w:color w:val="auto"/>
                <w:sz w:val="21"/>
                <w:szCs w:val="21"/>
                <w:highlight w:val="none"/>
              </w:rPr>
              <w:t>106</w:t>
            </w:r>
          </w:p>
        </w:tc>
        <w:tc>
          <w:tcPr>
            <w:tcW w:w="9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Ansi="宋体" w:cs="宋体"/>
                <w:color w:val="auto"/>
                <w:sz w:val="21"/>
                <w:szCs w:val="21"/>
                <w:highlight w:val="none"/>
              </w:rPr>
            </w:pPr>
            <w:r>
              <w:rPr>
                <w:rFonts w:hint="eastAsia" w:hAnsi="宋体" w:cs="宋体"/>
                <w:color w:val="auto"/>
                <w:sz w:val="21"/>
                <w:szCs w:val="21"/>
                <w:highlight w:val="none"/>
              </w:rPr>
              <w:t xml:space="preserve">190 </w:t>
            </w:r>
          </w:p>
        </w:tc>
      </w:tr>
      <w:tr>
        <w:tblPrEx>
          <w:tblCellMar>
            <w:top w:w="0" w:type="dxa"/>
            <w:left w:w="108" w:type="dxa"/>
            <w:bottom w:w="0" w:type="dxa"/>
            <w:right w:w="108" w:type="dxa"/>
          </w:tblCellMar>
        </w:tblPrEx>
        <w:trPr>
          <w:trHeight w:val="270" w:hRule="atLeast"/>
        </w:trPr>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Ansi="宋体" w:cs="宋体"/>
                <w:color w:val="auto"/>
                <w:sz w:val="21"/>
                <w:szCs w:val="21"/>
                <w:highlight w:val="none"/>
              </w:rPr>
            </w:pPr>
            <w:r>
              <w:rPr>
                <w:rFonts w:hint="eastAsia" w:hAnsi="宋体" w:cs="宋体"/>
                <w:color w:val="auto"/>
                <w:sz w:val="21"/>
                <w:szCs w:val="21"/>
                <w:highlight w:val="none"/>
              </w:rPr>
              <w:t>23</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Ansi="宋体" w:cs="宋体"/>
                <w:color w:val="auto"/>
                <w:sz w:val="21"/>
                <w:szCs w:val="21"/>
                <w:highlight w:val="none"/>
              </w:rPr>
            </w:pPr>
            <w:r>
              <w:rPr>
                <w:rFonts w:hint="eastAsia" w:hAnsi="宋体" w:cs="宋体"/>
                <w:color w:val="auto"/>
                <w:sz w:val="21"/>
                <w:szCs w:val="21"/>
                <w:highlight w:val="none"/>
              </w:rPr>
              <w:t>桃花路</w:t>
            </w:r>
          </w:p>
        </w:tc>
        <w:tc>
          <w:tcPr>
            <w:tcW w:w="1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Ansi="宋体" w:cs="宋体"/>
                <w:color w:val="auto"/>
                <w:sz w:val="21"/>
                <w:szCs w:val="21"/>
                <w:highlight w:val="none"/>
              </w:rPr>
            </w:pPr>
            <w:r>
              <w:rPr>
                <w:rFonts w:hint="eastAsia" w:hAnsi="宋体" w:cs="宋体"/>
                <w:color w:val="auto"/>
                <w:sz w:val="21"/>
                <w:szCs w:val="21"/>
                <w:highlight w:val="none"/>
              </w:rPr>
              <w:t>梅园街-环城东路</w:t>
            </w:r>
          </w:p>
        </w:tc>
        <w:tc>
          <w:tcPr>
            <w:tcW w:w="9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Ansi="宋体" w:cs="宋体"/>
                <w:color w:val="auto"/>
                <w:sz w:val="21"/>
                <w:szCs w:val="21"/>
                <w:highlight w:val="none"/>
              </w:rPr>
            </w:pPr>
            <w:r>
              <w:rPr>
                <w:rFonts w:hint="eastAsia" w:hAnsi="宋体" w:cs="宋体"/>
                <w:color w:val="auto"/>
                <w:sz w:val="21"/>
                <w:szCs w:val="21"/>
                <w:highlight w:val="none"/>
              </w:rPr>
              <w:t>740</w:t>
            </w:r>
          </w:p>
        </w:tc>
        <w:tc>
          <w:tcPr>
            <w:tcW w:w="9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Ansi="宋体" w:cs="宋体"/>
                <w:color w:val="auto"/>
                <w:sz w:val="21"/>
                <w:szCs w:val="21"/>
                <w:highlight w:val="none"/>
              </w:rPr>
            </w:pPr>
            <w:r>
              <w:rPr>
                <w:rFonts w:hint="eastAsia" w:hAnsi="宋体" w:cs="宋体"/>
                <w:color w:val="auto"/>
                <w:sz w:val="21"/>
                <w:szCs w:val="21"/>
                <w:highlight w:val="none"/>
              </w:rPr>
              <w:t xml:space="preserve">1177 </w:t>
            </w:r>
          </w:p>
        </w:tc>
      </w:tr>
      <w:tr>
        <w:tblPrEx>
          <w:tblCellMar>
            <w:top w:w="0" w:type="dxa"/>
            <w:left w:w="108" w:type="dxa"/>
            <w:bottom w:w="0" w:type="dxa"/>
            <w:right w:w="108" w:type="dxa"/>
          </w:tblCellMar>
        </w:tblPrEx>
        <w:trPr>
          <w:trHeight w:val="270" w:hRule="atLeast"/>
        </w:trPr>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Ansi="宋体" w:cs="宋体"/>
                <w:color w:val="auto"/>
                <w:sz w:val="21"/>
                <w:szCs w:val="21"/>
                <w:highlight w:val="none"/>
              </w:rPr>
            </w:pPr>
            <w:r>
              <w:rPr>
                <w:rFonts w:hint="eastAsia" w:hAnsi="宋体" w:cs="宋体"/>
                <w:color w:val="auto"/>
                <w:sz w:val="21"/>
                <w:szCs w:val="21"/>
                <w:highlight w:val="none"/>
              </w:rPr>
              <w:t>24</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Ansi="宋体" w:cs="宋体"/>
                <w:color w:val="auto"/>
                <w:sz w:val="21"/>
                <w:szCs w:val="21"/>
                <w:highlight w:val="none"/>
              </w:rPr>
            </w:pPr>
            <w:r>
              <w:rPr>
                <w:rFonts w:hint="eastAsia" w:hAnsi="宋体" w:cs="宋体"/>
                <w:color w:val="auto"/>
                <w:sz w:val="21"/>
                <w:szCs w:val="21"/>
                <w:highlight w:val="none"/>
              </w:rPr>
              <w:t>金竹路</w:t>
            </w:r>
          </w:p>
        </w:tc>
        <w:tc>
          <w:tcPr>
            <w:tcW w:w="1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Ansi="宋体" w:cs="宋体"/>
                <w:color w:val="auto"/>
                <w:sz w:val="21"/>
                <w:szCs w:val="21"/>
                <w:highlight w:val="none"/>
              </w:rPr>
            </w:pPr>
            <w:r>
              <w:rPr>
                <w:rFonts w:hint="eastAsia" w:hAnsi="宋体" w:cs="宋体"/>
                <w:color w:val="auto"/>
                <w:sz w:val="21"/>
                <w:szCs w:val="21"/>
                <w:highlight w:val="none"/>
              </w:rPr>
              <w:t>环城西路-第二粮库</w:t>
            </w:r>
          </w:p>
        </w:tc>
        <w:tc>
          <w:tcPr>
            <w:tcW w:w="9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Ansi="宋体" w:cs="宋体"/>
                <w:color w:val="auto"/>
                <w:sz w:val="21"/>
                <w:szCs w:val="21"/>
                <w:highlight w:val="none"/>
              </w:rPr>
            </w:pPr>
            <w:r>
              <w:rPr>
                <w:rFonts w:hint="eastAsia" w:hAnsi="宋体" w:cs="宋体"/>
                <w:color w:val="auto"/>
                <w:sz w:val="21"/>
                <w:szCs w:val="21"/>
                <w:highlight w:val="none"/>
              </w:rPr>
              <w:t>650</w:t>
            </w:r>
          </w:p>
        </w:tc>
        <w:tc>
          <w:tcPr>
            <w:tcW w:w="9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Ansi="宋体" w:cs="宋体"/>
                <w:color w:val="auto"/>
                <w:sz w:val="21"/>
                <w:szCs w:val="21"/>
                <w:highlight w:val="none"/>
              </w:rPr>
            </w:pPr>
            <w:r>
              <w:rPr>
                <w:rFonts w:hint="eastAsia" w:hAnsi="宋体" w:cs="宋体"/>
                <w:color w:val="auto"/>
                <w:sz w:val="21"/>
                <w:szCs w:val="21"/>
                <w:highlight w:val="none"/>
              </w:rPr>
              <w:t xml:space="preserve">1828 </w:t>
            </w:r>
          </w:p>
        </w:tc>
      </w:tr>
      <w:tr>
        <w:tblPrEx>
          <w:tblCellMar>
            <w:top w:w="0" w:type="dxa"/>
            <w:left w:w="108" w:type="dxa"/>
            <w:bottom w:w="0" w:type="dxa"/>
            <w:right w:w="108" w:type="dxa"/>
          </w:tblCellMar>
        </w:tblPrEx>
        <w:trPr>
          <w:trHeight w:val="270" w:hRule="atLeast"/>
        </w:trPr>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Ansi="宋体" w:cs="宋体"/>
                <w:color w:val="auto"/>
                <w:sz w:val="21"/>
                <w:szCs w:val="21"/>
                <w:highlight w:val="none"/>
              </w:rPr>
            </w:pPr>
            <w:r>
              <w:rPr>
                <w:rFonts w:hint="eastAsia" w:hAnsi="宋体" w:cs="宋体"/>
                <w:color w:val="auto"/>
                <w:sz w:val="21"/>
                <w:szCs w:val="21"/>
                <w:highlight w:val="none"/>
              </w:rPr>
              <w:t>25</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Ansi="宋体" w:cs="宋体"/>
                <w:color w:val="auto"/>
                <w:sz w:val="21"/>
                <w:szCs w:val="21"/>
                <w:highlight w:val="none"/>
              </w:rPr>
            </w:pPr>
            <w:r>
              <w:rPr>
                <w:rFonts w:hint="eastAsia" w:hAnsi="宋体" w:cs="宋体"/>
                <w:color w:val="auto"/>
                <w:sz w:val="21"/>
                <w:szCs w:val="21"/>
                <w:highlight w:val="none"/>
              </w:rPr>
              <w:t>嘉恒南侧路</w:t>
            </w:r>
          </w:p>
        </w:tc>
        <w:tc>
          <w:tcPr>
            <w:tcW w:w="1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Ansi="宋体" w:cs="宋体"/>
                <w:color w:val="auto"/>
                <w:sz w:val="21"/>
                <w:szCs w:val="21"/>
                <w:highlight w:val="none"/>
              </w:rPr>
            </w:pPr>
            <w:r>
              <w:rPr>
                <w:rFonts w:hint="eastAsia" w:hAnsi="宋体" w:cs="宋体"/>
                <w:color w:val="auto"/>
                <w:sz w:val="21"/>
                <w:szCs w:val="21"/>
                <w:highlight w:val="none"/>
              </w:rPr>
              <w:t>婺江东路-中山路</w:t>
            </w:r>
          </w:p>
        </w:tc>
        <w:tc>
          <w:tcPr>
            <w:tcW w:w="9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Ansi="宋体" w:cs="宋体"/>
                <w:color w:val="auto"/>
                <w:sz w:val="21"/>
                <w:szCs w:val="21"/>
                <w:highlight w:val="none"/>
              </w:rPr>
            </w:pPr>
            <w:r>
              <w:rPr>
                <w:rFonts w:hint="eastAsia" w:hAnsi="宋体" w:cs="宋体"/>
                <w:color w:val="auto"/>
                <w:sz w:val="21"/>
                <w:szCs w:val="21"/>
                <w:highlight w:val="none"/>
              </w:rPr>
              <w:t>166</w:t>
            </w:r>
          </w:p>
        </w:tc>
        <w:tc>
          <w:tcPr>
            <w:tcW w:w="9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Ansi="宋体" w:cs="宋体"/>
                <w:color w:val="auto"/>
                <w:sz w:val="21"/>
                <w:szCs w:val="21"/>
                <w:highlight w:val="none"/>
              </w:rPr>
            </w:pPr>
            <w:r>
              <w:rPr>
                <w:rFonts w:hint="eastAsia" w:hAnsi="宋体" w:cs="宋体"/>
                <w:color w:val="auto"/>
                <w:sz w:val="21"/>
                <w:szCs w:val="21"/>
                <w:highlight w:val="none"/>
              </w:rPr>
              <w:t xml:space="preserve">240 </w:t>
            </w:r>
          </w:p>
        </w:tc>
      </w:tr>
      <w:tr>
        <w:tblPrEx>
          <w:tblCellMar>
            <w:top w:w="0" w:type="dxa"/>
            <w:left w:w="108" w:type="dxa"/>
            <w:bottom w:w="0" w:type="dxa"/>
            <w:right w:w="108" w:type="dxa"/>
          </w:tblCellMar>
        </w:tblPrEx>
        <w:trPr>
          <w:trHeight w:val="270" w:hRule="atLeast"/>
        </w:trPr>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Ansi="宋体" w:cs="宋体"/>
                <w:color w:val="auto"/>
                <w:sz w:val="21"/>
                <w:szCs w:val="21"/>
                <w:highlight w:val="none"/>
              </w:rPr>
            </w:pPr>
            <w:r>
              <w:rPr>
                <w:rFonts w:hint="eastAsia" w:hAnsi="宋体" w:cs="宋体"/>
                <w:color w:val="auto"/>
                <w:sz w:val="21"/>
                <w:szCs w:val="21"/>
                <w:highlight w:val="none"/>
              </w:rPr>
              <w:t>26</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Ansi="宋体" w:cs="宋体"/>
                <w:color w:val="auto"/>
                <w:sz w:val="21"/>
                <w:szCs w:val="21"/>
                <w:highlight w:val="none"/>
              </w:rPr>
            </w:pPr>
            <w:r>
              <w:rPr>
                <w:rFonts w:hint="eastAsia" w:hAnsi="宋体" w:cs="宋体"/>
                <w:color w:val="auto"/>
                <w:sz w:val="21"/>
                <w:szCs w:val="21"/>
                <w:highlight w:val="none"/>
              </w:rPr>
              <w:t>解放西路二期</w:t>
            </w:r>
          </w:p>
        </w:tc>
        <w:tc>
          <w:tcPr>
            <w:tcW w:w="1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Ansi="宋体" w:cs="宋体"/>
                <w:color w:val="auto"/>
                <w:sz w:val="21"/>
                <w:szCs w:val="21"/>
                <w:highlight w:val="none"/>
              </w:rPr>
            </w:pPr>
            <w:r>
              <w:rPr>
                <w:rFonts w:hint="eastAsia" w:hAnsi="宋体" w:cs="宋体"/>
                <w:color w:val="auto"/>
                <w:sz w:val="21"/>
                <w:szCs w:val="21"/>
                <w:highlight w:val="none"/>
              </w:rPr>
              <w:t>环城西路-纵四路</w:t>
            </w:r>
          </w:p>
        </w:tc>
        <w:tc>
          <w:tcPr>
            <w:tcW w:w="9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Ansi="宋体" w:cs="宋体"/>
                <w:color w:val="auto"/>
                <w:sz w:val="21"/>
                <w:szCs w:val="21"/>
                <w:highlight w:val="none"/>
              </w:rPr>
            </w:pPr>
            <w:r>
              <w:rPr>
                <w:rFonts w:hint="eastAsia" w:hAnsi="宋体" w:cs="宋体"/>
                <w:color w:val="auto"/>
                <w:sz w:val="21"/>
                <w:szCs w:val="21"/>
                <w:highlight w:val="none"/>
              </w:rPr>
              <w:t>1005</w:t>
            </w:r>
          </w:p>
        </w:tc>
        <w:tc>
          <w:tcPr>
            <w:tcW w:w="9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Ansi="宋体" w:cs="宋体"/>
                <w:color w:val="auto"/>
                <w:sz w:val="21"/>
                <w:szCs w:val="21"/>
                <w:highlight w:val="none"/>
              </w:rPr>
            </w:pPr>
            <w:r>
              <w:rPr>
                <w:rFonts w:hint="eastAsia" w:hAnsi="宋体" w:cs="宋体"/>
                <w:color w:val="auto"/>
                <w:sz w:val="21"/>
                <w:szCs w:val="21"/>
                <w:highlight w:val="none"/>
              </w:rPr>
              <w:t xml:space="preserve">3261 </w:t>
            </w:r>
          </w:p>
        </w:tc>
      </w:tr>
      <w:tr>
        <w:tblPrEx>
          <w:tblCellMar>
            <w:top w:w="0" w:type="dxa"/>
            <w:left w:w="108" w:type="dxa"/>
            <w:bottom w:w="0" w:type="dxa"/>
            <w:right w:w="108" w:type="dxa"/>
          </w:tblCellMar>
        </w:tblPrEx>
        <w:trPr>
          <w:trHeight w:val="270" w:hRule="atLeast"/>
        </w:trPr>
        <w:tc>
          <w:tcPr>
            <w:tcW w:w="313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Ansi="宋体" w:cs="宋体"/>
                <w:color w:val="auto"/>
                <w:sz w:val="21"/>
                <w:szCs w:val="21"/>
                <w:highlight w:val="none"/>
              </w:rPr>
            </w:pPr>
            <w:r>
              <w:rPr>
                <w:rFonts w:hint="eastAsia" w:hAnsi="宋体" w:cs="宋体"/>
                <w:color w:val="auto"/>
                <w:sz w:val="21"/>
                <w:szCs w:val="21"/>
                <w:highlight w:val="none"/>
              </w:rPr>
              <w:t>合计</w:t>
            </w:r>
          </w:p>
        </w:tc>
        <w:tc>
          <w:tcPr>
            <w:tcW w:w="9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hAnsi="宋体" w:cs="宋体"/>
                <w:color w:val="auto"/>
                <w:sz w:val="21"/>
                <w:szCs w:val="21"/>
                <w:highlight w:val="none"/>
              </w:rPr>
            </w:pPr>
          </w:p>
        </w:tc>
        <w:tc>
          <w:tcPr>
            <w:tcW w:w="9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Ansi="宋体" w:cs="宋体"/>
                <w:color w:val="auto"/>
                <w:sz w:val="21"/>
                <w:szCs w:val="21"/>
                <w:highlight w:val="none"/>
              </w:rPr>
            </w:pPr>
            <w:r>
              <w:rPr>
                <w:rFonts w:hint="eastAsia" w:hAnsi="宋体" w:cs="宋体"/>
                <w:color w:val="auto"/>
                <w:sz w:val="21"/>
                <w:szCs w:val="21"/>
                <w:highlight w:val="none"/>
              </w:rPr>
              <w:t xml:space="preserve">47422 </w:t>
            </w:r>
          </w:p>
        </w:tc>
      </w:tr>
    </w:tbl>
    <w:p>
      <w:pPr>
        <w:numPr>
          <w:ilvl w:val="-1"/>
          <w:numId w:val="0"/>
        </w:numPr>
        <w:ind w:left="0" w:firstLine="0"/>
        <w:rPr>
          <w:rFonts w:hint="eastAsia" w:hAnsi="宋体" w:cs="宋体"/>
          <w:color w:val="auto"/>
          <w:sz w:val="21"/>
          <w:szCs w:val="21"/>
          <w:highlight w:val="none"/>
        </w:rPr>
      </w:pPr>
      <w:r>
        <w:rPr>
          <w:rFonts w:hint="eastAsia" w:hAnsi="宋体" w:cs="宋体"/>
          <w:color w:val="auto"/>
          <w:sz w:val="21"/>
          <w:szCs w:val="21"/>
          <w:highlight w:val="none"/>
          <w:lang w:val="en-US" w:eastAsia="zh-CN"/>
        </w:rPr>
        <w:t>2.</w:t>
      </w:r>
      <w:r>
        <w:rPr>
          <w:rFonts w:hint="eastAsia" w:hAnsi="宋体" w:cs="宋体"/>
          <w:color w:val="auto"/>
          <w:sz w:val="21"/>
          <w:szCs w:val="21"/>
          <w:highlight w:val="none"/>
        </w:rPr>
        <w:t>开发区建成区雨水管网清单</w:t>
      </w:r>
    </w:p>
    <w:tbl>
      <w:tblPr>
        <w:tblStyle w:val="47"/>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922"/>
        <w:gridCol w:w="2131"/>
        <w:gridCol w:w="2918"/>
        <w:gridCol w:w="1699"/>
        <w:gridCol w:w="1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3" w:hRule="atLeast"/>
        </w:trPr>
        <w:tc>
          <w:tcPr>
            <w:tcW w:w="485"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1121"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道路</w:t>
            </w:r>
          </w:p>
        </w:tc>
        <w:tc>
          <w:tcPr>
            <w:tcW w:w="1534" w:type="pct"/>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起止点</w:t>
            </w:r>
          </w:p>
        </w:tc>
        <w:tc>
          <w:tcPr>
            <w:tcW w:w="894"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道路长度</w:t>
            </w:r>
          </w:p>
        </w:tc>
        <w:tc>
          <w:tcPr>
            <w:tcW w:w="964"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雨水管网长度（m）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8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12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双溪西路</w:t>
            </w:r>
          </w:p>
        </w:tc>
        <w:tc>
          <w:tcPr>
            <w:tcW w:w="1534"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婺江大桥～金龙湾</w:t>
            </w:r>
          </w:p>
        </w:tc>
        <w:tc>
          <w:tcPr>
            <w:tcW w:w="89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2540</w:t>
            </w:r>
          </w:p>
        </w:tc>
        <w:tc>
          <w:tcPr>
            <w:tcW w:w="96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85" w:type="pct"/>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121" w:type="pct"/>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八一南街</w:t>
            </w:r>
          </w:p>
        </w:tc>
        <w:tc>
          <w:tcPr>
            <w:tcW w:w="1534"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城南桥～海棠路</w:t>
            </w:r>
          </w:p>
        </w:tc>
        <w:tc>
          <w:tcPr>
            <w:tcW w:w="89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3743</w:t>
            </w:r>
          </w:p>
        </w:tc>
        <w:tc>
          <w:tcPr>
            <w:tcW w:w="964" w:type="pct"/>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85" w:type="pct"/>
            <w:vMerge w:val="continue"/>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121" w:type="pct"/>
            <w:vMerge w:val="continue"/>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534"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海棠路～南二环</w:t>
            </w:r>
          </w:p>
        </w:tc>
        <w:tc>
          <w:tcPr>
            <w:tcW w:w="89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2070</w:t>
            </w:r>
          </w:p>
        </w:tc>
        <w:tc>
          <w:tcPr>
            <w:tcW w:w="964" w:type="pct"/>
            <w:vMerge w:val="continue"/>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85" w:type="pct"/>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121" w:type="pct"/>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双龙南街</w:t>
            </w:r>
          </w:p>
        </w:tc>
        <w:tc>
          <w:tcPr>
            <w:tcW w:w="1534"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双龙大桥～海棠路</w:t>
            </w:r>
          </w:p>
        </w:tc>
        <w:tc>
          <w:tcPr>
            <w:tcW w:w="89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4137</w:t>
            </w:r>
          </w:p>
        </w:tc>
        <w:tc>
          <w:tcPr>
            <w:tcW w:w="964" w:type="pct"/>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15808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85" w:type="pct"/>
            <w:vMerge w:val="continue"/>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121" w:type="pct"/>
            <w:vMerge w:val="continue"/>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534"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海棠路～南二环</w:t>
            </w:r>
          </w:p>
        </w:tc>
        <w:tc>
          <w:tcPr>
            <w:tcW w:w="89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1526</w:t>
            </w:r>
          </w:p>
        </w:tc>
        <w:tc>
          <w:tcPr>
            <w:tcW w:w="964" w:type="pct"/>
            <w:vMerge w:val="continue"/>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8" w:hRule="atLeast"/>
        </w:trPr>
        <w:tc>
          <w:tcPr>
            <w:tcW w:w="48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12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金安公路</w:t>
            </w:r>
          </w:p>
        </w:tc>
        <w:tc>
          <w:tcPr>
            <w:tcW w:w="1534"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南二环～安地牌坊</w:t>
            </w:r>
          </w:p>
        </w:tc>
        <w:tc>
          <w:tcPr>
            <w:tcW w:w="894" w:type="pct"/>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96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8" w:hRule="atLeast"/>
        </w:trPr>
        <w:tc>
          <w:tcPr>
            <w:tcW w:w="48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12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李渔路</w:t>
            </w:r>
          </w:p>
        </w:tc>
        <w:tc>
          <w:tcPr>
            <w:tcW w:w="1534"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双龙南街～环城西路</w:t>
            </w:r>
          </w:p>
        </w:tc>
        <w:tc>
          <w:tcPr>
            <w:tcW w:w="89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1900</w:t>
            </w:r>
          </w:p>
        </w:tc>
        <w:tc>
          <w:tcPr>
            <w:tcW w:w="96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8" w:hRule="atLeast"/>
        </w:trPr>
        <w:tc>
          <w:tcPr>
            <w:tcW w:w="48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12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丹溪路</w:t>
            </w:r>
          </w:p>
        </w:tc>
        <w:tc>
          <w:tcPr>
            <w:tcW w:w="1534"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双龙南街～婺州街</w:t>
            </w:r>
          </w:p>
        </w:tc>
        <w:tc>
          <w:tcPr>
            <w:tcW w:w="89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735</w:t>
            </w:r>
          </w:p>
        </w:tc>
        <w:tc>
          <w:tcPr>
            <w:tcW w:w="96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820.75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8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12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婺州街</w:t>
            </w:r>
          </w:p>
        </w:tc>
        <w:tc>
          <w:tcPr>
            <w:tcW w:w="1534"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河盘桥～和信路</w:t>
            </w:r>
          </w:p>
        </w:tc>
        <w:tc>
          <w:tcPr>
            <w:tcW w:w="89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3434</w:t>
            </w:r>
          </w:p>
        </w:tc>
        <w:tc>
          <w:tcPr>
            <w:tcW w:w="96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8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112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永康街</w:t>
            </w:r>
          </w:p>
        </w:tc>
        <w:tc>
          <w:tcPr>
            <w:tcW w:w="1534"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双溪西路～金磐路</w:t>
            </w:r>
          </w:p>
        </w:tc>
        <w:tc>
          <w:tcPr>
            <w:tcW w:w="89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2245</w:t>
            </w:r>
          </w:p>
        </w:tc>
        <w:tc>
          <w:tcPr>
            <w:tcW w:w="96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8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12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义乌街</w:t>
            </w:r>
          </w:p>
        </w:tc>
        <w:tc>
          <w:tcPr>
            <w:tcW w:w="1534"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亚峰路～和悦路</w:t>
            </w:r>
          </w:p>
        </w:tc>
        <w:tc>
          <w:tcPr>
            <w:tcW w:w="89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3476</w:t>
            </w:r>
          </w:p>
        </w:tc>
        <w:tc>
          <w:tcPr>
            <w:tcW w:w="96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5788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8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112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府前路</w:t>
            </w:r>
          </w:p>
        </w:tc>
        <w:tc>
          <w:tcPr>
            <w:tcW w:w="1534"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双龙南街～兰溪街</w:t>
            </w:r>
          </w:p>
        </w:tc>
        <w:tc>
          <w:tcPr>
            <w:tcW w:w="89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458</w:t>
            </w:r>
          </w:p>
        </w:tc>
        <w:tc>
          <w:tcPr>
            <w:tcW w:w="96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85" w:type="pct"/>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121" w:type="pct"/>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东阳街</w:t>
            </w:r>
          </w:p>
        </w:tc>
        <w:tc>
          <w:tcPr>
            <w:tcW w:w="1534"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宾虹路～海棠路</w:t>
            </w:r>
          </w:p>
        </w:tc>
        <w:tc>
          <w:tcPr>
            <w:tcW w:w="89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3087</w:t>
            </w:r>
          </w:p>
        </w:tc>
        <w:tc>
          <w:tcPr>
            <w:tcW w:w="964" w:type="pct"/>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85" w:type="pct"/>
            <w:vMerge w:val="continue"/>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121" w:type="pct"/>
            <w:vMerge w:val="continue"/>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534"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海棠路～梅溪桥头北</w:t>
            </w:r>
          </w:p>
        </w:tc>
        <w:tc>
          <w:tcPr>
            <w:tcW w:w="89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1475</w:t>
            </w:r>
          </w:p>
        </w:tc>
        <w:tc>
          <w:tcPr>
            <w:tcW w:w="964" w:type="pct"/>
            <w:vMerge w:val="continue"/>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48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112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兰溪街</w:t>
            </w:r>
          </w:p>
        </w:tc>
        <w:tc>
          <w:tcPr>
            <w:tcW w:w="1534"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宾虹路～李渔路    海棠东路～南二环</w:t>
            </w:r>
          </w:p>
        </w:tc>
        <w:tc>
          <w:tcPr>
            <w:tcW w:w="89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2600</w:t>
            </w:r>
          </w:p>
        </w:tc>
        <w:tc>
          <w:tcPr>
            <w:tcW w:w="96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8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112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浦江街</w:t>
            </w:r>
          </w:p>
        </w:tc>
        <w:tc>
          <w:tcPr>
            <w:tcW w:w="1534"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双溪西路～李渔路</w:t>
            </w:r>
          </w:p>
        </w:tc>
        <w:tc>
          <w:tcPr>
            <w:tcW w:w="89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857</w:t>
            </w:r>
          </w:p>
        </w:tc>
        <w:tc>
          <w:tcPr>
            <w:tcW w:w="96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8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112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亚峰路</w:t>
            </w:r>
          </w:p>
        </w:tc>
        <w:tc>
          <w:tcPr>
            <w:tcW w:w="1534"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义乌街～八一南街</w:t>
            </w:r>
          </w:p>
        </w:tc>
        <w:tc>
          <w:tcPr>
            <w:tcW w:w="89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506</w:t>
            </w:r>
          </w:p>
        </w:tc>
        <w:tc>
          <w:tcPr>
            <w:tcW w:w="96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85" w:type="pct"/>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1121" w:type="pct"/>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双馨路</w:t>
            </w:r>
          </w:p>
        </w:tc>
        <w:tc>
          <w:tcPr>
            <w:tcW w:w="1534"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双龙南街～浦江街</w:t>
            </w:r>
          </w:p>
        </w:tc>
        <w:tc>
          <w:tcPr>
            <w:tcW w:w="89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1170</w:t>
            </w:r>
          </w:p>
        </w:tc>
        <w:tc>
          <w:tcPr>
            <w:tcW w:w="964" w:type="pct"/>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85" w:type="pct"/>
            <w:vMerge w:val="continue"/>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121" w:type="pct"/>
            <w:vMerge w:val="continue"/>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534"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浦江街～磐安街</w:t>
            </w:r>
          </w:p>
        </w:tc>
        <w:tc>
          <w:tcPr>
            <w:tcW w:w="89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214</w:t>
            </w:r>
          </w:p>
        </w:tc>
        <w:tc>
          <w:tcPr>
            <w:tcW w:w="964" w:type="pct"/>
            <w:vMerge w:val="continue"/>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85" w:type="pct"/>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1121" w:type="pct"/>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磐安街</w:t>
            </w:r>
          </w:p>
        </w:tc>
        <w:tc>
          <w:tcPr>
            <w:tcW w:w="1534"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宾虹路～西关菜场</w:t>
            </w:r>
          </w:p>
        </w:tc>
        <w:tc>
          <w:tcPr>
            <w:tcW w:w="89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389</w:t>
            </w:r>
          </w:p>
        </w:tc>
        <w:tc>
          <w:tcPr>
            <w:tcW w:w="964" w:type="pct"/>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85" w:type="pct"/>
            <w:vMerge w:val="continue"/>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121" w:type="pct"/>
            <w:vMerge w:val="continue"/>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534"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宾虹路～李渔路</w:t>
            </w:r>
          </w:p>
        </w:tc>
        <w:tc>
          <w:tcPr>
            <w:tcW w:w="89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361</w:t>
            </w:r>
          </w:p>
        </w:tc>
        <w:tc>
          <w:tcPr>
            <w:tcW w:w="964" w:type="pct"/>
            <w:vMerge w:val="continue"/>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8" w:hRule="atLeast"/>
        </w:trPr>
        <w:tc>
          <w:tcPr>
            <w:tcW w:w="48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112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龙川路</w:t>
            </w:r>
          </w:p>
        </w:tc>
        <w:tc>
          <w:tcPr>
            <w:tcW w:w="1534"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东阳街～双龙南街</w:t>
            </w:r>
          </w:p>
        </w:tc>
        <w:tc>
          <w:tcPr>
            <w:tcW w:w="89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1064</w:t>
            </w:r>
          </w:p>
        </w:tc>
        <w:tc>
          <w:tcPr>
            <w:tcW w:w="96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8" w:hRule="atLeast"/>
        </w:trPr>
        <w:tc>
          <w:tcPr>
            <w:tcW w:w="48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12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和悦路</w:t>
            </w:r>
          </w:p>
        </w:tc>
        <w:tc>
          <w:tcPr>
            <w:tcW w:w="1534"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东阳街～双龙南街</w:t>
            </w:r>
          </w:p>
        </w:tc>
        <w:tc>
          <w:tcPr>
            <w:tcW w:w="89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1239</w:t>
            </w:r>
          </w:p>
        </w:tc>
        <w:tc>
          <w:tcPr>
            <w:tcW w:w="96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8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112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河道街</w:t>
            </w:r>
          </w:p>
        </w:tc>
        <w:tc>
          <w:tcPr>
            <w:tcW w:w="1534"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双溪西路～江滨路</w:t>
            </w:r>
          </w:p>
        </w:tc>
        <w:tc>
          <w:tcPr>
            <w:tcW w:w="89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249</w:t>
            </w:r>
          </w:p>
        </w:tc>
        <w:tc>
          <w:tcPr>
            <w:tcW w:w="96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8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112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环城南路</w:t>
            </w:r>
          </w:p>
        </w:tc>
        <w:tc>
          <w:tcPr>
            <w:tcW w:w="1534"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洪坞桥头～婺州街</w:t>
            </w:r>
          </w:p>
        </w:tc>
        <w:tc>
          <w:tcPr>
            <w:tcW w:w="89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3209</w:t>
            </w:r>
          </w:p>
        </w:tc>
        <w:tc>
          <w:tcPr>
            <w:tcW w:w="96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8" w:hRule="atLeast"/>
        </w:trPr>
        <w:tc>
          <w:tcPr>
            <w:tcW w:w="48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w:t>
            </w:r>
          </w:p>
        </w:tc>
        <w:tc>
          <w:tcPr>
            <w:tcW w:w="112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志和路</w:t>
            </w:r>
          </w:p>
        </w:tc>
        <w:tc>
          <w:tcPr>
            <w:tcW w:w="1534"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八一南街～南二环</w:t>
            </w:r>
          </w:p>
        </w:tc>
        <w:tc>
          <w:tcPr>
            <w:tcW w:w="894" w:type="pct"/>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96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8" w:hRule="atLeast"/>
        </w:trPr>
        <w:tc>
          <w:tcPr>
            <w:tcW w:w="48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112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后山街</w:t>
            </w:r>
          </w:p>
        </w:tc>
        <w:tc>
          <w:tcPr>
            <w:tcW w:w="1534"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八一南街～东阳街</w:t>
            </w:r>
          </w:p>
        </w:tc>
        <w:tc>
          <w:tcPr>
            <w:tcW w:w="894" w:type="pct"/>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96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8" w:hRule="atLeast"/>
        </w:trPr>
        <w:tc>
          <w:tcPr>
            <w:tcW w:w="48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112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仙源东路</w:t>
            </w:r>
          </w:p>
        </w:tc>
        <w:tc>
          <w:tcPr>
            <w:tcW w:w="1534"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志和路～兰溪街</w:t>
            </w:r>
          </w:p>
        </w:tc>
        <w:tc>
          <w:tcPr>
            <w:tcW w:w="894" w:type="pct"/>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96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8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w:t>
            </w:r>
          </w:p>
        </w:tc>
        <w:tc>
          <w:tcPr>
            <w:tcW w:w="112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和畅路</w:t>
            </w:r>
          </w:p>
        </w:tc>
        <w:tc>
          <w:tcPr>
            <w:tcW w:w="1534"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八一南街～义乌街</w:t>
            </w:r>
          </w:p>
        </w:tc>
        <w:tc>
          <w:tcPr>
            <w:tcW w:w="89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540</w:t>
            </w:r>
          </w:p>
        </w:tc>
        <w:tc>
          <w:tcPr>
            <w:tcW w:w="96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8" w:hRule="atLeast"/>
        </w:trPr>
        <w:tc>
          <w:tcPr>
            <w:tcW w:w="48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w:t>
            </w:r>
          </w:p>
        </w:tc>
        <w:tc>
          <w:tcPr>
            <w:tcW w:w="112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海棠路</w:t>
            </w:r>
          </w:p>
        </w:tc>
        <w:tc>
          <w:tcPr>
            <w:tcW w:w="1534"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全村街～金帆街</w:t>
            </w:r>
          </w:p>
        </w:tc>
        <w:tc>
          <w:tcPr>
            <w:tcW w:w="89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1200</w:t>
            </w:r>
          </w:p>
        </w:tc>
        <w:tc>
          <w:tcPr>
            <w:tcW w:w="96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trPr>
        <w:tc>
          <w:tcPr>
            <w:tcW w:w="485" w:type="pct"/>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121" w:type="pct"/>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建教街</w:t>
            </w:r>
          </w:p>
        </w:tc>
        <w:tc>
          <w:tcPr>
            <w:tcW w:w="1534"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河道街～双龙南街</w:t>
            </w:r>
          </w:p>
        </w:tc>
        <w:tc>
          <w:tcPr>
            <w:tcW w:w="89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363</w:t>
            </w:r>
          </w:p>
        </w:tc>
        <w:tc>
          <w:tcPr>
            <w:tcW w:w="964" w:type="pct"/>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485" w:type="pct"/>
            <w:vMerge w:val="continue"/>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121" w:type="pct"/>
            <w:vMerge w:val="continue"/>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534"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双溪西路～婺新小区门口</w:t>
            </w:r>
          </w:p>
        </w:tc>
        <w:tc>
          <w:tcPr>
            <w:tcW w:w="89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203</w:t>
            </w:r>
          </w:p>
        </w:tc>
        <w:tc>
          <w:tcPr>
            <w:tcW w:w="964" w:type="pct"/>
            <w:vMerge w:val="continue"/>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85" w:type="pct"/>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w:t>
            </w:r>
          </w:p>
        </w:tc>
        <w:tc>
          <w:tcPr>
            <w:tcW w:w="1121" w:type="pct"/>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金磐路</w:t>
            </w:r>
          </w:p>
        </w:tc>
        <w:tc>
          <w:tcPr>
            <w:tcW w:w="1534"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双龙南街～东阳街</w:t>
            </w:r>
          </w:p>
        </w:tc>
        <w:tc>
          <w:tcPr>
            <w:tcW w:w="89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1716</w:t>
            </w:r>
          </w:p>
        </w:tc>
        <w:tc>
          <w:tcPr>
            <w:tcW w:w="964" w:type="pct"/>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85" w:type="pct"/>
            <w:vMerge w:val="continue"/>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121" w:type="pct"/>
            <w:vMerge w:val="continue"/>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534"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婺州街～双龙南街</w:t>
            </w:r>
          </w:p>
        </w:tc>
        <w:tc>
          <w:tcPr>
            <w:tcW w:w="894" w:type="pct"/>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964" w:type="pct"/>
            <w:vMerge w:val="continue"/>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8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w:t>
            </w:r>
          </w:p>
        </w:tc>
        <w:tc>
          <w:tcPr>
            <w:tcW w:w="112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下官桥路</w:t>
            </w:r>
          </w:p>
        </w:tc>
        <w:tc>
          <w:tcPr>
            <w:tcW w:w="1534"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双溪西路～龙渎桥</w:t>
            </w:r>
          </w:p>
        </w:tc>
        <w:tc>
          <w:tcPr>
            <w:tcW w:w="89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175</w:t>
            </w:r>
          </w:p>
        </w:tc>
        <w:tc>
          <w:tcPr>
            <w:tcW w:w="96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8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w:t>
            </w:r>
          </w:p>
        </w:tc>
        <w:tc>
          <w:tcPr>
            <w:tcW w:w="112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长宁路</w:t>
            </w:r>
          </w:p>
        </w:tc>
        <w:tc>
          <w:tcPr>
            <w:tcW w:w="1534"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双龙南街～下官桥</w:t>
            </w:r>
          </w:p>
        </w:tc>
        <w:tc>
          <w:tcPr>
            <w:tcW w:w="89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356</w:t>
            </w:r>
          </w:p>
        </w:tc>
        <w:tc>
          <w:tcPr>
            <w:tcW w:w="96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48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w:t>
            </w:r>
          </w:p>
        </w:tc>
        <w:tc>
          <w:tcPr>
            <w:tcW w:w="112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宾虹路198弄</w:t>
            </w:r>
          </w:p>
        </w:tc>
        <w:tc>
          <w:tcPr>
            <w:tcW w:w="1534"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宾虹路～明星路</w:t>
            </w:r>
          </w:p>
        </w:tc>
        <w:tc>
          <w:tcPr>
            <w:tcW w:w="894" w:type="pct"/>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96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8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w:t>
            </w:r>
          </w:p>
        </w:tc>
        <w:tc>
          <w:tcPr>
            <w:tcW w:w="112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兰亭街</w:t>
            </w:r>
          </w:p>
        </w:tc>
        <w:tc>
          <w:tcPr>
            <w:tcW w:w="1534"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宾虹路～丹溪路</w:t>
            </w:r>
          </w:p>
        </w:tc>
        <w:tc>
          <w:tcPr>
            <w:tcW w:w="894" w:type="pct"/>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96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8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w:t>
            </w:r>
          </w:p>
        </w:tc>
        <w:tc>
          <w:tcPr>
            <w:tcW w:w="112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宏信街</w:t>
            </w:r>
          </w:p>
        </w:tc>
        <w:tc>
          <w:tcPr>
            <w:tcW w:w="1534"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李渔路～新华花园</w:t>
            </w:r>
          </w:p>
        </w:tc>
        <w:tc>
          <w:tcPr>
            <w:tcW w:w="894" w:type="pct"/>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96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w:t>
            </w:r>
          </w:p>
        </w:tc>
        <w:tc>
          <w:tcPr>
            <w:tcW w:w="112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衡香街</w:t>
            </w:r>
          </w:p>
        </w:tc>
        <w:tc>
          <w:tcPr>
            <w:tcW w:w="1534"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李渔路～双鹊路</w:t>
            </w:r>
          </w:p>
        </w:tc>
        <w:tc>
          <w:tcPr>
            <w:tcW w:w="89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277</w:t>
            </w:r>
          </w:p>
        </w:tc>
        <w:tc>
          <w:tcPr>
            <w:tcW w:w="96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8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w:t>
            </w:r>
          </w:p>
        </w:tc>
        <w:tc>
          <w:tcPr>
            <w:tcW w:w="112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兰溪街613号北侧　</w:t>
            </w:r>
          </w:p>
        </w:tc>
        <w:tc>
          <w:tcPr>
            <w:tcW w:w="1534"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兰溪街～广天绿城花园</w:t>
            </w:r>
          </w:p>
        </w:tc>
        <w:tc>
          <w:tcPr>
            <w:tcW w:w="894" w:type="pct"/>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96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39</w:t>
            </w:r>
          </w:p>
        </w:tc>
        <w:tc>
          <w:tcPr>
            <w:tcW w:w="112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双馨路309弄</w:t>
            </w:r>
          </w:p>
        </w:tc>
        <w:tc>
          <w:tcPr>
            <w:tcW w:w="1534"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宾虹路～双馨路</w:t>
            </w:r>
          </w:p>
        </w:tc>
        <w:tc>
          <w:tcPr>
            <w:tcW w:w="89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208</w:t>
            </w:r>
          </w:p>
        </w:tc>
        <w:tc>
          <w:tcPr>
            <w:tcW w:w="96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112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农科教西侧路</w:t>
            </w:r>
          </w:p>
        </w:tc>
        <w:tc>
          <w:tcPr>
            <w:tcW w:w="1534"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李渔路至农科教南侧路</w:t>
            </w:r>
          </w:p>
        </w:tc>
        <w:tc>
          <w:tcPr>
            <w:tcW w:w="89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193</w:t>
            </w:r>
          </w:p>
        </w:tc>
        <w:tc>
          <w:tcPr>
            <w:tcW w:w="96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w:t>
            </w:r>
          </w:p>
        </w:tc>
        <w:tc>
          <w:tcPr>
            <w:tcW w:w="112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农科教南侧路</w:t>
            </w:r>
          </w:p>
        </w:tc>
        <w:tc>
          <w:tcPr>
            <w:tcW w:w="1534"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永康街～双龙南街</w:t>
            </w:r>
          </w:p>
        </w:tc>
        <w:tc>
          <w:tcPr>
            <w:tcW w:w="89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279</w:t>
            </w:r>
          </w:p>
        </w:tc>
        <w:tc>
          <w:tcPr>
            <w:tcW w:w="96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8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w:t>
            </w:r>
          </w:p>
        </w:tc>
        <w:tc>
          <w:tcPr>
            <w:tcW w:w="112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义乌街127弄</w:t>
            </w:r>
          </w:p>
        </w:tc>
        <w:tc>
          <w:tcPr>
            <w:tcW w:w="1534"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义乌街～金钱寺村</w:t>
            </w:r>
          </w:p>
        </w:tc>
        <w:tc>
          <w:tcPr>
            <w:tcW w:w="894" w:type="pct"/>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96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pct"/>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w:t>
            </w:r>
          </w:p>
        </w:tc>
        <w:tc>
          <w:tcPr>
            <w:tcW w:w="1121" w:type="pct"/>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四联路</w:t>
            </w:r>
          </w:p>
        </w:tc>
        <w:tc>
          <w:tcPr>
            <w:tcW w:w="1534"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兰溪街～永康街</w:t>
            </w:r>
          </w:p>
        </w:tc>
        <w:tc>
          <w:tcPr>
            <w:tcW w:w="89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884</w:t>
            </w:r>
          </w:p>
        </w:tc>
        <w:tc>
          <w:tcPr>
            <w:tcW w:w="96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pct"/>
            <w:vMerge w:val="continue"/>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121" w:type="pct"/>
            <w:vMerge w:val="continue"/>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534"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李渔路～婺州街</w:t>
            </w:r>
          </w:p>
        </w:tc>
        <w:tc>
          <w:tcPr>
            <w:tcW w:w="89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537</w:t>
            </w:r>
          </w:p>
        </w:tc>
        <w:tc>
          <w:tcPr>
            <w:tcW w:w="96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w:t>
            </w:r>
          </w:p>
        </w:tc>
        <w:tc>
          <w:tcPr>
            <w:tcW w:w="112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兰欣里</w:t>
            </w:r>
          </w:p>
        </w:tc>
        <w:tc>
          <w:tcPr>
            <w:tcW w:w="1534"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兰溪街～小区围墙</w:t>
            </w:r>
          </w:p>
        </w:tc>
        <w:tc>
          <w:tcPr>
            <w:tcW w:w="89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96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48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w:t>
            </w:r>
          </w:p>
        </w:tc>
        <w:tc>
          <w:tcPr>
            <w:tcW w:w="112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宾江路223弄</w:t>
            </w:r>
          </w:p>
        </w:tc>
        <w:tc>
          <w:tcPr>
            <w:tcW w:w="1534"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长宁路～宾江路</w:t>
            </w:r>
          </w:p>
        </w:tc>
        <w:tc>
          <w:tcPr>
            <w:tcW w:w="894" w:type="pct"/>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96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48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46</w:t>
            </w:r>
          </w:p>
        </w:tc>
        <w:tc>
          <w:tcPr>
            <w:tcW w:w="112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婺申巷</w:t>
            </w:r>
          </w:p>
        </w:tc>
        <w:tc>
          <w:tcPr>
            <w:tcW w:w="1534"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婺州街以西（申华新村）</w:t>
            </w:r>
          </w:p>
        </w:tc>
        <w:tc>
          <w:tcPr>
            <w:tcW w:w="894" w:type="pct"/>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96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8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47</w:t>
            </w:r>
          </w:p>
        </w:tc>
        <w:tc>
          <w:tcPr>
            <w:tcW w:w="1121" w:type="pct"/>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534"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八中南侧路(建教街）</w:t>
            </w:r>
          </w:p>
        </w:tc>
        <w:tc>
          <w:tcPr>
            <w:tcW w:w="89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315</w:t>
            </w:r>
          </w:p>
        </w:tc>
        <w:tc>
          <w:tcPr>
            <w:tcW w:w="96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3141" w:type="pct"/>
            <w:gridSpan w:val="3"/>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hAnsi="宋体" w:cs="宋体"/>
                <w:i w:val="0"/>
                <w:iCs w:val="0"/>
                <w:color w:val="auto"/>
                <w:kern w:val="0"/>
                <w:sz w:val="21"/>
                <w:szCs w:val="21"/>
                <w:highlight w:val="none"/>
                <w:u w:val="none"/>
                <w:lang w:val="en-US" w:eastAsia="zh-CN" w:bidi="ar"/>
              </w:rPr>
              <w:t>合计</w:t>
            </w:r>
          </w:p>
        </w:tc>
        <w:tc>
          <w:tcPr>
            <w:tcW w:w="89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6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fldChar w:fldCharType="begin"/>
            </w:r>
            <w:r>
              <w:rPr>
                <w:rFonts w:hint="eastAsia" w:ascii="宋体" w:hAnsi="宋体" w:eastAsia="宋体" w:cs="宋体"/>
                <w:i w:val="0"/>
                <w:iCs w:val="0"/>
                <w:color w:val="auto"/>
                <w:kern w:val="0"/>
                <w:sz w:val="21"/>
                <w:szCs w:val="21"/>
                <w:highlight w:val="none"/>
                <w:u w:val="none"/>
                <w:lang w:val="en-US" w:eastAsia="zh-CN" w:bidi="ar"/>
              </w:rPr>
              <w:instrText xml:space="preserve"> = sum(E2:E52) \* MERGEFORMAT </w:instrText>
            </w:r>
            <w:r>
              <w:rPr>
                <w:rFonts w:hint="eastAsia" w:ascii="宋体" w:hAnsi="宋体" w:eastAsia="宋体" w:cs="宋体"/>
                <w:i w:val="0"/>
                <w:iCs w:val="0"/>
                <w:color w:val="auto"/>
                <w:kern w:val="0"/>
                <w:sz w:val="21"/>
                <w:szCs w:val="21"/>
                <w:highlight w:val="none"/>
                <w:u w:val="none"/>
                <w:lang w:val="en-US" w:eastAsia="zh-CN" w:bidi="ar"/>
              </w:rPr>
              <w:fldChar w:fldCharType="separate"/>
            </w:r>
            <w:r>
              <w:rPr>
                <w:rFonts w:hint="eastAsia" w:ascii="宋体" w:hAnsi="宋体" w:eastAsia="宋体" w:cs="宋体"/>
                <w:i w:val="0"/>
                <w:iCs w:val="0"/>
                <w:color w:val="auto"/>
                <w:kern w:val="0"/>
                <w:sz w:val="21"/>
                <w:szCs w:val="21"/>
                <w:highlight w:val="none"/>
                <w:u w:val="none"/>
                <w:lang w:val="en-US" w:eastAsia="zh-CN" w:bidi="ar"/>
              </w:rPr>
              <w:t>13570</w:t>
            </w:r>
            <w:r>
              <w:rPr>
                <w:rFonts w:hint="eastAsia"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fldChar w:fldCharType="end"/>
            </w:r>
          </w:p>
        </w:tc>
      </w:tr>
    </w:tbl>
    <w:p>
      <w:pPr>
        <w:numPr>
          <w:ilvl w:val="-1"/>
          <w:numId w:val="0"/>
        </w:numPr>
        <w:ind w:left="142" w:firstLine="0"/>
        <w:rPr>
          <w:rFonts w:hint="eastAsia" w:hAnsi="宋体" w:cs="宋体"/>
          <w:color w:val="auto"/>
          <w:sz w:val="21"/>
          <w:szCs w:val="21"/>
          <w:highlight w:val="none"/>
        </w:rPr>
      </w:pPr>
      <w:r>
        <w:rPr>
          <w:rFonts w:hint="eastAsia" w:hAnsi="宋体" w:cs="宋体"/>
          <w:color w:val="auto"/>
          <w:sz w:val="21"/>
          <w:szCs w:val="21"/>
          <w:highlight w:val="none"/>
          <w:lang w:val="en-US" w:eastAsia="zh-CN"/>
        </w:rPr>
        <w:t>3.</w:t>
      </w:r>
      <w:r>
        <w:rPr>
          <w:rFonts w:hint="eastAsia" w:hAnsi="宋体" w:cs="宋体"/>
          <w:color w:val="auto"/>
          <w:sz w:val="21"/>
          <w:szCs w:val="21"/>
          <w:highlight w:val="none"/>
        </w:rPr>
        <w:t>开发区工业园区雨水管网清单</w:t>
      </w:r>
    </w:p>
    <w:tbl>
      <w:tblPr>
        <w:tblStyle w:val="47"/>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949"/>
        <w:gridCol w:w="2122"/>
        <w:gridCol w:w="2907"/>
        <w:gridCol w:w="1622"/>
        <w:gridCol w:w="1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3" w:hRule="atLeast"/>
        </w:trPr>
        <w:tc>
          <w:tcPr>
            <w:tcW w:w="499"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1116"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道路名称</w:t>
            </w:r>
          </w:p>
        </w:tc>
        <w:tc>
          <w:tcPr>
            <w:tcW w:w="1528" w:type="pct"/>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起止点</w:t>
            </w:r>
          </w:p>
        </w:tc>
        <w:tc>
          <w:tcPr>
            <w:tcW w:w="853"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道路长度（m）</w:t>
            </w:r>
          </w:p>
        </w:tc>
        <w:tc>
          <w:tcPr>
            <w:tcW w:w="1001"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雨水管网长度（m）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4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11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双溪西路</w:t>
            </w:r>
          </w:p>
        </w:tc>
        <w:tc>
          <w:tcPr>
            <w:tcW w:w="1528"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铁路桥-环城西路</w:t>
            </w:r>
          </w:p>
        </w:tc>
        <w:tc>
          <w:tcPr>
            <w:tcW w:w="85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1250</w:t>
            </w:r>
          </w:p>
        </w:tc>
        <w:tc>
          <w:tcPr>
            <w:tcW w:w="100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11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大盘街</w:t>
            </w:r>
          </w:p>
        </w:tc>
        <w:tc>
          <w:tcPr>
            <w:tcW w:w="1528"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金星街-宾虹路</w:t>
            </w:r>
          </w:p>
        </w:tc>
        <w:tc>
          <w:tcPr>
            <w:tcW w:w="85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674</w:t>
            </w:r>
          </w:p>
        </w:tc>
        <w:tc>
          <w:tcPr>
            <w:tcW w:w="100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11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宾虹路</w:t>
            </w:r>
          </w:p>
        </w:tc>
        <w:tc>
          <w:tcPr>
            <w:tcW w:w="1528"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宾虹路桥头加油站-环城西路</w:t>
            </w:r>
          </w:p>
        </w:tc>
        <w:tc>
          <w:tcPr>
            <w:tcW w:w="85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2835</w:t>
            </w:r>
          </w:p>
        </w:tc>
        <w:tc>
          <w:tcPr>
            <w:tcW w:w="100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5724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11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东晶路</w:t>
            </w:r>
          </w:p>
        </w:tc>
        <w:tc>
          <w:tcPr>
            <w:tcW w:w="1528"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九峰街-秋涛街</w:t>
            </w:r>
          </w:p>
        </w:tc>
        <w:tc>
          <w:tcPr>
            <w:tcW w:w="85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730</w:t>
            </w:r>
          </w:p>
        </w:tc>
        <w:tc>
          <w:tcPr>
            <w:tcW w:w="100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11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金衢路</w:t>
            </w:r>
          </w:p>
        </w:tc>
        <w:tc>
          <w:tcPr>
            <w:tcW w:w="1528"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海棠路（330国道）-环城西路</w:t>
            </w:r>
          </w:p>
        </w:tc>
        <w:tc>
          <w:tcPr>
            <w:tcW w:w="85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3099</w:t>
            </w:r>
          </w:p>
        </w:tc>
        <w:tc>
          <w:tcPr>
            <w:tcW w:w="100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9867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11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绿源路</w:t>
            </w:r>
          </w:p>
        </w:tc>
        <w:tc>
          <w:tcPr>
            <w:tcW w:w="1528"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花溪路-白露街</w:t>
            </w:r>
          </w:p>
        </w:tc>
        <w:tc>
          <w:tcPr>
            <w:tcW w:w="85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302</w:t>
            </w:r>
          </w:p>
        </w:tc>
        <w:tc>
          <w:tcPr>
            <w:tcW w:w="100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4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11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博联路</w:t>
            </w:r>
          </w:p>
        </w:tc>
        <w:tc>
          <w:tcPr>
            <w:tcW w:w="1528"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白露街-金星街</w:t>
            </w:r>
          </w:p>
        </w:tc>
        <w:tc>
          <w:tcPr>
            <w:tcW w:w="85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296</w:t>
            </w:r>
          </w:p>
        </w:tc>
        <w:tc>
          <w:tcPr>
            <w:tcW w:w="100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99" w:type="pct"/>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116" w:type="pct"/>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八达路</w:t>
            </w:r>
          </w:p>
        </w:tc>
        <w:tc>
          <w:tcPr>
            <w:tcW w:w="1528"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积道街-金帆街</w:t>
            </w:r>
          </w:p>
        </w:tc>
        <w:tc>
          <w:tcPr>
            <w:tcW w:w="85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468</w:t>
            </w:r>
          </w:p>
        </w:tc>
        <w:tc>
          <w:tcPr>
            <w:tcW w:w="100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99" w:type="pct"/>
            <w:vMerge w:val="continue"/>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116" w:type="pct"/>
            <w:vMerge w:val="continue"/>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528"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南二环-积道街</w:t>
            </w:r>
          </w:p>
        </w:tc>
        <w:tc>
          <w:tcPr>
            <w:tcW w:w="85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3534</w:t>
            </w:r>
          </w:p>
        </w:tc>
        <w:tc>
          <w:tcPr>
            <w:tcW w:w="100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111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金地路</w:t>
            </w:r>
          </w:p>
        </w:tc>
        <w:tc>
          <w:tcPr>
            <w:tcW w:w="1528"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豪森智慧谷-八达路</w:t>
            </w:r>
          </w:p>
        </w:tc>
        <w:tc>
          <w:tcPr>
            <w:tcW w:w="85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249</w:t>
            </w:r>
          </w:p>
        </w:tc>
        <w:tc>
          <w:tcPr>
            <w:tcW w:w="100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11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美和路</w:t>
            </w:r>
          </w:p>
        </w:tc>
        <w:tc>
          <w:tcPr>
            <w:tcW w:w="1528"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花溪路-金帆街</w:t>
            </w:r>
          </w:p>
        </w:tc>
        <w:tc>
          <w:tcPr>
            <w:tcW w:w="85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2233</w:t>
            </w:r>
          </w:p>
        </w:tc>
        <w:tc>
          <w:tcPr>
            <w:tcW w:w="100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111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熟溪路</w:t>
            </w:r>
          </w:p>
        </w:tc>
        <w:tc>
          <w:tcPr>
            <w:tcW w:w="1528"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金星街-积道街</w:t>
            </w:r>
          </w:p>
        </w:tc>
        <w:tc>
          <w:tcPr>
            <w:tcW w:w="85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1619</w:t>
            </w:r>
          </w:p>
        </w:tc>
        <w:tc>
          <w:tcPr>
            <w:tcW w:w="100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11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花溪路</w:t>
            </w:r>
          </w:p>
        </w:tc>
        <w:tc>
          <w:tcPr>
            <w:tcW w:w="1528"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金衢路-琅峰街西侧200米处</w:t>
            </w:r>
          </w:p>
        </w:tc>
        <w:tc>
          <w:tcPr>
            <w:tcW w:w="85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3290</w:t>
            </w:r>
          </w:p>
        </w:tc>
        <w:tc>
          <w:tcPr>
            <w:tcW w:w="100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111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始丰路</w:t>
            </w:r>
          </w:p>
        </w:tc>
        <w:tc>
          <w:tcPr>
            <w:tcW w:w="1528"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八达路-仙华街</w:t>
            </w:r>
          </w:p>
        </w:tc>
        <w:tc>
          <w:tcPr>
            <w:tcW w:w="85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2496</w:t>
            </w:r>
          </w:p>
        </w:tc>
        <w:tc>
          <w:tcPr>
            <w:tcW w:w="100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111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龙潭路</w:t>
            </w:r>
          </w:p>
        </w:tc>
        <w:tc>
          <w:tcPr>
            <w:tcW w:w="1528"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金星街-仙华街西侧350米处</w:t>
            </w:r>
          </w:p>
        </w:tc>
        <w:tc>
          <w:tcPr>
            <w:tcW w:w="85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915</w:t>
            </w:r>
          </w:p>
        </w:tc>
        <w:tc>
          <w:tcPr>
            <w:tcW w:w="100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111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仙源路</w:t>
            </w:r>
          </w:p>
        </w:tc>
        <w:tc>
          <w:tcPr>
            <w:tcW w:w="1528"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八达路-德胜街</w:t>
            </w:r>
          </w:p>
        </w:tc>
        <w:tc>
          <w:tcPr>
            <w:tcW w:w="85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4064</w:t>
            </w:r>
          </w:p>
        </w:tc>
        <w:tc>
          <w:tcPr>
            <w:tcW w:w="100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111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神丽路</w:t>
            </w:r>
          </w:p>
        </w:tc>
        <w:tc>
          <w:tcPr>
            <w:tcW w:w="1528"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月镜街-德胜街</w:t>
            </w:r>
          </w:p>
        </w:tc>
        <w:tc>
          <w:tcPr>
            <w:tcW w:w="85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3475</w:t>
            </w:r>
          </w:p>
        </w:tc>
        <w:tc>
          <w:tcPr>
            <w:tcW w:w="100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111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夹溪路</w:t>
            </w:r>
          </w:p>
        </w:tc>
        <w:tc>
          <w:tcPr>
            <w:tcW w:w="1528"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屏岩街-德胜街</w:t>
            </w:r>
          </w:p>
        </w:tc>
        <w:tc>
          <w:tcPr>
            <w:tcW w:w="85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2315</w:t>
            </w:r>
          </w:p>
        </w:tc>
        <w:tc>
          <w:tcPr>
            <w:tcW w:w="100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111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九峰街</w:t>
            </w:r>
          </w:p>
        </w:tc>
        <w:tc>
          <w:tcPr>
            <w:tcW w:w="1528"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宾虹路-金衢路</w:t>
            </w:r>
          </w:p>
        </w:tc>
        <w:tc>
          <w:tcPr>
            <w:tcW w:w="85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459</w:t>
            </w:r>
          </w:p>
        </w:tc>
        <w:tc>
          <w:tcPr>
            <w:tcW w:w="100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111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金星街</w:t>
            </w:r>
          </w:p>
        </w:tc>
        <w:tc>
          <w:tcPr>
            <w:tcW w:w="1528"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双溪西路-南二环</w:t>
            </w:r>
          </w:p>
        </w:tc>
        <w:tc>
          <w:tcPr>
            <w:tcW w:w="85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5013</w:t>
            </w:r>
          </w:p>
        </w:tc>
        <w:tc>
          <w:tcPr>
            <w:tcW w:w="100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11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秋涛街</w:t>
            </w:r>
          </w:p>
        </w:tc>
        <w:tc>
          <w:tcPr>
            <w:tcW w:w="1528"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双溪西路-金衢路</w:t>
            </w:r>
          </w:p>
        </w:tc>
        <w:tc>
          <w:tcPr>
            <w:tcW w:w="85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1016</w:t>
            </w:r>
          </w:p>
        </w:tc>
        <w:tc>
          <w:tcPr>
            <w:tcW w:w="100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111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方岩街</w:t>
            </w:r>
          </w:p>
        </w:tc>
        <w:tc>
          <w:tcPr>
            <w:tcW w:w="1528"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双溪西路-宾虹路</w:t>
            </w:r>
          </w:p>
        </w:tc>
        <w:tc>
          <w:tcPr>
            <w:tcW w:w="85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362</w:t>
            </w:r>
          </w:p>
        </w:tc>
        <w:tc>
          <w:tcPr>
            <w:tcW w:w="100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111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环城西路</w:t>
            </w:r>
          </w:p>
        </w:tc>
        <w:tc>
          <w:tcPr>
            <w:tcW w:w="1528"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金衢路-八达路</w:t>
            </w:r>
          </w:p>
        </w:tc>
        <w:tc>
          <w:tcPr>
            <w:tcW w:w="85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584</w:t>
            </w:r>
          </w:p>
        </w:tc>
        <w:tc>
          <w:tcPr>
            <w:tcW w:w="100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w:t>
            </w:r>
          </w:p>
        </w:tc>
        <w:tc>
          <w:tcPr>
            <w:tcW w:w="111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金帆街</w:t>
            </w:r>
          </w:p>
        </w:tc>
        <w:tc>
          <w:tcPr>
            <w:tcW w:w="1528"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八达路-海棠路</w:t>
            </w:r>
          </w:p>
        </w:tc>
        <w:tc>
          <w:tcPr>
            <w:tcW w:w="85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1447</w:t>
            </w:r>
          </w:p>
        </w:tc>
        <w:tc>
          <w:tcPr>
            <w:tcW w:w="100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111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积道街</w:t>
            </w:r>
          </w:p>
        </w:tc>
        <w:tc>
          <w:tcPr>
            <w:tcW w:w="1528"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金衢路-美和路</w:t>
            </w:r>
          </w:p>
        </w:tc>
        <w:tc>
          <w:tcPr>
            <w:tcW w:w="85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1675</w:t>
            </w:r>
          </w:p>
        </w:tc>
        <w:tc>
          <w:tcPr>
            <w:tcW w:w="100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111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仙华街</w:t>
            </w:r>
          </w:p>
        </w:tc>
        <w:tc>
          <w:tcPr>
            <w:tcW w:w="1528"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八达路-南二环</w:t>
            </w:r>
          </w:p>
        </w:tc>
        <w:tc>
          <w:tcPr>
            <w:tcW w:w="85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3093</w:t>
            </w:r>
          </w:p>
        </w:tc>
        <w:tc>
          <w:tcPr>
            <w:tcW w:w="100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4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w:t>
            </w:r>
          </w:p>
        </w:tc>
        <w:tc>
          <w:tcPr>
            <w:tcW w:w="111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仙华南街</w:t>
            </w:r>
          </w:p>
        </w:tc>
        <w:tc>
          <w:tcPr>
            <w:tcW w:w="1528"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南二环-纬五路</w:t>
            </w:r>
          </w:p>
        </w:tc>
        <w:tc>
          <w:tcPr>
            <w:tcW w:w="853" w:type="pct"/>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00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w:t>
            </w:r>
          </w:p>
        </w:tc>
        <w:tc>
          <w:tcPr>
            <w:tcW w:w="111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琅峰街</w:t>
            </w:r>
          </w:p>
        </w:tc>
        <w:tc>
          <w:tcPr>
            <w:tcW w:w="1528"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美和路北150米处-海棠路</w:t>
            </w:r>
          </w:p>
        </w:tc>
        <w:tc>
          <w:tcPr>
            <w:tcW w:w="85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721</w:t>
            </w:r>
          </w:p>
        </w:tc>
        <w:tc>
          <w:tcPr>
            <w:tcW w:w="100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w:t>
            </w:r>
          </w:p>
        </w:tc>
        <w:tc>
          <w:tcPr>
            <w:tcW w:w="111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石城街</w:t>
            </w:r>
          </w:p>
        </w:tc>
        <w:tc>
          <w:tcPr>
            <w:tcW w:w="1528"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八达路-始丰路</w:t>
            </w:r>
          </w:p>
        </w:tc>
        <w:tc>
          <w:tcPr>
            <w:tcW w:w="85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1130</w:t>
            </w:r>
          </w:p>
        </w:tc>
        <w:tc>
          <w:tcPr>
            <w:tcW w:w="100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w:t>
            </w:r>
          </w:p>
        </w:tc>
        <w:tc>
          <w:tcPr>
            <w:tcW w:w="111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涌雪街</w:t>
            </w:r>
          </w:p>
        </w:tc>
        <w:tc>
          <w:tcPr>
            <w:tcW w:w="1528"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石城街-夹溪路</w:t>
            </w:r>
          </w:p>
        </w:tc>
        <w:tc>
          <w:tcPr>
            <w:tcW w:w="85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2311</w:t>
            </w:r>
          </w:p>
        </w:tc>
        <w:tc>
          <w:tcPr>
            <w:tcW w:w="100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11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屏岩街</w:t>
            </w:r>
          </w:p>
        </w:tc>
        <w:tc>
          <w:tcPr>
            <w:tcW w:w="1528"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始丰路-夹溪路</w:t>
            </w:r>
          </w:p>
        </w:tc>
        <w:tc>
          <w:tcPr>
            <w:tcW w:w="85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1533</w:t>
            </w:r>
          </w:p>
        </w:tc>
        <w:tc>
          <w:tcPr>
            <w:tcW w:w="100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w:t>
            </w:r>
          </w:p>
        </w:tc>
        <w:tc>
          <w:tcPr>
            <w:tcW w:w="111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双林街</w:t>
            </w:r>
          </w:p>
        </w:tc>
        <w:tc>
          <w:tcPr>
            <w:tcW w:w="1528"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始丰路-夹溪路</w:t>
            </w:r>
          </w:p>
        </w:tc>
        <w:tc>
          <w:tcPr>
            <w:tcW w:w="85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613</w:t>
            </w:r>
          </w:p>
        </w:tc>
        <w:tc>
          <w:tcPr>
            <w:tcW w:w="100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w:t>
            </w:r>
          </w:p>
        </w:tc>
        <w:tc>
          <w:tcPr>
            <w:tcW w:w="111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月镜街</w:t>
            </w:r>
          </w:p>
        </w:tc>
        <w:tc>
          <w:tcPr>
            <w:tcW w:w="1528"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仙源路-夹溪路</w:t>
            </w:r>
          </w:p>
        </w:tc>
        <w:tc>
          <w:tcPr>
            <w:tcW w:w="85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685</w:t>
            </w:r>
          </w:p>
        </w:tc>
        <w:tc>
          <w:tcPr>
            <w:tcW w:w="100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w:t>
            </w:r>
          </w:p>
        </w:tc>
        <w:tc>
          <w:tcPr>
            <w:tcW w:w="111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纬一路</w:t>
            </w:r>
          </w:p>
        </w:tc>
        <w:tc>
          <w:tcPr>
            <w:tcW w:w="1528"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石门路-仙华南街</w:t>
            </w:r>
          </w:p>
        </w:tc>
        <w:tc>
          <w:tcPr>
            <w:tcW w:w="85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880</w:t>
            </w:r>
          </w:p>
        </w:tc>
        <w:tc>
          <w:tcPr>
            <w:tcW w:w="100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w:t>
            </w:r>
          </w:p>
        </w:tc>
        <w:tc>
          <w:tcPr>
            <w:tcW w:w="111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纬二路（新宏路）</w:t>
            </w:r>
          </w:p>
        </w:tc>
        <w:tc>
          <w:tcPr>
            <w:tcW w:w="1528"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石门路-仙华南街</w:t>
            </w:r>
          </w:p>
        </w:tc>
        <w:tc>
          <w:tcPr>
            <w:tcW w:w="85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1127</w:t>
            </w:r>
          </w:p>
        </w:tc>
        <w:tc>
          <w:tcPr>
            <w:tcW w:w="100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4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w:t>
            </w:r>
          </w:p>
        </w:tc>
        <w:tc>
          <w:tcPr>
            <w:tcW w:w="111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纬三路</w:t>
            </w:r>
          </w:p>
        </w:tc>
        <w:tc>
          <w:tcPr>
            <w:tcW w:w="1528"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石门路-金星南街</w:t>
            </w:r>
          </w:p>
        </w:tc>
        <w:tc>
          <w:tcPr>
            <w:tcW w:w="853" w:type="pct"/>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00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4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w:t>
            </w:r>
          </w:p>
        </w:tc>
        <w:tc>
          <w:tcPr>
            <w:tcW w:w="111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纬四路</w:t>
            </w:r>
          </w:p>
        </w:tc>
        <w:tc>
          <w:tcPr>
            <w:tcW w:w="1528"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石门路-经四街</w:t>
            </w:r>
          </w:p>
        </w:tc>
        <w:tc>
          <w:tcPr>
            <w:tcW w:w="853" w:type="pct"/>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00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4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w:t>
            </w:r>
          </w:p>
        </w:tc>
        <w:tc>
          <w:tcPr>
            <w:tcW w:w="111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纬五路</w:t>
            </w:r>
          </w:p>
        </w:tc>
        <w:tc>
          <w:tcPr>
            <w:tcW w:w="1528"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石门路-经四街</w:t>
            </w:r>
          </w:p>
        </w:tc>
        <w:tc>
          <w:tcPr>
            <w:tcW w:w="853" w:type="pct"/>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00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4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w:t>
            </w:r>
          </w:p>
        </w:tc>
        <w:tc>
          <w:tcPr>
            <w:tcW w:w="111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经三街</w:t>
            </w:r>
          </w:p>
        </w:tc>
        <w:tc>
          <w:tcPr>
            <w:tcW w:w="1528"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纬一路-纬五路</w:t>
            </w:r>
          </w:p>
        </w:tc>
        <w:tc>
          <w:tcPr>
            <w:tcW w:w="853" w:type="pct"/>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00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39</w:t>
            </w:r>
          </w:p>
        </w:tc>
        <w:tc>
          <w:tcPr>
            <w:tcW w:w="111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金星南街</w:t>
            </w:r>
          </w:p>
        </w:tc>
        <w:tc>
          <w:tcPr>
            <w:tcW w:w="1528"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南二环-纬五路</w:t>
            </w:r>
          </w:p>
        </w:tc>
        <w:tc>
          <w:tcPr>
            <w:tcW w:w="853" w:type="pct"/>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00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4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111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经四街</w:t>
            </w:r>
          </w:p>
        </w:tc>
        <w:tc>
          <w:tcPr>
            <w:tcW w:w="1528"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纬一路-纬五路</w:t>
            </w:r>
          </w:p>
        </w:tc>
        <w:tc>
          <w:tcPr>
            <w:tcW w:w="853" w:type="pct"/>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00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w:t>
            </w:r>
          </w:p>
        </w:tc>
        <w:tc>
          <w:tcPr>
            <w:tcW w:w="111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壶源路</w:t>
            </w:r>
          </w:p>
        </w:tc>
        <w:tc>
          <w:tcPr>
            <w:tcW w:w="1528"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积道街-金帆街</w:t>
            </w:r>
          </w:p>
        </w:tc>
        <w:tc>
          <w:tcPr>
            <w:tcW w:w="85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192</w:t>
            </w:r>
          </w:p>
        </w:tc>
        <w:tc>
          <w:tcPr>
            <w:tcW w:w="100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w:t>
            </w:r>
          </w:p>
        </w:tc>
        <w:tc>
          <w:tcPr>
            <w:tcW w:w="111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兴滨街</w:t>
            </w:r>
          </w:p>
        </w:tc>
        <w:tc>
          <w:tcPr>
            <w:tcW w:w="1528"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金衢路-白露街</w:t>
            </w:r>
          </w:p>
        </w:tc>
        <w:tc>
          <w:tcPr>
            <w:tcW w:w="85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457</w:t>
            </w:r>
          </w:p>
        </w:tc>
        <w:tc>
          <w:tcPr>
            <w:tcW w:w="100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w:t>
            </w:r>
          </w:p>
        </w:tc>
        <w:tc>
          <w:tcPr>
            <w:tcW w:w="111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双锦街</w:t>
            </w:r>
          </w:p>
        </w:tc>
        <w:tc>
          <w:tcPr>
            <w:tcW w:w="1528"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金衢路-八达路</w:t>
            </w:r>
          </w:p>
        </w:tc>
        <w:tc>
          <w:tcPr>
            <w:tcW w:w="85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648</w:t>
            </w:r>
          </w:p>
        </w:tc>
        <w:tc>
          <w:tcPr>
            <w:tcW w:w="100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w:t>
            </w:r>
          </w:p>
        </w:tc>
        <w:tc>
          <w:tcPr>
            <w:tcW w:w="111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白露街</w:t>
            </w:r>
          </w:p>
        </w:tc>
        <w:tc>
          <w:tcPr>
            <w:tcW w:w="1528"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金衢路-花溪路</w:t>
            </w:r>
          </w:p>
        </w:tc>
        <w:tc>
          <w:tcPr>
            <w:tcW w:w="85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691</w:t>
            </w:r>
          </w:p>
        </w:tc>
        <w:tc>
          <w:tcPr>
            <w:tcW w:w="100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w:t>
            </w:r>
          </w:p>
        </w:tc>
        <w:tc>
          <w:tcPr>
            <w:tcW w:w="111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德胜街</w:t>
            </w:r>
          </w:p>
        </w:tc>
        <w:tc>
          <w:tcPr>
            <w:tcW w:w="1528"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海棠西路-夹溪路</w:t>
            </w:r>
          </w:p>
        </w:tc>
        <w:tc>
          <w:tcPr>
            <w:tcW w:w="85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w:t>
            </w:r>
          </w:p>
        </w:tc>
        <w:tc>
          <w:tcPr>
            <w:tcW w:w="100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9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46</w:t>
            </w:r>
          </w:p>
        </w:tc>
        <w:tc>
          <w:tcPr>
            <w:tcW w:w="111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桃岩街</w:t>
            </w:r>
          </w:p>
        </w:tc>
        <w:tc>
          <w:tcPr>
            <w:tcW w:w="1528"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仙源路-神丽路</w:t>
            </w:r>
          </w:p>
        </w:tc>
        <w:tc>
          <w:tcPr>
            <w:tcW w:w="85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449</w:t>
            </w:r>
          </w:p>
        </w:tc>
        <w:tc>
          <w:tcPr>
            <w:tcW w:w="100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144" w:type="pct"/>
            <w:gridSpan w:val="3"/>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hAnsi="宋体" w:cs="宋体"/>
                <w:i w:val="0"/>
                <w:iCs w:val="0"/>
                <w:color w:val="auto"/>
                <w:kern w:val="0"/>
                <w:sz w:val="21"/>
                <w:szCs w:val="21"/>
                <w:highlight w:val="none"/>
                <w:u w:val="none"/>
                <w:lang w:val="en-US" w:eastAsia="zh-CN" w:bidi="ar"/>
              </w:rPr>
              <w:t>合计</w:t>
            </w:r>
          </w:p>
        </w:tc>
        <w:tc>
          <w:tcPr>
            <w:tcW w:w="85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0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fldChar w:fldCharType="begin"/>
            </w:r>
            <w:r>
              <w:rPr>
                <w:rFonts w:hint="eastAsia" w:ascii="宋体" w:hAnsi="宋体" w:eastAsia="宋体" w:cs="宋体"/>
                <w:i w:val="0"/>
                <w:iCs w:val="0"/>
                <w:color w:val="auto"/>
                <w:kern w:val="0"/>
                <w:sz w:val="21"/>
                <w:szCs w:val="21"/>
                <w:highlight w:val="none"/>
                <w:u w:val="none"/>
                <w:lang w:val="en-US" w:eastAsia="zh-CN" w:bidi="ar"/>
              </w:rPr>
              <w:instrText xml:space="preserve"> = sum(E2:E48) \* MERGEFORMAT </w:instrText>
            </w:r>
            <w:r>
              <w:rPr>
                <w:rFonts w:hint="eastAsia" w:ascii="宋体" w:hAnsi="宋体" w:eastAsia="宋体" w:cs="宋体"/>
                <w:i w:val="0"/>
                <w:iCs w:val="0"/>
                <w:color w:val="auto"/>
                <w:kern w:val="0"/>
                <w:sz w:val="21"/>
                <w:szCs w:val="21"/>
                <w:highlight w:val="none"/>
                <w:u w:val="none"/>
                <w:lang w:val="en-US" w:eastAsia="zh-CN" w:bidi="ar"/>
              </w:rPr>
              <w:fldChar w:fldCharType="separate"/>
            </w:r>
            <w:r>
              <w:rPr>
                <w:rFonts w:hint="eastAsia" w:ascii="宋体" w:hAnsi="宋体" w:eastAsia="宋体" w:cs="宋体"/>
                <w:i w:val="0"/>
                <w:iCs w:val="0"/>
                <w:color w:val="auto"/>
                <w:kern w:val="0"/>
                <w:sz w:val="21"/>
                <w:szCs w:val="21"/>
                <w:highlight w:val="none"/>
                <w:u w:val="none"/>
                <w:lang w:val="en-US" w:eastAsia="zh-CN" w:bidi="ar"/>
              </w:rPr>
              <w:t>14216</w:t>
            </w:r>
            <w:r>
              <w:rPr>
                <w:rFonts w:hint="eastAsia" w:hAnsi="宋体" w:cs="宋体"/>
                <w:i w:val="0"/>
                <w:iCs w:val="0"/>
                <w:color w:val="auto"/>
                <w:kern w:val="0"/>
                <w:sz w:val="21"/>
                <w:szCs w:val="21"/>
                <w:highlight w:val="none"/>
                <w:u w:val="none"/>
                <w:lang w:val="en-US" w:eastAsia="zh-CN" w:bidi="ar"/>
              </w:rPr>
              <w:t>7</w:t>
            </w:r>
            <w:r>
              <w:rPr>
                <w:rFonts w:hint="eastAsia" w:ascii="宋体" w:hAnsi="宋体" w:eastAsia="宋体" w:cs="宋体"/>
                <w:i w:val="0"/>
                <w:iCs w:val="0"/>
                <w:color w:val="auto"/>
                <w:kern w:val="0"/>
                <w:sz w:val="21"/>
                <w:szCs w:val="21"/>
                <w:highlight w:val="none"/>
                <w:u w:val="none"/>
                <w:lang w:val="en-US" w:eastAsia="zh-CN" w:bidi="ar"/>
              </w:rPr>
              <w:fldChar w:fldCharType="end"/>
            </w:r>
          </w:p>
        </w:tc>
      </w:tr>
    </w:tbl>
    <w:p>
      <w:pPr>
        <w:numPr>
          <w:ilvl w:val="0"/>
          <w:numId w:val="11"/>
        </w:numPr>
        <w:rPr>
          <w:rFonts w:hint="eastAsia" w:hAnsi="宋体" w:cs="宋体"/>
          <w:color w:val="auto"/>
          <w:sz w:val="21"/>
          <w:szCs w:val="21"/>
          <w:highlight w:val="none"/>
        </w:rPr>
      </w:pPr>
      <w:r>
        <w:rPr>
          <w:rFonts w:hint="eastAsia" w:hAnsi="宋体" w:cs="宋体"/>
          <w:color w:val="auto"/>
          <w:sz w:val="21"/>
          <w:szCs w:val="21"/>
          <w:highlight w:val="none"/>
        </w:rPr>
        <w:t>婺城区雨水管网清单</w:t>
      </w:r>
    </w:p>
    <w:tbl>
      <w:tblPr>
        <w:tblStyle w:val="47"/>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21"/>
        <w:gridCol w:w="1544"/>
        <w:gridCol w:w="1551"/>
        <w:gridCol w:w="2319"/>
        <w:gridCol w:w="1584"/>
        <w:gridCol w:w="15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区域</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道路名称</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起止点</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道路长度(m)</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雨水管网长度(m)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新狮</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朝真路</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芙峰街—金盆街</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1195</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新狮</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冰壶路</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芙峰街—金盆街</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1458</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新狮</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二环北路</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迎宾大道—金东交界</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2979</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新狮</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桃源路</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芙峰街—金盆街</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1504</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新狮</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流云路</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迎宾大道—龙升街</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592</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新狮</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玉泉东路</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迎宾大道—金盆街</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1865</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新狮</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仙瀑路</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道院街—金盆街</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856</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新狮</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丹光东路</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芙峰街—金盆街</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1586</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新狮</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金盆街</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冰壶路—丹光东路</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1777</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新狮</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玉壶街</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朝真路—环城北路</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2368</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新狮</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东市北街</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二环北路—环城北路</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1528</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新狮</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九龙街</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朝真路—二环北路</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890</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新狮</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道院街</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二环北路—环城北路</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1554</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新狮</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龙升街</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桃源路—玉泉东路</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343</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新狮</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道新街</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仙瀑路—环城北路</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648</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新狮</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龙翔街</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玉泉东路—仙瀑路</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237</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新狮</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康村南街</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康村西街—金盆街</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新狮</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醒狮路</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芙峰街-新业街</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256</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hAnsi="宋体" w:cs="宋体"/>
                <w:color w:val="C00000"/>
                <w:sz w:val="21"/>
                <w:szCs w:val="21"/>
                <w:highlight w:val="none"/>
                <w:lang w:val="en-US" w:eastAsia="zh-CN"/>
              </w:rPr>
              <w:t>二七区块</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婺江西路</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hAnsi="宋体" w:cs="宋体"/>
                <w:i w:val="0"/>
                <w:iCs w:val="0"/>
                <w:color w:val="auto"/>
                <w:kern w:val="0"/>
                <w:sz w:val="21"/>
                <w:szCs w:val="21"/>
                <w:highlight w:val="none"/>
                <w:u w:val="none"/>
                <w:lang w:val="en-US" w:eastAsia="zh-CN" w:bidi="ar"/>
              </w:rPr>
              <w:t>婺州街-铁路文化公园</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1820</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二七区块</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工人路</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凤山街-五一路</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1141</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二七区块</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凤山街</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解放西路-婺江西路</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二七区块</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金虹街</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解放西路-婺江西路</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二七区块</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长山街</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解放西路-婺江西路</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二七区块</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二七街</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解放西路-婺江西路</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城中</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天长巷</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城中</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红梅巷</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城北</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新公寓</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城东</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游园街</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城北</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不老巷</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城北</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常安街</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城中</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四眼井</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城中</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马路里</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城中</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警民巷</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城中</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朝官巷</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城北</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花锦巷</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城北</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常乐巷</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城东</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天柱巷</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城中</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文昌巷</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39</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城东</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石榴巷</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城中</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府上街南段</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新狮</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道南街</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城北</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花塘巷</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城中</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府上街北段</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46</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城北</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太阳城无名路</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47</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城中</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游泳巷</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城中</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青松巷</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49</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城中</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绿竹巷</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城东</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春苗巷</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城北</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得春路</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52</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城中</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荣迁巷</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53</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城中</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通渠巷</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54</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城中</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杨塘里</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55</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城中</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时春巷</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城中</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含笑巷</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57</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城中</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杨环路71弄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58</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城北</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锦佳巷</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59</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城北</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锦绣巷</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城中</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斗鸡巷</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61</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城中</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禹王弄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62</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城东</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望民巷</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63</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城北</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倍熙街</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64</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城北</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湘江街</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65</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城北</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双阳街</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66</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城北</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双嘉街</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67</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城北</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双庆路</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68</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城北</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永丰路</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69</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城北</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普丰路</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城北</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海丰路</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71</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城北</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后丰路257弄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72</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城北</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新建巷</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73</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城北</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五一路菜场北侧路</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8"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74</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城北</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五一路菜场周南侧路</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75</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城中</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荷塘巷</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76</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城中</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马路里口</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77</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城东</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气象巷</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78</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城中</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中塍巷</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79</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城北</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求真巷</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城北</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湘江街28弄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81</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城中</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西市街16弄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82</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城北</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昌平路</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83</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城北</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人民西路764弄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84</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城中</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桂林街</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85</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城中</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桂林街184弄</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86</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城中</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同升巷</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87</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城北</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青年路206号</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88</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城东</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望民巷北侧路</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89</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城北</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对山路</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城东</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华明巷</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91</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城东</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净渠头</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92</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新狮</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柳青街</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93</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新狮</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芙宁巷北段</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94</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新狮</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芙宁巷南段</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95</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城东</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乐民里</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96</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城东</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光华里</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3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合计</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fldChar w:fldCharType="begin"/>
            </w:r>
            <w:r>
              <w:rPr>
                <w:rFonts w:hint="eastAsia" w:ascii="宋体" w:hAnsi="宋体" w:eastAsia="宋体" w:cs="宋体"/>
                <w:i w:val="0"/>
                <w:iCs w:val="0"/>
                <w:color w:val="auto"/>
                <w:kern w:val="0"/>
                <w:sz w:val="21"/>
                <w:szCs w:val="21"/>
                <w:highlight w:val="none"/>
                <w:u w:val="none"/>
                <w:lang w:val="en-US" w:eastAsia="zh-CN" w:bidi="ar"/>
              </w:rPr>
              <w:instrText xml:space="preserve"> = sum(F2:F95) \* MERGEFORMAT </w:instrText>
            </w:r>
            <w:r>
              <w:rPr>
                <w:rFonts w:hint="eastAsia" w:ascii="宋体" w:hAnsi="宋体" w:eastAsia="宋体" w:cs="宋体"/>
                <w:i w:val="0"/>
                <w:iCs w:val="0"/>
                <w:color w:val="auto"/>
                <w:kern w:val="0"/>
                <w:sz w:val="21"/>
                <w:szCs w:val="21"/>
                <w:highlight w:val="none"/>
                <w:u w:val="none"/>
                <w:lang w:val="en-US" w:eastAsia="zh-CN" w:bidi="ar"/>
              </w:rPr>
              <w:fldChar w:fldCharType="separate"/>
            </w:r>
            <w:r>
              <w:rPr>
                <w:rFonts w:hint="eastAsia" w:ascii="宋体" w:hAnsi="宋体" w:eastAsia="宋体" w:cs="宋体"/>
                <w:i w:val="0"/>
                <w:iCs w:val="0"/>
                <w:color w:val="auto"/>
                <w:kern w:val="0"/>
                <w:sz w:val="21"/>
                <w:szCs w:val="21"/>
                <w:highlight w:val="none"/>
                <w:u w:val="none"/>
                <w:lang w:val="en-US" w:eastAsia="zh-CN" w:bidi="ar"/>
              </w:rPr>
              <w:t>50857</w:t>
            </w:r>
            <w:r>
              <w:rPr>
                <w:rFonts w:hint="eastAsia" w:ascii="宋体" w:hAnsi="宋体" w:eastAsia="宋体" w:cs="宋体"/>
                <w:i w:val="0"/>
                <w:iCs w:val="0"/>
                <w:color w:val="auto"/>
                <w:kern w:val="0"/>
                <w:sz w:val="21"/>
                <w:szCs w:val="21"/>
                <w:highlight w:val="none"/>
                <w:u w:val="none"/>
                <w:lang w:val="en-US" w:eastAsia="zh-CN" w:bidi="ar"/>
              </w:rPr>
              <w:fldChar w:fldCharType="end"/>
            </w:r>
          </w:p>
        </w:tc>
      </w:tr>
    </w:tbl>
    <w:p>
      <w:pPr>
        <w:rPr>
          <w:rFonts w:hAnsi="宋体" w:cs="宋体"/>
          <w:color w:val="auto"/>
          <w:highlight w:val="none"/>
        </w:rPr>
      </w:pPr>
    </w:p>
    <w:sectPr>
      <w:footerReference r:id="rId10" w:type="first"/>
      <w:footerReference r:id="rId9" w:type="default"/>
      <w:pgSz w:w="11906" w:h="16838"/>
      <w:pgMar w:top="1440" w:right="1304" w:bottom="1440" w:left="1304" w:header="567" w:footer="567" w:gutter="0"/>
      <w:pgNumType w:start="1"/>
      <w:cols w:space="720" w:num="1"/>
      <w:docGrid w:type="lines" w:linePitch="63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Book Antiqua">
    <w:panose1 w:val="02040602050305030304"/>
    <w:charset w:val="00"/>
    <w:family w:val="roman"/>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汉仪仿宋简">
    <w:altName w:val="黑体"/>
    <w:panose1 w:val="00000000000000000000"/>
    <w:charset w:val="86"/>
    <w:family w:val="modern"/>
    <w:pitch w:val="default"/>
    <w:sig w:usb0="00000000" w:usb1="00000000" w:usb2="00000012"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PMingLiU">
    <w:altName w:val="PMingLiU-ExtB"/>
    <w:panose1 w:val="02020500000000000000"/>
    <w:charset w:val="88"/>
    <w:family w:val="auto"/>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center" w:y="1"/>
      <w:rPr>
        <w:rStyle w:val="51"/>
      </w:rPr>
    </w:pPr>
    <w:r>
      <w:fldChar w:fldCharType="begin"/>
    </w:r>
    <w:r>
      <w:rPr>
        <w:rStyle w:val="51"/>
      </w:rPr>
      <w:instrText xml:space="preserve">PAGE  </w:instrText>
    </w:r>
    <w:r>
      <w:fldChar w:fldCharType="separate"/>
    </w:r>
    <w:r>
      <w:rPr>
        <w:rStyle w:val="51"/>
      </w:rPr>
      <w:t>10</w:t>
    </w:r>
    <w:r>
      <w:fldChar w:fldCharType="end"/>
    </w:r>
  </w:p>
  <w:p>
    <w:pPr>
      <w:pStyle w:val="34"/>
      <w:framePr w:w="607" w:h="430" w:hRule="exact" w:wrap="around" w:vAnchor="text" w:hAnchor="page" w:x="8905" w:y="-58"/>
      <w:ind w:right="360"/>
      <w:rPr>
        <w:rStyle w:val="51"/>
      </w:rPr>
    </w:pPr>
  </w:p>
  <w:p>
    <w:pPr>
      <w:pStyle w:val="34"/>
      <w:framePr w:wrap="around" w:vAnchor="text" w:hAnchor="page" w:x="15730" w:y="74"/>
      <w:ind w:right="360"/>
      <w:rPr>
        <w:rStyle w:val="51"/>
      </w:rPr>
    </w:pPr>
  </w:p>
  <w:p>
    <w:pPr>
      <w:pStyle w:val="3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center" w:y="1"/>
      <w:rPr>
        <w:rStyle w:val="51"/>
      </w:rPr>
    </w:pPr>
    <w:r>
      <w:fldChar w:fldCharType="begin"/>
    </w:r>
    <w:r>
      <w:rPr>
        <w:rStyle w:val="51"/>
      </w:rPr>
      <w:instrText xml:space="preserve">PAGE  </w:instrText>
    </w:r>
    <w:r>
      <w:fldChar w:fldCharType="separate"/>
    </w:r>
    <w:r>
      <w:rPr>
        <w:rStyle w:val="51"/>
      </w:rPr>
      <w:t>34</w:t>
    </w:r>
    <w:r>
      <w:fldChar w:fldCharType="end"/>
    </w:r>
  </w:p>
  <w:p>
    <w:pPr>
      <w:pStyle w:val="3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607" w:h="430" w:hRule="exact" w:wrap="around" w:vAnchor="text" w:hAnchor="page" w:x="8905" w:y="-58"/>
      <w:ind w:right="360"/>
      <w:rPr>
        <w:rStyle w:val="51"/>
      </w:rPr>
    </w:pPr>
  </w:p>
  <w:p>
    <w:pPr>
      <w:pStyle w:val="34"/>
      <w:framePr w:wrap="around" w:vAnchor="text" w:hAnchor="page" w:x="15730" w:y="74"/>
      <w:ind w:right="360"/>
      <w:rPr>
        <w:rStyle w:val="51"/>
      </w:rPr>
    </w:pPr>
  </w:p>
  <w:p>
    <w:pPr>
      <w:pStyle w:val="3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center" w:y="1"/>
      <w:rPr>
        <w:rStyle w:val="51"/>
      </w:rPr>
    </w:pPr>
    <w:r>
      <w:rPr>
        <w:rFonts w:hint="eastAsia" w:ascii="宋体" w:hAnsi="宋体" w:cs="宋体"/>
      </w:rPr>
      <w:fldChar w:fldCharType="begin"/>
    </w:r>
    <w:r>
      <w:rPr>
        <w:rStyle w:val="51"/>
        <w:rFonts w:hint="eastAsia" w:ascii="宋体" w:hAnsi="宋体" w:cs="宋体"/>
      </w:rPr>
      <w:instrText xml:space="preserve">PAGE  </w:instrText>
    </w:r>
    <w:r>
      <w:rPr>
        <w:rFonts w:hint="eastAsia" w:ascii="宋体" w:hAnsi="宋体" w:cs="宋体"/>
      </w:rPr>
      <w:fldChar w:fldCharType="separate"/>
    </w:r>
    <w:r>
      <w:rPr>
        <w:rStyle w:val="51"/>
        <w:rFonts w:ascii="宋体" w:hAnsi="宋体" w:cs="宋体"/>
      </w:rPr>
      <w:t>69</w:t>
    </w:r>
    <w:r>
      <w:rPr>
        <w:rFonts w:hint="eastAsia" w:ascii="宋体" w:hAnsi="宋体" w:cs="宋体"/>
      </w:rPr>
      <w:fldChar w:fldCharType="end"/>
    </w:r>
  </w:p>
  <w:p>
    <w:pPr>
      <w:pStyle w:val="34"/>
      <w:framePr w:w="607" w:h="430" w:hRule="exact" w:wrap="around" w:vAnchor="text" w:hAnchor="page" w:x="8905" w:y="-58"/>
      <w:ind w:right="360"/>
      <w:rPr>
        <w:rStyle w:val="51"/>
      </w:rPr>
    </w:pPr>
  </w:p>
  <w:p>
    <w:pPr>
      <w:pStyle w:val="34"/>
      <w:framePr w:wrap="around" w:vAnchor="text" w:hAnchor="page" w:x="15730" w:y="74"/>
      <w:ind w:right="360"/>
      <w:rPr>
        <w:rStyle w:val="51"/>
      </w:rPr>
    </w:pPr>
  </w:p>
  <w:p>
    <w:pPr>
      <w:pStyle w:val="34"/>
      <w:ind w:right="360"/>
    </w:pPr>
    <w:r>
      <w:rPr>
        <w:rFonts w:hint="eastAsia"/>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single" w:color="auto" w:sz="6" w:space="0"/>
      </w:pBdr>
      <w:rPr>
        <w:rFonts w:ascii="宋体" w:hAnsi="宋体" w:cs="宋体"/>
      </w:rPr>
    </w:pPr>
    <w:r>
      <w:rPr>
        <w:rFonts w:hint="eastAsia" w:ascii="宋体" w:hAnsi="宋体" w:cs="宋体"/>
      </w:rPr>
      <w:t>金华市天盈财务咨询有限公司</w:t>
    </w:r>
  </w:p>
  <w:p>
    <w:pPr>
      <w:pStyle w:val="35"/>
      <w:pBdr>
        <w:bottom w:val="single" w:color="auto" w:sz="6" w:space="0"/>
      </w:pBdr>
      <w:rPr>
        <w:rFonts w:hint="eastAsia" w:ascii="宋体" w:hAnsi="宋体" w:eastAsia="宋体" w:cs="宋体"/>
        <w:lang w:eastAsia="zh-CN"/>
      </w:rPr>
    </w:pPr>
    <w:r>
      <w:rPr>
        <w:rFonts w:hint="eastAsia" w:ascii="宋体" w:hAnsi="宋体" w:cs="宋体"/>
      </w:rPr>
      <w:t>项目编号：</w:t>
    </w:r>
    <w:r>
      <w:rPr>
        <w:rFonts w:hint="eastAsia" w:ascii="宋体" w:hAnsi="宋体" w:cs="宋体"/>
        <w:lang w:eastAsia="zh-CN"/>
      </w:rPr>
      <w:t>TY2022-FW284-ZFCG284</w:t>
    </w:r>
  </w:p>
  <w:p>
    <w:pPr>
      <w:pStyle w:val="35"/>
      <w:pBdr>
        <w:bottom w:val="none" w:color="auto" w:sz="0" w:space="0"/>
      </w:pBdr>
      <w:rPr>
        <w:rFonts w:ascii="宋体" w:hAnsi="宋体" w:cs="宋体"/>
      </w:rPr>
    </w:pPr>
    <w:r>
      <w:pict>
        <v:shape id="PowerPlusWaterMarkObject97623" o:spid="_x0000_s4098" o:spt="136" type="#_x0000_t136" style="position:absolute;left:0pt;height:53pt;width:604.35pt;mso-position-horizontal:center;mso-position-horizontal-relative:margin;mso-position-vertical:center;mso-position-vertical-relative:margin;rotation:-2949120f;z-index:-251657216;mso-width-relative:page;mso-height-relative:page;" fillcolor="#C0C0C0" filled="t" stroked="f" coordsize="21600,21600">
          <v:path/>
          <v:fill on="t" opacity="32768f" focussize="0,0"/>
          <v:stroke on="f"/>
          <v:imagedata o:title=""/>
          <o:lock v:ext="edit" aspectratio="t"/>
          <v:textpath on="t" fitshape="t" fitpath="t" trim="t" xscale="f" string="金华市天盈财务咨询有限公司" style="font-family:新宋体;font-size:36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single" w:color="auto" w:sz="6" w:space="0"/>
      </w:pBdr>
      <w:rPr>
        <w:rFonts w:ascii="宋体" w:hAnsi="宋体" w:cs="宋体"/>
        <w:szCs w:val="18"/>
      </w:rPr>
    </w:pPr>
    <w:r>
      <w:rPr>
        <w:rFonts w:hint="eastAsia" w:ascii="宋体" w:hAnsi="宋体" w:cs="宋体"/>
        <w:szCs w:val="18"/>
      </w:rPr>
      <w:t>金华市天盈财务咨询有限公司</w:t>
    </w:r>
  </w:p>
  <w:p>
    <w:pPr>
      <w:pStyle w:val="35"/>
      <w:pBdr>
        <w:bottom w:val="single" w:color="auto" w:sz="6" w:space="0"/>
      </w:pBdr>
      <w:rPr>
        <w:rFonts w:hint="eastAsia" w:ascii="宋体" w:hAnsi="宋体" w:eastAsia="宋体" w:cs="宋体"/>
        <w:szCs w:val="18"/>
        <w:lang w:eastAsia="zh-CN"/>
      </w:rPr>
    </w:pPr>
    <w:r>
      <w:pict>
        <v:shape id="PowerPlusWaterMarkObject130177" o:spid="_x0000_s4097" o:spt="136" type="#_x0000_t136" style="position:absolute;left:0pt;height:53pt;width:604.35pt;mso-position-horizontal:center;mso-position-horizontal-relative:margin;mso-position-vertical:center;mso-position-vertical-relative:margin;rotation:-2949120f;z-index:-251656192;mso-width-relative:page;mso-height-relative:page;" fillcolor="#C0C0C0" filled="t" stroked="f" coordsize="21600,21600">
          <v:path/>
          <v:fill on="t" opacity="32768f" focussize="0,0"/>
          <v:stroke on="f"/>
          <v:imagedata o:title=""/>
          <o:lock v:ext="edit" aspectratio="t"/>
          <v:textpath on="t" fitshape="t" fitpath="t" trim="t" xscale="f" string="金华市天盈财务咨询有限公司" style="font-family:新宋体;font-size:36pt;v-text-align:center;"/>
        </v:shape>
      </w:pict>
    </w:r>
    <w:r>
      <w:rPr>
        <w:rFonts w:hint="eastAsia" w:ascii="宋体" w:hAnsi="宋体" w:cs="宋体"/>
        <w:szCs w:val="18"/>
      </w:rPr>
      <w:t>项目编号：</w:t>
    </w:r>
    <w:r>
      <w:rPr>
        <w:rFonts w:hint="eastAsia" w:ascii="宋体" w:hAnsi="宋体" w:cs="宋体"/>
        <w:szCs w:val="18"/>
        <w:lang w:eastAsia="zh-CN"/>
      </w:rPr>
      <w:t>TY2022-FW284-ZFCG284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D54E8C"/>
    <w:multiLevelType w:val="singleLevel"/>
    <w:tmpl w:val="87D54E8C"/>
    <w:lvl w:ilvl="0" w:tentative="0">
      <w:start w:val="1"/>
      <w:numFmt w:val="lowerLetter"/>
      <w:lvlText w:val="%1."/>
      <w:lvlJc w:val="left"/>
      <w:pPr>
        <w:ind w:left="425" w:hanging="425"/>
      </w:pPr>
      <w:rPr>
        <w:rFonts w:hint="default"/>
      </w:rPr>
    </w:lvl>
  </w:abstractNum>
  <w:abstractNum w:abstractNumId="1">
    <w:nsid w:val="B6F59396"/>
    <w:multiLevelType w:val="singleLevel"/>
    <w:tmpl w:val="B6F59396"/>
    <w:lvl w:ilvl="0" w:tentative="0">
      <w:start w:val="2"/>
      <w:numFmt w:val="chineseCounting"/>
      <w:suff w:val="nothing"/>
      <w:lvlText w:val="（%1）"/>
      <w:lvlJc w:val="left"/>
      <w:rPr>
        <w:rFonts w:hint="eastAsia"/>
      </w:rPr>
    </w:lvl>
  </w:abstractNum>
  <w:abstractNum w:abstractNumId="2">
    <w:nsid w:val="C73FBA12"/>
    <w:multiLevelType w:val="singleLevel"/>
    <w:tmpl w:val="C73FBA12"/>
    <w:lvl w:ilvl="0" w:tentative="0">
      <w:start w:val="1"/>
      <w:numFmt w:val="lowerLetter"/>
      <w:lvlText w:val="%1."/>
      <w:lvlJc w:val="left"/>
      <w:pPr>
        <w:ind w:left="425" w:hanging="425"/>
      </w:pPr>
      <w:rPr>
        <w:rFonts w:hint="default"/>
      </w:rPr>
    </w:lvl>
  </w:abstractNum>
  <w:abstractNum w:abstractNumId="3">
    <w:nsid w:val="1CFA4068"/>
    <w:multiLevelType w:val="singleLevel"/>
    <w:tmpl w:val="1CFA4068"/>
    <w:lvl w:ilvl="0" w:tentative="0">
      <w:start w:val="1"/>
      <w:numFmt w:val="lowerLetter"/>
      <w:lvlText w:val="%1."/>
      <w:lvlJc w:val="left"/>
      <w:pPr>
        <w:ind w:left="425" w:hanging="425"/>
      </w:pPr>
      <w:rPr>
        <w:rFonts w:hint="default"/>
      </w:rPr>
    </w:lvl>
  </w:abstractNum>
  <w:abstractNum w:abstractNumId="4">
    <w:nsid w:val="31554B25"/>
    <w:multiLevelType w:val="singleLevel"/>
    <w:tmpl w:val="31554B25"/>
    <w:lvl w:ilvl="0" w:tentative="0">
      <w:start w:val="4"/>
      <w:numFmt w:val="decimal"/>
      <w:lvlText w:val="%1."/>
      <w:lvlJc w:val="left"/>
      <w:pPr>
        <w:tabs>
          <w:tab w:val="left" w:pos="312"/>
        </w:tabs>
      </w:pPr>
    </w:lvl>
  </w:abstractNum>
  <w:abstractNum w:abstractNumId="5">
    <w:nsid w:val="4B1E5889"/>
    <w:multiLevelType w:val="singleLevel"/>
    <w:tmpl w:val="4B1E5889"/>
    <w:lvl w:ilvl="0" w:tentative="0">
      <w:start w:val="5"/>
      <w:numFmt w:val="chineseCounting"/>
      <w:suff w:val="nothing"/>
      <w:lvlText w:val="%1、"/>
      <w:lvlJc w:val="left"/>
      <w:rPr>
        <w:rFonts w:hint="eastAsia"/>
      </w:rPr>
    </w:lvl>
  </w:abstractNum>
  <w:abstractNum w:abstractNumId="6">
    <w:nsid w:val="4F003943"/>
    <w:multiLevelType w:val="singleLevel"/>
    <w:tmpl w:val="4F003943"/>
    <w:lvl w:ilvl="0" w:tentative="0">
      <w:start w:val="1"/>
      <w:numFmt w:val="lowerLetter"/>
      <w:lvlText w:val="%1."/>
      <w:lvlJc w:val="left"/>
      <w:pPr>
        <w:ind w:left="425" w:hanging="425"/>
      </w:pPr>
      <w:rPr>
        <w:rFonts w:hint="default"/>
      </w:rPr>
    </w:lvl>
  </w:abstractNum>
  <w:abstractNum w:abstractNumId="7">
    <w:nsid w:val="5A34E2AA"/>
    <w:multiLevelType w:val="multilevel"/>
    <w:tmpl w:val="5A34E2AA"/>
    <w:lvl w:ilvl="0" w:tentative="0">
      <w:start w:val="1"/>
      <w:numFmt w:val="decimal"/>
      <w:lvlText w:val="%1."/>
      <w:lvlJc w:val="left"/>
      <w:pPr>
        <w:tabs>
          <w:tab w:val="left" w:pos="0"/>
        </w:tabs>
        <w:ind w:left="562"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5CB98913"/>
    <w:multiLevelType w:val="singleLevel"/>
    <w:tmpl w:val="5CB98913"/>
    <w:lvl w:ilvl="0" w:tentative="0">
      <w:start w:val="1"/>
      <w:numFmt w:val="decimal"/>
      <w:lvlText w:val="%1."/>
      <w:lvlJc w:val="left"/>
      <w:pPr>
        <w:ind w:left="425" w:hanging="425"/>
      </w:pPr>
      <w:rPr>
        <w:rFonts w:hint="default"/>
      </w:rPr>
    </w:lvl>
  </w:abstractNum>
  <w:abstractNum w:abstractNumId="9">
    <w:nsid w:val="66E15709"/>
    <w:multiLevelType w:val="singleLevel"/>
    <w:tmpl w:val="66E15709"/>
    <w:lvl w:ilvl="0" w:tentative="0">
      <w:start w:val="1"/>
      <w:numFmt w:val="lowerLetter"/>
      <w:lvlText w:val="%1."/>
      <w:lvlJc w:val="left"/>
      <w:pPr>
        <w:ind w:left="425" w:hanging="425"/>
      </w:pPr>
      <w:rPr>
        <w:rFonts w:hint="default"/>
      </w:rPr>
    </w:lvl>
  </w:abstractNum>
  <w:abstractNum w:abstractNumId="10">
    <w:nsid w:val="7C079FBB"/>
    <w:multiLevelType w:val="singleLevel"/>
    <w:tmpl w:val="7C079FBB"/>
    <w:lvl w:ilvl="0" w:tentative="0">
      <w:start w:val="1"/>
      <w:numFmt w:val="decimalEnclosedCircleChinese"/>
      <w:suff w:val="nothing"/>
      <w:lvlText w:val="%1　"/>
      <w:lvlJc w:val="left"/>
      <w:pPr>
        <w:ind w:left="0" w:firstLine="400"/>
      </w:pPr>
      <w:rPr>
        <w:rFonts w:hint="eastAsia"/>
      </w:rPr>
    </w:lvl>
  </w:abstractNum>
  <w:num w:numId="1">
    <w:abstractNumId w:val="7"/>
  </w:num>
  <w:num w:numId="2">
    <w:abstractNumId w:val="5"/>
  </w:num>
  <w:num w:numId="3">
    <w:abstractNumId w:val="10"/>
  </w:num>
  <w:num w:numId="4">
    <w:abstractNumId w:val="2"/>
  </w:num>
  <w:num w:numId="5">
    <w:abstractNumId w:val="9"/>
  </w:num>
  <w:num w:numId="6">
    <w:abstractNumId w:val="3"/>
  </w:num>
  <w:num w:numId="7">
    <w:abstractNumId w:val="0"/>
  </w:num>
  <w:num w:numId="8">
    <w:abstractNumId w:val="6"/>
  </w:num>
  <w:num w:numId="9">
    <w:abstractNumId w:val="8"/>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revisionView w:markup="0"/>
  <w:trackRevisions w:val="1"/>
  <w:documentProtection w:enforcement="0"/>
  <w:defaultTabStop w:val="720"/>
  <w:drawingGridHorizontalSpacing w:val="170"/>
  <w:drawingGridVerticalSpacing w:val="317"/>
  <w:displayHorizontalDrawingGridEvery w:val="1"/>
  <w:displayVerticalDrawingGridEvery w:val="1"/>
  <w:doNotShadeFormData w:val="1"/>
  <w:noPunctuationKerning w:val="1"/>
  <w:characterSpacingControl w:val="doNotCompress"/>
  <w:doNotValidateAgainstSchema/>
  <w:doNotDemarcateInvalidXml/>
  <w:hdrShapeDefaults>
    <o:shapelayout v:ext="edit">
      <o:idmap v:ext="edit" data="3,4"/>
    </o:shapelayout>
  </w:hdrShapeDefaults>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xY2JhM2JjMzgwNjlhYmI0ZGQwYTQ4ZmNhYjRhZjYifQ=="/>
  </w:docVars>
  <w:rsids>
    <w:rsidRoot w:val="00172A27"/>
    <w:rsid w:val="000004A0"/>
    <w:rsid w:val="000005B4"/>
    <w:rsid w:val="00000D0C"/>
    <w:rsid w:val="0000215B"/>
    <w:rsid w:val="00003612"/>
    <w:rsid w:val="00003641"/>
    <w:rsid w:val="00003972"/>
    <w:rsid w:val="00004C9F"/>
    <w:rsid w:val="00005649"/>
    <w:rsid w:val="000059AC"/>
    <w:rsid w:val="00005F6F"/>
    <w:rsid w:val="000061FA"/>
    <w:rsid w:val="000075A6"/>
    <w:rsid w:val="00007727"/>
    <w:rsid w:val="00007AC9"/>
    <w:rsid w:val="00007DDF"/>
    <w:rsid w:val="00010215"/>
    <w:rsid w:val="0001098B"/>
    <w:rsid w:val="00010ADA"/>
    <w:rsid w:val="00010D0A"/>
    <w:rsid w:val="00011D51"/>
    <w:rsid w:val="00011F6E"/>
    <w:rsid w:val="000120A0"/>
    <w:rsid w:val="00012E6A"/>
    <w:rsid w:val="00013616"/>
    <w:rsid w:val="00014CF0"/>
    <w:rsid w:val="00014FC5"/>
    <w:rsid w:val="00015130"/>
    <w:rsid w:val="000154E5"/>
    <w:rsid w:val="000154F4"/>
    <w:rsid w:val="000157A4"/>
    <w:rsid w:val="000157C0"/>
    <w:rsid w:val="0001584B"/>
    <w:rsid w:val="00015F06"/>
    <w:rsid w:val="000162CB"/>
    <w:rsid w:val="000169DC"/>
    <w:rsid w:val="00016A63"/>
    <w:rsid w:val="00016E51"/>
    <w:rsid w:val="00017056"/>
    <w:rsid w:val="00017368"/>
    <w:rsid w:val="00017F1D"/>
    <w:rsid w:val="0002005F"/>
    <w:rsid w:val="00020F1F"/>
    <w:rsid w:val="00020F7A"/>
    <w:rsid w:val="00022040"/>
    <w:rsid w:val="0002306F"/>
    <w:rsid w:val="00023542"/>
    <w:rsid w:val="00023604"/>
    <w:rsid w:val="00023E43"/>
    <w:rsid w:val="00024041"/>
    <w:rsid w:val="0002467A"/>
    <w:rsid w:val="000246F6"/>
    <w:rsid w:val="0002556F"/>
    <w:rsid w:val="00025DC0"/>
    <w:rsid w:val="00026007"/>
    <w:rsid w:val="000263D5"/>
    <w:rsid w:val="0002723D"/>
    <w:rsid w:val="00027707"/>
    <w:rsid w:val="0002796A"/>
    <w:rsid w:val="00030709"/>
    <w:rsid w:val="00030EFD"/>
    <w:rsid w:val="00031156"/>
    <w:rsid w:val="0003137B"/>
    <w:rsid w:val="000326D8"/>
    <w:rsid w:val="000331C3"/>
    <w:rsid w:val="00033B08"/>
    <w:rsid w:val="00033BB6"/>
    <w:rsid w:val="00033CD2"/>
    <w:rsid w:val="00034324"/>
    <w:rsid w:val="00034538"/>
    <w:rsid w:val="00034E51"/>
    <w:rsid w:val="00035DE1"/>
    <w:rsid w:val="00035F7F"/>
    <w:rsid w:val="000362C9"/>
    <w:rsid w:val="00036453"/>
    <w:rsid w:val="000366E1"/>
    <w:rsid w:val="00036CD0"/>
    <w:rsid w:val="0003794F"/>
    <w:rsid w:val="000401AC"/>
    <w:rsid w:val="00040816"/>
    <w:rsid w:val="00040BC7"/>
    <w:rsid w:val="00041E17"/>
    <w:rsid w:val="000421E2"/>
    <w:rsid w:val="000423D3"/>
    <w:rsid w:val="00042AF4"/>
    <w:rsid w:val="000432B0"/>
    <w:rsid w:val="00043394"/>
    <w:rsid w:val="00043A00"/>
    <w:rsid w:val="00043B3E"/>
    <w:rsid w:val="00044039"/>
    <w:rsid w:val="00044112"/>
    <w:rsid w:val="00044604"/>
    <w:rsid w:val="00044A92"/>
    <w:rsid w:val="00044C4F"/>
    <w:rsid w:val="00045C7F"/>
    <w:rsid w:val="00045D2E"/>
    <w:rsid w:val="00045EBA"/>
    <w:rsid w:val="000461BC"/>
    <w:rsid w:val="00046BA4"/>
    <w:rsid w:val="00046F6F"/>
    <w:rsid w:val="00047580"/>
    <w:rsid w:val="00047EA0"/>
    <w:rsid w:val="00047EB5"/>
    <w:rsid w:val="0005009C"/>
    <w:rsid w:val="00050109"/>
    <w:rsid w:val="00050DE5"/>
    <w:rsid w:val="00051992"/>
    <w:rsid w:val="00051B47"/>
    <w:rsid w:val="00051B65"/>
    <w:rsid w:val="000520AA"/>
    <w:rsid w:val="00052146"/>
    <w:rsid w:val="00052762"/>
    <w:rsid w:val="00053022"/>
    <w:rsid w:val="0005441C"/>
    <w:rsid w:val="0005470F"/>
    <w:rsid w:val="000549C1"/>
    <w:rsid w:val="00055908"/>
    <w:rsid w:val="00056A25"/>
    <w:rsid w:val="00057798"/>
    <w:rsid w:val="00060E80"/>
    <w:rsid w:val="000618FC"/>
    <w:rsid w:val="00061F7E"/>
    <w:rsid w:val="00062846"/>
    <w:rsid w:val="00062EA2"/>
    <w:rsid w:val="00064659"/>
    <w:rsid w:val="00064778"/>
    <w:rsid w:val="000648C0"/>
    <w:rsid w:val="00064D0B"/>
    <w:rsid w:val="000650F7"/>
    <w:rsid w:val="0006534D"/>
    <w:rsid w:val="000653B5"/>
    <w:rsid w:val="000656A6"/>
    <w:rsid w:val="000659A4"/>
    <w:rsid w:val="00065A01"/>
    <w:rsid w:val="00066644"/>
    <w:rsid w:val="00067359"/>
    <w:rsid w:val="000703E6"/>
    <w:rsid w:val="000714A5"/>
    <w:rsid w:val="00071536"/>
    <w:rsid w:val="00071699"/>
    <w:rsid w:val="00072C30"/>
    <w:rsid w:val="0007310C"/>
    <w:rsid w:val="00073FBF"/>
    <w:rsid w:val="0007401A"/>
    <w:rsid w:val="00074656"/>
    <w:rsid w:val="0007487D"/>
    <w:rsid w:val="00074D42"/>
    <w:rsid w:val="0007518E"/>
    <w:rsid w:val="000751A5"/>
    <w:rsid w:val="00075466"/>
    <w:rsid w:val="000759E6"/>
    <w:rsid w:val="0007668B"/>
    <w:rsid w:val="000766FC"/>
    <w:rsid w:val="00076E22"/>
    <w:rsid w:val="000771C1"/>
    <w:rsid w:val="000771FF"/>
    <w:rsid w:val="00077C54"/>
    <w:rsid w:val="00080AC4"/>
    <w:rsid w:val="00080BA2"/>
    <w:rsid w:val="00081468"/>
    <w:rsid w:val="00081AEA"/>
    <w:rsid w:val="000820F9"/>
    <w:rsid w:val="0008256E"/>
    <w:rsid w:val="000831A4"/>
    <w:rsid w:val="00083A5C"/>
    <w:rsid w:val="00083D53"/>
    <w:rsid w:val="00084027"/>
    <w:rsid w:val="000841D4"/>
    <w:rsid w:val="000841D8"/>
    <w:rsid w:val="00084868"/>
    <w:rsid w:val="00084BFB"/>
    <w:rsid w:val="00084DB0"/>
    <w:rsid w:val="0008552A"/>
    <w:rsid w:val="00085DDC"/>
    <w:rsid w:val="000870A4"/>
    <w:rsid w:val="0008751A"/>
    <w:rsid w:val="000877F3"/>
    <w:rsid w:val="00090170"/>
    <w:rsid w:val="00090267"/>
    <w:rsid w:val="00090B81"/>
    <w:rsid w:val="0009217A"/>
    <w:rsid w:val="00092836"/>
    <w:rsid w:val="00092A18"/>
    <w:rsid w:val="00092AC7"/>
    <w:rsid w:val="00093399"/>
    <w:rsid w:val="00093A21"/>
    <w:rsid w:val="00093A8C"/>
    <w:rsid w:val="0009429E"/>
    <w:rsid w:val="00094888"/>
    <w:rsid w:val="00095C70"/>
    <w:rsid w:val="00095D49"/>
    <w:rsid w:val="00096534"/>
    <w:rsid w:val="000A0043"/>
    <w:rsid w:val="000A07B9"/>
    <w:rsid w:val="000A0B64"/>
    <w:rsid w:val="000A16EC"/>
    <w:rsid w:val="000A31C7"/>
    <w:rsid w:val="000A3D80"/>
    <w:rsid w:val="000A4EC7"/>
    <w:rsid w:val="000A5339"/>
    <w:rsid w:val="000A5724"/>
    <w:rsid w:val="000A57FA"/>
    <w:rsid w:val="000A5A85"/>
    <w:rsid w:val="000A6055"/>
    <w:rsid w:val="000A65B7"/>
    <w:rsid w:val="000A681F"/>
    <w:rsid w:val="000A6C41"/>
    <w:rsid w:val="000A6C75"/>
    <w:rsid w:val="000A7C5C"/>
    <w:rsid w:val="000B0172"/>
    <w:rsid w:val="000B0297"/>
    <w:rsid w:val="000B11ED"/>
    <w:rsid w:val="000B169A"/>
    <w:rsid w:val="000B19D1"/>
    <w:rsid w:val="000B2C16"/>
    <w:rsid w:val="000B3383"/>
    <w:rsid w:val="000B3604"/>
    <w:rsid w:val="000B397F"/>
    <w:rsid w:val="000B4013"/>
    <w:rsid w:val="000B411D"/>
    <w:rsid w:val="000B45CC"/>
    <w:rsid w:val="000B4EFE"/>
    <w:rsid w:val="000B5B13"/>
    <w:rsid w:val="000B5E63"/>
    <w:rsid w:val="000B61F7"/>
    <w:rsid w:val="000B630D"/>
    <w:rsid w:val="000B67FF"/>
    <w:rsid w:val="000B7FD5"/>
    <w:rsid w:val="000C0301"/>
    <w:rsid w:val="000C0631"/>
    <w:rsid w:val="000C0BFE"/>
    <w:rsid w:val="000C0EB7"/>
    <w:rsid w:val="000C1588"/>
    <w:rsid w:val="000C15E4"/>
    <w:rsid w:val="000C2471"/>
    <w:rsid w:val="000C24D0"/>
    <w:rsid w:val="000C279A"/>
    <w:rsid w:val="000C2E06"/>
    <w:rsid w:val="000C3055"/>
    <w:rsid w:val="000C4116"/>
    <w:rsid w:val="000C41A0"/>
    <w:rsid w:val="000C4702"/>
    <w:rsid w:val="000C49C2"/>
    <w:rsid w:val="000C5323"/>
    <w:rsid w:val="000C55F2"/>
    <w:rsid w:val="000C58BF"/>
    <w:rsid w:val="000C58D1"/>
    <w:rsid w:val="000C5D53"/>
    <w:rsid w:val="000C6415"/>
    <w:rsid w:val="000C6467"/>
    <w:rsid w:val="000C760C"/>
    <w:rsid w:val="000D02C5"/>
    <w:rsid w:val="000D10AB"/>
    <w:rsid w:val="000D118C"/>
    <w:rsid w:val="000D1794"/>
    <w:rsid w:val="000D2BFC"/>
    <w:rsid w:val="000D2E18"/>
    <w:rsid w:val="000D39F3"/>
    <w:rsid w:val="000D3B9C"/>
    <w:rsid w:val="000D44F3"/>
    <w:rsid w:val="000D46DA"/>
    <w:rsid w:val="000D4890"/>
    <w:rsid w:val="000D4899"/>
    <w:rsid w:val="000D4965"/>
    <w:rsid w:val="000D499A"/>
    <w:rsid w:val="000D4A17"/>
    <w:rsid w:val="000D4E9B"/>
    <w:rsid w:val="000D57FD"/>
    <w:rsid w:val="000D60A5"/>
    <w:rsid w:val="000D65D3"/>
    <w:rsid w:val="000D6688"/>
    <w:rsid w:val="000D6DFB"/>
    <w:rsid w:val="000D6F12"/>
    <w:rsid w:val="000D760C"/>
    <w:rsid w:val="000E1F10"/>
    <w:rsid w:val="000E2601"/>
    <w:rsid w:val="000E2F08"/>
    <w:rsid w:val="000E3268"/>
    <w:rsid w:val="000E3507"/>
    <w:rsid w:val="000E397B"/>
    <w:rsid w:val="000E3C64"/>
    <w:rsid w:val="000E4907"/>
    <w:rsid w:val="000E52C2"/>
    <w:rsid w:val="000E696B"/>
    <w:rsid w:val="000E6A3C"/>
    <w:rsid w:val="000E6C8F"/>
    <w:rsid w:val="000E6D26"/>
    <w:rsid w:val="000E6FDF"/>
    <w:rsid w:val="000E6FFA"/>
    <w:rsid w:val="000E79F2"/>
    <w:rsid w:val="000E7C0A"/>
    <w:rsid w:val="000F0DCE"/>
    <w:rsid w:val="000F18BB"/>
    <w:rsid w:val="000F18C1"/>
    <w:rsid w:val="000F1AEE"/>
    <w:rsid w:val="000F1DE2"/>
    <w:rsid w:val="000F228B"/>
    <w:rsid w:val="000F2B0C"/>
    <w:rsid w:val="000F2DE7"/>
    <w:rsid w:val="000F38F8"/>
    <w:rsid w:val="000F47B8"/>
    <w:rsid w:val="000F4929"/>
    <w:rsid w:val="000F537E"/>
    <w:rsid w:val="000F53EE"/>
    <w:rsid w:val="000F57DF"/>
    <w:rsid w:val="000F5F58"/>
    <w:rsid w:val="000F641D"/>
    <w:rsid w:val="000F6F5C"/>
    <w:rsid w:val="000F76F6"/>
    <w:rsid w:val="00100808"/>
    <w:rsid w:val="0010167C"/>
    <w:rsid w:val="0010174C"/>
    <w:rsid w:val="00101B07"/>
    <w:rsid w:val="00101EBA"/>
    <w:rsid w:val="00102572"/>
    <w:rsid w:val="00102B24"/>
    <w:rsid w:val="00102E06"/>
    <w:rsid w:val="00102E18"/>
    <w:rsid w:val="00103266"/>
    <w:rsid w:val="00103381"/>
    <w:rsid w:val="001040D8"/>
    <w:rsid w:val="001041AD"/>
    <w:rsid w:val="00104582"/>
    <w:rsid w:val="00104AD6"/>
    <w:rsid w:val="00105197"/>
    <w:rsid w:val="00105439"/>
    <w:rsid w:val="001054AB"/>
    <w:rsid w:val="00105DF6"/>
    <w:rsid w:val="00106C3C"/>
    <w:rsid w:val="00106DE3"/>
    <w:rsid w:val="00106E1F"/>
    <w:rsid w:val="0010717D"/>
    <w:rsid w:val="001073D1"/>
    <w:rsid w:val="00107482"/>
    <w:rsid w:val="00107BE5"/>
    <w:rsid w:val="00107BEB"/>
    <w:rsid w:val="00110057"/>
    <w:rsid w:val="00110305"/>
    <w:rsid w:val="00110BAC"/>
    <w:rsid w:val="001112EA"/>
    <w:rsid w:val="00111670"/>
    <w:rsid w:val="00111990"/>
    <w:rsid w:val="00111ABC"/>
    <w:rsid w:val="001125CC"/>
    <w:rsid w:val="0011338B"/>
    <w:rsid w:val="0011339C"/>
    <w:rsid w:val="00113825"/>
    <w:rsid w:val="001147E8"/>
    <w:rsid w:val="00114D14"/>
    <w:rsid w:val="00115E0B"/>
    <w:rsid w:val="00120511"/>
    <w:rsid w:val="00120721"/>
    <w:rsid w:val="00120BB2"/>
    <w:rsid w:val="00120D30"/>
    <w:rsid w:val="00120F6F"/>
    <w:rsid w:val="001212CB"/>
    <w:rsid w:val="00121612"/>
    <w:rsid w:val="00121A55"/>
    <w:rsid w:val="00121F4E"/>
    <w:rsid w:val="001220B1"/>
    <w:rsid w:val="00122B21"/>
    <w:rsid w:val="00122E43"/>
    <w:rsid w:val="00122EF4"/>
    <w:rsid w:val="00123580"/>
    <w:rsid w:val="001243E3"/>
    <w:rsid w:val="00124770"/>
    <w:rsid w:val="00124B45"/>
    <w:rsid w:val="00125738"/>
    <w:rsid w:val="00125F1F"/>
    <w:rsid w:val="00125FA8"/>
    <w:rsid w:val="001267D8"/>
    <w:rsid w:val="001313DA"/>
    <w:rsid w:val="00131A88"/>
    <w:rsid w:val="00131B57"/>
    <w:rsid w:val="00131E90"/>
    <w:rsid w:val="0013232F"/>
    <w:rsid w:val="001325B3"/>
    <w:rsid w:val="00132EAC"/>
    <w:rsid w:val="00133646"/>
    <w:rsid w:val="00133ADF"/>
    <w:rsid w:val="00134537"/>
    <w:rsid w:val="001349BA"/>
    <w:rsid w:val="00134E70"/>
    <w:rsid w:val="00134FB5"/>
    <w:rsid w:val="00135C72"/>
    <w:rsid w:val="00136733"/>
    <w:rsid w:val="0013748E"/>
    <w:rsid w:val="00137BA3"/>
    <w:rsid w:val="00137DB4"/>
    <w:rsid w:val="001409B8"/>
    <w:rsid w:val="00140BDB"/>
    <w:rsid w:val="00141125"/>
    <w:rsid w:val="00141417"/>
    <w:rsid w:val="0014187D"/>
    <w:rsid w:val="001418E2"/>
    <w:rsid w:val="001425F4"/>
    <w:rsid w:val="00142613"/>
    <w:rsid w:val="00142760"/>
    <w:rsid w:val="00143758"/>
    <w:rsid w:val="00143AF4"/>
    <w:rsid w:val="00143BC2"/>
    <w:rsid w:val="00143D37"/>
    <w:rsid w:val="00144091"/>
    <w:rsid w:val="00144E17"/>
    <w:rsid w:val="00144F43"/>
    <w:rsid w:val="00146179"/>
    <w:rsid w:val="001464C8"/>
    <w:rsid w:val="00146699"/>
    <w:rsid w:val="00146A2C"/>
    <w:rsid w:val="00146ACF"/>
    <w:rsid w:val="00146DC4"/>
    <w:rsid w:val="00147A6D"/>
    <w:rsid w:val="00150A43"/>
    <w:rsid w:val="0015194D"/>
    <w:rsid w:val="001527A2"/>
    <w:rsid w:val="001531B2"/>
    <w:rsid w:val="0015397C"/>
    <w:rsid w:val="00154D03"/>
    <w:rsid w:val="0015519E"/>
    <w:rsid w:val="00155977"/>
    <w:rsid w:val="00155F34"/>
    <w:rsid w:val="00156425"/>
    <w:rsid w:val="001565E4"/>
    <w:rsid w:val="00156C6C"/>
    <w:rsid w:val="00156FF2"/>
    <w:rsid w:val="001570C7"/>
    <w:rsid w:val="00157A19"/>
    <w:rsid w:val="00157F7F"/>
    <w:rsid w:val="00157F93"/>
    <w:rsid w:val="001602DE"/>
    <w:rsid w:val="00160681"/>
    <w:rsid w:val="00160B0D"/>
    <w:rsid w:val="00160B64"/>
    <w:rsid w:val="00161D42"/>
    <w:rsid w:val="0016229E"/>
    <w:rsid w:val="0016247F"/>
    <w:rsid w:val="00162FD0"/>
    <w:rsid w:val="0016304F"/>
    <w:rsid w:val="00163838"/>
    <w:rsid w:val="00163EB4"/>
    <w:rsid w:val="00164559"/>
    <w:rsid w:val="00164C3F"/>
    <w:rsid w:val="00164CD2"/>
    <w:rsid w:val="00165B58"/>
    <w:rsid w:val="00166B7D"/>
    <w:rsid w:val="00166DEF"/>
    <w:rsid w:val="001700AD"/>
    <w:rsid w:val="001727B0"/>
    <w:rsid w:val="0017286B"/>
    <w:rsid w:val="00172A27"/>
    <w:rsid w:val="00173546"/>
    <w:rsid w:val="00173F5B"/>
    <w:rsid w:val="0017432D"/>
    <w:rsid w:val="00174489"/>
    <w:rsid w:val="0017571A"/>
    <w:rsid w:val="00176066"/>
    <w:rsid w:val="00176A60"/>
    <w:rsid w:val="00176CF5"/>
    <w:rsid w:val="00176F1C"/>
    <w:rsid w:val="00177166"/>
    <w:rsid w:val="001778F0"/>
    <w:rsid w:val="00177990"/>
    <w:rsid w:val="00177BD1"/>
    <w:rsid w:val="00180D44"/>
    <w:rsid w:val="00180E0C"/>
    <w:rsid w:val="00181794"/>
    <w:rsid w:val="00181F10"/>
    <w:rsid w:val="00181F41"/>
    <w:rsid w:val="00182677"/>
    <w:rsid w:val="001836DF"/>
    <w:rsid w:val="00183D08"/>
    <w:rsid w:val="00183ECA"/>
    <w:rsid w:val="00184E79"/>
    <w:rsid w:val="001851B0"/>
    <w:rsid w:val="001853E7"/>
    <w:rsid w:val="001856C3"/>
    <w:rsid w:val="00185795"/>
    <w:rsid w:val="00186C7C"/>
    <w:rsid w:val="00187912"/>
    <w:rsid w:val="00190005"/>
    <w:rsid w:val="00190385"/>
    <w:rsid w:val="00190665"/>
    <w:rsid w:val="0019090F"/>
    <w:rsid w:val="00190B6B"/>
    <w:rsid w:val="00191016"/>
    <w:rsid w:val="0019110F"/>
    <w:rsid w:val="00191230"/>
    <w:rsid w:val="00191605"/>
    <w:rsid w:val="00192795"/>
    <w:rsid w:val="00192AB6"/>
    <w:rsid w:val="00193401"/>
    <w:rsid w:val="00193898"/>
    <w:rsid w:val="00193E34"/>
    <w:rsid w:val="00194FE5"/>
    <w:rsid w:val="00195996"/>
    <w:rsid w:val="001971E2"/>
    <w:rsid w:val="001978E6"/>
    <w:rsid w:val="00197A2D"/>
    <w:rsid w:val="00197E65"/>
    <w:rsid w:val="001A0ABA"/>
    <w:rsid w:val="001A1244"/>
    <w:rsid w:val="001A1CBB"/>
    <w:rsid w:val="001A22D0"/>
    <w:rsid w:val="001A23B6"/>
    <w:rsid w:val="001A2EF3"/>
    <w:rsid w:val="001A2F0E"/>
    <w:rsid w:val="001A2F35"/>
    <w:rsid w:val="001A3564"/>
    <w:rsid w:val="001A36C2"/>
    <w:rsid w:val="001A39CE"/>
    <w:rsid w:val="001A4250"/>
    <w:rsid w:val="001A4923"/>
    <w:rsid w:val="001A4A2E"/>
    <w:rsid w:val="001A5138"/>
    <w:rsid w:val="001A518D"/>
    <w:rsid w:val="001A582C"/>
    <w:rsid w:val="001A59E6"/>
    <w:rsid w:val="001A5AF9"/>
    <w:rsid w:val="001A5B8F"/>
    <w:rsid w:val="001A5C63"/>
    <w:rsid w:val="001A66B8"/>
    <w:rsid w:val="001A723A"/>
    <w:rsid w:val="001A7390"/>
    <w:rsid w:val="001A77F5"/>
    <w:rsid w:val="001A79C4"/>
    <w:rsid w:val="001B06F3"/>
    <w:rsid w:val="001B0C39"/>
    <w:rsid w:val="001B1D19"/>
    <w:rsid w:val="001B2237"/>
    <w:rsid w:val="001B254F"/>
    <w:rsid w:val="001B311A"/>
    <w:rsid w:val="001B31B5"/>
    <w:rsid w:val="001B33E8"/>
    <w:rsid w:val="001B3509"/>
    <w:rsid w:val="001B3EC8"/>
    <w:rsid w:val="001B4BCB"/>
    <w:rsid w:val="001B4BD0"/>
    <w:rsid w:val="001B52D3"/>
    <w:rsid w:val="001B5651"/>
    <w:rsid w:val="001B565A"/>
    <w:rsid w:val="001B63D8"/>
    <w:rsid w:val="001B6448"/>
    <w:rsid w:val="001B6684"/>
    <w:rsid w:val="001C1169"/>
    <w:rsid w:val="001C1556"/>
    <w:rsid w:val="001C1716"/>
    <w:rsid w:val="001C17B5"/>
    <w:rsid w:val="001C1E01"/>
    <w:rsid w:val="001C3A02"/>
    <w:rsid w:val="001C41C6"/>
    <w:rsid w:val="001C5007"/>
    <w:rsid w:val="001C518D"/>
    <w:rsid w:val="001C5341"/>
    <w:rsid w:val="001C5550"/>
    <w:rsid w:val="001C576A"/>
    <w:rsid w:val="001C58AE"/>
    <w:rsid w:val="001C5997"/>
    <w:rsid w:val="001C5C1B"/>
    <w:rsid w:val="001C5DA9"/>
    <w:rsid w:val="001C5F11"/>
    <w:rsid w:val="001C6EAF"/>
    <w:rsid w:val="001C758B"/>
    <w:rsid w:val="001C7DC0"/>
    <w:rsid w:val="001C7E4C"/>
    <w:rsid w:val="001D0389"/>
    <w:rsid w:val="001D2174"/>
    <w:rsid w:val="001D3EC4"/>
    <w:rsid w:val="001D47A3"/>
    <w:rsid w:val="001D5753"/>
    <w:rsid w:val="001D64BB"/>
    <w:rsid w:val="001D6529"/>
    <w:rsid w:val="001D675E"/>
    <w:rsid w:val="001D6E9B"/>
    <w:rsid w:val="001D70DB"/>
    <w:rsid w:val="001D7C5D"/>
    <w:rsid w:val="001D7D78"/>
    <w:rsid w:val="001E1FD0"/>
    <w:rsid w:val="001E2657"/>
    <w:rsid w:val="001E3B88"/>
    <w:rsid w:val="001E4529"/>
    <w:rsid w:val="001E72FD"/>
    <w:rsid w:val="001E73C8"/>
    <w:rsid w:val="001F045B"/>
    <w:rsid w:val="001F0D7C"/>
    <w:rsid w:val="001F1241"/>
    <w:rsid w:val="001F1E22"/>
    <w:rsid w:val="001F2428"/>
    <w:rsid w:val="001F2A69"/>
    <w:rsid w:val="001F3953"/>
    <w:rsid w:val="001F3BC3"/>
    <w:rsid w:val="001F43BC"/>
    <w:rsid w:val="001F444D"/>
    <w:rsid w:val="001F44A5"/>
    <w:rsid w:val="001F5433"/>
    <w:rsid w:val="001F5B9D"/>
    <w:rsid w:val="001F5EC6"/>
    <w:rsid w:val="001F6383"/>
    <w:rsid w:val="001F64BC"/>
    <w:rsid w:val="001F6D82"/>
    <w:rsid w:val="001F6E77"/>
    <w:rsid w:val="001F7464"/>
    <w:rsid w:val="001F785A"/>
    <w:rsid w:val="001F78BC"/>
    <w:rsid w:val="001F7996"/>
    <w:rsid w:val="001F7C30"/>
    <w:rsid w:val="00200CEE"/>
    <w:rsid w:val="00202603"/>
    <w:rsid w:val="00202682"/>
    <w:rsid w:val="002027A3"/>
    <w:rsid w:val="00202C9F"/>
    <w:rsid w:val="00202D3F"/>
    <w:rsid w:val="0020317A"/>
    <w:rsid w:val="0020347B"/>
    <w:rsid w:val="00203685"/>
    <w:rsid w:val="00204F86"/>
    <w:rsid w:val="0020558D"/>
    <w:rsid w:val="00205856"/>
    <w:rsid w:val="00205BF3"/>
    <w:rsid w:val="00206442"/>
    <w:rsid w:val="00206C03"/>
    <w:rsid w:val="00206F02"/>
    <w:rsid w:val="00206F72"/>
    <w:rsid w:val="0020760D"/>
    <w:rsid w:val="0020764E"/>
    <w:rsid w:val="00207692"/>
    <w:rsid w:val="00207865"/>
    <w:rsid w:val="002079C7"/>
    <w:rsid w:val="002103BE"/>
    <w:rsid w:val="002110A6"/>
    <w:rsid w:val="00211874"/>
    <w:rsid w:val="00211DAF"/>
    <w:rsid w:val="00212C52"/>
    <w:rsid w:val="00212E83"/>
    <w:rsid w:val="00213C69"/>
    <w:rsid w:val="00213D8D"/>
    <w:rsid w:val="00213EFB"/>
    <w:rsid w:val="002149F8"/>
    <w:rsid w:val="00214A06"/>
    <w:rsid w:val="00214B45"/>
    <w:rsid w:val="002152FC"/>
    <w:rsid w:val="002156E2"/>
    <w:rsid w:val="00215857"/>
    <w:rsid w:val="002161D5"/>
    <w:rsid w:val="00216456"/>
    <w:rsid w:val="0021710C"/>
    <w:rsid w:val="00217129"/>
    <w:rsid w:val="00217373"/>
    <w:rsid w:val="00217B7E"/>
    <w:rsid w:val="00217C68"/>
    <w:rsid w:val="002201EB"/>
    <w:rsid w:val="002206E7"/>
    <w:rsid w:val="00221F90"/>
    <w:rsid w:val="00223274"/>
    <w:rsid w:val="002233A2"/>
    <w:rsid w:val="00223718"/>
    <w:rsid w:val="00223FAD"/>
    <w:rsid w:val="0022422A"/>
    <w:rsid w:val="002246A9"/>
    <w:rsid w:val="002254B3"/>
    <w:rsid w:val="00225948"/>
    <w:rsid w:val="00226055"/>
    <w:rsid w:val="002262F3"/>
    <w:rsid w:val="0022662B"/>
    <w:rsid w:val="0022752D"/>
    <w:rsid w:val="002275EA"/>
    <w:rsid w:val="00230119"/>
    <w:rsid w:val="002323B9"/>
    <w:rsid w:val="00232672"/>
    <w:rsid w:val="00233493"/>
    <w:rsid w:val="00233D0B"/>
    <w:rsid w:val="00233D90"/>
    <w:rsid w:val="00234957"/>
    <w:rsid w:val="002352A4"/>
    <w:rsid w:val="002354AB"/>
    <w:rsid w:val="00235595"/>
    <w:rsid w:val="00235639"/>
    <w:rsid w:val="00236111"/>
    <w:rsid w:val="00237933"/>
    <w:rsid w:val="002379DB"/>
    <w:rsid w:val="002404A5"/>
    <w:rsid w:val="002418C6"/>
    <w:rsid w:val="00241ECB"/>
    <w:rsid w:val="002420F5"/>
    <w:rsid w:val="002421FD"/>
    <w:rsid w:val="0024277E"/>
    <w:rsid w:val="00242B50"/>
    <w:rsid w:val="00243070"/>
    <w:rsid w:val="002431E0"/>
    <w:rsid w:val="002433D2"/>
    <w:rsid w:val="002433D3"/>
    <w:rsid w:val="0024349E"/>
    <w:rsid w:val="00243814"/>
    <w:rsid w:val="00243D88"/>
    <w:rsid w:val="0024449D"/>
    <w:rsid w:val="00244841"/>
    <w:rsid w:val="00244F64"/>
    <w:rsid w:val="00245010"/>
    <w:rsid w:val="0024544E"/>
    <w:rsid w:val="002456FE"/>
    <w:rsid w:val="0024673A"/>
    <w:rsid w:val="00246747"/>
    <w:rsid w:val="002472C2"/>
    <w:rsid w:val="002478B2"/>
    <w:rsid w:val="00247B2C"/>
    <w:rsid w:val="002502ED"/>
    <w:rsid w:val="00251745"/>
    <w:rsid w:val="002519A7"/>
    <w:rsid w:val="00251D70"/>
    <w:rsid w:val="00251F32"/>
    <w:rsid w:val="00252795"/>
    <w:rsid w:val="00252AA2"/>
    <w:rsid w:val="00252E76"/>
    <w:rsid w:val="002533AB"/>
    <w:rsid w:val="00253947"/>
    <w:rsid w:val="00253975"/>
    <w:rsid w:val="00253AC2"/>
    <w:rsid w:val="00253CE4"/>
    <w:rsid w:val="00254C35"/>
    <w:rsid w:val="0025500C"/>
    <w:rsid w:val="002551A0"/>
    <w:rsid w:val="00255ABA"/>
    <w:rsid w:val="00255E72"/>
    <w:rsid w:val="00256BD4"/>
    <w:rsid w:val="00257111"/>
    <w:rsid w:val="00257AB6"/>
    <w:rsid w:val="00257B2C"/>
    <w:rsid w:val="00257E53"/>
    <w:rsid w:val="00260FE6"/>
    <w:rsid w:val="002613C9"/>
    <w:rsid w:val="00261905"/>
    <w:rsid w:val="00261F61"/>
    <w:rsid w:val="00262221"/>
    <w:rsid w:val="0026251B"/>
    <w:rsid w:val="002629B7"/>
    <w:rsid w:val="0026327D"/>
    <w:rsid w:val="00263608"/>
    <w:rsid w:val="00263B0A"/>
    <w:rsid w:val="00263D51"/>
    <w:rsid w:val="002641AE"/>
    <w:rsid w:val="0026465A"/>
    <w:rsid w:val="00264A0E"/>
    <w:rsid w:val="00264B7E"/>
    <w:rsid w:val="00265B4F"/>
    <w:rsid w:val="00265ECA"/>
    <w:rsid w:val="00266B48"/>
    <w:rsid w:val="00266C18"/>
    <w:rsid w:val="00266C93"/>
    <w:rsid w:val="00267076"/>
    <w:rsid w:val="002673D9"/>
    <w:rsid w:val="00267424"/>
    <w:rsid w:val="00267AA4"/>
    <w:rsid w:val="00267E20"/>
    <w:rsid w:val="00270057"/>
    <w:rsid w:val="0027098C"/>
    <w:rsid w:val="00270DE2"/>
    <w:rsid w:val="00271200"/>
    <w:rsid w:val="00271653"/>
    <w:rsid w:val="0027259F"/>
    <w:rsid w:val="002727D0"/>
    <w:rsid w:val="00272B46"/>
    <w:rsid w:val="00272DC8"/>
    <w:rsid w:val="00272F6E"/>
    <w:rsid w:val="00273F6B"/>
    <w:rsid w:val="00273F90"/>
    <w:rsid w:val="00274517"/>
    <w:rsid w:val="00274960"/>
    <w:rsid w:val="00274CC9"/>
    <w:rsid w:val="00275018"/>
    <w:rsid w:val="002751CA"/>
    <w:rsid w:val="0027524B"/>
    <w:rsid w:val="00275257"/>
    <w:rsid w:val="00275589"/>
    <w:rsid w:val="00275A03"/>
    <w:rsid w:val="0027654B"/>
    <w:rsid w:val="00277373"/>
    <w:rsid w:val="00281179"/>
    <w:rsid w:val="0028168C"/>
    <w:rsid w:val="002819B0"/>
    <w:rsid w:val="00282768"/>
    <w:rsid w:val="002830B3"/>
    <w:rsid w:val="00283BCF"/>
    <w:rsid w:val="00284094"/>
    <w:rsid w:val="00284A81"/>
    <w:rsid w:val="00284FAC"/>
    <w:rsid w:val="00285230"/>
    <w:rsid w:val="00285A2F"/>
    <w:rsid w:val="00285E44"/>
    <w:rsid w:val="00286139"/>
    <w:rsid w:val="00286189"/>
    <w:rsid w:val="00286E44"/>
    <w:rsid w:val="0028721A"/>
    <w:rsid w:val="002875BA"/>
    <w:rsid w:val="002876A6"/>
    <w:rsid w:val="0028779D"/>
    <w:rsid w:val="002900E5"/>
    <w:rsid w:val="00290C94"/>
    <w:rsid w:val="0029123D"/>
    <w:rsid w:val="0029170E"/>
    <w:rsid w:val="002917E2"/>
    <w:rsid w:val="00291E47"/>
    <w:rsid w:val="002937F7"/>
    <w:rsid w:val="00293C9B"/>
    <w:rsid w:val="002959FB"/>
    <w:rsid w:val="00295C22"/>
    <w:rsid w:val="00295DEB"/>
    <w:rsid w:val="00295E58"/>
    <w:rsid w:val="00295EA3"/>
    <w:rsid w:val="0029619E"/>
    <w:rsid w:val="00296934"/>
    <w:rsid w:val="002971D1"/>
    <w:rsid w:val="00297AC7"/>
    <w:rsid w:val="00297F82"/>
    <w:rsid w:val="002A0849"/>
    <w:rsid w:val="002A12A0"/>
    <w:rsid w:val="002A18ED"/>
    <w:rsid w:val="002A2EE4"/>
    <w:rsid w:val="002A2F3B"/>
    <w:rsid w:val="002A3614"/>
    <w:rsid w:val="002A364D"/>
    <w:rsid w:val="002A376F"/>
    <w:rsid w:val="002A3C87"/>
    <w:rsid w:val="002A49C7"/>
    <w:rsid w:val="002A4A54"/>
    <w:rsid w:val="002A546F"/>
    <w:rsid w:val="002A58FB"/>
    <w:rsid w:val="002A5D7C"/>
    <w:rsid w:val="002A6D63"/>
    <w:rsid w:val="002A6E16"/>
    <w:rsid w:val="002A70E8"/>
    <w:rsid w:val="002A741A"/>
    <w:rsid w:val="002A7874"/>
    <w:rsid w:val="002B0828"/>
    <w:rsid w:val="002B085F"/>
    <w:rsid w:val="002B1154"/>
    <w:rsid w:val="002B2238"/>
    <w:rsid w:val="002B2244"/>
    <w:rsid w:val="002B2AB0"/>
    <w:rsid w:val="002B2C06"/>
    <w:rsid w:val="002B2CE1"/>
    <w:rsid w:val="002B2F68"/>
    <w:rsid w:val="002B3342"/>
    <w:rsid w:val="002B4271"/>
    <w:rsid w:val="002B4A20"/>
    <w:rsid w:val="002B5A41"/>
    <w:rsid w:val="002B7432"/>
    <w:rsid w:val="002B7FF7"/>
    <w:rsid w:val="002C0342"/>
    <w:rsid w:val="002C0896"/>
    <w:rsid w:val="002C1124"/>
    <w:rsid w:val="002C1B6E"/>
    <w:rsid w:val="002C1BCB"/>
    <w:rsid w:val="002C2579"/>
    <w:rsid w:val="002C2B8D"/>
    <w:rsid w:val="002C31BA"/>
    <w:rsid w:val="002C3426"/>
    <w:rsid w:val="002C35E6"/>
    <w:rsid w:val="002C3B80"/>
    <w:rsid w:val="002C44FD"/>
    <w:rsid w:val="002C4688"/>
    <w:rsid w:val="002C4EFB"/>
    <w:rsid w:val="002C51CD"/>
    <w:rsid w:val="002C521B"/>
    <w:rsid w:val="002C5450"/>
    <w:rsid w:val="002C557A"/>
    <w:rsid w:val="002C5DAD"/>
    <w:rsid w:val="002C612A"/>
    <w:rsid w:val="002C6404"/>
    <w:rsid w:val="002C653C"/>
    <w:rsid w:val="002C7007"/>
    <w:rsid w:val="002C7E2A"/>
    <w:rsid w:val="002D0C00"/>
    <w:rsid w:val="002D0E75"/>
    <w:rsid w:val="002D0EB8"/>
    <w:rsid w:val="002D113B"/>
    <w:rsid w:val="002D1187"/>
    <w:rsid w:val="002D137B"/>
    <w:rsid w:val="002D1E41"/>
    <w:rsid w:val="002D1FCD"/>
    <w:rsid w:val="002D218B"/>
    <w:rsid w:val="002D287C"/>
    <w:rsid w:val="002D2ADE"/>
    <w:rsid w:val="002D2D36"/>
    <w:rsid w:val="002D2EFB"/>
    <w:rsid w:val="002D308A"/>
    <w:rsid w:val="002D30BA"/>
    <w:rsid w:val="002D35C7"/>
    <w:rsid w:val="002D370D"/>
    <w:rsid w:val="002D37D9"/>
    <w:rsid w:val="002D39A4"/>
    <w:rsid w:val="002D42BF"/>
    <w:rsid w:val="002D45D6"/>
    <w:rsid w:val="002D462F"/>
    <w:rsid w:val="002D472D"/>
    <w:rsid w:val="002D4BB7"/>
    <w:rsid w:val="002D4E6F"/>
    <w:rsid w:val="002D5250"/>
    <w:rsid w:val="002D5565"/>
    <w:rsid w:val="002D59B1"/>
    <w:rsid w:val="002D5BFF"/>
    <w:rsid w:val="002D602D"/>
    <w:rsid w:val="002D7E99"/>
    <w:rsid w:val="002E0427"/>
    <w:rsid w:val="002E10C4"/>
    <w:rsid w:val="002E1809"/>
    <w:rsid w:val="002E22CB"/>
    <w:rsid w:val="002E2FC5"/>
    <w:rsid w:val="002E311A"/>
    <w:rsid w:val="002E31B9"/>
    <w:rsid w:val="002E3412"/>
    <w:rsid w:val="002E3B63"/>
    <w:rsid w:val="002E3DC2"/>
    <w:rsid w:val="002E3F8D"/>
    <w:rsid w:val="002E40D8"/>
    <w:rsid w:val="002E48D5"/>
    <w:rsid w:val="002E50E4"/>
    <w:rsid w:val="002E58F7"/>
    <w:rsid w:val="002E6497"/>
    <w:rsid w:val="002E6521"/>
    <w:rsid w:val="002E6D25"/>
    <w:rsid w:val="002E6DAF"/>
    <w:rsid w:val="002E6E03"/>
    <w:rsid w:val="002E6EC0"/>
    <w:rsid w:val="002E70F4"/>
    <w:rsid w:val="002E73EA"/>
    <w:rsid w:val="002E74ED"/>
    <w:rsid w:val="002F0271"/>
    <w:rsid w:val="002F0740"/>
    <w:rsid w:val="002F0DD3"/>
    <w:rsid w:val="002F0EC9"/>
    <w:rsid w:val="002F0F22"/>
    <w:rsid w:val="002F119F"/>
    <w:rsid w:val="002F127D"/>
    <w:rsid w:val="002F12F2"/>
    <w:rsid w:val="002F13EC"/>
    <w:rsid w:val="002F19E2"/>
    <w:rsid w:val="002F2049"/>
    <w:rsid w:val="002F211F"/>
    <w:rsid w:val="002F23B5"/>
    <w:rsid w:val="002F249E"/>
    <w:rsid w:val="002F2E3B"/>
    <w:rsid w:val="002F3079"/>
    <w:rsid w:val="002F31E6"/>
    <w:rsid w:val="002F324D"/>
    <w:rsid w:val="002F3843"/>
    <w:rsid w:val="002F41D3"/>
    <w:rsid w:val="002F637A"/>
    <w:rsid w:val="002F720F"/>
    <w:rsid w:val="002F7382"/>
    <w:rsid w:val="002F7B03"/>
    <w:rsid w:val="003006D5"/>
    <w:rsid w:val="00300E94"/>
    <w:rsid w:val="00301586"/>
    <w:rsid w:val="00302215"/>
    <w:rsid w:val="00302AFD"/>
    <w:rsid w:val="00302BF4"/>
    <w:rsid w:val="00303133"/>
    <w:rsid w:val="003036AD"/>
    <w:rsid w:val="0030428F"/>
    <w:rsid w:val="00304572"/>
    <w:rsid w:val="0030509A"/>
    <w:rsid w:val="00305629"/>
    <w:rsid w:val="00305A04"/>
    <w:rsid w:val="00305ADC"/>
    <w:rsid w:val="00306046"/>
    <w:rsid w:val="003060F3"/>
    <w:rsid w:val="0030660B"/>
    <w:rsid w:val="00307996"/>
    <w:rsid w:val="0030799F"/>
    <w:rsid w:val="00310CFB"/>
    <w:rsid w:val="00310D5B"/>
    <w:rsid w:val="00310DA1"/>
    <w:rsid w:val="00311289"/>
    <w:rsid w:val="003112C3"/>
    <w:rsid w:val="0031145F"/>
    <w:rsid w:val="00311ADD"/>
    <w:rsid w:val="0031308F"/>
    <w:rsid w:val="00313415"/>
    <w:rsid w:val="00313A71"/>
    <w:rsid w:val="00313AFE"/>
    <w:rsid w:val="00313FD6"/>
    <w:rsid w:val="00314265"/>
    <w:rsid w:val="003149D0"/>
    <w:rsid w:val="00314E8A"/>
    <w:rsid w:val="00315588"/>
    <w:rsid w:val="00315F9A"/>
    <w:rsid w:val="003161CF"/>
    <w:rsid w:val="003166D4"/>
    <w:rsid w:val="0031706E"/>
    <w:rsid w:val="00317D9E"/>
    <w:rsid w:val="00317EBF"/>
    <w:rsid w:val="00320395"/>
    <w:rsid w:val="00320B22"/>
    <w:rsid w:val="003211FA"/>
    <w:rsid w:val="0032191E"/>
    <w:rsid w:val="003227D6"/>
    <w:rsid w:val="00323C1A"/>
    <w:rsid w:val="00323CAC"/>
    <w:rsid w:val="00323EDC"/>
    <w:rsid w:val="00324062"/>
    <w:rsid w:val="00324FD1"/>
    <w:rsid w:val="0032606A"/>
    <w:rsid w:val="0032622C"/>
    <w:rsid w:val="0032664E"/>
    <w:rsid w:val="003267EC"/>
    <w:rsid w:val="00326A80"/>
    <w:rsid w:val="0032729D"/>
    <w:rsid w:val="0032787E"/>
    <w:rsid w:val="00330DAD"/>
    <w:rsid w:val="00331676"/>
    <w:rsid w:val="0033171F"/>
    <w:rsid w:val="003326E2"/>
    <w:rsid w:val="00332BE8"/>
    <w:rsid w:val="00333279"/>
    <w:rsid w:val="00333579"/>
    <w:rsid w:val="003352DC"/>
    <w:rsid w:val="003358EA"/>
    <w:rsid w:val="00335E6D"/>
    <w:rsid w:val="00335F20"/>
    <w:rsid w:val="00336112"/>
    <w:rsid w:val="0033622E"/>
    <w:rsid w:val="00336248"/>
    <w:rsid w:val="003362A4"/>
    <w:rsid w:val="003369AC"/>
    <w:rsid w:val="00336A16"/>
    <w:rsid w:val="0033759D"/>
    <w:rsid w:val="003414D2"/>
    <w:rsid w:val="00342753"/>
    <w:rsid w:val="003428B8"/>
    <w:rsid w:val="00342A93"/>
    <w:rsid w:val="00343CF1"/>
    <w:rsid w:val="00344986"/>
    <w:rsid w:val="00344C32"/>
    <w:rsid w:val="0034517B"/>
    <w:rsid w:val="003451B9"/>
    <w:rsid w:val="003455FE"/>
    <w:rsid w:val="00345C0C"/>
    <w:rsid w:val="00346B98"/>
    <w:rsid w:val="003477B3"/>
    <w:rsid w:val="003500E1"/>
    <w:rsid w:val="003501DA"/>
    <w:rsid w:val="0035070B"/>
    <w:rsid w:val="00350858"/>
    <w:rsid w:val="00350945"/>
    <w:rsid w:val="00350949"/>
    <w:rsid w:val="00350A22"/>
    <w:rsid w:val="00350D75"/>
    <w:rsid w:val="00350F64"/>
    <w:rsid w:val="003512EC"/>
    <w:rsid w:val="00351805"/>
    <w:rsid w:val="003522E8"/>
    <w:rsid w:val="00352F27"/>
    <w:rsid w:val="00353751"/>
    <w:rsid w:val="00353827"/>
    <w:rsid w:val="00353D86"/>
    <w:rsid w:val="00354851"/>
    <w:rsid w:val="00354AE7"/>
    <w:rsid w:val="00354CE9"/>
    <w:rsid w:val="00355772"/>
    <w:rsid w:val="00355D1F"/>
    <w:rsid w:val="00355F85"/>
    <w:rsid w:val="0035652A"/>
    <w:rsid w:val="00356756"/>
    <w:rsid w:val="00356C98"/>
    <w:rsid w:val="00356F65"/>
    <w:rsid w:val="00357B6F"/>
    <w:rsid w:val="0036055B"/>
    <w:rsid w:val="00360DBB"/>
    <w:rsid w:val="003613A3"/>
    <w:rsid w:val="00361414"/>
    <w:rsid w:val="003616AE"/>
    <w:rsid w:val="0036188F"/>
    <w:rsid w:val="003618A3"/>
    <w:rsid w:val="00361D13"/>
    <w:rsid w:val="00363589"/>
    <w:rsid w:val="003636B6"/>
    <w:rsid w:val="00365000"/>
    <w:rsid w:val="0036534A"/>
    <w:rsid w:val="003653A7"/>
    <w:rsid w:val="0036613B"/>
    <w:rsid w:val="00366904"/>
    <w:rsid w:val="00366EB6"/>
    <w:rsid w:val="003672F4"/>
    <w:rsid w:val="00367BA7"/>
    <w:rsid w:val="00370383"/>
    <w:rsid w:val="00370400"/>
    <w:rsid w:val="00370C6F"/>
    <w:rsid w:val="00370CB1"/>
    <w:rsid w:val="00371545"/>
    <w:rsid w:val="00371711"/>
    <w:rsid w:val="00371BBF"/>
    <w:rsid w:val="00371C72"/>
    <w:rsid w:val="00371CB2"/>
    <w:rsid w:val="0037212D"/>
    <w:rsid w:val="00372265"/>
    <w:rsid w:val="0037228D"/>
    <w:rsid w:val="003722CE"/>
    <w:rsid w:val="00372908"/>
    <w:rsid w:val="00373630"/>
    <w:rsid w:val="00373B9A"/>
    <w:rsid w:val="00373F45"/>
    <w:rsid w:val="003741C3"/>
    <w:rsid w:val="003756F7"/>
    <w:rsid w:val="003763C0"/>
    <w:rsid w:val="00376C34"/>
    <w:rsid w:val="00376FD4"/>
    <w:rsid w:val="00377BCA"/>
    <w:rsid w:val="00380202"/>
    <w:rsid w:val="00380900"/>
    <w:rsid w:val="00381001"/>
    <w:rsid w:val="00381026"/>
    <w:rsid w:val="00381459"/>
    <w:rsid w:val="00381481"/>
    <w:rsid w:val="00381641"/>
    <w:rsid w:val="0038197A"/>
    <w:rsid w:val="00382800"/>
    <w:rsid w:val="00383884"/>
    <w:rsid w:val="00384125"/>
    <w:rsid w:val="0038434C"/>
    <w:rsid w:val="00384839"/>
    <w:rsid w:val="00386125"/>
    <w:rsid w:val="0038670C"/>
    <w:rsid w:val="003908DF"/>
    <w:rsid w:val="00392469"/>
    <w:rsid w:val="003924F4"/>
    <w:rsid w:val="003929A6"/>
    <w:rsid w:val="00392D0A"/>
    <w:rsid w:val="0039432F"/>
    <w:rsid w:val="0039471F"/>
    <w:rsid w:val="00394CD6"/>
    <w:rsid w:val="00395A20"/>
    <w:rsid w:val="00397A26"/>
    <w:rsid w:val="003A1085"/>
    <w:rsid w:val="003A1348"/>
    <w:rsid w:val="003A1CB0"/>
    <w:rsid w:val="003A24D1"/>
    <w:rsid w:val="003A2A3F"/>
    <w:rsid w:val="003A318F"/>
    <w:rsid w:val="003A347A"/>
    <w:rsid w:val="003A3E80"/>
    <w:rsid w:val="003A406A"/>
    <w:rsid w:val="003A45CE"/>
    <w:rsid w:val="003A496E"/>
    <w:rsid w:val="003A4EE5"/>
    <w:rsid w:val="003A50AF"/>
    <w:rsid w:val="003A5E72"/>
    <w:rsid w:val="003A60A1"/>
    <w:rsid w:val="003A6D06"/>
    <w:rsid w:val="003A6D56"/>
    <w:rsid w:val="003A6FC3"/>
    <w:rsid w:val="003A7025"/>
    <w:rsid w:val="003A7496"/>
    <w:rsid w:val="003B0505"/>
    <w:rsid w:val="003B0678"/>
    <w:rsid w:val="003B10CB"/>
    <w:rsid w:val="003B1143"/>
    <w:rsid w:val="003B1354"/>
    <w:rsid w:val="003B13DD"/>
    <w:rsid w:val="003B1407"/>
    <w:rsid w:val="003B1891"/>
    <w:rsid w:val="003B1EEC"/>
    <w:rsid w:val="003B28EF"/>
    <w:rsid w:val="003B32DC"/>
    <w:rsid w:val="003B34D5"/>
    <w:rsid w:val="003B4295"/>
    <w:rsid w:val="003B4E4D"/>
    <w:rsid w:val="003B639C"/>
    <w:rsid w:val="003B77D1"/>
    <w:rsid w:val="003C0360"/>
    <w:rsid w:val="003C0A07"/>
    <w:rsid w:val="003C1380"/>
    <w:rsid w:val="003C16AB"/>
    <w:rsid w:val="003C18F4"/>
    <w:rsid w:val="003C21C4"/>
    <w:rsid w:val="003C2348"/>
    <w:rsid w:val="003C296D"/>
    <w:rsid w:val="003C2BD2"/>
    <w:rsid w:val="003C350A"/>
    <w:rsid w:val="003C36E7"/>
    <w:rsid w:val="003C42CE"/>
    <w:rsid w:val="003C4317"/>
    <w:rsid w:val="003C4D16"/>
    <w:rsid w:val="003C68F3"/>
    <w:rsid w:val="003C7F23"/>
    <w:rsid w:val="003D085B"/>
    <w:rsid w:val="003D08B5"/>
    <w:rsid w:val="003D0C23"/>
    <w:rsid w:val="003D100E"/>
    <w:rsid w:val="003D168A"/>
    <w:rsid w:val="003D17BB"/>
    <w:rsid w:val="003D1B10"/>
    <w:rsid w:val="003D230B"/>
    <w:rsid w:val="003D231E"/>
    <w:rsid w:val="003D2B4A"/>
    <w:rsid w:val="003D4630"/>
    <w:rsid w:val="003D49BF"/>
    <w:rsid w:val="003D51C5"/>
    <w:rsid w:val="003D52A2"/>
    <w:rsid w:val="003D5F9D"/>
    <w:rsid w:val="003D6063"/>
    <w:rsid w:val="003D61C9"/>
    <w:rsid w:val="003D686B"/>
    <w:rsid w:val="003D6DF0"/>
    <w:rsid w:val="003D71D1"/>
    <w:rsid w:val="003D758B"/>
    <w:rsid w:val="003D768B"/>
    <w:rsid w:val="003E00B1"/>
    <w:rsid w:val="003E01EC"/>
    <w:rsid w:val="003E052E"/>
    <w:rsid w:val="003E064B"/>
    <w:rsid w:val="003E15B6"/>
    <w:rsid w:val="003E3418"/>
    <w:rsid w:val="003E3A96"/>
    <w:rsid w:val="003E3C86"/>
    <w:rsid w:val="003E4158"/>
    <w:rsid w:val="003E4353"/>
    <w:rsid w:val="003E474B"/>
    <w:rsid w:val="003E6540"/>
    <w:rsid w:val="003E664A"/>
    <w:rsid w:val="003E68ED"/>
    <w:rsid w:val="003E74F2"/>
    <w:rsid w:val="003E7546"/>
    <w:rsid w:val="003E7D5E"/>
    <w:rsid w:val="003F03E4"/>
    <w:rsid w:val="003F0809"/>
    <w:rsid w:val="003F0D4D"/>
    <w:rsid w:val="003F1465"/>
    <w:rsid w:val="003F1466"/>
    <w:rsid w:val="003F1A1E"/>
    <w:rsid w:val="003F2DA4"/>
    <w:rsid w:val="003F44D1"/>
    <w:rsid w:val="003F4CFE"/>
    <w:rsid w:val="003F54D4"/>
    <w:rsid w:val="003F59E6"/>
    <w:rsid w:val="003F6E99"/>
    <w:rsid w:val="003F70A2"/>
    <w:rsid w:val="003F70C9"/>
    <w:rsid w:val="003F7386"/>
    <w:rsid w:val="003F7AB4"/>
    <w:rsid w:val="004001B5"/>
    <w:rsid w:val="00400731"/>
    <w:rsid w:val="004008FD"/>
    <w:rsid w:val="00400B50"/>
    <w:rsid w:val="0040107C"/>
    <w:rsid w:val="00401680"/>
    <w:rsid w:val="00401965"/>
    <w:rsid w:val="004020F7"/>
    <w:rsid w:val="004024A3"/>
    <w:rsid w:val="0040254B"/>
    <w:rsid w:val="0040255F"/>
    <w:rsid w:val="004026A4"/>
    <w:rsid w:val="00403017"/>
    <w:rsid w:val="004032F6"/>
    <w:rsid w:val="004036B4"/>
    <w:rsid w:val="0040375E"/>
    <w:rsid w:val="004048FD"/>
    <w:rsid w:val="00404BDA"/>
    <w:rsid w:val="00404DA7"/>
    <w:rsid w:val="00405392"/>
    <w:rsid w:val="004062EB"/>
    <w:rsid w:val="004064D5"/>
    <w:rsid w:val="0040691B"/>
    <w:rsid w:val="00407645"/>
    <w:rsid w:val="00407DEC"/>
    <w:rsid w:val="00410D44"/>
    <w:rsid w:val="00410F21"/>
    <w:rsid w:val="0041166F"/>
    <w:rsid w:val="00411ED7"/>
    <w:rsid w:val="00411FE6"/>
    <w:rsid w:val="00412015"/>
    <w:rsid w:val="0041268D"/>
    <w:rsid w:val="004130C6"/>
    <w:rsid w:val="0041312F"/>
    <w:rsid w:val="00414CE8"/>
    <w:rsid w:val="00415AC8"/>
    <w:rsid w:val="00416281"/>
    <w:rsid w:val="004167D9"/>
    <w:rsid w:val="00416856"/>
    <w:rsid w:val="00417285"/>
    <w:rsid w:val="00417E20"/>
    <w:rsid w:val="0042011D"/>
    <w:rsid w:val="0042046C"/>
    <w:rsid w:val="00420685"/>
    <w:rsid w:val="004207AD"/>
    <w:rsid w:val="00421273"/>
    <w:rsid w:val="0042132E"/>
    <w:rsid w:val="0042217E"/>
    <w:rsid w:val="00422254"/>
    <w:rsid w:val="004223A9"/>
    <w:rsid w:val="0042252D"/>
    <w:rsid w:val="00422E88"/>
    <w:rsid w:val="00423161"/>
    <w:rsid w:val="0042425B"/>
    <w:rsid w:val="0042484D"/>
    <w:rsid w:val="00424B8A"/>
    <w:rsid w:val="00424C21"/>
    <w:rsid w:val="004255CB"/>
    <w:rsid w:val="00425ADC"/>
    <w:rsid w:val="00425E2B"/>
    <w:rsid w:val="00426AD8"/>
    <w:rsid w:val="00426BAB"/>
    <w:rsid w:val="00426C8B"/>
    <w:rsid w:val="00426E6D"/>
    <w:rsid w:val="00427708"/>
    <w:rsid w:val="00427DD4"/>
    <w:rsid w:val="004305B7"/>
    <w:rsid w:val="00430D23"/>
    <w:rsid w:val="00430D2E"/>
    <w:rsid w:val="0043104B"/>
    <w:rsid w:val="00431B3E"/>
    <w:rsid w:val="004326F8"/>
    <w:rsid w:val="0043291D"/>
    <w:rsid w:val="004333E9"/>
    <w:rsid w:val="0043368C"/>
    <w:rsid w:val="0043371F"/>
    <w:rsid w:val="00433922"/>
    <w:rsid w:val="00433D7B"/>
    <w:rsid w:val="00433F9B"/>
    <w:rsid w:val="00434072"/>
    <w:rsid w:val="004340B0"/>
    <w:rsid w:val="00434A69"/>
    <w:rsid w:val="0043531F"/>
    <w:rsid w:val="00435AC9"/>
    <w:rsid w:val="004377F3"/>
    <w:rsid w:val="004406EF"/>
    <w:rsid w:val="004407D3"/>
    <w:rsid w:val="004407F1"/>
    <w:rsid w:val="00440B9E"/>
    <w:rsid w:val="00442200"/>
    <w:rsid w:val="00442E84"/>
    <w:rsid w:val="004443FF"/>
    <w:rsid w:val="00444C11"/>
    <w:rsid w:val="0044551F"/>
    <w:rsid w:val="0044559E"/>
    <w:rsid w:val="004456F4"/>
    <w:rsid w:val="00446D95"/>
    <w:rsid w:val="0044733C"/>
    <w:rsid w:val="00447369"/>
    <w:rsid w:val="00447C4C"/>
    <w:rsid w:val="00450312"/>
    <w:rsid w:val="0045073B"/>
    <w:rsid w:val="004507F5"/>
    <w:rsid w:val="00450FFE"/>
    <w:rsid w:val="00451CA2"/>
    <w:rsid w:val="0045214B"/>
    <w:rsid w:val="00452C04"/>
    <w:rsid w:val="00452E17"/>
    <w:rsid w:val="00452F85"/>
    <w:rsid w:val="004533F9"/>
    <w:rsid w:val="00453A1C"/>
    <w:rsid w:val="00453ADE"/>
    <w:rsid w:val="004541D7"/>
    <w:rsid w:val="0045562B"/>
    <w:rsid w:val="00455B3E"/>
    <w:rsid w:val="00455CB0"/>
    <w:rsid w:val="0045614A"/>
    <w:rsid w:val="0045655E"/>
    <w:rsid w:val="00456C9E"/>
    <w:rsid w:val="00457F21"/>
    <w:rsid w:val="00460182"/>
    <w:rsid w:val="004601BC"/>
    <w:rsid w:val="004619DA"/>
    <w:rsid w:val="00461B29"/>
    <w:rsid w:val="00461D56"/>
    <w:rsid w:val="00462220"/>
    <w:rsid w:val="004622C9"/>
    <w:rsid w:val="004622D1"/>
    <w:rsid w:val="0046268F"/>
    <w:rsid w:val="004628C0"/>
    <w:rsid w:val="00463602"/>
    <w:rsid w:val="00464B25"/>
    <w:rsid w:val="00464B79"/>
    <w:rsid w:val="004650DB"/>
    <w:rsid w:val="00465175"/>
    <w:rsid w:val="0046611E"/>
    <w:rsid w:val="00466280"/>
    <w:rsid w:val="00466F89"/>
    <w:rsid w:val="004671F9"/>
    <w:rsid w:val="0047028F"/>
    <w:rsid w:val="00470D65"/>
    <w:rsid w:val="00471206"/>
    <w:rsid w:val="00471C99"/>
    <w:rsid w:val="00472240"/>
    <w:rsid w:val="00472850"/>
    <w:rsid w:val="004746F1"/>
    <w:rsid w:val="0047498C"/>
    <w:rsid w:val="00474EBE"/>
    <w:rsid w:val="00474F3D"/>
    <w:rsid w:val="00475126"/>
    <w:rsid w:val="0047655C"/>
    <w:rsid w:val="004765C3"/>
    <w:rsid w:val="00476618"/>
    <w:rsid w:val="00476BD4"/>
    <w:rsid w:val="00477043"/>
    <w:rsid w:val="00477187"/>
    <w:rsid w:val="004775A3"/>
    <w:rsid w:val="00477955"/>
    <w:rsid w:val="00477B0D"/>
    <w:rsid w:val="00477B6A"/>
    <w:rsid w:val="00480384"/>
    <w:rsid w:val="00481535"/>
    <w:rsid w:val="004818B3"/>
    <w:rsid w:val="00482861"/>
    <w:rsid w:val="0048292D"/>
    <w:rsid w:val="00483BB3"/>
    <w:rsid w:val="00483FB0"/>
    <w:rsid w:val="00485041"/>
    <w:rsid w:val="0048565A"/>
    <w:rsid w:val="004858F0"/>
    <w:rsid w:val="00485BE9"/>
    <w:rsid w:val="00485C7F"/>
    <w:rsid w:val="004866B0"/>
    <w:rsid w:val="00486A96"/>
    <w:rsid w:val="00486B2F"/>
    <w:rsid w:val="00486CDE"/>
    <w:rsid w:val="00486CF8"/>
    <w:rsid w:val="0048747C"/>
    <w:rsid w:val="0048759E"/>
    <w:rsid w:val="00487605"/>
    <w:rsid w:val="0048773E"/>
    <w:rsid w:val="00487921"/>
    <w:rsid w:val="00487A23"/>
    <w:rsid w:val="00487DBF"/>
    <w:rsid w:val="0049105B"/>
    <w:rsid w:val="00491B59"/>
    <w:rsid w:val="00491B9E"/>
    <w:rsid w:val="0049200B"/>
    <w:rsid w:val="004934D7"/>
    <w:rsid w:val="00493ECE"/>
    <w:rsid w:val="00493F18"/>
    <w:rsid w:val="004943F5"/>
    <w:rsid w:val="0049493F"/>
    <w:rsid w:val="00494A98"/>
    <w:rsid w:val="00494CF9"/>
    <w:rsid w:val="0049523A"/>
    <w:rsid w:val="00495C97"/>
    <w:rsid w:val="00495F4F"/>
    <w:rsid w:val="004960DA"/>
    <w:rsid w:val="0049634E"/>
    <w:rsid w:val="00496427"/>
    <w:rsid w:val="0049653F"/>
    <w:rsid w:val="004967F8"/>
    <w:rsid w:val="00496982"/>
    <w:rsid w:val="00497006"/>
    <w:rsid w:val="004970EA"/>
    <w:rsid w:val="004A0339"/>
    <w:rsid w:val="004A0ECF"/>
    <w:rsid w:val="004A127B"/>
    <w:rsid w:val="004A1AE8"/>
    <w:rsid w:val="004A1D34"/>
    <w:rsid w:val="004A1DAA"/>
    <w:rsid w:val="004A1EFF"/>
    <w:rsid w:val="004A26A6"/>
    <w:rsid w:val="004A26B8"/>
    <w:rsid w:val="004A3823"/>
    <w:rsid w:val="004A4241"/>
    <w:rsid w:val="004A5243"/>
    <w:rsid w:val="004A579C"/>
    <w:rsid w:val="004A743E"/>
    <w:rsid w:val="004A75B2"/>
    <w:rsid w:val="004A78DB"/>
    <w:rsid w:val="004A79BC"/>
    <w:rsid w:val="004A7DA4"/>
    <w:rsid w:val="004A7F1E"/>
    <w:rsid w:val="004A7F8E"/>
    <w:rsid w:val="004B00BA"/>
    <w:rsid w:val="004B0D36"/>
    <w:rsid w:val="004B268C"/>
    <w:rsid w:val="004B2E48"/>
    <w:rsid w:val="004B37B0"/>
    <w:rsid w:val="004B3A71"/>
    <w:rsid w:val="004B41A8"/>
    <w:rsid w:val="004B4B50"/>
    <w:rsid w:val="004B574A"/>
    <w:rsid w:val="004B601E"/>
    <w:rsid w:val="004B61AC"/>
    <w:rsid w:val="004B65A3"/>
    <w:rsid w:val="004B6850"/>
    <w:rsid w:val="004B7137"/>
    <w:rsid w:val="004B7638"/>
    <w:rsid w:val="004B7C50"/>
    <w:rsid w:val="004C0799"/>
    <w:rsid w:val="004C154A"/>
    <w:rsid w:val="004C1FC6"/>
    <w:rsid w:val="004C2041"/>
    <w:rsid w:val="004C2643"/>
    <w:rsid w:val="004C2F0A"/>
    <w:rsid w:val="004C2F45"/>
    <w:rsid w:val="004C3338"/>
    <w:rsid w:val="004C47D9"/>
    <w:rsid w:val="004C490D"/>
    <w:rsid w:val="004C5009"/>
    <w:rsid w:val="004C5DE3"/>
    <w:rsid w:val="004C6509"/>
    <w:rsid w:val="004C6D0E"/>
    <w:rsid w:val="004C75C8"/>
    <w:rsid w:val="004C7D0D"/>
    <w:rsid w:val="004C7D14"/>
    <w:rsid w:val="004C7DA9"/>
    <w:rsid w:val="004D0D55"/>
    <w:rsid w:val="004D0EC7"/>
    <w:rsid w:val="004D0F62"/>
    <w:rsid w:val="004D2502"/>
    <w:rsid w:val="004D2A14"/>
    <w:rsid w:val="004D2ACE"/>
    <w:rsid w:val="004D2AEC"/>
    <w:rsid w:val="004D2BEA"/>
    <w:rsid w:val="004D2CDB"/>
    <w:rsid w:val="004D2F15"/>
    <w:rsid w:val="004D3F7A"/>
    <w:rsid w:val="004D436D"/>
    <w:rsid w:val="004D47A8"/>
    <w:rsid w:val="004D4D70"/>
    <w:rsid w:val="004D5B21"/>
    <w:rsid w:val="004D5BDA"/>
    <w:rsid w:val="004D628E"/>
    <w:rsid w:val="004D682A"/>
    <w:rsid w:val="004D69E8"/>
    <w:rsid w:val="004D6B8A"/>
    <w:rsid w:val="004D7085"/>
    <w:rsid w:val="004D731E"/>
    <w:rsid w:val="004E0431"/>
    <w:rsid w:val="004E0B4A"/>
    <w:rsid w:val="004E105E"/>
    <w:rsid w:val="004E116B"/>
    <w:rsid w:val="004E21EC"/>
    <w:rsid w:val="004E2333"/>
    <w:rsid w:val="004E25EE"/>
    <w:rsid w:val="004E3724"/>
    <w:rsid w:val="004E3811"/>
    <w:rsid w:val="004E3F53"/>
    <w:rsid w:val="004E4191"/>
    <w:rsid w:val="004E4351"/>
    <w:rsid w:val="004E43AA"/>
    <w:rsid w:val="004E4608"/>
    <w:rsid w:val="004E49C9"/>
    <w:rsid w:val="004E49FD"/>
    <w:rsid w:val="004E4E50"/>
    <w:rsid w:val="004E650F"/>
    <w:rsid w:val="004E7408"/>
    <w:rsid w:val="004E7B5F"/>
    <w:rsid w:val="004F0413"/>
    <w:rsid w:val="004F0B90"/>
    <w:rsid w:val="004F0F80"/>
    <w:rsid w:val="004F1373"/>
    <w:rsid w:val="004F1A7A"/>
    <w:rsid w:val="004F26AD"/>
    <w:rsid w:val="004F2CA5"/>
    <w:rsid w:val="004F30CE"/>
    <w:rsid w:val="004F3E9C"/>
    <w:rsid w:val="004F403F"/>
    <w:rsid w:val="004F4EB1"/>
    <w:rsid w:val="004F4FD7"/>
    <w:rsid w:val="004F58B6"/>
    <w:rsid w:val="004F5FED"/>
    <w:rsid w:val="004F610A"/>
    <w:rsid w:val="004F6CEC"/>
    <w:rsid w:val="004F77C3"/>
    <w:rsid w:val="004F7CEE"/>
    <w:rsid w:val="005001CD"/>
    <w:rsid w:val="005004CC"/>
    <w:rsid w:val="00500703"/>
    <w:rsid w:val="00500799"/>
    <w:rsid w:val="005008E5"/>
    <w:rsid w:val="00500A7B"/>
    <w:rsid w:val="00500A99"/>
    <w:rsid w:val="005012E4"/>
    <w:rsid w:val="00501500"/>
    <w:rsid w:val="00502525"/>
    <w:rsid w:val="00502591"/>
    <w:rsid w:val="0050276A"/>
    <w:rsid w:val="00502A93"/>
    <w:rsid w:val="00503A44"/>
    <w:rsid w:val="00504277"/>
    <w:rsid w:val="005053FD"/>
    <w:rsid w:val="00505E59"/>
    <w:rsid w:val="0050771D"/>
    <w:rsid w:val="00507784"/>
    <w:rsid w:val="005077CC"/>
    <w:rsid w:val="00507D73"/>
    <w:rsid w:val="00510E5C"/>
    <w:rsid w:val="00511455"/>
    <w:rsid w:val="00511599"/>
    <w:rsid w:val="00511BD9"/>
    <w:rsid w:val="0051278B"/>
    <w:rsid w:val="00512C92"/>
    <w:rsid w:val="00512EC7"/>
    <w:rsid w:val="005136F9"/>
    <w:rsid w:val="005137F8"/>
    <w:rsid w:val="00513BCA"/>
    <w:rsid w:val="00514600"/>
    <w:rsid w:val="00514B47"/>
    <w:rsid w:val="00514E23"/>
    <w:rsid w:val="005161EE"/>
    <w:rsid w:val="005165CC"/>
    <w:rsid w:val="005169B1"/>
    <w:rsid w:val="00516B4A"/>
    <w:rsid w:val="00517318"/>
    <w:rsid w:val="0051764B"/>
    <w:rsid w:val="0052005F"/>
    <w:rsid w:val="0052054D"/>
    <w:rsid w:val="00520B31"/>
    <w:rsid w:val="00520B9A"/>
    <w:rsid w:val="00520D80"/>
    <w:rsid w:val="00521B25"/>
    <w:rsid w:val="00521B75"/>
    <w:rsid w:val="00521BFD"/>
    <w:rsid w:val="005220CB"/>
    <w:rsid w:val="005222C5"/>
    <w:rsid w:val="00522400"/>
    <w:rsid w:val="005224F9"/>
    <w:rsid w:val="00522D5A"/>
    <w:rsid w:val="0052341F"/>
    <w:rsid w:val="00523736"/>
    <w:rsid w:val="00523D53"/>
    <w:rsid w:val="00523E89"/>
    <w:rsid w:val="00524339"/>
    <w:rsid w:val="00524D5F"/>
    <w:rsid w:val="005255D6"/>
    <w:rsid w:val="005258AF"/>
    <w:rsid w:val="00525CBA"/>
    <w:rsid w:val="005262FE"/>
    <w:rsid w:val="00526D8B"/>
    <w:rsid w:val="00527459"/>
    <w:rsid w:val="00527822"/>
    <w:rsid w:val="005278F7"/>
    <w:rsid w:val="00527924"/>
    <w:rsid w:val="00527BD6"/>
    <w:rsid w:val="00527ECC"/>
    <w:rsid w:val="0053056B"/>
    <w:rsid w:val="00530A07"/>
    <w:rsid w:val="00530D6F"/>
    <w:rsid w:val="00531834"/>
    <w:rsid w:val="00531E58"/>
    <w:rsid w:val="00531F45"/>
    <w:rsid w:val="005328ED"/>
    <w:rsid w:val="00532F72"/>
    <w:rsid w:val="00533276"/>
    <w:rsid w:val="005338E5"/>
    <w:rsid w:val="00533D5E"/>
    <w:rsid w:val="0053468E"/>
    <w:rsid w:val="005348A4"/>
    <w:rsid w:val="00534B51"/>
    <w:rsid w:val="00534C37"/>
    <w:rsid w:val="00535653"/>
    <w:rsid w:val="00535AD5"/>
    <w:rsid w:val="00535CEA"/>
    <w:rsid w:val="005362BC"/>
    <w:rsid w:val="00536351"/>
    <w:rsid w:val="005364D7"/>
    <w:rsid w:val="00536F6B"/>
    <w:rsid w:val="00537752"/>
    <w:rsid w:val="005404ED"/>
    <w:rsid w:val="0054153C"/>
    <w:rsid w:val="00541F78"/>
    <w:rsid w:val="0054268F"/>
    <w:rsid w:val="00542E15"/>
    <w:rsid w:val="0054360F"/>
    <w:rsid w:val="005451CF"/>
    <w:rsid w:val="00545A46"/>
    <w:rsid w:val="00545DA9"/>
    <w:rsid w:val="00546714"/>
    <w:rsid w:val="005469A6"/>
    <w:rsid w:val="005479AB"/>
    <w:rsid w:val="00547BC2"/>
    <w:rsid w:val="00550874"/>
    <w:rsid w:val="00550E15"/>
    <w:rsid w:val="00551363"/>
    <w:rsid w:val="00551E95"/>
    <w:rsid w:val="005525BC"/>
    <w:rsid w:val="005529E6"/>
    <w:rsid w:val="00553035"/>
    <w:rsid w:val="0055311F"/>
    <w:rsid w:val="00553F13"/>
    <w:rsid w:val="00554673"/>
    <w:rsid w:val="0055541E"/>
    <w:rsid w:val="00555690"/>
    <w:rsid w:val="005556D0"/>
    <w:rsid w:val="0055593A"/>
    <w:rsid w:val="0055634F"/>
    <w:rsid w:val="0055664F"/>
    <w:rsid w:val="00556864"/>
    <w:rsid w:val="005569E0"/>
    <w:rsid w:val="00557169"/>
    <w:rsid w:val="005572DE"/>
    <w:rsid w:val="005572F3"/>
    <w:rsid w:val="005575D3"/>
    <w:rsid w:val="00557832"/>
    <w:rsid w:val="00560182"/>
    <w:rsid w:val="0056128A"/>
    <w:rsid w:val="00561358"/>
    <w:rsid w:val="00561AE3"/>
    <w:rsid w:val="005623C5"/>
    <w:rsid w:val="005640B6"/>
    <w:rsid w:val="00564B38"/>
    <w:rsid w:val="00565676"/>
    <w:rsid w:val="00565E58"/>
    <w:rsid w:val="00566FF2"/>
    <w:rsid w:val="005679E4"/>
    <w:rsid w:val="00571169"/>
    <w:rsid w:val="00571A55"/>
    <w:rsid w:val="00572852"/>
    <w:rsid w:val="00572E04"/>
    <w:rsid w:val="005730D1"/>
    <w:rsid w:val="00573CA5"/>
    <w:rsid w:val="005748B1"/>
    <w:rsid w:val="00574AE0"/>
    <w:rsid w:val="00574AE5"/>
    <w:rsid w:val="00574C60"/>
    <w:rsid w:val="0057552E"/>
    <w:rsid w:val="005761BE"/>
    <w:rsid w:val="0057735C"/>
    <w:rsid w:val="0058018B"/>
    <w:rsid w:val="00580761"/>
    <w:rsid w:val="00580B0C"/>
    <w:rsid w:val="00580D3D"/>
    <w:rsid w:val="00580DF7"/>
    <w:rsid w:val="00580E5E"/>
    <w:rsid w:val="0058156E"/>
    <w:rsid w:val="00581C78"/>
    <w:rsid w:val="005822D4"/>
    <w:rsid w:val="00582B50"/>
    <w:rsid w:val="00583651"/>
    <w:rsid w:val="00584DCF"/>
    <w:rsid w:val="00584EBE"/>
    <w:rsid w:val="005851BA"/>
    <w:rsid w:val="005861D3"/>
    <w:rsid w:val="0058657A"/>
    <w:rsid w:val="0058690C"/>
    <w:rsid w:val="00586ADB"/>
    <w:rsid w:val="00586C44"/>
    <w:rsid w:val="0058720F"/>
    <w:rsid w:val="00587210"/>
    <w:rsid w:val="005872CD"/>
    <w:rsid w:val="00587581"/>
    <w:rsid w:val="0058782E"/>
    <w:rsid w:val="00587894"/>
    <w:rsid w:val="00587FFA"/>
    <w:rsid w:val="0059007E"/>
    <w:rsid w:val="00590635"/>
    <w:rsid w:val="0059097A"/>
    <w:rsid w:val="005913BD"/>
    <w:rsid w:val="00592252"/>
    <w:rsid w:val="00592463"/>
    <w:rsid w:val="0059271E"/>
    <w:rsid w:val="005929FB"/>
    <w:rsid w:val="00592FDB"/>
    <w:rsid w:val="00593926"/>
    <w:rsid w:val="00593B09"/>
    <w:rsid w:val="00593B2B"/>
    <w:rsid w:val="00593F61"/>
    <w:rsid w:val="00593FCC"/>
    <w:rsid w:val="00594F85"/>
    <w:rsid w:val="005962E4"/>
    <w:rsid w:val="005966F3"/>
    <w:rsid w:val="00597192"/>
    <w:rsid w:val="00597BAC"/>
    <w:rsid w:val="00597D75"/>
    <w:rsid w:val="00597FEF"/>
    <w:rsid w:val="005A0383"/>
    <w:rsid w:val="005A060D"/>
    <w:rsid w:val="005A0811"/>
    <w:rsid w:val="005A0D3C"/>
    <w:rsid w:val="005A0ED9"/>
    <w:rsid w:val="005A1409"/>
    <w:rsid w:val="005A1574"/>
    <w:rsid w:val="005A1BC5"/>
    <w:rsid w:val="005A2B40"/>
    <w:rsid w:val="005A2CC6"/>
    <w:rsid w:val="005A3331"/>
    <w:rsid w:val="005A3FA4"/>
    <w:rsid w:val="005A45A7"/>
    <w:rsid w:val="005A4B13"/>
    <w:rsid w:val="005A50E2"/>
    <w:rsid w:val="005A5833"/>
    <w:rsid w:val="005A58C6"/>
    <w:rsid w:val="005A5EE3"/>
    <w:rsid w:val="005A68EF"/>
    <w:rsid w:val="005A6970"/>
    <w:rsid w:val="005A6BBE"/>
    <w:rsid w:val="005A6FCB"/>
    <w:rsid w:val="005A7060"/>
    <w:rsid w:val="005A7239"/>
    <w:rsid w:val="005A78FF"/>
    <w:rsid w:val="005B02BF"/>
    <w:rsid w:val="005B0B5B"/>
    <w:rsid w:val="005B0D6B"/>
    <w:rsid w:val="005B27B0"/>
    <w:rsid w:val="005B2A38"/>
    <w:rsid w:val="005B2AD5"/>
    <w:rsid w:val="005B34C0"/>
    <w:rsid w:val="005B4A48"/>
    <w:rsid w:val="005B6BE9"/>
    <w:rsid w:val="005B73C4"/>
    <w:rsid w:val="005B7CEF"/>
    <w:rsid w:val="005B7EDA"/>
    <w:rsid w:val="005C0606"/>
    <w:rsid w:val="005C102D"/>
    <w:rsid w:val="005C19E7"/>
    <w:rsid w:val="005C228E"/>
    <w:rsid w:val="005C25A4"/>
    <w:rsid w:val="005C274C"/>
    <w:rsid w:val="005C2F08"/>
    <w:rsid w:val="005C326F"/>
    <w:rsid w:val="005C3CAB"/>
    <w:rsid w:val="005C49FF"/>
    <w:rsid w:val="005C529A"/>
    <w:rsid w:val="005C5AF7"/>
    <w:rsid w:val="005C630F"/>
    <w:rsid w:val="005C646C"/>
    <w:rsid w:val="005C692D"/>
    <w:rsid w:val="005C6E2A"/>
    <w:rsid w:val="005C79B5"/>
    <w:rsid w:val="005C7C75"/>
    <w:rsid w:val="005C7FC5"/>
    <w:rsid w:val="005D1116"/>
    <w:rsid w:val="005D16E5"/>
    <w:rsid w:val="005D1D97"/>
    <w:rsid w:val="005D22FF"/>
    <w:rsid w:val="005D26E0"/>
    <w:rsid w:val="005D42E8"/>
    <w:rsid w:val="005D4603"/>
    <w:rsid w:val="005D498F"/>
    <w:rsid w:val="005D4CF7"/>
    <w:rsid w:val="005D4FED"/>
    <w:rsid w:val="005D5982"/>
    <w:rsid w:val="005D5984"/>
    <w:rsid w:val="005D5AB7"/>
    <w:rsid w:val="005D7A25"/>
    <w:rsid w:val="005D7FFD"/>
    <w:rsid w:val="005E222F"/>
    <w:rsid w:val="005E22B7"/>
    <w:rsid w:val="005E27B9"/>
    <w:rsid w:val="005E3393"/>
    <w:rsid w:val="005E371C"/>
    <w:rsid w:val="005E3E7F"/>
    <w:rsid w:val="005E43A4"/>
    <w:rsid w:val="005E6635"/>
    <w:rsid w:val="005E6A95"/>
    <w:rsid w:val="005E712D"/>
    <w:rsid w:val="005E76FD"/>
    <w:rsid w:val="005E7A6F"/>
    <w:rsid w:val="005E7E62"/>
    <w:rsid w:val="005F0D5D"/>
    <w:rsid w:val="005F1187"/>
    <w:rsid w:val="005F1836"/>
    <w:rsid w:val="005F2051"/>
    <w:rsid w:val="005F2351"/>
    <w:rsid w:val="005F24F1"/>
    <w:rsid w:val="005F24FD"/>
    <w:rsid w:val="005F33D0"/>
    <w:rsid w:val="005F3DAD"/>
    <w:rsid w:val="005F4EBB"/>
    <w:rsid w:val="005F5222"/>
    <w:rsid w:val="005F5915"/>
    <w:rsid w:val="005F5975"/>
    <w:rsid w:val="005F5C78"/>
    <w:rsid w:val="005F6162"/>
    <w:rsid w:val="005F6636"/>
    <w:rsid w:val="005F6B7A"/>
    <w:rsid w:val="005F6C24"/>
    <w:rsid w:val="005F7C9C"/>
    <w:rsid w:val="00600B81"/>
    <w:rsid w:val="00600DB2"/>
    <w:rsid w:val="0060190A"/>
    <w:rsid w:val="006020E1"/>
    <w:rsid w:val="00602671"/>
    <w:rsid w:val="006026B1"/>
    <w:rsid w:val="0060353D"/>
    <w:rsid w:val="0060361F"/>
    <w:rsid w:val="00603B76"/>
    <w:rsid w:val="006042B0"/>
    <w:rsid w:val="006046DF"/>
    <w:rsid w:val="00604C36"/>
    <w:rsid w:val="00605442"/>
    <w:rsid w:val="006059B9"/>
    <w:rsid w:val="0060617F"/>
    <w:rsid w:val="00606219"/>
    <w:rsid w:val="00606256"/>
    <w:rsid w:val="00606321"/>
    <w:rsid w:val="00606C86"/>
    <w:rsid w:val="00607051"/>
    <w:rsid w:val="006075B0"/>
    <w:rsid w:val="00607D8B"/>
    <w:rsid w:val="00607E8C"/>
    <w:rsid w:val="00610100"/>
    <w:rsid w:val="0061071F"/>
    <w:rsid w:val="00611397"/>
    <w:rsid w:val="0061164B"/>
    <w:rsid w:val="00611794"/>
    <w:rsid w:val="00611B49"/>
    <w:rsid w:val="00612797"/>
    <w:rsid w:val="006131B3"/>
    <w:rsid w:val="006134F3"/>
    <w:rsid w:val="00614175"/>
    <w:rsid w:val="0061529F"/>
    <w:rsid w:val="00615AF4"/>
    <w:rsid w:val="00615B30"/>
    <w:rsid w:val="00617170"/>
    <w:rsid w:val="00617181"/>
    <w:rsid w:val="00617510"/>
    <w:rsid w:val="0061781A"/>
    <w:rsid w:val="00617FFE"/>
    <w:rsid w:val="00620A0F"/>
    <w:rsid w:val="00620B88"/>
    <w:rsid w:val="00621454"/>
    <w:rsid w:val="006214F4"/>
    <w:rsid w:val="00621597"/>
    <w:rsid w:val="0062190C"/>
    <w:rsid w:val="00621BF3"/>
    <w:rsid w:val="0062329D"/>
    <w:rsid w:val="006232B8"/>
    <w:rsid w:val="00623D75"/>
    <w:rsid w:val="00624392"/>
    <w:rsid w:val="00624DF5"/>
    <w:rsid w:val="00627400"/>
    <w:rsid w:val="00627674"/>
    <w:rsid w:val="00627B61"/>
    <w:rsid w:val="006304AC"/>
    <w:rsid w:val="00630993"/>
    <w:rsid w:val="00630A04"/>
    <w:rsid w:val="00631838"/>
    <w:rsid w:val="00631C7C"/>
    <w:rsid w:val="00632209"/>
    <w:rsid w:val="0063246D"/>
    <w:rsid w:val="00632971"/>
    <w:rsid w:val="00632B96"/>
    <w:rsid w:val="00632CEE"/>
    <w:rsid w:val="0063529C"/>
    <w:rsid w:val="00635643"/>
    <w:rsid w:val="00635AB3"/>
    <w:rsid w:val="00635BD5"/>
    <w:rsid w:val="00636A5A"/>
    <w:rsid w:val="00636E64"/>
    <w:rsid w:val="0063717D"/>
    <w:rsid w:val="006402FF"/>
    <w:rsid w:val="006410FC"/>
    <w:rsid w:val="0064113B"/>
    <w:rsid w:val="00641429"/>
    <w:rsid w:val="00641CBB"/>
    <w:rsid w:val="00642B6A"/>
    <w:rsid w:val="006437A9"/>
    <w:rsid w:val="006437C8"/>
    <w:rsid w:val="00643B33"/>
    <w:rsid w:val="00643C1E"/>
    <w:rsid w:val="006451A3"/>
    <w:rsid w:val="00645A2E"/>
    <w:rsid w:val="00645D3B"/>
    <w:rsid w:val="00645F6E"/>
    <w:rsid w:val="00646DD2"/>
    <w:rsid w:val="00647B38"/>
    <w:rsid w:val="00647F9F"/>
    <w:rsid w:val="00650056"/>
    <w:rsid w:val="00650BD0"/>
    <w:rsid w:val="0065111C"/>
    <w:rsid w:val="006511CF"/>
    <w:rsid w:val="006517EE"/>
    <w:rsid w:val="00651929"/>
    <w:rsid w:val="00651C13"/>
    <w:rsid w:val="006521E9"/>
    <w:rsid w:val="00652BBD"/>
    <w:rsid w:val="00652E34"/>
    <w:rsid w:val="00653232"/>
    <w:rsid w:val="00653B05"/>
    <w:rsid w:val="006548CF"/>
    <w:rsid w:val="00654B5A"/>
    <w:rsid w:val="00655735"/>
    <w:rsid w:val="006559C6"/>
    <w:rsid w:val="00656140"/>
    <w:rsid w:val="0065621F"/>
    <w:rsid w:val="0065653C"/>
    <w:rsid w:val="00656E0F"/>
    <w:rsid w:val="00657234"/>
    <w:rsid w:val="006576F9"/>
    <w:rsid w:val="00657852"/>
    <w:rsid w:val="00657962"/>
    <w:rsid w:val="006579D8"/>
    <w:rsid w:val="00660735"/>
    <w:rsid w:val="0066082C"/>
    <w:rsid w:val="00660DF6"/>
    <w:rsid w:val="006618EE"/>
    <w:rsid w:val="006621CC"/>
    <w:rsid w:val="0066285D"/>
    <w:rsid w:val="006641F9"/>
    <w:rsid w:val="006649F7"/>
    <w:rsid w:val="006652CA"/>
    <w:rsid w:val="00665588"/>
    <w:rsid w:val="00665B46"/>
    <w:rsid w:val="00666386"/>
    <w:rsid w:val="00666AE1"/>
    <w:rsid w:val="006671DA"/>
    <w:rsid w:val="006675A2"/>
    <w:rsid w:val="006675F2"/>
    <w:rsid w:val="00667E02"/>
    <w:rsid w:val="00670149"/>
    <w:rsid w:val="006706D3"/>
    <w:rsid w:val="006707FE"/>
    <w:rsid w:val="00671354"/>
    <w:rsid w:val="00671B33"/>
    <w:rsid w:val="00671B7E"/>
    <w:rsid w:val="00671BBD"/>
    <w:rsid w:val="00672F26"/>
    <w:rsid w:val="00673B1B"/>
    <w:rsid w:val="00674B26"/>
    <w:rsid w:val="00674CBB"/>
    <w:rsid w:val="006752EC"/>
    <w:rsid w:val="00675E63"/>
    <w:rsid w:val="00676357"/>
    <w:rsid w:val="00676410"/>
    <w:rsid w:val="00676767"/>
    <w:rsid w:val="00676EE3"/>
    <w:rsid w:val="006772B7"/>
    <w:rsid w:val="006776D5"/>
    <w:rsid w:val="00677A0E"/>
    <w:rsid w:val="00677E59"/>
    <w:rsid w:val="0068037D"/>
    <w:rsid w:val="00680907"/>
    <w:rsid w:val="00680AA8"/>
    <w:rsid w:val="00680C61"/>
    <w:rsid w:val="00681409"/>
    <w:rsid w:val="006816D1"/>
    <w:rsid w:val="00681791"/>
    <w:rsid w:val="00681C65"/>
    <w:rsid w:val="00682182"/>
    <w:rsid w:val="006824DA"/>
    <w:rsid w:val="0068295D"/>
    <w:rsid w:val="00683297"/>
    <w:rsid w:val="006835B2"/>
    <w:rsid w:val="006836B4"/>
    <w:rsid w:val="00683C44"/>
    <w:rsid w:val="00683EDA"/>
    <w:rsid w:val="0068405E"/>
    <w:rsid w:val="006841FB"/>
    <w:rsid w:val="0068441D"/>
    <w:rsid w:val="00684B63"/>
    <w:rsid w:val="006855DD"/>
    <w:rsid w:val="00686568"/>
    <w:rsid w:val="00686836"/>
    <w:rsid w:val="00686C24"/>
    <w:rsid w:val="0068757C"/>
    <w:rsid w:val="00687F43"/>
    <w:rsid w:val="00690612"/>
    <w:rsid w:val="00690787"/>
    <w:rsid w:val="00691677"/>
    <w:rsid w:val="00691B12"/>
    <w:rsid w:val="006921DD"/>
    <w:rsid w:val="00692486"/>
    <w:rsid w:val="00692666"/>
    <w:rsid w:val="00693233"/>
    <w:rsid w:val="006938E8"/>
    <w:rsid w:val="00693CF7"/>
    <w:rsid w:val="00693F86"/>
    <w:rsid w:val="006942A6"/>
    <w:rsid w:val="00694AA1"/>
    <w:rsid w:val="006956F7"/>
    <w:rsid w:val="00695E20"/>
    <w:rsid w:val="00696097"/>
    <w:rsid w:val="00696EC8"/>
    <w:rsid w:val="0069704C"/>
    <w:rsid w:val="006974D7"/>
    <w:rsid w:val="00697735"/>
    <w:rsid w:val="00697A4C"/>
    <w:rsid w:val="00697E58"/>
    <w:rsid w:val="006A0C9B"/>
    <w:rsid w:val="006A0CA6"/>
    <w:rsid w:val="006A0EC1"/>
    <w:rsid w:val="006A13B6"/>
    <w:rsid w:val="006A19B9"/>
    <w:rsid w:val="006A1EC1"/>
    <w:rsid w:val="006A291D"/>
    <w:rsid w:val="006A2B05"/>
    <w:rsid w:val="006A3437"/>
    <w:rsid w:val="006A3528"/>
    <w:rsid w:val="006A3716"/>
    <w:rsid w:val="006A3AE2"/>
    <w:rsid w:val="006A3BEB"/>
    <w:rsid w:val="006A4F5F"/>
    <w:rsid w:val="006A51D2"/>
    <w:rsid w:val="006A56A2"/>
    <w:rsid w:val="006A5A04"/>
    <w:rsid w:val="006A5BA4"/>
    <w:rsid w:val="006A5F04"/>
    <w:rsid w:val="006A630B"/>
    <w:rsid w:val="006A6AEC"/>
    <w:rsid w:val="006A7B2D"/>
    <w:rsid w:val="006A7B31"/>
    <w:rsid w:val="006B111F"/>
    <w:rsid w:val="006B11C4"/>
    <w:rsid w:val="006B1A4D"/>
    <w:rsid w:val="006B1BAE"/>
    <w:rsid w:val="006B25DE"/>
    <w:rsid w:val="006B2BDF"/>
    <w:rsid w:val="006B39B2"/>
    <w:rsid w:val="006B3C6F"/>
    <w:rsid w:val="006B4038"/>
    <w:rsid w:val="006B4967"/>
    <w:rsid w:val="006B5555"/>
    <w:rsid w:val="006B57F7"/>
    <w:rsid w:val="006B5963"/>
    <w:rsid w:val="006B5BDE"/>
    <w:rsid w:val="006B7420"/>
    <w:rsid w:val="006B7E0E"/>
    <w:rsid w:val="006B7FC3"/>
    <w:rsid w:val="006C0371"/>
    <w:rsid w:val="006C054C"/>
    <w:rsid w:val="006C05E3"/>
    <w:rsid w:val="006C10A1"/>
    <w:rsid w:val="006C15E9"/>
    <w:rsid w:val="006C18A8"/>
    <w:rsid w:val="006C2415"/>
    <w:rsid w:val="006C2433"/>
    <w:rsid w:val="006C2BD0"/>
    <w:rsid w:val="006C2F49"/>
    <w:rsid w:val="006C3050"/>
    <w:rsid w:val="006C3919"/>
    <w:rsid w:val="006C40DF"/>
    <w:rsid w:val="006C46A0"/>
    <w:rsid w:val="006C6117"/>
    <w:rsid w:val="006C6FD3"/>
    <w:rsid w:val="006C7DDB"/>
    <w:rsid w:val="006D0190"/>
    <w:rsid w:val="006D0FA9"/>
    <w:rsid w:val="006D13E6"/>
    <w:rsid w:val="006D1BDB"/>
    <w:rsid w:val="006D2F42"/>
    <w:rsid w:val="006D3E19"/>
    <w:rsid w:val="006D42F1"/>
    <w:rsid w:val="006D457A"/>
    <w:rsid w:val="006D485F"/>
    <w:rsid w:val="006D49BC"/>
    <w:rsid w:val="006D504C"/>
    <w:rsid w:val="006D5448"/>
    <w:rsid w:val="006D5E83"/>
    <w:rsid w:val="006D6ABB"/>
    <w:rsid w:val="006D6B83"/>
    <w:rsid w:val="006D7A85"/>
    <w:rsid w:val="006D7A91"/>
    <w:rsid w:val="006D7C7E"/>
    <w:rsid w:val="006E1000"/>
    <w:rsid w:val="006E173D"/>
    <w:rsid w:val="006E1B89"/>
    <w:rsid w:val="006E1F8C"/>
    <w:rsid w:val="006E243F"/>
    <w:rsid w:val="006E28BF"/>
    <w:rsid w:val="006E2FF3"/>
    <w:rsid w:val="006E3113"/>
    <w:rsid w:val="006E4761"/>
    <w:rsid w:val="006E4D7A"/>
    <w:rsid w:val="006E4E8E"/>
    <w:rsid w:val="006E4F55"/>
    <w:rsid w:val="006E4F5A"/>
    <w:rsid w:val="006E500A"/>
    <w:rsid w:val="006E5273"/>
    <w:rsid w:val="006E61CA"/>
    <w:rsid w:val="006E6931"/>
    <w:rsid w:val="006E6951"/>
    <w:rsid w:val="006E7688"/>
    <w:rsid w:val="006E79ED"/>
    <w:rsid w:val="006E7A7B"/>
    <w:rsid w:val="006F18F7"/>
    <w:rsid w:val="006F18FE"/>
    <w:rsid w:val="006F26EA"/>
    <w:rsid w:val="006F32D2"/>
    <w:rsid w:val="006F42B9"/>
    <w:rsid w:val="006F4CEF"/>
    <w:rsid w:val="006F5335"/>
    <w:rsid w:val="006F57D6"/>
    <w:rsid w:val="006F5BB0"/>
    <w:rsid w:val="006F6F2C"/>
    <w:rsid w:val="006F7163"/>
    <w:rsid w:val="00700185"/>
    <w:rsid w:val="007001E2"/>
    <w:rsid w:val="007003C6"/>
    <w:rsid w:val="00700443"/>
    <w:rsid w:val="0070052E"/>
    <w:rsid w:val="00700F26"/>
    <w:rsid w:val="0070122B"/>
    <w:rsid w:val="0070140A"/>
    <w:rsid w:val="00702549"/>
    <w:rsid w:val="007030E9"/>
    <w:rsid w:val="007039B2"/>
    <w:rsid w:val="007050B2"/>
    <w:rsid w:val="00705162"/>
    <w:rsid w:val="007059DD"/>
    <w:rsid w:val="00705D91"/>
    <w:rsid w:val="00705E68"/>
    <w:rsid w:val="00706640"/>
    <w:rsid w:val="007079F2"/>
    <w:rsid w:val="00710380"/>
    <w:rsid w:val="00710A43"/>
    <w:rsid w:val="00710F92"/>
    <w:rsid w:val="0071186A"/>
    <w:rsid w:val="007129C7"/>
    <w:rsid w:val="00712B66"/>
    <w:rsid w:val="00712F31"/>
    <w:rsid w:val="00712F6E"/>
    <w:rsid w:val="00713A91"/>
    <w:rsid w:val="00714C5E"/>
    <w:rsid w:val="00714E6C"/>
    <w:rsid w:val="00715431"/>
    <w:rsid w:val="00715A2E"/>
    <w:rsid w:val="00715D0D"/>
    <w:rsid w:val="00715E6A"/>
    <w:rsid w:val="00716E5C"/>
    <w:rsid w:val="007170C0"/>
    <w:rsid w:val="00717328"/>
    <w:rsid w:val="00717464"/>
    <w:rsid w:val="00717628"/>
    <w:rsid w:val="007177A8"/>
    <w:rsid w:val="00717A58"/>
    <w:rsid w:val="00717F04"/>
    <w:rsid w:val="007200EC"/>
    <w:rsid w:val="0072089B"/>
    <w:rsid w:val="00720CB6"/>
    <w:rsid w:val="00721585"/>
    <w:rsid w:val="0072212D"/>
    <w:rsid w:val="00722765"/>
    <w:rsid w:val="00722AAE"/>
    <w:rsid w:val="00722C7A"/>
    <w:rsid w:val="007246B8"/>
    <w:rsid w:val="00724782"/>
    <w:rsid w:val="007249E1"/>
    <w:rsid w:val="00725441"/>
    <w:rsid w:val="007254FB"/>
    <w:rsid w:val="007263C6"/>
    <w:rsid w:val="0072683A"/>
    <w:rsid w:val="00726A6F"/>
    <w:rsid w:val="00727364"/>
    <w:rsid w:val="00727797"/>
    <w:rsid w:val="007300BD"/>
    <w:rsid w:val="007308E6"/>
    <w:rsid w:val="007310EC"/>
    <w:rsid w:val="007319D7"/>
    <w:rsid w:val="00731B11"/>
    <w:rsid w:val="00732644"/>
    <w:rsid w:val="007326C3"/>
    <w:rsid w:val="0073328C"/>
    <w:rsid w:val="00733875"/>
    <w:rsid w:val="007341C7"/>
    <w:rsid w:val="007343D6"/>
    <w:rsid w:val="00734616"/>
    <w:rsid w:val="00734C27"/>
    <w:rsid w:val="007360A6"/>
    <w:rsid w:val="00736177"/>
    <w:rsid w:val="00736D97"/>
    <w:rsid w:val="007371A9"/>
    <w:rsid w:val="007375E0"/>
    <w:rsid w:val="0073782A"/>
    <w:rsid w:val="0074011A"/>
    <w:rsid w:val="007411E9"/>
    <w:rsid w:val="00741CDE"/>
    <w:rsid w:val="00741F82"/>
    <w:rsid w:val="007429FD"/>
    <w:rsid w:val="007437CC"/>
    <w:rsid w:val="00743D80"/>
    <w:rsid w:val="0074462D"/>
    <w:rsid w:val="00744C7D"/>
    <w:rsid w:val="0074533E"/>
    <w:rsid w:val="00745BE4"/>
    <w:rsid w:val="00745D39"/>
    <w:rsid w:val="0074619A"/>
    <w:rsid w:val="007461F7"/>
    <w:rsid w:val="00746301"/>
    <w:rsid w:val="007463DD"/>
    <w:rsid w:val="0074719F"/>
    <w:rsid w:val="00747543"/>
    <w:rsid w:val="007475B0"/>
    <w:rsid w:val="0074763E"/>
    <w:rsid w:val="00747829"/>
    <w:rsid w:val="00750410"/>
    <w:rsid w:val="0075099F"/>
    <w:rsid w:val="00750D92"/>
    <w:rsid w:val="0075205E"/>
    <w:rsid w:val="007521A8"/>
    <w:rsid w:val="0075298F"/>
    <w:rsid w:val="00753C43"/>
    <w:rsid w:val="00753FF3"/>
    <w:rsid w:val="0075469A"/>
    <w:rsid w:val="00754CB5"/>
    <w:rsid w:val="007557A1"/>
    <w:rsid w:val="00755A33"/>
    <w:rsid w:val="00756955"/>
    <w:rsid w:val="00756D48"/>
    <w:rsid w:val="00756E18"/>
    <w:rsid w:val="00757460"/>
    <w:rsid w:val="007575FE"/>
    <w:rsid w:val="00757A2C"/>
    <w:rsid w:val="0076114B"/>
    <w:rsid w:val="0076132A"/>
    <w:rsid w:val="00761B0B"/>
    <w:rsid w:val="007621FD"/>
    <w:rsid w:val="007626F6"/>
    <w:rsid w:val="00762934"/>
    <w:rsid w:val="007632D6"/>
    <w:rsid w:val="00763A6F"/>
    <w:rsid w:val="00763F0B"/>
    <w:rsid w:val="0076503F"/>
    <w:rsid w:val="00765374"/>
    <w:rsid w:val="00765827"/>
    <w:rsid w:val="00765857"/>
    <w:rsid w:val="00765899"/>
    <w:rsid w:val="00765A0F"/>
    <w:rsid w:val="00765C43"/>
    <w:rsid w:val="007661D5"/>
    <w:rsid w:val="00766A3B"/>
    <w:rsid w:val="0076720A"/>
    <w:rsid w:val="007708A3"/>
    <w:rsid w:val="007709EF"/>
    <w:rsid w:val="00770B72"/>
    <w:rsid w:val="00772DFB"/>
    <w:rsid w:val="00773221"/>
    <w:rsid w:val="00773474"/>
    <w:rsid w:val="0077360A"/>
    <w:rsid w:val="0077388E"/>
    <w:rsid w:val="00773C7B"/>
    <w:rsid w:val="00773E5B"/>
    <w:rsid w:val="00773F1E"/>
    <w:rsid w:val="007740D0"/>
    <w:rsid w:val="00774156"/>
    <w:rsid w:val="00774706"/>
    <w:rsid w:val="0077503D"/>
    <w:rsid w:val="0077532F"/>
    <w:rsid w:val="00775394"/>
    <w:rsid w:val="007757AB"/>
    <w:rsid w:val="00775B43"/>
    <w:rsid w:val="00775E98"/>
    <w:rsid w:val="0077637D"/>
    <w:rsid w:val="00776490"/>
    <w:rsid w:val="00777DED"/>
    <w:rsid w:val="00777E2F"/>
    <w:rsid w:val="00780131"/>
    <w:rsid w:val="007802F1"/>
    <w:rsid w:val="0078075B"/>
    <w:rsid w:val="007808C9"/>
    <w:rsid w:val="00780A89"/>
    <w:rsid w:val="00780BDE"/>
    <w:rsid w:val="00780CE4"/>
    <w:rsid w:val="00781BF7"/>
    <w:rsid w:val="00782130"/>
    <w:rsid w:val="007824FB"/>
    <w:rsid w:val="00782671"/>
    <w:rsid w:val="00782ED3"/>
    <w:rsid w:val="007837EA"/>
    <w:rsid w:val="00783888"/>
    <w:rsid w:val="00783E87"/>
    <w:rsid w:val="007841D3"/>
    <w:rsid w:val="00784CFF"/>
    <w:rsid w:val="00784EF0"/>
    <w:rsid w:val="007853D9"/>
    <w:rsid w:val="007853ED"/>
    <w:rsid w:val="0078600F"/>
    <w:rsid w:val="007868FA"/>
    <w:rsid w:val="00786A5D"/>
    <w:rsid w:val="0078739B"/>
    <w:rsid w:val="00787584"/>
    <w:rsid w:val="00787FF6"/>
    <w:rsid w:val="00790026"/>
    <w:rsid w:val="0079022E"/>
    <w:rsid w:val="00790549"/>
    <w:rsid w:val="00790B7D"/>
    <w:rsid w:val="00791384"/>
    <w:rsid w:val="007913AD"/>
    <w:rsid w:val="007913E2"/>
    <w:rsid w:val="00791666"/>
    <w:rsid w:val="0079279B"/>
    <w:rsid w:val="00792902"/>
    <w:rsid w:val="007929BF"/>
    <w:rsid w:val="00793B07"/>
    <w:rsid w:val="00793BE8"/>
    <w:rsid w:val="007957C0"/>
    <w:rsid w:val="007959F7"/>
    <w:rsid w:val="00795A6C"/>
    <w:rsid w:val="007962B1"/>
    <w:rsid w:val="00797370"/>
    <w:rsid w:val="007976A0"/>
    <w:rsid w:val="00797A23"/>
    <w:rsid w:val="00797E8D"/>
    <w:rsid w:val="007A039F"/>
    <w:rsid w:val="007A0617"/>
    <w:rsid w:val="007A0E7E"/>
    <w:rsid w:val="007A1620"/>
    <w:rsid w:val="007A22A0"/>
    <w:rsid w:val="007A24DE"/>
    <w:rsid w:val="007A268C"/>
    <w:rsid w:val="007A271C"/>
    <w:rsid w:val="007A284A"/>
    <w:rsid w:val="007A2E9C"/>
    <w:rsid w:val="007A30DB"/>
    <w:rsid w:val="007A3E1E"/>
    <w:rsid w:val="007A4DA6"/>
    <w:rsid w:val="007A5468"/>
    <w:rsid w:val="007A606E"/>
    <w:rsid w:val="007A6577"/>
    <w:rsid w:val="007A68E1"/>
    <w:rsid w:val="007A7E73"/>
    <w:rsid w:val="007B05F3"/>
    <w:rsid w:val="007B0A1C"/>
    <w:rsid w:val="007B0CF7"/>
    <w:rsid w:val="007B230E"/>
    <w:rsid w:val="007B260E"/>
    <w:rsid w:val="007B270B"/>
    <w:rsid w:val="007B2B72"/>
    <w:rsid w:val="007B3185"/>
    <w:rsid w:val="007B31B9"/>
    <w:rsid w:val="007B39D3"/>
    <w:rsid w:val="007B3A13"/>
    <w:rsid w:val="007B462E"/>
    <w:rsid w:val="007B48C2"/>
    <w:rsid w:val="007B4D20"/>
    <w:rsid w:val="007B5A0F"/>
    <w:rsid w:val="007B5B63"/>
    <w:rsid w:val="007B5DCE"/>
    <w:rsid w:val="007B6E13"/>
    <w:rsid w:val="007B6E3A"/>
    <w:rsid w:val="007B7812"/>
    <w:rsid w:val="007B7A71"/>
    <w:rsid w:val="007B7D1A"/>
    <w:rsid w:val="007C0102"/>
    <w:rsid w:val="007C0E67"/>
    <w:rsid w:val="007C16A8"/>
    <w:rsid w:val="007C1832"/>
    <w:rsid w:val="007C1A84"/>
    <w:rsid w:val="007C1C59"/>
    <w:rsid w:val="007C1F46"/>
    <w:rsid w:val="007C2171"/>
    <w:rsid w:val="007C22DD"/>
    <w:rsid w:val="007C36E7"/>
    <w:rsid w:val="007C46E8"/>
    <w:rsid w:val="007C4A69"/>
    <w:rsid w:val="007C4EB7"/>
    <w:rsid w:val="007C5701"/>
    <w:rsid w:val="007C6631"/>
    <w:rsid w:val="007C68A2"/>
    <w:rsid w:val="007C6E93"/>
    <w:rsid w:val="007C6EF5"/>
    <w:rsid w:val="007C7112"/>
    <w:rsid w:val="007D02A0"/>
    <w:rsid w:val="007D077A"/>
    <w:rsid w:val="007D0896"/>
    <w:rsid w:val="007D1951"/>
    <w:rsid w:val="007D19EF"/>
    <w:rsid w:val="007D1EE3"/>
    <w:rsid w:val="007D2DBA"/>
    <w:rsid w:val="007D4296"/>
    <w:rsid w:val="007D43C3"/>
    <w:rsid w:val="007D4516"/>
    <w:rsid w:val="007D46ED"/>
    <w:rsid w:val="007D4CEA"/>
    <w:rsid w:val="007D5C2A"/>
    <w:rsid w:val="007D604A"/>
    <w:rsid w:val="007D60D8"/>
    <w:rsid w:val="007D6852"/>
    <w:rsid w:val="007D68B9"/>
    <w:rsid w:val="007D6D4F"/>
    <w:rsid w:val="007D7026"/>
    <w:rsid w:val="007D76B8"/>
    <w:rsid w:val="007E057F"/>
    <w:rsid w:val="007E05CD"/>
    <w:rsid w:val="007E0C59"/>
    <w:rsid w:val="007E1251"/>
    <w:rsid w:val="007E131B"/>
    <w:rsid w:val="007E1B88"/>
    <w:rsid w:val="007E21C7"/>
    <w:rsid w:val="007E227A"/>
    <w:rsid w:val="007E29D0"/>
    <w:rsid w:val="007E3E8F"/>
    <w:rsid w:val="007E4120"/>
    <w:rsid w:val="007E4813"/>
    <w:rsid w:val="007E748A"/>
    <w:rsid w:val="007E76B3"/>
    <w:rsid w:val="007E7D86"/>
    <w:rsid w:val="007F077D"/>
    <w:rsid w:val="007F0CCF"/>
    <w:rsid w:val="007F1089"/>
    <w:rsid w:val="007F10F6"/>
    <w:rsid w:val="007F1363"/>
    <w:rsid w:val="007F1C59"/>
    <w:rsid w:val="007F24EC"/>
    <w:rsid w:val="007F277B"/>
    <w:rsid w:val="007F2994"/>
    <w:rsid w:val="007F3053"/>
    <w:rsid w:val="007F3707"/>
    <w:rsid w:val="007F398A"/>
    <w:rsid w:val="007F4BC1"/>
    <w:rsid w:val="007F4BDD"/>
    <w:rsid w:val="007F4D76"/>
    <w:rsid w:val="007F5ACC"/>
    <w:rsid w:val="007F60F8"/>
    <w:rsid w:val="007F767B"/>
    <w:rsid w:val="007F7914"/>
    <w:rsid w:val="007F7C0C"/>
    <w:rsid w:val="007F7FEA"/>
    <w:rsid w:val="008002D9"/>
    <w:rsid w:val="008003EC"/>
    <w:rsid w:val="00800922"/>
    <w:rsid w:val="00800FE1"/>
    <w:rsid w:val="00801372"/>
    <w:rsid w:val="00801486"/>
    <w:rsid w:val="00801E43"/>
    <w:rsid w:val="00803008"/>
    <w:rsid w:val="008031F7"/>
    <w:rsid w:val="008032DA"/>
    <w:rsid w:val="008040DF"/>
    <w:rsid w:val="0080428D"/>
    <w:rsid w:val="00805947"/>
    <w:rsid w:val="008079AC"/>
    <w:rsid w:val="00807D94"/>
    <w:rsid w:val="00807F47"/>
    <w:rsid w:val="008108A0"/>
    <w:rsid w:val="00810952"/>
    <w:rsid w:val="00810F8A"/>
    <w:rsid w:val="0081119C"/>
    <w:rsid w:val="00811F99"/>
    <w:rsid w:val="00812909"/>
    <w:rsid w:val="00812A07"/>
    <w:rsid w:val="00813201"/>
    <w:rsid w:val="00813392"/>
    <w:rsid w:val="0081357F"/>
    <w:rsid w:val="0081382C"/>
    <w:rsid w:val="008138D4"/>
    <w:rsid w:val="008139E3"/>
    <w:rsid w:val="00813B41"/>
    <w:rsid w:val="00815DDE"/>
    <w:rsid w:val="008169A8"/>
    <w:rsid w:val="00816E1C"/>
    <w:rsid w:val="008175C0"/>
    <w:rsid w:val="0081799D"/>
    <w:rsid w:val="00817CB2"/>
    <w:rsid w:val="00817DAB"/>
    <w:rsid w:val="00817F96"/>
    <w:rsid w:val="008200C3"/>
    <w:rsid w:val="008204D2"/>
    <w:rsid w:val="00821031"/>
    <w:rsid w:val="00821287"/>
    <w:rsid w:val="0082165F"/>
    <w:rsid w:val="00821740"/>
    <w:rsid w:val="00821991"/>
    <w:rsid w:val="00821DEE"/>
    <w:rsid w:val="00821E5E"/>
    <w:rsid w:val="00822D24"/>
    <w:rsid w:val="00822DA6"/>
    <w:rsid w:val="008231DD"/>
    <w:rsid w:val="008239D7"/>
    <w:rsid w:val="00823D68"/>
    <w:rsid w:val="00824CFE"/>
    <w:rsid w:val="00824F68"/>
    <w:rsid w:val="008254C9"/>
    <w:rsid w:val="00825711"/>
    <w:rsid w:val="008263B0"/>
    <w:rsid w:val="00826914"/>
    <w:rsid w:val="00826DE8"/>
    <w:rsid w:val="00827311"/>
    <w:rsid w:val="00827716"/>
    <w:rsid w:val="00827F6E"/>
    <w:rsid w:val="0083061A"/>
    <w:rsid w:val="00830DE8"/>
    <w:rsid w:val="00831944"/>
    <w:rsid w:val="00831978"/>
    <w:rsid w:val="00831A9F"/>
    <w:rsid w:val="00831DEF"/>
    <w:rsid w:val="00832D19"/>
    <w:rsid w:val="00832D88"/>
    <w:rsid w:val="00833743"/>
    <w:rsid w:val="00833947"/>
    <w:rsid w:val="00833DE7"/>
    <w:rsid w:val="00834738"/>
    <w:rsid w:val="00834870"/>
    <w:rsid w:val="00834A74"/>
    <w:rsid w:val="008350D6"/>
    <w:rsid w:val="0083576B"/>
    <w:rsid w:val="00835947"/>
    <w:rsid w:val="00835B6E"/>
    <w:rsid w:val="00836160"/>
    <w:rsid w:val="00836C79"/>
    <w:rsid w:val="008375D4"/>
    <w:rsid w:val="00837886"/>
    <w:rsid w:val="008378BE"/>
    <w:rsid w:val="00837D77"/>
    <w:rsid w:val="00837F1B"/>
    <w:rsid w:val="00840084"/>
    <w:rsid w:val="008405B2"/>
    <w:rsid w:val="00840A92"/>
    <w:rsid w:val="00840AB6"/>
    <w:rsid w:val="0084106E"/>
    <w:rsid w:val="00841C53"/>
    <w:rsid w:val="00842411"/>
    <w:rsid w:val="00842799"/>
    <w:rsid w:val="00842EF7"/>
    <w:rsid w:val="00843030"/>
    <w:rsid w:val="008430A3"/>
    <w:rsid w:val="00843389"/>
    <w:rsid w:val="008438FC"/>
    <w:rsid w:val="00844171"/>
    <w:rsid w:val="008452A8"/>
    <w:rsid w:val="00845F4B"/>
    <w:rsid w:val="00845F57"/>
    <w:rsid w:val="008461B5"/>
    <w:rsid w:val="00846794"/>
    <w:rsid w:val="00846B1E"/>
    <w:rsid w:val="00846B24"/>
    <w:rsid w:val="00846E08"/>
    <w:rsid w:val="00846F1E"/>
    <w:rsid w:val="0084771E"/>
    <w:rsid w:val="0085039D"/>
    <w:rsid w:val="0085055E"/>
    <w:rsid w:val="008507F1"/>
    <w:rsid w:val="0085095C"/>
    <w:rsid w:val="00850B3B"/>
    <w:rsid w:val="008513AF"/>
    <w:rsid w:val="008514B3"/>
    <w:rsid w:val="00851922"/>
    <w:rsid w:val="00851C23"/>
    <w:rsid w:val="008521DD"/>
    <w:rsid w:val="00852C18"/>
    <w:rsid w:val="00852F5C"/>
    <w:rsid w:val="0085411D"/>
    <w:rsid w:val="00854152"/>
    <w:rsid w:val="008545D5"/>
    <w:rsid w:val="008556E5"/>
    <w:rsid w:val="00855B8A"/>
    <w:rsid w:val="008561B5"/>
    <w:rsid w:val="00856A6B"/>
    <w:rsid w:val="00856E17"/>
    <w:rsid w:val="008570C8"/>
    <w:rsid w:val="00857240"/>
    <w:rsid w:val="00857C87"/>
    <w:rsid w:val="00857CD6"/>
    <w:rsid w:val="008606EE"/>
    <w:rsid w:val="00860E19"/>
    <w:rsid w:val="0086147B"/>
    <w:rsid w:val="008617BC"/>
    <w:rsid w:val="00861FB2"/>
    <w:rsid w:val="00862EF6"/>
    <w:rsid w:val="00863197"/>
    <w:rsid w:val="00863972"/>
    <w:rsid w:val="008647B1"/>
    <w:rsid w:val="0086541F"/>
    <w:rsid w:val="008660D4"/>
    <w:rsid w:val="00866290"/>
    <w:rsid w:val="00866615"/>
    <w:rsid w:val="008667CA"/>
    <w:rsid w:val="00866DB6"/>
    <w:rsid w:val="00867543"/>
    <w:rsid w:val="00867942"/>
    <w:rsid w:val="00867BFF"/>
    <w:rsid w:val="0087047F"/>
    <w:rsid w:val="00871422"/>
    <w:rsid w:val="008725E7"/>
    <w:rsid w:val="008743C9"/>
    <w:rsid w:val="00874732"/>
    <w:rsid w:val="008748B6"/>
    <w:rsid w:val="008749DC"/>
    <w:rsid w:val="0087536B"/>
    <w:rsid w:val="00875560"/>
    <w:rsid w:val="00876932"/>
    <w:rsid w:val="00876FCB"/>
    <w:rsid w:val="008771E4"/>
    <w:rsid w:val="00880000"/>
    <w:rsid w:val="0088030A"/>
    <w:rsid w:val="008804F0"/>
    <w:rsid w:val="00881E14"/>
    <w:rsid w:val="008821F3"/>
    <w:rsid w:val="00882A30"/>
    <w:rsid w:val="00882AD4"/>
    <w:rsid w:val="00882B5F"/>
    <w:rsid w:val="00882E34"/>
    <w:rsid w:val="00882FE4"/>
    <w:rsid w:val="00883FA8"/>
    <w:rsid w:val="00884612"/>
    <w:rsid w:val="00884A83"/>
    <w:rsid w:val="00884D7B"/>
    <w:rsid w:val="00884E9E"/>
    <w:rsid w:val="00885184"/>
    <w:rsid w:val="008853B1"/>
    <w:rsid w:val="008861BF"/>
    <w:rsid w:val="00886B7E"/>
    <w:rsid w:val="00887C00"/>
    <w:rsid w:val="008903C3"/>
    <w:rsid w:val="008904F2"/>
    <w:rsid w:val="008914FF"/>
    <w:rsid w:val="0089221B"/>
    <w:rsid w:val="008922A3"/>
    <w:rsid w:val="0089289F"/>
    <w:rsid w:val="00893CD5"/>
    <w:rsid w:val="008949D4"/>
    <w:rsid w:val="00894E2A"/>
    <w:rsid w:val="00894EA2"/>
    <w:rsid w:val="00895507"/>
    <w:rsid w:val="00895720"/>
    <w:rsid w:val="00895C90"/>
    <w:rsid w:val="00896580"/>
    <w:rsid w:val="00897211"/>
    <w:rsid w:val="00897327"/>
    <w:rsid w:val="0089751C"/>
    <w:rsid w:val="00897890"/>
    <w:rsid w:val="00897F4B"/>
    <w:rsid w:val="008A075E"/>
    <w:rsid w:val="008A2ABE"/>
    <w:rsid w:val="008A2C63"/>
    <w:rsid w:val="008A2CC5"/>
    <w:rsid w:val="008A4A5B"/>
    <w:rsid w:val="008A4C50"/>
    <w:rsid w:val="008A5BBD"/>
    <w:rsid w:val="008A5C22"/>
    <w:rsid w:val="008A5E47"/>
    <w:rsid w:val="008A6754"/>
    <w:rsid w:val="008A7E43"/>
    <w:rsid w:val="008A7F5D"/>
    <w:rsid w:val="008B044E"/>
    <w:rsid w:val="008B082D"/>
    <w:rsid w:val="008B0B5F"/>
    <w:rsid w:val="008B176B"/>
    <w:rsid w:val="008B219F"/>
    <w:rsid w:val="008B21C1"/>
    <w:rsid w:val="008B3EF9"/>
    <w:rsid w:val="008B4248"/>
    <w:rsid w:val="008B42FF"/>
    <w:rsid w:val="008B46D4"/>
    <w:rsid w:val="008B4C3F"/>
    <w:rsid w:val="008B4D4A"/>
    <w:rsid w:val="008B5A8B"/>
    <w:rsid w:val="008B6DC3"/>
    <w:rsid w:val="008B7172"/>
    <w:rsid w:val="008B7641"/>
    <w:rsid w:val="008B79A0"/>
    <w:rsid w:val="008B7E61"/>
    <w:rsid w:val="008C0840"/>
    <w:rsid w:val="008C0D30"/>
    <w:rsid w:val="008C15DC"/>
    <w:rsid w:val="008C1D31"/>
    <w:rsid w:val="008C26B1"/>
    <w:rsid w:val="008C28FD"/>
    <w:rsid w:val="008C2D11"/>
    <w:rsid w:val="008C2EE2"/>
    <w:rsid w:val="008C2EFF"/>
    <w:rsid w:val="008C30EA"/>
    <w:rsid w:val="008C35F6"/>
    <w:rsid w:val="008C37B4"/>
    <w:rsid w:val="008C3853"/>
    <w:rsid w:val="008C4A61"/>
    <w:rsid w:val="008C5523"/>
    <w:rsid w:val="008C62EA"/>
    <w:rsid w:val="008C67FF"/>
    <w:rsid w:val="008D0282"/>
    <w:rsid w:val="008D04DE"/>
    <w:rsid w:val="008D0C0A"/>
    <w:rsid w:val="008D1217"/>
    <w:rsid w:val="008D152F"/>
    <w:rsid w:val="008D2E4E"/>
    <w:rsid w:val="008D3831"/>
    <w:rsid w:val="008D3E96"/>
    <w:rsid w:val="008D3EAE"/>
    <w:rsid w:val="008D4ABB"/>
    <w:rsid w:val="008D5092"/>
    <w:rsid w:val="008D523F"/>
    <w:rsid w:val="008D5692"/>
    <w:rsid w:val="008D59AA"/>
    <w:rsid w:val="008D6447"/>
    <w:rsid w:val="008D73B2"/>
    <w:rsid w:val="008D749D"/>
    <w:rsid w:val="008D7762"/>
    <w:rsid w:val="008D7E8B"/>
    <w:rsid w:val="008E078E"/>
    <w:rsid w:val="008E1C7C"/>
    <w:rsid w:val="008E1F48"/>
    <w:rsid w:val="008E26B7"/>
    <w:rsid w:val="008E28AD"/>
    <w:rsid w:val="008E307B"/>
    <w:rsid w:val="008E3B2E"/>
    <w:rsid w:val="008E3C39"/>
    <w:rsid w:val="008E3D6E"/>
    <w:rsid w:val="008E4361"/>
    <w:rsid w:val="008E53A1"/>
    <w:rsid w:val="008E567A"/>
    <w:rsid w:val="008E62D1"/>
    <w:rsid w:val="008E6707"/>
    <w:rsid w:val="008E6893"/>
    <w:rsid w:val="008E70B3"/>
    <w:rsid w:val="008E72E1"/>
    <w:rsid w:val="008E7A83"/>
    <w:rsid w:val="008E7CEF"/>
    <w:rsid w:val="008E7D44"/>
    <w:rsid w:val="008F06C3"/>
    <w:rsid w:val="008F0FE1"/>
    <w:rsid w:val="008F134A"/>
    <w:rsid w:val="008F1678"/>
    <w:rsid w:val="008F1DED"/>
    <w:rsid w:val="008F2081"/>
    <w:rsid w:val="008F242F"/>
    <w:rsid w:val="008F252B"/>
    <w:rsid w:val="008F2646"/>
    <w:rsid w:val="008F26FB"/>
    <w:rsid w:val="008F27A0"/>
    <w:rsid w:val="008F3BCC"/>
    <w:rsid w:val="008F4272"/>
    <w:rsid w:val="008F4E80"/>
    <w:rsid w:val="008F5528"/>
    <w:rsid w:val="008F5609"/>
    <w:rsid w:val="008F5A93"/>
    <w:rsid w:val="008F5F20"/>
    <w:rsid w:val="008F6991"/>
    <w:rsid w:val="008F727C"/>
    <w:rsid w:val="00901194"/>
    <w:rsid w:val="00901E22"/>
    <w:rsid w:val="009029E4"/>
    <w:rsid w:val="00902CC9"/>
    <w:rsid w:val="00902D64"/>
    <w:rsid w:val="00902EC9"/>
    <w:rsid w:val="00903881"/>
    <w:rsid w:val="00903E77"/>
    <w:rsid w:val="009042A8"/>
    <w:rsid w:val="00904726"/>
    <w:rsid w:val="00904921"/>
    <w:rsid w:val="009057EE"/>
    <w:rsid w:val="00905950"/>
    <w:rsid w:val="00905990"/>
    <w:rsid w:val="0090663B"/>
    <w:rsid w:val="00907092"/>
    <w:rsid w:val="009077F6"/>
    <w:rsid w:val="00911482"/>
    <w:rsid w:val="00911A7E"/>
    <w:rsid w:val="00911C88"/>
    <w:rsid w:val="009120FC"/>
    <w:rsid w:val="009131A4"/>
    <w:rsid w:val="009131D5"/>
    <w:rsid w:val="00913256"/>
    <w:rsid w:val="009144E9"/>
    <w:rsid w:val="0091452B"/>
    <w:rsid w:val="00914ED5"/>
    <w:rsid w:val="009151A6"/>
    <w:rsid w:val="00915376"/>
    <w:rsid w:val="00915F5D"/>
    <w:rsid w:val="00916366"/>
    <w:rsid w:val="00916533"/>
    <w:rsid w:val="009168E1"/>
    <w:rsid w:val="009176CD"/>
    <w:rsid w:val="009177F2"/>
    <w:rsid w:val="00917E53"/>
    <w:rsid w:val="00920667"/>
    <w:rsid w:val="00920897"/>
    <w:rsid w:val="00920BAA"/>
    <w:rsid w:val="00921383"/>
    <w:rsid w:val="00921CE8"/>
    <w:rsid w:val="00921E06"/>
    <w:rsid w:val="00921E7C"/>
    <w:rsid w:val="0092208F"/>
    <w:rsid w:val="0092297A"/>
    <w:rsid w:val="00923349"/>
    <w:rsid w:val="00923AD0"/>
    <w:rsid w:val="009249F6"/>
    <w:rsid w:val="00924FB9"/>
    <w:rsid w:val="0092540E"/>
    <w:rsid w:val="00925CE9"/>
    <w:rsid w:val="00926A0F"/>
    <w:rsid w:val="009273E5"/>
    <w:rsid w:val="0092751B"/>
    <w:rsid w:val="0092763A"/>
    <w:rsid w:val="0092778F"/>
    <w:rsid w:val="00930C82"/>
    <w:rsid w:val="009311CB"/>
    <w:rsid w:val="00931235"/>
    <w:rsid w:val="00931831"/>
    <w:rsid w:val="0093221E"/>
    <w:rsid w:val="0093286F"/>
    <w:rsid w:val="009334DC"/>
    <w:rsid w:val="00933C63"/>
    <w:rsid w:val="0093402E"/>
    <w:rsid w:val="0093405E"/>
    <w:rsid w:val="009345F8"/>
    <w:rsid w:val="00934D50"/>
    <w:rsid w:val="00934FA1"/>
    <w:rsid w:val="00935305"/>
    <w:rsid w:val="0093546D"/>
    <w:rsid w:val="00936260"/>
    <w:rsid w:val="00936337"/>
    <w:rsid w:val="009368D8"/>
    <w:rsid w:val="00936A7D"/>
    <w:rsid w:val="009376A0"/>
    <w:rsid w:val="009376D6"/>
    <w:rsid w:val="00940176"/>
    <w:rsid w:val="00940192"/>
    <w:rsid w:val="0094022B"/>
    <w:rsid w:val="00940533"/>
    <w:rsid w:val="009405BC"/>
    <w:rsid w:val="00940659"/>
    <w:rsid w:val="00940FA8"/>
    <w:rsid w:val="009414F5"/>
    <w:rsid w:val="009419F3"/>
    <w:rsid w:val="00941A61"/>
    <w:rsid w:val="00941D6C"/>
    <w:rsid w:val="00942BAB"/>
    <w:rsid w:val="009435C4"/>
    <w:rsid w:val="009439E4"/>
    <w:rsid w:val="00943A50"/>
    <w:rsid w:val="00943DF2"/>
    <w:rsid w:val="00944E56"/>
    <w:rsid w:val="00946A3F"/>
    <w:rsid w:val="00946F41"/>
    <w:rsid w:val="00947255"/>
    <w:rsid w:val="00947CF0"/>
    <w:rsid w:val="009503C0"/>
    <w:rsid w:val="009514AE"/>
    <w:rsid w:val="009518DE"/>
    <w:rsid w:val="009519D3"/>
    <w:rsid w:val="0095321C"/>
    <w:rsid w:val="00955D05"/>
    <w:rsid w:val="00955E34"/>
    <w:rsid w:val="00957AA3"/>
    <w:rsid w:val="009604B9"/>
    <w:rsid w:val="009615FB"/>
    <w:rsid w:val="00961635"/>
    <w:rsid w:val="009616A2"/>
    <w:rsid w:val="00961FBE"/>
    <w:rsid w:val="00962232"/>
    <w:rsid w:val="009629B8"/>
    <w:rsid w:val="00962EB1"/>
    <w:rsid w:val="00963640"/>
    <w:rsid w:val="00963D16"/>
    <w:rsid w:val="00963F77"/>
    <w:rsid w:val="00963F8F"/>
    <w:rsid w:val="00964456"/>
    <w:rsid w:val="00964717"/>
    <w:rsid w:val="00965090"/>
    <w:rsid w:val="009652EB"/>
    <w:rsid w:val="0096561E"/>
    <w:rsid w:val="0097009C"/>
    <w:rsid w:val="00970784"/>
    <w:rsid w:val="00970E46"/>
    <w:rsid w:val="00971342"/>
    <w:rsid w:val="00971347"/>
    <w:rsid w:val="00971615"/>
    <w:rsid w:val="0097259F"/>
    <w:rsid w:val="0097279E"/>
    <w:rsid w:val="00972A77"/>
    <w:rsid w:val="00973F0E"/>
    <w:rsid w:val="00974589"/>
    <w:rsid w:val="009749EC"/>
    <w:rsid w:val="00974EDF"/>
    <w:rsid w:val="0097518D"/>
    <w:rsid w:val="00975386"/>
    <w:rsid w:val="0097581E"/>
    <w:rsid w:val="00975AD7"/>
    <w:rsid w:val="009762D9"/>
    <w:rsid w:val="0097637A"/>
    <w:rsid w:val="00976B20"/>
    <w:rsid w:val="00977C33"/>
    <w:rsid w:val="009816B7"/>
    <w:rsid w:val="00981FE9"/>
    <w:rsid w:val="009820A1"/>
    <w:rsid w:val="00982190"/>
    <w:rsid w:val="00983538"/>
    <w:rsid w:val="00984916"/>
    <w:rsid w:val="00985241"/>
    <w:rsid w:val="009858CE"/>
    <w:rsid w:val="009858DB"/>
    <w:rsid w:val="00985B82"/>
    <w:rsid w:val="00986291"/>
    <w:rsid w:val="009862FA"/>
    <w:rsid w:val="00986F98"/>
    <w:rsid w:val="00990103"/>
    <w:rsid w:val="00990AAD"/>
    <w:rsid w:val="00990EB5"/>
    <w:rsid w:val="009913E0"/>
    <w:rsid w:val="00992A00"/>
    <w:rsid w:val="00992C4C"/>
    <w:rsid w:val="00992CF6"/>
    <w:rsid w:val="00992F29"/>
    <w:rsid w:val="009933CF"/>
    <w:rsid w:val="009933E3"/>
    <w:rsid w:val="009942AF"/>
    <w:rsid w:val="009946CE"/>
    <w:rsid w:val="00994993"/>
    <w:rsid w:val="0099508B"/>
    <w:rsid w:val="0099598B"/>
    <w:rsid w:val="009959EA"/>
    <w:rsid w:val="0099621C"/>
    <w:rsid w:val="009965E1"/>
    <w:rsid w:val="00996C7C"/>
    <w:rsid w:val="00997611"/>
    <w:rsid w:val="009A0375"/>
    <w:rsid w:val="009A091D"/>
    <w:rsid w:val="009A145A"/>
    <w:rsid w:val="009A1922"/>
    <w:rsid w:val="009A19BA"/>
    <w:rsid w:val="009A2188"/>
    <w:rsid w:val="009A2505"/>
    <w:rsid w:val="009A2F3A"/>
    <w:rsid w:val="009A2F8F"/>
    <w:rsid w:val="009A3AE9"/>
    <w:rsid w:val="009A3E50"/>
    <w:rsid w:val="009A3FD9"/>
    <w:rsid w:val="009A4FC7"/>
    <w:rsid w:val="009A60D1"/>
    <w:rsid w:val="009A64F5"/>
    <w:rsid w:val="009A6DEB"/>
    <w:rsid w:val="009A72A6"/>
    <w:rsid w:val="009A7E30"/>
    <w:rsid w:val="009B06AA"/>
    <w:rsid w:val="009B0B62"/>
    <w:rsid w:val="009B10C6"/>
    <w:rsid w:val="009B1986"/>
    <w:rsid w:val="009B2102"/>
    <w:rsid w:val="009B2444"/>
    <w:rsid w:val="009B25D8"/>
    <w:rsid w:val="009B2C65"/>
    <w:rsid w:val="009B3202"/>
    <w:rsid w:val="009B328B"/>
    <w:rsid w:val="009B3C6E"/>
    <w:rsid w:val="009B4859"/>
    <w:rsid w:val="009B5ACB"/>
    <w:rsid w:val="009B6885"/>
    <w:rsid w:val="009B68A0"/>
    <w:rsid w:val="009B74B3"/>
    <w:rsid w:val="009C04F9"/>
    <w:rsid w:val="009C07E3"/>
    <w:rsid w:val="009C1087"/>
    <w:rsid w:val="009C12DC"/>
    <w:rsid w:val="009C1544"/>
    <w:rsid w:val="009C252D"/>
    <w:rsid w:val="009C25CA"/>
    <w:rsid w:val="009C2CE1"/>
    <w:rsid w:val="009C3D10"/>
    <w:rsid w:val="009C4520"/>
    <w:rsid w:val="009C4A8D"/>
    <w:rsid w:val="009C4BD2"/>
    <w:rsid w:val="009C5047"/>
    <w:rsid w:val="009C5274"/>
    <w:rsid w:val="009C5437"/>
    <w:rsid w:val="009C5CF7"/>
    <w:rsid w:val="009C6067"/>
    <w:rsid w:val="009C607F"/>
    <w:rsid w:val="009C6640"/>
    <w:rsid w:val="009C66A0"/>
    <w:rsid w:val="009C6D6F"/>
    <w:rsid w:val="009C793F"/>
    <w:rsid w:val="009D0835"/>
    <w:rsid w:val="009D0957"/>
    <w:rsid w:val="009D0D67"/>
    <w:rsid w:val="009D0DB0"/>
    <w:rsid w:val="009D0EBA"/>
    <w:rsid w:val="009D0F48"/>
    <w:rsid w:val="009D1E7F"/>
    <w:rsid w:val="009D2F78"/>
    <w:rsid w:val="009D3025"/>
    <w:rsid w:val="009D3465"/>
    <w:rsid w:val="009D3605"/>
    <w:rsid w:val="009D3F2E"/>
    <w:rsid w:val="009D456F"/>
    <w:rsid w:val="009D47A5"/>
    <w:rsid w:val="009D6988"/>
    <w:rsid w:val="009D6D20"/>
    <w:rsid w:val="009E03DA"/>
    <w:rsid w:val="009E0C21"/>
    <w:rsid w:val="009E16B8"/>
    <w:rsid w:val="009E3008"/>
    <w:rsid w:val="009E3020"/>
    <w:rsid w:val="009E354A"/>
    <w:rsid w:val="009E38AA"/>
    <w:rsid w:val="009E3AC3"/>
    <w:rsid w:val="009E42F4"/>
    <w:rsid w:val="009E43B5"/>
    <w:rsid w:val="009E45D8"/>
    <w:rsid w:val="009E56E2"/>
    <w:rsid w:val="009E665D"/>
    <w:rsid w:val="009E6DCA"/>
    <w:rsid w:val="009E79D3"/>
    <w:rsid w:val="009E7E0D"/>
    <w:rsid w:val="009F0194"/>
    <w:rsid w:val="009F02AA"/>
    <w:rsid w:val="009F0676"/>
    <w:rsid w:val="009F091C"/>
    <w:rsid w:val="009F09D7"/>
    <w:rsid w:val="009F0F2C"/>
    <w:rsid w:val="009F105B"/>
    <w:rsid w:val="009F1B6E"/>
    <w:rsid w:val="009F2475"/>
    <w:rsid w:val="009F2B61"/>
    <w:rsid w:val="009F2B72"/>
    <w:rsid w:val="009F348D"/>
    <w:rsid w:val="009F4265"/>
    <w:rsid w:val="009F4567"/>
    <w:rsid w:val="009F49CD"/>
    <w:rsid w:val="009F4E69"/>
    <w:rsid w:val="009F4EAD"/>
    <w:rsid w:val="009F6EE5"/>
    <w:rsid w:val="009F6FE8"/>
    <w:rsid w:val="00A000D6"/>
    <w:rsid w:val="00A01091"/>
    <w:rsid w:val="00A015C2"/>
    <w:rsid w:val="00A017A7"/>
    <w:rsid w:val="00A01915"/>
    <w:rsid w:val="00A020C0"/>
    <w:rsid w:val="00A021B0"/>
    <w:rsid w:val="00A02402"/>
    <w:rsid w:val="00A0250B"/>
    <w:rsid w:val="00A02A38"/>
    <w:rsid w:val="00A02B2A"/>
    <w:rsid w:val="00A02BA7"/>
    <w:rsid w:val="00A03506"/>
    <w:rsid w:val="00A038DC"/>
    <w:rsid w:val="00A03C42"/>
    <w:rsid w:val="00A04BC5"/>
    <w:rsid w:val="00A056F2"/>
    <w:rsid w:val="00A05CBB"/>
    <w:rsid w:val="00A0759D"/>
    <w:rsid w:val="00A077BA"/>
    <w:rsid w:val="00A102A4"/>
    <w:rsid w:val="00A123DC"/>
    <w:rsid w:val="00A12C52"/>
    <w:rsid w:val="00A13588"/>
    <w:rsid w:val="00A13774"/>
    <w:rsid w:val="00A14887"/>
    <w:rsid w:val="00A14D8C"/>
    <w:rsid w:val="00A156CC"/>
    <w:rsid w:val="00A15810"/>
    <w:rsid w:val="00A158B0"/>
    <w:rsid w:val="00A15BA4"/>
    <w:rsid w:val="00A16382"/>
    <w:rsid w:val="00A16862"/>
    <w:rsid w:val="00A16919"/>
    <w:rsid w:val="00A17084"/>
    <w:rsid w:val="00A176AF"/>
    <w:rsid w:val="00A1799C"/>
    <w:rsid w:val="00A17DB4"/>
    <w:rsid w:val="00A20022"/>
    <w:rsid w:val="00A209F1"/>
    <w:rsid w:val="00A2119F"/>
    <w:rsid w:val="00A218A4"/>
    <w:rsid w:val="00A21999"/>
    <w:rsid w:val="00A2370E"/>
    <w:rsid w:val="00A23BDC"/>
    <w:rsid w:val="00A249A2"/>
    <w:rsid w:val="00A257F1"/>
    <w:rsid w:val="00A26CEE"/>
    <w:rsid w:val="00A26CFE"/>
    <w:rsid w:val="00A278EF"/>
    <w:rsid w:val="00A27D4E"/>
    <w:rsid w:val="00A30108"/>
    <w:rsid w:val="00A30385"/>
    <w:rsid w:val="00A3067C"/>
    <w:rsid w:val="00A3093F"/>
    <w:rsid w:val="00A30DFE"/>
    <w:rsid w:val="00A31C8B"/>
    <w:rsid w:val="00A326D3"/>
    <w:rsid w:val="00A32863"/>
    <w:rsid w:val="00A32F72"/>
    <w:rsid w:val="00A33272"/>
    <w:rsid w:val="00A33577"/>
    <w:rsid w:val="00A3383A"/>
    <w:rsid w:val="00A33848"/>
    <w:rsid w:val="00A3594F"/>
    <w:rsid w:val="00A35F0D"/>
    <w:rsid w:val="00A3609E"/>
    <w:rsid w:val="00A362D2"/>
    <w:rsid w:val="00A36A45"/>
    <w:rsid w:val="00A371DA"/>
    <w:rsid w:val="00A37909"/>
    <w:rsid w:val="00A40055"/>
    <w:rsid w:val="00A408DC"/>
    <w:rsid w:val="00A4146E"/>
    <w:rsid w:val="00A4153C"/>
    <w:rsid w:val="00A41D9C"/>
    <w:rsid w:val="00A42656"/>
    <w:rsid w:val="00A42919"/>
    <w:rsid w:val="00A436C6"/>
    <w:rsid w:val="00A44497"/>
    <w:rsid w:val="00A444A4"/>
    <w:rsid w:val="00A452CF"/>
    <w:rsid w:val="00A458E2"/>
    <w:rsid w:val="00A45EF4"/>
    <w:rsid w:val="00A4605B"/>
    <w:rsid w:val="00A46069"/>
    <w:rsid w:val="00A4644D"/>
    <w:rsid w:val="00A465F6"/>
    <w:rsid w:val="00A46617"/>
    <w:rsid w:val="00A46651"/>
    <w:rsid w:val="00A46B6B"/>
    <w:rsid w:val="00A46E59"/>
    <w:rsid w:val="00A4702B"/>
    <w:rsid w:val="00A4789A"/>
    <w:rsid w:val="00A50122"/>
    <w:rsid w:val="00A5037D"/>
    <w:rsid w:val="00A50EB2"/>
    <w:rsid w:val="00A51655"/>
    <w:rsid w:val="00A51AD0"/>
    <w:rsid w:val="00A51EE0"/>
    <w:rsid w:val="00A5215D"/>
    <w:rsid w:val="00A52891"/>
    <w:rsid w:val="00A52D58"/>
    <w:rsid w:val="00A533F7"/>
    <w:rsid w:val="00A5398D"/>
    <w:rsid w:val="00A54B61"/>
    <w:rsid w:val="00A55F7C"/>
    <w:rsid w:val="00A563F7"/>
    <w:rsid w:val="00A56E71"/>
    <w:rsid w:val="00A57353"/>
    <w:rsid w:val="00A57358"/>
    <w:rsid w:val="00A60F97"/>
    <w:rsid w:val="00A61CE8"/>
    <w:rsid w:val="00A61FFD"/>
    <w:rsid w:val="00A62421"/>
    <w:rsid w:val="00A625DC"/>
    <w:rsid w:val="00A62C2D"/>
    <w:rsid w:val="00A63AA6"/>
    <w:rsid w:val="00A63CBF"/>
    <w:rsid w:val="00A64237"/>
    <w:rsid w:val="00A64DA4"/>
    <w:rsid w:val="00A654F1"/>
    <w:rsid w:val="00A655AE"/>
    <w:rsid w:val="00A65EF1"/>
    <w:rsid w:val="00A70B03"/>
    <w:rsid w:val="00A70ECA"/>
    <w:rsid w:val="00A71081"/>
    <w:rsid w:val="00A71984"/>
    <w:rsid w:val="00A72E6C"/>
    <w:rsid w:val="00A733B3"/>
    <w:rsid w:val="00A733CC"/>
    <w:rsid w:val="00A74151"/>
    <w:rsid w:val="00A7440C"/>
    <w:rsid w:val="00A7447D"/>
    <w:rsid w:val="00A74611"/>
    <w:rsid w:val="00A746C7"/>
    <w:rsid w:val="00A75467"/>
    <w:rsid w:val="00A754E3"/>
    <w:rsid w:val="00A75592"/>
    <w:rsid w:val="00A76C7F"/>
    <w:rsid w:val="00A77C07"/>
    <w:rsid w:val="00A77CAD"/>
    <w:rsid w:val="00A77F18"/>
    <w:rsid w:val="00A81663"/>
    <w:rsid w:val="00A81778"/>
    <w:rsid w:val="00A81E53"/>
    <w:rsid w:val="00A823FC"/>
    <w:rsid w:val="00A82A93"/>
    <w:rsid w:val="00A82BFF"/>
    <w:rsid w:val="00A831D6"/>
    <w:rsid w:val="00A835AE"/>
    <w:rsid w:val="00A83E23"/>
    <w:rsid w:val="00A83EC9"/>
    <w:rsid w:val="00A85A5F"/>
    <w:rsid w:val="00A868CC"/>
    <w:rsid w:val="00A86BD4"/>
    <w:rsid w:val="00A86EC2"/>
    <w:rsid w:val="00A87800"/>
    <w:rsid w:val="00A87D89"/>
    <w:rsid w:val="00A87FF7"/>
    <w:rsid w:val="00A9082F"/>
    <w:rsid w:val="00A908C5"/>
    <w:rsid w:val="00A90C9C"/>
    <w:rsid w:val="00A90E41"/>
    <w:rsid w:val="00A90EC9"/>
    <w:rsid w:val="00A911F7"/>
    <w:rsid w:val="00A9176B"/>
    <w:rsid w:val="00A91CFA"/>
    <w:rsid w:val="00A9215D"/>
    <w:rsid w:val="00A9218E"/>
    <w:rsid w:val="00A92E19"/>
    <w:rsid w:val="00A931A2"/>
    <w:rsid w:val="00A93201"/>
    <w:rsid w:val="00A935DA"/>
    <w:rsid w:val="00A94131"/>
    <w:rsid w:val="00A94C62"/>
    <w:rsid w:val="00A95175"/>
    <w:rsid w:val="00A958E1"/>
    <w:rsid w:val="00A969BD"/>
    <w:rsid w:val="00A96BE6"/>
    <w:rsid w:val="00AA0115"/>
    <w:rsid w:val="00AA15AA"/>
    <w:rsid w:val="00AA1C3D"/>
    <w:rsid w:val="00AA2DEF"/>
    <w:rsid w:val="00AA34B7"/>
    <w:rsid w:val="00AA3701"/>
    <w:rsid w:val="00AA4EE6"/>
    <w:rsid w:val="00AA50B0"/>
    <w:rsid w:val="00AA547B"/>
    <w:rsid w:val="00AA66C5"/>
    <w:rsid w:val="00AA72B9"/>
    <w:rsid w:val="00AA774A"/>
    <w:rsid w:val="00AB0553"/>
    <w:rsid w:val="00AB079C"/>
    <w:rsid w:val="00AB0E23"/>
    <w:rsid w:val="00AB0E6C"/>
    <w:rsid w:val="00AB0F6D"/>
    <w:rsid w:val="00AB151C"/>
    <w:rsid w:val="00AB1982"/>
    <w:rsid w:val="00AB1F12"/>
    <w:rsid w:val="00AB278D"/>
    <w:rsid w:val="00AB405B"/>
    <w:rsid w:val="00AB4910"/>
    <w:rsid w:val="00AB5DAF"/>
    <w:rsid w:val="00AB6022"/>
    <w:rsid w:val="00AC078D"/>
    <w:rsid w:val="00AC16CA"/>
    <w:rsid w:val="00AC1732"/>
    <w:rsid w:val="00AC175D"/>
    <w:rsid w:val="00AC18D5"/>
    <w:rsid w:val="00AC195A"/>
    <w:rsid w:val="00AC1DA8"/>
    <w:rsid w:val="00AC2676"/>
    <w:rsid w:val="00AC2BCE"/>
    <w:rsid w:val="00AC3381"/>
    <w:rsid w:val="00AC3F7A"/>
    <w:rsid w:val="00AC3F8E"/>
    <w:rsid w:val="00AC421F"/>
    <w:rsid w:val="00AC46E8"/>
    <w:rsid w:val="00AC47E6"/>
    <w:rsid w:val="00AC48CC"/>
    <w:rsid w:val="00AC4FE8"/>
    <w:rsid w:val="00AC5D20"/>
    <w:rsid w:val="00AC7628"/>
    <w:rsid w:val="00AD0A1C"/>
    <w:rsid w:val="00AD0C22"/>
    <w:rsid w:val="00AD0FCF"/>
    <w:rsid w:val="00AD17A1"/>
    <w:rsid w:val="00AD1854"/>
    <w:rsid w:val="00AD21AC"/>
    <w:rsid w:val="00AD2B29"/>
    <w:rsid w:val="00AD2C82"/>
    <w:rsid w:val="00AD4438"/>
    <w:rsid w:val="00AD4FAF"/>
    <w:rsid w:val="00AD4FC4"/>
    <w:rsid w:val="00AD51C0"/>
    <w:rsid w:val="00AD525E"/>
    <w:rsid w:val="00AD6293"/>
    <w:rsid w:val="00AD6B6E"/>
    <w:rsid w:val="00AD6FE6"/>
    <w:rsid w:val="00AD72C5"/>
    <w:rsid w:val="00AD76E0"/>
    <w:rsid w:val="00AE092F"/>
    <w:rsid w:val="00AE0D43"/>
    <w:rsid w:val="00AE1659"/>
    <w:rsid w:val="00AE1844"/>
    <w:rsid w:val="00AE27D2"/>
    <w:rsid w:val="00AE4505"/>
    <w:rsid w:val="00AE4A0C"/>
    <w:rsid w:val="00AE4AE7"/>
    <w:rsid w:val="00AE55CB"/>
    <w:rsid w:val="00AE63C5"/>
    <w:rsid w:val="00AE6456"/>
    <w:rsid w:val="00AE6679"/>
    <w:rsid w:val="00AE6CB2"/>
    <w:rsid w:val="00AE6F9D"/>
    <w:rsid w:val="00AE6FBB"/>
    <w:rsid w:val="00AE741B"/>
    <w:rsid w:val="00AE7747"/>
    <w:rsid w:val="00AE7B53"/>
    <w:rsid w:val="00AE7B90"/>
    <w:rsid w:val="00AF0049"/>
    <w:rsid w:val="00AF017F"/>
    <w:rsid w:val="00AF17A4"/>
    <w:rsid w:val="00AF18AA"/>
    <w:rsid w:val="00AF237C"/>
    <w:rsid w:val="00AF24F6"/>
    <w:rsid w:val="00AF2999"/>
    <w:rsid w:val="00AF2EF7"/>
    <w:rsid w:val="00AF2FFB"/>
    <w:rsid w:val="00AF31D4"/>
    <w:rsid w:val="00AF334A"/>
    <w:rsid w:val="00AF5E5D"/>
    <w:rsid w:val="00AF5E82"/>
    <w:rsid w:val="00AF7B7E"/>
    <w:rsid w:val="00B0004B"/>
    <w:rsid w:val="00B013DA"/>
    <w:rsid w:val="00B01ECA"/>
    <w:rsid w:val="00B021A9"/>
    <w:rsid w:val="00B02540"/>
    <w:rsid w:val="00B027DD"/>
    <w:rsid w:val="00B0343A"/>
    <w:rsid w:val="00B036A3"/>
    <w:rsid w:val="00B03952"/>
    <w:rsid w:val="00B03C1F"/>
    <w:rsid w:val="00B04164"/>
    <w:rsid w:val="00B0489C"/>
    <w:rsid w:val="00B04E2E"/>
    <w:rsid w:val="00B0506D"/>
    <w:rsid w:val="00B054DB"/>
    <w:rsid w:val="00B054EC"/>
    <w:rsid w:val="00B067F3"/>
    <w:rsid w:val="00B069CA"/>
    <w:rsid w:val="00B06B15"/>
    <w:rsid w:val="00B107AD"/>
    <w:rsid w:val="00B108FE"/>
    <w:rsid w:val="00B10AEC"/>
    <w:rsid w:val="00B10B28"/>
    <w:rsid w:val="00B10C27"/>
    <w:rsid w:val="00B110B8"/>
    <w:rsid w:val="00B114F4"/>
    <w:rsid w:val="00B11B47"/>
    <w:rsid w:val="00B11EEF"/>
    <w:rsid w:val="00B12074"/>
    <w:rsid w:val="00B123BA"/>
    <w:rsid w:val="00B128B4"/>
    <w:rsid w:val="00B12A56"/>
    <w:rsid w:val="00B138D8"/>
    <w:rsid w:val="00B1391F"/>
    <w:rsid w:val="00B139D0"/>
    <w:rsid w:val="00B13EC4"/>
    <w:rsid w:val="00B14A9A"/>
    <w:rsid w:val="00B14EE2"/>
    <w:rsid w:val="00B15EBD"/>
    <w:rsid w:val="00B17013"/>
    <w:rsid w:val="00B202BE"/>
    <w:rsid w:val="00B2106D"/>
    <w:rsid w:val="00B2115B"/>
    <w:rsid w:val="00B212DD"/>
    <w:rsid w:val="00B21508"/>
    <w:rsid w:val="00B21D8B"/>
    <w:rsid w:val="00B22860"/>
    <w:rsid w:val="00B22CEB"/>
    <w:rsid w:val="00B230E9"/>
    <w:rsid w:val="00B231CD"/>
    <w:rsid w:val="00B23D24"/>
    <w:rsid w:val="00B24C58"/>
    <w:rsid w:val="00B260C1"/>
    <w:rsid w:val="00B260DD"/>
    <w:rsid w:val="00B26643"/>
    <w:rsid w:val="00B269F7"/>
    <w:rsid w:val="00B26A84"/>
    <w:rsid w:val="00B26BA6"/>
    <w:rsid w:val="00B27590"/>
    <w:rsid w:val="00B27B6F"/>
    <w:rsid w:val="00B27C05"/>
    <w:rsid w:val="00B30216"/>
    <w:rsid w:val="00B30447"/>
    <w:rsid w:val="00B30551"/>
    <w:rsid w:val="00B30F81"/>
    <w:rsid w:val="00B310D1"/>
    <w:rsid w:val="00B3111C"/>
    <w:rsid w:val="00B3166D"/>
    <w:rsid w:val="00B317B9"/>
    <w:rsid w:val="00B31AA3"/>
    <w:rsid w:val="00B31F15"/>
    <w:rsid w:val="00B323C8"/>
    <w:rsid w:val="00B32B61"/>
    <w:rsid w:val="00B33616"/>
    <w:rsid w:val="00B33F2A"/>
    <w:rsid w:val="00B36924"/>
    <w:rsid w:val="00B371BF"/>
    <w:rsid w:val="00B37AAA"/>
    <w:rsid w:val="00B40A23"/>
    <w:rsid w:val="00B4148B"/>
    <w:rsid w:val="00B41A20"/>
    <w:rsid w:val="00B41BBF"/>
    <w:rsid w:val="00B41C09"/>
    <w:rsid w:val="00B41F07"/>
    <w:rsid w:val="00B4205B"/>
    <w:rsid w:val="00B426F6"/>
    <w:rsid w:val="00B42DA7"/>
    <w:rsid w:val="00B43DA9"/>
    <w:rsid w:val="00B44D35"/>
    <w:rsid w:val="00B455A8"/>
    <w:rsid w:val="00B46071"/>
    <w:rsid w:val="00B4621A"/>
    <w:rsid w:val="00B523CD"/>
    <w:rsid w:val="00B53528"/>
    <w:rsid w:val="00B53887"/>
    <w:rsid w:val="00B53DC4"/>
    <w:rsid w:val="00B54D12"/>
    <w:rsid w:val="00B55E3D"/>
    <w:rsid w:val="00B5681F"/>
    <w:rsid w:val="00B56B77"/>
    <w:rsid w:val="00B57208"/>
    <w:rsid w:val="00B573A5"/>
    <w:rsid w:val="00B5786F"/>
    <w:rsid w:val="00B60145"/>
    <w:rsid w:val="00B61078"/>
    <w:rsid w:val="00B61C61"/>
    <w:rsid w:val="00B623AF"/>
    <w:rsid w:val="00B626C7"/>
    <w:rsid w:val="00B627E1"/>
    <w:rsid w:val="00B62D75"/>
    <w:rsid w:val="00B62F53"/>
    <w:rsid w:val="00B6320E"/>
    <w:rsid w:val="00B63BC8"/>
    <w:rsid w:val="00B642BF"/>
    <w:rsid w:val="00B64705"/>
    <w:rsid w:val="00B64841"/>
    <w:rsid w:val="00B6491A"/>
    <w:rsid w:val="00B64BA9"/>
    <w:rsid w:val="00B655A1"/>
    <w:rsid w:val="00B6571A"/>
    <w:rsid w:val="00B6617F"/>
    <w:rsid w:val="00B67592"/>
    <w:rsid w:val="00B6773D"/>
    <w:rsid w:val="00B678C9"/>
    <w:rsid w:val="00B6798D"/>
    <w:rsid w:val="00B7154F"/>
    <w:rsid w:val="00B71890"/>
    <w:rsid w:val="00B71A6F"/>
    <w:rsid w:val="00B71AA8"/>
    <w:rsid w:val="00B71E46"/>
    <w:rsid w:val="00B72402"/>
    <w:rsid w:val="00B7249A"/>
    <w:rsid w:val="00B72B66"/>
    <w:rsid w:val="00B72C7D"/>
    <w:rsid w:val="00B72CE6"/>
    <w:rsid w:val="00B72EA0"/>
    <w:rsid w:val="00B733D7"/>
    <w:rsid w:val="00B736C1"/>
    <w:rsid w:val="00B7370A"/>
    <w:rsid w:val="00B7399D"/>
    <w:rsid w:val="00B73E6B"/>
    <w:rsid w:val="00B74044"/>
    <w:rsid w:val="00B74106"/>
    <w:rsid w:val="00B74695"/>
    <w:rsid w:val="00B74AED"/>
    <w:rsid w:val="00B74C20"/>
    <w:rsid w:val="00B75274"/>
    <w:rsid w:val="00B753F5"/>
    <w:rsid w:val="00B75696"/>
    <w:rsid w:val="00B7577C"/>
    <w:rsid w:val="00B75991"/>
    <w:rsid w:val="00B75A3D"/>
    <w:rsid w:val="00B75C7F"/>
    <w:rsid w:val="00B76037"/>
    <w:rsid w:val="00B761E9"/>
    <w:rsid w:val="00B76563"/>
    <w:rsid w:val="00B7682E"/>
    <w:rsid w:val="00B77E2F"/>
    <w:rsid w:val="00B80509"/>
    <w:rsid w:val="00B80966"/>
    <w:rsid w:val="00B8105F"/>
    <w:rsid w:val="00B8141D"/>
    <w:rsid w:val="00B8182D"/>
    <w:rsid w:val="00B82AC3"/>
    <w:rsid w:val="00B82C8B"/>
    <w:rsid w:val="00B82CE3"/>
    <w:rsid w:val="00B83272"/>
    <w:rsid w:val="00B8391E"/>
    <w:rsid w:val="00B84DD3"/>
    <w:rsid w:val="00B84E10"/>
    <w:rsid w:val="00B8542B"/>
    <w:rsid w:val="00B854A1"/>
    <w:rsid w:val="00B858A4"/>
    <w:rsid w:val="00B858E4"/>
    <w:rsid w:val="00B85AC8"/>
    <w:rsid w:val="00B86403"/>
    <w:rsid w:val="00B8659F"/>
    <w:rsid w:val="00B8677A"/>
    <w:rsid w:val="00B86880"/>
    <w:rsid w:val="00B87052"/>
    <w:rsid w:val="00B87AF1"/>
    <w:rsid w:val="00B87CF2"/>
    <w:rsid w:val="00B9063C"/>
    <w:rsid w:val="00B90671"/>
    <w:rsid w:val="00B90B1C"/>
    <w:rsid w:val="00B91366"/>
    <w:rsid w:val="00B9191B"/>
    <w:rsid w:val="00B928C5"/>
    <w:rsid w:val="00B92CEA"/>
    <w:rsid w:val="00B93D83"/>
    <w:rsid w:val="00B93DA6"/>
    <w:rsid w:val="00B93F03"/>
    <w:rsid w:val="00B944D5"/>
    <w:rsid w:val="00B94539"/>
    <w:rsid w:val="00B9524E"/>
    <w:rsid w:val="00B9584C"/>
    <w:rsid w:val="00B95CE4"/>
    <w:rsid w:val="00B95DCE"/>
    <w:rsid w:val="00B971FA"/>
    <w:rsid w:val="00B976A3"/>
    <w:rsid w:val="00B97921"/>
    <w:rsid w:val="00BA0046"/>
    <w:rsid w:val="00BA0646"/>
    <w:rsid w:val="00BA064C"/>
    <w:rsid w:val="00BA09D4"/>
    <w:rsid w:val="00BA13E1"/>
    <w:rsid w:val="00BA1CE8"/>
    <w:rsid w:val="00BA1F63"/>
    <w:rsid w:val="00BA266B"/>
    <w:rsid w:val="00BA284E"/>
    <w:rsid w:val="00BA2EE4"/>
    <w:rsid w:val="00BA5278"/>
    <w:rsid w:val="00BA5788"/>
    <w:rsid w:val="00BA59B0"/>
    <w:rsid w:val="00BA60A8"/>
    <w:rsid w:val="00BA61E3"/>
    <w:rsid w:val="00BA796A"/>
    <w:rsid w:val="00BA7CF9"/>
    <w:rsid w:val="00BB001D"/>
    <w:rsid w:val="00BB00E7"/>
    <w:rsid w:val="00BB00EA"/>
    <w:rsid w:val="00BB1992"/>
    <w:rsid w:val="00BB1FB9"/>
    <w:rsid w:val="00BB3866"/>
    <w:rsid w:val="00BB3EB4"/>
    <w:rsid w:val="00BB40F1"/>
    <w:rsid w:val="00BB4361"/>
    <w:rsid w:val="00BB4828"/>
    <w:rsid w:val="00BB5EC9"/>
    <w:rsid w:val="00BB6AD3"/>
    <w:rsid w:val="00BB745C"/>
    <w:rsid w:val="00BB7663"/>
    <w:rsid w:val="00BB7784"/>
    <w:rsid w:val="00BB7FB8"/>
    <w:rsid w:val="00BC0598"/>
    <w:rsid w:val="00BC0C36"/>
    <w:rsid w:val="00BC19B7"/>
    <w:rsid w:val="00BC3BA0"/>
    <w:rsid w:val="00BC5146"/>
    <w:rsid w:val="00BC5D70"/>
    <w:rsid w:val="00BC6A4E"/>
    <w:rsid w:val="00BC7A3D"/>
    <w:rsid w:val="00BD004E"/>
    <w:rsid w:val="00BD0A28"/>
    <w:rsid w:val="00BD1A63"/>
    <w:rsid w:val="00BD1E6F"/>
    <w:rsid w:val="00BD223E"/>
    <w:rsid w:val="00BD3615"/>
    <w:rsid w:val="00BD3811"/>
    <w:rsid w:val="00BD3817"/>
    <w:rsid w:val="00BD3997"/>
    <w:rsid w:val="00BD3A1A"/>
    <w:rsid w:val="00BD3B28"/>
    <w:rsid w:val="00BD40C6"/>
    <w:rsid w:val="00BD43F2"/>
    <w:rsid w:val="00BD43F3"/>
    <w:rsid w:val="00BD4412"/>
    <w:rsid w:val="00BD5A21"/>
    <w:rsid w:val="00BD660B"/>
    <w:rsid w:val="00BD68AC"/>
    <w:rsid w:val="00BD71F5"/>
    <w:rsid w:val="00BD7276"/>
    <w:rsid w:val="00BD79A0"/>
    <w:rsid w:val="00BD7C2E"/>
    <w:rsid w:val="00BE0555"/>
    <w:rsid w:val="00BE1666"/>
    <w:rsid w:val="00BE2AD0"/>
    <w:rsid w:val="00BE3E0D"/>
    <w:rsid w:val="00BE40EB"/>
    <w:rsid w:val="00BE4367"/>
    <w:rsid w:val="00BE475F"/>
    <w:rsid w:val="00BE6013"/>
    <w:rsid w:val="00BE6777"/>
    <w:rsid w:val="00BE6959"/>
    <w:rsid w:val="00BE6AA1"/>
    <w:rsid w:val="00BE6DD6"/>
    <w:rsid w:val="00BE77D0"/>
    <w:rsid w:val="00BE7A03"/>
    <w:rsid w:val="00BE7A06"/>
    <w:rsid w:val="00BE7F3A"/>
    <w:rsid w:val="00BE7F43"/>
    <w:rsid w:val="00BE7F87"/>
    <w:rsid w:val="00BF068A"/>
    <w:rsid w:val="00BF1B3C"/>
    <w:rsid w:val="00BF1B74"/>
    <w:rsid w:val="00BF1F54"/>
    <w:rsid w:val="00BF248C"/>
    <w:rsid w:val="00BF28DB"/>
    <w:rsid w:val="00BF2E6A"/>
    <w:rsid w:val="00BF3006"/>
    <w:rsid w:val="00BF3C10"/>
    <w:rsid w:val="00BF4086"/>
    <w:rsid w:val="00BF4595"/>
    <w:rsid w:val="00BF47D6"/>
    <w:rsid w:val="00BF5021"/>
    <w:rsid w:val="00BF5B75"/>
    <w:rsid w:val="00BF6518"/>
    <w:rsid w:val="00BF666E"/>
    <w:rsid w:val="00BF66FC"/>
    <w:rsid w:val="00BF6DB4"/>
    <w:rsid w:val="00BF7A25"/>
    <w:rsid w:val="00BF7A5C"/>
    <w:rsid w:val="00C004E0"/>
    <w:rsid w:val="00C0051E"/>
    <w:rsid w:val="00C00ADF"/>
    <w:rsid w:val="00C01ACD"/>
    <w:rsid w:val="00C01E36"/>
    <w:rsid w:val="00C024CB"/>
    <w:rsid w:val="00C0286C"/>
    <w:rsid w:val="00C02DFE"/>
    <w:rsid w:val="00C02E04"/>
    <w:rsid w:val="00C03CFF"/>
    <w:rsid w:val="00C0478D"/>
    <w:rsid w:val="00C049F6"/>
    <w:rsid w:val="00C053BC"/>
    <w:rsid w:val="00C05697"/>
    <w:rsid w:val="00C05C45"/>
    <w:rsid w:val="00C05DDD"/>
    <w:rsid w:val="00C0610C"/>
    <w:rsid w:val="00C0631A"/>
    <w:rsid w:val="00C064C8"/>
    <w:rsid w:val="00C0680E"/>
    <w:rsid w:val="00C06D4E"/>
    <w:rsid w:val="00C07273"/>
    <w:rsid w:val="00C072B1"/>
    <w:rsid w:val="00C076D9"/>
    <w:rsid w:val="00C10051"/>
    <w:rsid w:val="00C11AC1"/>
    <w:rsid w:val="00C11EB7"/>
    <w:rsid w:val="00C1263D"/>
    <w:rsid w:val="00C13B80"/>
    <w:rsid w:val="00C14159"/>
    <w:rsid w:val="00C14687"/>
    <w:rsid w:val="00C147F6"/>
    <w:rsid w:val="00C14A4C"/>
    <w:rsid w:val="00C14A8C"/>
    <w:rsid w:val="00C15622"/>
    <w:rsid w:val="00C16B32"/>
    <w:rsid w:val="00C177AF"/>
    <w:rsid w:val="00C201DE"/>
    <w:rsid w:val="00C20613"/>
    <w:rsid w:val="00C20694"/>
    <w:rsid w:val="00C208A2"/>
    <w:rsid w:val="00C20BD5"/>
    <w:rsid w:val="00C2194B"/>
    <w:rsid w:val="00C21AB7"/>
    <w:rsid w:val="00C21E79"/>
    <w:rsid w:val="00C21F40"/>
    <w:rsid w:val="00C22213"/>
    <w:rsid w:val="00C2223D"/>
    <w:rsid w:val="00C224BB"/>
    <w:rsid w:val="00C24592"/>
    <w:rsid w:val="00C26E78"/>
    <w:rsid w:val="00C274AA"/>
    <w:rsid w:val="00C27711"/>
    <w:rsid w:val="00C27782"/>
    <w:rsid w:val="00C2785C"/>
    <w:rsid w:val="00C30D23"/>
    <w:rsid w:val="00C310B2"/>
    <w:rsid w:val="00C31763"/>
    <w:rsid w:val="00C318E5"/>
    <w:rsid w:val="00C31A8A"/>
    <w:rsid w:val="00C31B33"/>
    <w:rsid w:val="00C320C6"/>
    <w:rsid w:val="00C32C65"/>
    <w:rsid w:val="00C3337C"/>
    <w:rsid w:val="00C33408"/>
    <w:rsid w:val="00C34042"/>
    <w:rsid w:val="00C342C8"/>
    <w:rsid w:val="00C35598"/>
    <w:rsid w:val="00C35663"/>
    <w:rsid w:val="00C358DA"/>
    <w:rsid w:val="00C3634B"/>
    <w:rsid w:val="00C36AD1"/>
    <w:rsid w:val="00C36E72"/>
    <w:rsid w:val="00C37644"/>
    <w:rsid w:val="00C40052"/>
    <w:rsid w:val="00C401B9"/>
    <w:rsid w:val="00C40970"/>
    <w:rsid w:val="00C4139C"/>
    <w:rsid w:val="00C41D40"/>
    <w:rsid w:val="00C4218C"/>
    <w:rsid w:val="00C422B4"/>
    <w:rsid w:val="00C42437"/>
    <w:rsid w:val="00C429FE"/>
    <w:rsid w:val="00C42A95"/>
    <w:rsid w:val="00C42C97"/>
    <w:rsid w:val="00C42F7E"/>
    <w:rsid w:val="00C434C2"/>
    <w:rsid w:val="00C4368B"/>
    <w:rsid w:val="00C4564F"/>
    <w:rsid w:val="00C456D2"/>
    <w:rsid w:val="00C457F0"/>
    <w:rsid w:val="00C4593F"/>
    <w:rsid w:val="00C45A29"/>
    <w:rsid w:val="00C45A61"/>
    <w:rsid w:val="00C4634C"/>
    <w:rsid w:val="00C466DD"/>
    <w:rsid w:val="00C46E34"/>
    <w:rsid w:val="00C4748C"/>
    <w:rsid w:val="00C50263"/>
    <w:rsid w:val="00C50E69"/>
    <w:rsid w:val="00C512DF"/>
    <w:rsid w:val="00C5160D"/>
    <w:rsid w:val="00C51628"/>
    <w:rsid w:val="00C5266C"/>
    <w:rsid w:val="00C53095"/>
    <w:rsid w:val="00C53D1A"/>
    <w:rsid w:val="00C53EE4"/>
    <w:rsid w:val="00C54124"/>
    <w:rsid w:val="00C5485A"/>
    <w:rsid w:val="00C54944"/>
    <w:rsid w:val="00C54957"/>
    <w:rsid w:val="00C551EB"/>
    <w:rsid w:val="00C5536F"/>
    <w:rsid w:val="00C55BCF"/>
    <w:rsid w:val="00C56226"/>
    <w:rsid w:val="00C56277"/>
    <w:rsid w:val="00C56E43"/>
    <w:rsid w:val="00C56F84"/>
    <w:rsid w:val="00C5723F"/>
    <w:rsid w:val="00C57A77"/>
    <w:rsid w:val="00C57FB3"/>
    <w:rsid w:val="00C60379"/>
    <w:rsid w:val="00C60794"/>
    <w:rsid w:val="00C60DF9"/>
    <w:rsid w:val="00C614C5"/>
    <w:rsid w:val="00C614CE"/>
    <w:rsid w:val="00C61810"/>
    <w:rsid w:val="00C631AB"/>
    <w:rsid w:val="00C63523"/>
    <w:rsid w:val="00C64E03"/>
    <w:rsid w:val="00C656CA"/>
    <w:rsid w:val="00C66C40"/>
    <w:rsid w:val="00C675F3"/>
    <w:rsid w:val="00C679E7"/>
    <w:rsid w:val="00C67DAE"/>
    <w:rsid w:val="00C7114B"/>
    <w:rsid w:val="00C7119A"/>
    <w:rsid w:val="00C711E4"/>
    <w:rsid w:val="00C71508"/>
    <w:rsid w:val="00C7158E"/>
    <w:rsid w:val="00C7179B"/>
    <w:rsid w:val="00C71EC2"/>
    <w:rsid w:val="00C72664"/>
    <w:rsid w:val="00C72DB6"/>
    <w:rsid w:val="00C73B87"/>
    <w:rsid w:val="00C73D14"/>
    <w:rsid w:val="00C74244"/>
    <w:rsid w:val="00C74D92"/>
    <w:rsid w:val="00C74DEB"/>
    <w:rsid w:val="00C75871"/>
    <w:rsid w:val="00C75AFA"/>
    <w:rsid w:val="00C765D4"/>
    <w:rsid w:val="00C770BC"/>
    <w:rsid w:val="00C775A0"/>
    <w:rsid w:val="00C8035F"/>
    <w:rsid w:val="00C809E4"/>
    <w:rsid w:val="00C822DD"/>
    <w:rsid w:val="00C82C06"/>
    <w:rsid w:val="00C8346C"/>
    <w:rsid w:val="00C835F1"/>
    <w:rsid w:val="00C83FCD"/>
    <w:rsid w:val="00C84B64"/>
    <w:rsid w:val="00C84D53"/>
    <w:rsid w:val="00C851A3"/>
    <w:rsid w:val="00C856BD"/>
    <w:rsid w:val="00C8619C"/>
    <w:rsid w:val="00C8635E"/>
    <w:rsid w:val="00C864CB"/>
    <w:rsid w:val="00C869B9"/>
    <w:rsid w:val="00C8773B"/>
    <w:rsid w:val="00C87B7B"/>
    <w:rsid w:val="00C87BC4"/>
    <w:rsid w:val="00C87CDB"/>
    <w:rsid w:val="00C87F6D"/>
    <w:rsid w:val="00C90209"/>
    <w:rsid w:val="00C90290"/>
    <w:rsid w:val="00C90679"/>
    <w:rsid w:val="00C907AF"/>
    <w:rsid w:val="00C912E0"/>
    <w:rsid w:val="00C916EB"/>
    <w:rsid w:val="00C91A22"/>
    <w:rsid w:val="00C91E12"/>
    <w:rsid w:val="00C91F5C"/>
    <w:rsid w:val="00C925C9"/>
    <w:rsid w:val="00C92B9E"/>
    <w:rsid w:val="00C92EDD"/>
    <w:rsid w:val="00C9301B"/>
    <w:rsid w:val="00C938B5"/>
    <w:rsid w:val="00C93DE4"/>
    <w:rsid w:val="00CA0409"/>
    <w:rsid w:val="00CA0876"/>
    <w:rsid w:val="00CA18A0"/>
    <w:rsid w:val="00CA1E40"/>
    <w:rsid w:val="00CA2C4B"/>
    <w:rsid w:val="00CA2CAC"/>
    <w:rsid w:val="00CA41DB"/>
    <w:rsid w:val="00CA4F51"/>
    <w:rsid w:val="00CA526A"/>
    <w:rsid w:val="00CA56EF"/>
    <w:rsid w:val="00CA572D"/>
    <w:rsid w:val="00CA6002"/>
    <w:rsid w:val="00CA6B9D"/>
    <w:rsid w:val="00CA70BA"/>
    <w:rsid w:val="00CA7181"/>
    <w:rsid w:val="00CA7E40"/>
    <w:rsid w:val="00CA7F24"/>
    <w:rsid w:val="00CB0023"/>
    <w:rsid w:val="00CB0062"/>
    <w:rsid w:val="00CB2843"/>
    <w:rsid w:val="00CB296C"/>
    <w:rsid w:val="00CB3070"/>
    <w:rsid w:val="00CB391C"/>
    <w:rsid w:val="00CB3A5F"/>
    <w:rsid w:val="00CB3C7A"/>
    <w:rsid w:val="00CB3D98"/>
    <w:rsid w:val="00CB4C4D"/>
    <w:rsid w:val="00CB56FC"/>
    <w:rsid w:val="00CB5D35"/>
    <w:rsid w:val="00CB655D"/>
    <w:rsid w:val="00CB6C83"/>
    <w:rsid w:val="00CB6D7E"/>
    <w:rsid w:val="00CB6E06"/>
    <w:rsid w:val="00CB6F85"/>
    <w:rsid w:val="00CB705E"/>
    <w:rsid w:val="00CB72BB"/>
    <w:rsid w:val="00CB7D83"/>
    <w:rsid w:val="00CC07A1"/>
    <w:rsid w:val="00CC0B66"/>
    <w:rsid w:val="00CC0D1B"/>
    <w:rsid w:val="00CC15FC"/>
    <w:rsid w:val="00CC17D3"/>
    <w:rsid w:val="00CC1AD3"/>
    <w:rsid w:val="00CC1F18"/>
    <w:rsid w:val="00CC236E"/>
    <w:rsid w:val="00CC293D"/>
    <w:rsid w:val="00CC3461"/>
    <w:rsid w:val="00CC3633"/>
    <w:rsid w:val="00CC3D17"/>
    <w:rsid w:val="00CC44CB"/>
    <w:rsid w:val="00CC4854"/>
    <w:rsid w:val="00CC4C9A"/>
    <w:rsid w:val="00CC5118"/>
    <w:rsid w:val="00CC5963"/>
    <w:rsid w:val="00CC659C"/>
    <w:rsid w:val="00CC6AF0"/>
    <w:rsid w:val="00CC6B8C"/>
    <w:rsid w:val="00CC6E5B"/>
    <w:rsid w:val="00CC745A"/>
    <w:rsid w:val="00CC7A6C"/>
    <w:rsid w:val="00CD00DC"/>
    <w:rsid w:val="00CD07AE"/>
    <w:rsid w:val="00CD0E60"/>
    <w:rsid w:val="00CD0FC7"/>
    <w:rsid w:val="00CD1972"/>
    <w:rsid w:val="00CD1999"/>
    <w:rsid w:val="00CD22A0"/>
    <w:rsid w:val="00CD2B22"/>
    <w:rsid w:val="00CD3584"/>
    <w:rsid w:val="00CD3B14"/>
    <w:rsid w:val="00CD4081"/>
    <w:rsid w:val="00CD4262"/>
    <w:rsid w:val="00CD49E9"/>
    <w:rsid w:val="00CD4BE8"/>
    <w:rsid w:val="00CD4CD7"/>
    <w:rsid w:val="00CD55B3"/>
    <w:rsid w:val="00CD5846"/>
    <w:rsid w:val="00CD667A"/>
    <w:rsid w:val="00CD6EC9"/>
    <w:rsid w:val="00CD78B3"/>
    <w:rsid w:val="00CD7B66"/>
    <w:rsid w:val="00CD7CB4"/>
    <w:rsid w:val="00CE000A"/>
    <w:rsid w:val="00CE06EF"/>
    <w:rsid w:val="00CE085D"/>
    <w:rsid w:val="00CE090A"/>
    <w:rsid w:val="00CE1222"/>
    <w:rsid w:val="00CE181F"/>
    <w:rsid w:val="00CE1CC3"/>
    <w:rsid w:val="00CE1DF3"/>
    <w:rsid w:val="00CE25C6"/>
    <w:rsid w:val="00CE4A4E"/>
    <w:rsid w:val="00CE502E"/>
    <w:rsid w:val="00CE57C0"/>
    <w:rsid w:val="00CE5AB2"/>
    <w:rsid w:val="00CE617C"/>
    <w:rsid w:val="00CE61E7"/>
    <w:rsid w:val="00CE6A59"/>
    <w:rsid w:val="00CE72E4"/>
    <w:rsid w:val="00CE74DA"/>
    <w:rsid w:val="00CE7B9D"/>
    <w:rsid w:val="00CE7C99"/>
    <w:rsid w:val="00CE7D9F"/>
    <w:rsid w:val="00CF0CFA"/>
    <w:rsid w:val="00CF0F38"/>
    <w:rsid w:val="00CF0F5F"/>
    <w:rsid w:val="00CF1622"/>
    <w:rsid w:val="00CF2716"/>
    <w:rsid w:val="00CF2D60"/>
    <w:rsid w:val="00CF2E62"/>
    <w:rsid w:val="00CF32FA"/>
    <w:rsid w:val="00CF3C38"/>
    <w:rsid w:val="00CF3CDD"/>
    <w:rsid w:val="00CF41DF"/>
    <w:rsid w:val="00CF4396"/>
    <w:rsid w:val="00CF4731"/>
    <w:rsid w:val="00CF4B82"/>
    <w:rsid w:val="00CF4F52"/>
    <w:rsid w:val="00CF5A68"/>
    <w:rsid w:val="00CF5A8B"/>
    <w:rsid w:val="00CF5BA0"/>
    <w:rsid w:val="00CF6235"/>
    <w:rsid w:val="00CF6645"/>
    <w:rsid w:val="00D00F0A"/>
    <w:rsid w:val="00D01280"/>
    <w:rsid w:val="00D012F9"/>
    <w:rsid w:val="00D01DFA"/>
    <w:rsid w:val="00D02272"/>
    <w:rsid w:val="00D02635"/>
    <w:rsid w:val="00D03BCB"/>
    <w:rsid w:val="00D04A53"/>
    <w:rsid w:val="00D04E25"/>
    <w:rsid w:val="00D05621"/>
    <w:rsid w:val="00D06102"/>
    <w:rsid w:val="00D06E74"/>
    <w:rsid w:val="00D0762C"/>
    <w:rsid w:val="00D07B57"/>
    <w:rsid w:val="00D107EC"/>
    <w:rsid w:val="00D11652"/>
    <w:rsid w:val="00D11CEB"/>
    <w:rsid w:val="00D11E74"/>
    <w:rsid w:val="00D121BF"/>
    <w:rsid w:val="00D1382F"/>
    <w:rsid w:val="00D13BD4"/>
    <w:rsid w:val="00D156B9"/>
    <w:rsid w:val="00D15DDA"/>
    <w:rsid w:val="00D15E98"/>
    <w:rsid w:val="00D15EF4"/>
    <w:rsid w:val="00D166BD"/>
    <w:rsid w:val="00D166F8"/>
    <w:rsid w:val="00D1762A"/>
    <w:rsid w:val="00D17BEC"/>
    <w:rsid w:val="00D17F76"/>
    <w:rsid w:val="00D20A68"/>
    <w:rsid w:val="00D20E5B"/>
    <w:rsid w:val="00D21558"/>
    <w:rsid w:val="00D21EEF"/>
    <w:rsid w:val="00D221FC"/>
    <w:rsid w:val="00D22351"/>
    <w:rsid w:val="00D231FF"/>
    <w:rsid w:val="00D23EAC"/>
    <w:rsid w:val="00D24041"/>
    <w:rsid w:val="00D25860"/>
    <w:rsid w:val="00D26094"/>
    <w:rsid w:val="00D2646C"/>
    <w:rsid w:val="00D26BE5"/>
    <w:rsid w:val="00D277A3"/>
    <w:rsid w:val="00D27CD4"/>
    <w:rsid w:val="00D30856"/>
    <w:rsid w:val="00D30B82"/>
    <w:rsid w:val="00D30BAC"/>
    <w:rsid w:val="00D313BD"/>
    <w:rsid w:val="00D3179F"/>
    <w:rsid w:val="00D318A2"/>
    <w:rsid w:val="00D31A78"/>
    <w:rsid w:val="00D31AF7"/>
    <w:rsid w:val="00D3346B"/>
    <w:rsid w:val="00D343B5"/>
    <w:rsid w:val="00D34EB1"/>
    <w:rsid w:val="00D35EF8"/>
    <w:rsid w:val="00D3686B"/>
    <w:rsid w:val="00D4119C"/>
    <w:rsid w:val="00D41BE8"/>
    <w:rsid w:val="00D42F23"/>
    <w:rsid w:val="00D4347E"/>
    <w:rsid w:val="00D4515D"/>
    <w:rsid w:val="00D45542"/>
    <w:rsid w:val="00D458C0"/>
    <w:rsid w:val="00D45A74"/>
    <w:rsid w:val="00D45A9A"/>
    <w:rsid w:val="00D46A33"/>
    <w:rsid w:val="00D47001"/>
    <w:rsid w:val="00D50D88"/>
    <w:rsid w:val="00D510ED"/>
    <w:rsid w:val="00D51280"/>
    <w:rsid w:val="00D51BA0"/>
    <w:rsid w:val="00D51E1B"/>
    <w:rsid w:val="00D51E4C"/>
    <w:rsid w:val="00D52543"/>
    <w:rsid w:val="00D52CD8"/>
    <w:rsid w:val="00D54239"/>
    <w:rsid w:val="00D546E9"/>
    <w:rsid w:val="00D5530B"/>
    <w:rsid w:val="00D553AE"/>
    <w:rsid w:val="00D553DD"/>
    <w:rsid w:val="00D5665F"/>
    <w:rsid w:val="00D56EF3"/>
    <w:rsid w:val="00D572DC"/>
    <w:rsid w:val="00D57499"/>
    <w:rsid w:val="00D5753E"/>
    <w:rsid w:val="00D57CDE"/>
    <w:rsid w:val="00D57D1F"/>
    <w:rsid w:val="00D6022F"/>
    <w:rsid w:val="00D602BE"/>
    <w:rsid w:val="00D6037F"/>
    <w:rsid w:val="00D6054A"/>
    <w:rsid w:val="00D61064"/>
    <w:rsid w:val="00D612D3"/>
    <w:rsid w:val="00D61312"/>
    <w:rsid w:val="00D618AC"/>
    <w:rsid w:val="00D62EAE"/>
    <w:rsid w:val="00D63D92"/>
    <w:rsid w:val="00D648D7"/>
    <w:rsid w:val="00D66952"/>
    <w:rsid w:val="00D70F5A"/>
    <w:rsid w:val="00D713AA"/>
    <w:rsid w:val="00D71A10"/>
    <w:rsid w:val="00D71C1F"/>
    <w:rsid w:val="00D71D09"/>
    <w:rsid w:val="00D722DF"/>
    <w:rsid w:val="00D741D5"/>
    <w:rsid w:val="00D744DE"/>
    <w:rsid w:val="00D74B1F"/>
    <w:rsid w:val="00D74C61"/>
    <w:rsid w:val="00D74F48"/>
    <w:rsid w:val="00D75725"/>
    <w:rsid w:val="00D759C1"/>
    <w:rsid w:val="00D75DC2"/>
    <w:rsid w:val="00D764AE"/>
    <w:rsid w:val="00D766FD"/>
    <w:rsid w:val="00D76ED4"/>
    <w:rsid w:val="00D770CE"/>
    <w:rsid w:val="00D77892"/>
    <w:rsid w:val="00D801B7"/>
    <w:rsid w:val="00D8042A"/>
    <w:rsid w:val="00D807DD"/>
    <w:rsid w:val="00D81276"/>
    <w:rsid w:val="00D81C38"/>
    <w:rsid w:val="00D81E77"/>
    <w:rsid w:val="00D82B1B"/>
    <w:rsid w:val="00D82D6E"/>
    <w:rsid w:val="00D8346F"/>
    <w:rsid w:val="00D839FD"/>
    <w:rsid w:val="00D8462F"/>
    <w:rsid w:val="00D84B86"/>
    <w:rsid w:val="00D84F82"/>
    <w:rsid w:val="00D85AE3"/>
    <w:rsid w:val="00D85D2B"/>
    <w:rsid w:val="00D8632C"/>
    <w:rsid w:val="00D865D8"/>
    <w:rsid w:val="00D86A5C"/>
    <w:rsid w:val="00D86B09"/>
    <w:rsid w:val="00D8718E"/>
    <w:rsid w:val="00D87879"/>
    <w:rsid w:val="00D87D71"/>
    <w:rsid w:val="00D908EA"/>
    <w:rsid w:val="00D90DF3"/>
    <w:rsid w:val="00D90E13"/>
    <w:rsid w:val="00D91A66"/>
    <w:rsid w:val="00D92A83"/>
    <w:rsid w:val="00D93978"/>
    <w:rsid w:val="00D939CD"/>
    <w:rsid w:val="00D93BB6"/>
    <w:rsid w:val="00D93F44"/>
    <w:rsid w:val="00D9432B"/>
    <w:rsid w:val="00D94E18"/>
    <w:rsid w:val="00D94FFF"/>
    <w:rsid w:val="00D959D2"/>
    <w:rsid w:val="00D95BAC"/>
    <w:rsid w:val="00D961B0"/>
    <w:rsid w:val="00D962C1"/>
    <w:rsid w:val="00D96C03"/>
    <w:rsid w:val="00D96CB2"/>
    <w:rsid w:val="00D977B4"/>
    <w:rsid w:val="00D97BC0"/>
    <w:rsid w:val="00D97D0C"/>
    <w:rsid w:val="00DA00D0"/>
    <w:rsid w:val="00DA08A4"/>
    <w:rsid w:val="00DA0CED"/>
    <w:rsid w:val="00DA10F5"/>
    <w:rsid w:val="00DA122A"/>
    <w:rsid w:val="00DA164F"/>
    <w:rsid w:val="00DA1870"/>
    <w:rsid w:val="00DA1967"/>
    <w:rsid w:val="00DA253B"/>
    <w:rsid w:val="00DA38E3"/>
    <w:rsid w:val="00DA4847"/>
    <w:rsid w:val="00DA4B11"/>
    <w:rsid w:val="00DA4F01"/>
    <w:rsid w:val="00DA51C9"/>
    <w:rsid w:val="00DA528A"/>
    <w:rsid w:val="00DA55DB"/>
    <w:rsid w:val="00DA5671"/>
    <w:rsid w:val="00DA5C27"/>
    <w:rsid w:val="00DA68F3"/>
    <w:rsid w:val="00DA6A95"/>
    <w:rsid w:val="00DA6B52"/>
    <w:rsid w:val="00DA6D22"/>
    <w:rsid w:val="00DA7757"/>
    <w:rsid w:val="00DB040C"/>
    <w:rsid w:val="00DB053A"/>
    <w:rsid w:val="00DB0926"/>
    <w:rsid w:val="00DB0FF9"/>
    <w:rsid w:val="00DB16D0"/>
    <w:rsid w:val="00DB2269"/>
    <w:rsid w:val="00DB2308"/>
    <w:rsid w:val="00DB3ED8"/>
    <w:rsid w:val="00DB4773"/>
    <w:rsid w:val="00DB52A8"/>
    <w:rsid w:val="00DB5B9F"/>
    <w:rsid w:val="00DB5F6B"/>
    <w:rsid w:val="00DB6C93"/>
    <w:rsid w:val="00DB6ECB"/>
    <w:rsid w:val="00DB7B08"/>
    <w:rsid w:val="00DC0BA5"/>
    <w:rsid w:val="00DC1D9A"/>
    <w:rsid w:val="00DC2F60"/>
    <w:rsid w:val="00DC337E"/>
    <w:rsid w:val="00DC513C"/>
    <w:rsid w:val="00DC5455"/>
    <w:rsid w:val="00DC6A9A"/>
    <w:rsid w:val="00DC7EB0"/>
    <w:rsid w:val="00DD0C5B"/>
    <w:rsid w:val="00DD1C06"/>
    <w:rsid w:val="00DD1C3E"/>
    <w:rsid w:val="00DD1EC4"/>
    <w:rsid w:val="00DD2944"/>
    <w:rsid w:val="00DD2A76"/>
    <w:rsid w:val="00DD2AEF"/>
    <w:rsid w:val="00DD3491"/>
    <w:rsid w:val="00DD35C8"/>
    <w:rsid w:val="00DD366C"/>
    <w:rsid w:val="00DD377F"/>
    <w:rsid w:val="00DD3C2D"/>
    <w:rsid w:val="00DD5364"/>
    <w:rsid w:val="00DD5383"/>
    <w:rsid w:val="00DD5F5C"/>
    <w:rsid w:val="00DD6083"/>
    <w:rsid w:val="00DD61CD"/>
    <w:rsid w:val="00DD61EC"/>
    <w:rsid w:val="00DD758A"/>
    <w:rsid w:val="00DD774B"/>
    <w:rsid w:val="00DD7E52"/>
    <w:rsid w:val="00DD7F38"/>
    <w:rsid w:val="00DE0C4B"/>
    <w:rsid w:val="00DE121E"/>
    <w:rsid w:val="00DE1414"/>
    <w:rsid w:val="00DE17C0"/>
    <w:rsid w:val="00DE2490"/>
    <w:rsid w:val="00DE25BA"/>
    <w:rsid w:val="00DE28CB"/>
    <w:rsid w:val="00DE3512"/>
    <w:rsid w:val="00DE35EA"/>
    <w:rsid w:val="00DE418C"/>
    <w:rsid w:val="00DE41AD"/>
    <w:rsid w:val="00DE4611"/>
    <w:rsid w:val="00DE54A7"/>
    <w:rsid w:val="00DE555E"/>
    <w:rsid w:val="00DE57DA"/>
    <w:rsid w:val="00DE62A6"/>
    <w:rsid w:val="00DE6411"/>
    <w:rsid w:val="00DE668C"/>
    <w:rsid w:val="00DE6B47"/>
    <w:rsid w:val="00DF0139"/>
    <w:rsid w:val="00DF0CAD"/>
    <w:rsid w:val="00DF0EBD"/>
    <w:rsid w:val="00DF10D8"/>
    <w:rsid w:val="00DF13AE"/>
    <w:rsid w:val="00DF1499"/>
    <w:rsid w:val="00DF1C55"/>
    <w:rsid w:val="00DF2F7F"/>
    <w:rsid w:val="00DF3A00"/>
    <w:rsid w:val="00DF464B"/>
    <w:rsid w:val="00DF5136"/>
    <w:rsid w:val="00DF52FE"/>
    <w:rsid w:val="00DF5563"/>
    <w:rsid w:val="00DF56BE"/>
    <w:rsid w:val="00DF5FDB"/>
    <w:rsid w:val="00DF6BA3"/>
    <w:rsid w:val="00DF6F77"/>
    <w:rsid w:val="00DF767D"/>
    <w:rsid w:val="00DF76D9"/>
    <w:rsid w:val="00E00232"/>
    <w:rsid w:val="00E006EE"/>
    <w:rsid w:val="00E00C51"/>
    <w:rsid w:val="00E013BC"/>
    <w:rsid w:val="00E01808"/>
    <w:rsid w:val="00E01B55"/>
    <w:rsid w:val="00E02006"/>
    <w:rsid w:val="00E026CD"/>
    <w:rsid w:val="00E026D8"/>
    <w:rsid w:val="00E02E6B"/>
    <w:rsid w:val="00E0319A"/>
    <w:rsid w:val="00E03388"/>
    <w:rsid w:val="00E03F9F"/>
    <w:rsid w:val="00E045FF"/>
    <w:rsid w:val="00E0471B"/>
    <w:rsid w:val="00E04D4D"/>
    <w:rsid w:val="00E04FD3"/>
    <w:rsid w:val="00E051CD"/>
    <w:rsid w:val="00E052D8"/>
    <w:rsid w:val="00E058E1"/>
    <w:rsid w:val="00E05A22"/>
    <w:rsid w:val="00E068A0"/>
    <w:rsid w:val="00E07049"/>
    <w:rsid w:val="00E073E6"/>
    <w:rsid w:val="00E1046B"/>
    <w:rsid w:val="00E106EF"/>
    <w:rsid w:val="00E1103F"/>
    <w:rsid w:val="00E1131E"/>
    <w:rsid w:val="00E11908"/>
    <w:rsid w:val="00E11986"/>
    <w:rsid w:val="00E11C27"/>
    <w:rsid w:val="00E11EA5"/>
    <w:rsid w:val="00E121FF"/>
    <w:rsid w:val="00E12636"/>
    <w:rsid w:val="00E12D0F"/>
    <w:rsid w:val="00E12EF6"/>
    <w:rsid w:val="00E132DC"/>
    <w:rsid w:val="00E13766"/>
    <w:rsid w:val="00E1409A"/>
    <w:rsid w:val="00E147C6"/>
    <w:rsid w:val="00E14824"/>
    <w:rsid w:val="00E14CA9"/>
    <w:rsid w:val="00E14CEA"/>
    <w:rsid w:val="00E14D77"/>
    <w:rsid w:val="00E15057"/>
    <w:rsid w:val="00E15B12"/>
    <w:rsid w:val="00E15CB0"/>
    <w:rsid w:val="00E15FC5"/>
    <w:rsid w:val="00E16CB7"/>
    <w:rsid w:val="00E201A5"/>
    <w:rsid w:val="00E201E1"/>
    <w:rsid w:val="00E203E8"/>
    <w:rsid w:val="00E209F0"/>
    <w:rsid w:val="00E21145"/>
    <w:rsid w:val="00E215BC"/>
    <w:rsid w:val="00E21EE7"/>
    <w:rsid w:val="00E23157"/>
    <w:rsid w:val="00E23615"/>
    <w:rsid w:val="00E23965"/>
    <w:rsid w:val="00E23A7E"/>
    <w:rsid w:val="00E23D25"/>
    <w:rsid w:val="00E254D1"/>
    <w:rsid w:val="00E25DA9"/>
    <w:rsid w:val="00E269E4"/>
    <w:rsid w:val="00E27EDD"/>
    <w:rsid w:val="00E30D13"/>
    <w:rsid w:val="00E30FB6"/>
    <w:rsid w:val="00E31234"/>
    <w:rsid w:val="00E312A8"/>
    <w:rsid w:val="00E319E8"/>
    <w:rsid w:val="00E31E14"/>
    <w:rsid w:val="00E330D6"/>
    <w:rsid w:val="00E33160"/>
    <w:rsid w:val="00E33194"/>
    <w:rsid w:val="00E336F5"/>
    <w:rsid w:val="00E33793"/>
    <w:rsid w:val="00E33953"/>
    <w:rsid w:val="00E34796"/>
    <w:rsid w:val="00E34BCF"/>
    <w:rsid w:val="00E350F1"/>
    <w:rsid w:val="00E35D53"/>
    <w:rsid w:val="00E3609E"/>
    <w:rsid w:val="00E360B8"/>
    <w:rsid w:val="00E36C0D"/>
    <w:rsid w:val="00E373C5"/>
    <w:rsid w:val="00E37E19"/>
    <w:rsid w:val="00E4026A"/>
    <w:rsid w:val="00E4043F"/>
    <w:rsid w:val="00E40717"/>
    <w:rsid w:val="00E40FF9"/>
    <w:rsid w:val="00E42D62"/>
    <w:rsid w:val="00E4400D"/>
    <w:rsid w:val="00E44218"/>
    <w:rsid w:val="00E46482"/>
    <w:rsid w:val="00E476C0"/>
    <w:rsid w:val="00E501A4"/>
    <w:rsid w:val="00E502B4"/>
    <w:rsid w:val="00E51841"/>
    <w:rsid w:val="00E525F1"/>
    <w:rsid w:val="00E52C53"/>
    <w:rsid w:val="00E5320F"/>
    <w:rsid w:val="00E53310"/>
    <w:rsid w:val="00E53934"/>
    <w:rsid w:val="00E53CD6"/>
    <w:rsid w:val="00E54FA2"/>
    <w:rsid w:val="00E56396"/>
    <w:rsid w:val="00E56EC2"/>
    <w:rsid w:val="00E5729B"/>
    <w:rsid w:val="00E57345"/>
    <w:rsid w:val="00E607C5"/>
    <w:rsid w:val="00E609EF"/>
    <w:rsid w:val="00E60C99"/>
    <w:rsid w:val="00E614FF"/>
    <w:rsid w:val="00E61BD3"/>
    <w:rsid w:val="00E65A57"/>
    <w:rsid w:val="00E660DF"/>
    <w:rsid w:val="00E665CB"/>
    <w:rsid w:val="00E66E52"/>
    <w:rsid w:val="00E6742D"/>
    <w:rsid w:val="00E67759"/>
    <w:rsid w:val="00E708A1"/>
    <w:rsid w:val="00E70AEC"/>
    <w:rsid w:val="00E719BC"/>
    <w:rsid w:val="00E71F3A"/>
    <w:rsid w:val="00E7216A"/>
    <w:rsid w:val="00E726BB"/>
    <w:rsid w:val="00E72826"/>
    <w:rsid w:val="00E72AC0"/>
    <w:rsid w:val="00E72B77"/>
    <w:rsid w:val="00E72CB3"/>
    <w:rsid w:val="00E72F87"/>
    <w:rsid w:val="00E73546"/>
    <w:rsid w:val="00E737C8"/>
    <w:rsid w:val="00E747C2"/>
    <w:rsid w:val="00E74AB0"/>
    <w:rsid w:val="00E7552F"/>
    <w:rsid w:val="00E755C9"/>
    <w:rsid w:val="00E757B1"/>
    <w:rsid w:val="00E75E37"/>
    <w:rsid w:val="00E75FF4"/>
    <w:rsid w:val="00E7600B"/>
    <w:rsid w:val="00E762DA"/>
    <w:rsid w:val="00E76BFC"/>
    <w:rsid w:val="00E777C6"/>
    <w:rsid w:val="00E7790E"/>
    <w:rsid w:val="00E77A2E"/>
    <w:rsid w:val="00E77DD0"/>
    <w:rsid w:val="00E80011"/>
    <w:rsid w:val="00E803E1"/>
    <w:rsid w:val="00E80472"/>
    <w:rsid w:val="00E81232"/>
    <w:rsid w:val="00E81EC8"/>
    <w:rsid w:val="00E81FFB"/>
    <w:rsid w:val="00E8271E"/>
    <w:rsid w:val="00E82B62"/>
    <w:rsid w:val="00E8405D"/>
    <w:rsid w:val="00E84230"/>
    <w:rsid w:val="00E856C0"/>
    <w:rsid w:val="00E858FF"/>
    <w:rsid w:val="00E86329"/>
    <w:rsid w:val="00E86405"/>
    <w:rsid w:val="00E86620"/>
    <w:rsid w:val="00E86D18"/>
    <w:rsid w:val="00E870B3"/>
    <w:rsid w:val="00E87C58"/>
    <w:rsid w:val="00E87F3C"/>
    <w:rsid w:val="00E90532"/>
    <w:rsid w:val="00E90750"/>
    <w:rsid w:val="00E90FA7"/>
    <w:rsid w:val="00E91993"/>
    <w:rsid w:val="00E91E3B"/>
    <w:rsid w:val="00E92498"/>
    <w:rsid w:val="00E9272E"/>
    <w:rsid w:val="00E92816"/>
    <w:rsid w:val="00E92EA8"/>
    <w:rsid w:val="00E9351F"/>
    <w:rsid w:val="00E939E1"/>
    <w:rsid w:val="00E94032"/>
    <w:rsid w:val="00E94303"/>
    <w:rsid w:val="00E948C6"/>
    <w:rsid w:val="00E9733C"/>
    <w:rsid w:val="00E9744D"/>
    <w:rsid w:val="00E9771C"/>
    <w:rsid w:val="00E97828"/>
    <w:rsid w:val="00E97E26"/>
    <w:rsid w:val="00EA0B46"/>
    <w:rsid w:val="00EA0F80"/>
    <w:rsid w:val="00EA0FCE"/>
    <w:rsid w:val="00EA1842"/>
    <w:rsid w:val="00EA1C66"/>
    <w:rsid w:val="00EA21DB"/>
    <w:rsid w:val="00EA2893"/>
    <w:rsid w:val="00EA2AAA"/>
    <w:rsid w:val="00EA2F26"/>
    <w:rsid w:val="00EA3813"/>
    <w:rsid w:val="00EA3A45"/>
    <w:rsid w:val="00EA3DF2"/>
    <w:rsid w:val="00EA46D7"/>
    <w:rsid w:val="00EA4764"/>
    <w:rsid w:val="00EA4E3D"/>
    <w:rsid w:val="00EA4F2A"/>
    <w:rsid w:val="00EA50B6"/>
    <w:rsid w:val="00EA52E3"/>
    <w:rsid w:val="00EA54E6"/>
    <w:rsid w:val="00EA572F"/>
    <w:rsid w:val="00EA5931"/>
    <w:rsid w:val="00EA6573"/>
    <w:rsid w:val="00EA6D10"/>
    <w:rsid w:val="00EA71AA"/>
    <w:rsid w:val="00EA74BF"/>
    <w:rsid w:val="00EA7F20"/>
    <w:rsid w:val="00EB0204"/>
    <w:rsid w:val="00EB0872"/>
    <w:rsid w:val="00EB0EC7"/>
    <w:rsid w:val="00EB10EA"/>
    <w:rsid w:val="00EB21C9"/>
    <w:rsid w:val="00EB2EDC"/>
    <w:rsid w:val="00EB3985"/>
    <w:rsid w:val="00EB3BDF"/>
    <w:rsid w:val="00EB416B"/>
    <w:rsid w:val="00EB4194"/>
    <w:rsid w:val="00EB4797"/>
    <w:rsid w:val="00EB4D50"/>
    <w:rsid w:val="00EB5BF7"/>
    <w:rsid w:val="00EB6C20"/>
    <w:rsid w:val="00EB74D2"/>
    <w:rsid w:val="00EC023E"/>
    <w:rsid w:val="00EC04E5"/>
    <w:rsid w:val="00EC0633"/>
    <w:rsid w:val="00EC06AC"/>
    <w:rsid w:val="00EC101A"/>
    <w:rsid w:val="00EC2530"/>
    <w:rsid w:val="00EC27A6"/>
    <w:rsid w:val="00EC2BA9"/>
    <w:rsid w:val="00EC2F06"/>
    <w:rsid w:val="00EC3EBA"/>
    <w:rsid w:val="00EC4332"/>
    <w:rsid w:val="00EC62B5"/>
    <w:rsid w:val="00EC63C4"/>
    <w:rsid w:val="00EC66FE"/>
    <w:rsid w:val="00EC6EF9"/>
    <w:rsid w:val="00EC6F86"/>
    <w:rsid w:val="00EC70A4"/>
    <w:rsid w:val="00EC78BD"/>
    <w:rsid w:val="00EC7CB5"/>
    <w:rsid w:val="00ED078C"/>
    <w:rsid w:val="00ED0846"/>
    <w:rsid w:val="00ED0EE9"/>
    <w:rsid w:val="00ED1EFF"/>
    <w:rsid w:val="00ED2290"/>
    <w:rsid w:val="00ED2C3E"/>
    <w:rsid w:val="00ED30C4"/>
    <w:rsid w:val="00ED389A"/>
    <w:rsid w:val="00ED3BEA"/>
    <w:rsid w:val="00ED3E76"/>
    <w:rsid w:val="00ED43FA"/>
    <w:rsid w:val="00ED48B0"/>
    <w:rsid w:val="00ED4F04"/>
    <w:rsid w:val="00ED5826"/>
    <w:rsid w:val="00ED585D"/>
    <w:rsid w:val="00ED6517"/>
    <w:rsid w:val="00ED6901"/>
    <w:rsid w:val="00ED6C2F"/>
    <w:rsid w:val="00ED75CB"/>
    <w:rsid w:val="00ED77FE"/>
    <w:rsid w:val="00EE0039"/>
    <w:rsid w:val="00EE0367"/>
    <w:rsid w:val="00EE0554"/>
    <w:rsid w:val="00EE0C44"/>
    <w:rsid w:val="00EE0C96"/>
    <w:rsid w:val="00EE1512"/>
    <w:rsid w:val="00EE2614"/>
    <w:rsid w:val="00EE26D6"/>
    <w:rsid w:val="00EE2AFE"/>
    <w:rsid w:val="00EE30B0"/>
    <w:rsid w:val="00EE369D"/>
    <w:rsid w:val="00EE3BDF"/>
    <w:rsid w:val="00EE4115"/>
    <w:rsid w:val="00EE4419"/>
    <w:rsid w:val="00EE4596"/>
    <w:rsid w:val="00EE4DBB"/>
    <w:rsid w:val="00EE52D9"/>
    <w:rsid w:val="00EE57DE"/>
    <w:rsid w:val="00EE5BA2"/>
    <w:rsid w:val="00EE5C8B"/>
    <w:rsid w:val="00EE60C3"/>
    <w:rsid w:val="00EE6CE3"/>
    <w:rsid w:val="00EE75B2"/>
    <w:rsid w:val="00EE77ED"/>
    <w:rsid w:val="00EF037C"/>
    <w:rsid w:val="00EF0431"/>
    <w:rsid w:val="00EF0E4C"/>
    <w:rsid w:val="00EF104B"/>
    <w:rsid w:val="00EF159A"/>
    <w:rsid w:val="00EF18CE"/>
    <w:rsid w:val="00EF33C8"/>
    <w:rsid w:val="00EF384C"/>
    <w:rsid w:val="00EF439F"/>
    <w:rsid w:val="00EF441B"/>
    <w:rsid w:val="00EF4432"/>
    <w:rsid w:val="00EF4ABA"/>
    <w:rsid w:val="00EF4C06"/>
    <w:rsid w:val="00EF4EEB"/>
    <w:rsid w:val="00EF54B1"/>
    <w:rsid w:val="00EF58B8"/>
    <w:rsid w:val="00EF5C9C"/>
    <w:rsid w:val="00EF6A28"/>
    <w:rsid w:val="00EF6F2C"/>
    <w:rsid w:val="00EF7550"/>
    <w:rsid w:val="00EF7634"/>
    <w:rsid w:val="00EF7781"/>
    <w:rsid w:val="00EF7786"/>
    <w:rsid w:val="00EF7D05"/>
    <w:rsid w:val="00F0023B"/>
    <w:rsid w:val="00F002C7"/>
    <w:rsid w:val="00F00A9B"/>
    <w:rsid w:val="00F00D69"/>
    <w:rsid w:val="00F01103"/>
    <w:rsid w:val="00F0134D"/>
    <w:rsid w:val="00F02005"/>
    <w:rsid w:val="00F04428"/>
    <w:rsid w:val="00F05916"/>
    <w:rsid w:val="00F05966"/>
    <w:rsid w:val="00F05EC7"/>
    <w:rsid w:val="00F064DD"/>
    <w:rsid w:val="00F069E4"/>
    <w:rsid w:val="00F06DBC"/>
    <w:rsid w:val="00F07A5A"/>
    <w:rsid w:val="00F07C34"/>
    <w:rsid w:val="00F1079F"/>
    <w:rsid w:val="00F10ED9"/>
    <w:rsid w:val="00F11C14"/>
    <w:rsid w:val="00F11EB9"/>
    <w:rsid w:val="00F12027"/>
    <w:rsid w:val="00F12411"/>
    <w:rsid w:val="00F128F0"/>
    <w:rsid w:val="00F12A01"/>
    <w:rsid w:val="00F12E4F"/>
    <w:rsid w:val="00F13DA3"/>
    <w:rsid w:val="00F13FA6"/>
    <w:rsid w:val="00F14799"/>
    <w:rsid w:val="00F14B57"/>
    <w:rsid w:val="00F154BC"/>
    <w:rsid w:val="00F160EC"/>
    <w:rsid w:val="00F1663A"/>
    <w:rsid w:val="00F16EAE"/>
    <w:rsid w:val="00F172B8"/>
    <w:rsid w:val="00F17919"/>
    <w:rsid w:val="00F2001D"/>
    <w:rsid w:val="00F20163"/>
    <w:rsid w:val="00F218C2"/>
    <w:rsid w:val="00F21B86"/>
    <w:rsid w:val="00F21C66"/>
    <w:rsid w:val="00F21EA4"/>
    <w:rsid w:val="00F22156"/>
    <w:rsid w:val="00F222D7"/>
    <w:rsid w:val="00F22C0D"/>
    <w:rsid w:val="00F23481"/>
    <w:rsid w:val="00F239FD"/>
    <w:rsid w:val="00F23C8E"/>
    <w:rsid w:val="00F24739"/>
    <w:rsid w:val="00F24744"/>
    <w:rsid w:val="00F24CB0"/>
    <w:rsid w:val="00F25686"/>
    <w:rsid w:val="00F25850"/>
    <w:rsid w:val="00F2596C"/>
    <w:rsid w:val="00F25EDA"/>
    <w:rsid w:val="00F25F76"/>
    <w:rsid w:val="00F26C84"/>
    <w:rsid w:val="00F272CA"/>
    <w:rsid w:val="00F2764B"/>
    <w:rsid w:val="00F27CB5"/>
    <w:rsid w:val="00F27CC2"/>
    <w:rsid w:val="00F303F2"/>
    <w:rsid w:val="00F30AEA"/>
    <w:rsid w:val="00F30FA5"/>
    <w:rsid w:val="00F31433"/>
    <w:rsid w:val="00F31C10"/>
    <w:rsid w:val="00F32A8F"/>
    <w:rsid w:val="00F33F1A"/>
    <w:rsid w:val="00F34378"/>
    <w:rsid w:val="00F34675"/>
    <w:rsid w:val="00F348EC"/>
    <w:rsid w:val="00F3559F"/>
    <w:rsid w:val="00F35A1D"/>
    <w:rsid w:val="00F360A5"/>
    <w:rsid w:val="00F360FF"/>
    <w:rsid w:val="00F36444"/>
    <w:rsid w:val="00F366A3"/>
    <w:rsid w:val="00F36AEE"/>
    <w:rsid w:val="00F36BC1"/>
    <w:rsid w:val="00F40416"/>
    <w:rsid w:val="00F4084B"/>
    <w:rsid w:val="00F40C87"/>
    <w:rsid w:val="00F40E6D"/>
    <w:rsid w:val="00F4121B"/>
    <w:rsid w:val="00F41517"/>
    <w:rsid w:val="00F418A6"/>
    <w:rsid w:val="00F41ED4"/>
    <w:rsid w:val="00F42207"/>
    <w:rsid w:val="00F42A0A"/>
    <w:rsid w:val="00F42D04"/>
    <w:rsid w:val="00F43155"/>
    <w:rsid w:val="00F435E3"/>
    <w:rsid w:val="00F43E5A"/>
    <w:rsid w:val="00F44B6C"/>
    <w:rsid w:val="00F44FD6"/>
    <w:rsid w:val="00F461A9"/>
    <w:rsid w:val="00F46523"/>
    <w:rsid w:val="00F46843"/>
    <w:rsid w:val="00F46B5D"/>
    <w:rsid w:val="00F47B47"/>
    <w:rsid w:val="00F5017F"/>
    <w:rsid w:val="00F50730"/>
    <w:rsid w:val="00F513E8"/>
    <w:rsid w:val="00F51724"/>
    <w:rsid w:val="00F518BD"/>
    <w:rsid w:val="00F52BC8"/>
    <w:rsid w:val="00F5301A"/>
    <w:rsid w:val="00F53205"/>
    <w:rsid w:val="00F5345F"/>
    <w:rsid w:val="00F534E7"/>
    <w:rsid w:val="00F53E19"/>
    <w:rsid w:val="00F54535"/>
    <w:rsid w:val="00F5466C"/>
    <w:rsid w:val="00F54915"/>
    <w:rsid w:val="00F5663D"/>
    <w:rsid w:val="00F569C2"/>
    <w:rsid w:val="00F5794B"/>
    <w:rsid w:val="00F57A5C"/>
    <w:rsid w:val="00F6097A"/>
    <w:rsid w:val="00F61AF7"/>
    <w:rsid w:val="00F61E19"/>
    <w:rsid w:val="00F62487"/>
    <w:rsid w:val="00F624E2"/>
    <w:rsid w:val="00F62D8E"/>
    <w:rsid w:val="00F65338"/>
    <w:rsid w:val="00F65622"/>
    <w:rsid w:val="00F661ED"/>
    <w:rsid w:val="00F679BD"/>
    <w:rsid w:val="00F7072F"/>
    <w:rsid w:val="00F709A7"/>
    <w:rsid w:val="00F70D5B"/>
    <w:rsid w:val="00F7184F"/>
    <w:rsid w:val="00F71AD8"/>
    <w:rsid w:val="00F73129"/>
    <w:rsid w:val="00F734AC"/>
    <w:rsid w:val="00F734B4"/>
    <w:rsid w:val="00F73505"/>
    <w:rsid w:val="00F73678"/>
    <w:rsid w:val="00F73C38"/>
    <w:rsid w:val="00F746BB"/>
    <w:rsid w:val="00F74A75"/>
    <w:rsid w:val="00F763F5"/>
    <w:rsid w:val="00F77321"/>
    <w:rsid w:val="00F7792E"/>
    <w:rsid w:val="00F77CC6"/>
    <w:rsid w:val="00F801C4"/>
    <w:rsid w:val="00F80F6C"/>
    <w:rsid w:val="00F811DE"/>
    <w:rsid w:val="00F812A1"/>
    <w:rsid w:val="00F818AA"/>
    <w:rsid w:val="00F83E20"/>
    <w:rsid w:val="00F84C6F"/>
    <w:rsid w:val="00F84D10"/>
    <w:rsid w:val="00F84E00"/>
    <w:rsid w:val="00F853B6"/>
    <w:rsid w:val="00F854A0"/>
    <w:rsid w:val="00F86576"/>
    <w:rsid w:val="00F86D9C"/>
    <w:rsid w:val="00F86E56"/>
    <w:rsid w:val="00F8710C"/>
    <w:rsid w:val="00F8713C"/>
    <w:rsid w:val="00F8716A"/>
    <w:rsid w:val="00F8719F"/>
    <w:rsid w:val="00F873CD"/>
    <w:rsid w:val="00F874FA"/>
    <w:rsid w:val="00F876CB"/>
    <w:rsid w:val="00F900D2"/>
    <w:rsid w:val="00F909DD"/>
    <w:rsid w:val="00F90CD2"/>
    <w:rsid w:val="00F90ECE"/>
    <w:rsid w:val="00F9101B"/>
    <w:rsid w:val="00F939C3"/>
    <w:rsid w:val="00F93AF2"/>
    <w:rsid w:val="00F93E33"/>
    <w:rsid w:val="00F94200"/>
    <w:rsid w:val="00F94E9E"/>
    <w:rsid w:val="00F960A2"/>
    <w:rsid w:val="00F97603"/>
    <w:rsid w:val="00F97880"/>
    <w:rsid w:val="00F97F67"/>
    <w:rsid w:val="00FA00AB"/>
    <w:rsid w:val="00FA0190"/>
    <w:rsid w:val="00FA1252"/>
    <w:rsid w:val="00FA16D5"/>
    <w:rsid w:val="00FA1951"/>
    <w:rsid w:val="00FA1E06"/>
    <w:rsid w:val="00FA36FE"/>
    <w:rsid w:val="00FA3C83"/>
    <w:rsid w:val="00FA50AC"/>
    <w:rsid w:val="00FA52D9"/>
    <w:rsid w:val="00FA5501"/>
    <w:rsid w:val="00FA584F"/>
    <w:rsid w:val="00FA5F8B"/>
    <w:rsid w:val="00FA6048"/>
    <w:rsid w:val="00FA619A"/>
    <w:rsid w:val="00FA6A72"/>
    <w:rsid w:val="00FA7AC8"/>
    <w:rsid w:val="00FB01F1"/>
    <w:rsid w:val="00FB04B4"/>
    <w:rsid w:val="00FB0CD8"/>
    <w:rsid w:val="00FB0D7F"/>
    <w:rsid w:val="00FB0E46"/>
    <w:rsid w:val="00FB2637"/>
    <w:rsid w:val="00FB2A66"/>
    <w:rsid w:val="00FB2F17"/>
    <w:rsid w:val="00FB339B"/>
    <w:rsid w:val="00FB4573"/>
    <w:rsid w:val="00FB5835"/>
    <w:rsid w:val="00FB6A30"/>
    <w:rsid w:val="00FB719F"/>
    <w:rsid w:val="00FB7BB9"/>
    <w:rsid w:val="00FC1110"/>
    <w:rsid w:val="00FC1377"/>
    <w:rsid w:val="00FC13B0"/>
    <w:rsid w:val="00FC18A6"/>
    <w:rsid w:val="00FC19FE"/>
    <w:rsid w:val="00FC2464"/>
    <w:rsid w:val="00FC24F1"/>
    <w:rsid w:val="00FC280D"/>
    <w:rsid w:val="00FC28B6"/>
    <w:rsid w:val="00FC31AE"/>
    <w:rsid w:val="00FC3880"/>
    <w:rsid w:val="00FC3D2B"/>
    <w:rsid w:val="00FC3FC6"/>
    <w:rsid w:val="00FC4319"/>
    <w:rsid w:val="00FC44C9"/>
    <w:rsid w:val="00FC454E"/>
    <w:rsid w:val="00FC477B"/>
    <w:rsid w:val="00FC4D9D"/>
    <w:rsid w:val="00FC54C9"/>
    <w:rsid w:val="00FC5DE2"/>
    <w:rsid w:val="00FC6166"/>
    <w:rsid w:val="00FC659A"/>
    <w:rsid w:val="00FC6AF7"/>
    <w:rsid w:val="00FC7107"/>
    <w:rsid w:val="00FC7FE2"/>
    <w:rsid w:val="00FD0027"/>
    <w:rsid w:val="00FD0266"/>
    <w:rsid w:val="00FD0E0E"/>
    <w:rsid w:val="00FD12C1"/>
    <w:rsid w:val="00FD1D01"/>
    <w:rsid w:val="00FD2433"/>
    <w:rsid w:val="00FD2E5B"/>
    <w:rsid w:val="00FD3223"/>
    <w:rsid w:val="00FD35A8"/>
    <w:rsid w:val="00FD3B30"/>
    <w:rsid w:val="00FD4176"/>
    <w:rsid w:val="00FD4A89"/>
    <w:rsid w:val="00FD7AAC"/>
    <w:rsid w:val="00FE02D3"/>
    <w:rsid w:val="00FE02F6"/>
    <w:rsid w:val="00FE0835"/>
    <w:rsid w:val="00FE0F06"/>
    <w:rsid w:val="00FE111A"/>
    <w:rsid w:val="00FE13B7"/>
    <w:rsid w:val="00FE1833"/>
    <w:rsid w:val="00FE1CEA"/>
    <w:rsid w:val="00FE2371"/>
    <w:rsid w:val="00FE33F2"/>
    <w:rsid w:val="00FE3B4D"/>
    <w:rsid w:val="00FE3DC5"/>
    <w:rsid w:val="00FE4877"/>
    <w:rsid w:val="00FE4BA0"/>
    <w:rsid w:val="00FE4D79"/>
    <w:rsid w:val="00FE4E14"/>
    <w:rsid w:val="00FE55B3"/>
    <w:rsid w:val="00FE576A"/>
    <w:rsid w:val="00FE5BE4"/>
    <w:rsid w:val="00FE5C54"/>
    <w:rsid w:val="00FE5DD3"/>
    <w:rsid w:val="00FE61CC"/>
    <w:rsid w:val="00FE6C00"/>
    <w:rsid w:val="00FE7A60"/>
    <w:rsid w:val="00FF0096"/>
    <w:rsid w:val="00FF023D"/>
    <w:rsid w:val="00FF02A0"/>
    <w:rsid w:val="00FF0356"/>
    <w:rsid w:val="00FF0B14"/>
    <w:rsid w:val="00FF0D27"/>
    <w:rsid w:val="00FF0E9F"/>
    <w:rsid w:val="00FF110A"/>
    <w:rsid w:val="00FF1893"/>
    <w:rsid w:val="00FF1B9B"/>
    <w:rsid w:val="00FF2200"/>
    <w:rsid w:val="00FF22FC"/>
    <w:rsid w:val="00FF29E5"/>
    <w:rsid w:val="00FF2B9E"/>
    <w:rsid w:val="00FF30DF"/>
    <w:rsid w:val="00FF3603"/>
    <w:rsid w:val="00FF3E9F"/>
    <w:rsid w:val="00FF4504"/>
    <w:rsid w:val="00FF4A17"/>
    <w:rsid w:val="00FF4B79"/>
    <w:rsid w:val="00FF5587"/>
    <w:rsid w:val="00FF5A88"/>
    <w:rsid w:val="00FF6CC8"/>
    <w:rsid w:val="00FF6F49"/>
    <w:rsid w:val="00FF7055"/>
    <w:rsid w:val="00FF787C"/>
    <w:rsid w:val="00FF7C54"/>
    <w:rsid w:val="014632E9"/>
    <w:rsid w:val="01705EE7"/>
    <w:rsid w:val="0175413A"/>
    <w:rsid w:val="019509B6"/>
    <w:rsid w:val="01A71A6C"/>
    <w:rsid w:val="01AE7F59"/>
    <w:rsid w:val="01B36D86"/>
    <w:rsid w:val="01F23D45"/>
    <w:rsid w:val="01FE5989"/>
    <w:rsid w:val="01FF3BC3"/>
    <w:rsid w:val="020F1EA4"/>
    <w:rsid w:val="02251BD6"/>
    <w:rsid w:val="022F5D5F"/>
    <w:rsid w:val="023D46EC"/>
    <w:rsid w:val="02476EF2"/>
    <w:rsid w:val="02615230"/>
    <w:rsid w:val="02825266"/>
    <w:rsid w:val="02C829B4"/>
    <w:rsid w:val="02CD29AF"/>
    <w:rsid w:val="02DC4358"/>
    <w:rsid w:val="02E90077"/>
    <w:rsid w:val="02F561BC"/>
    <w:rsid w:val="02F569A7"/>
    <w:rsid w:val="030A658F"/>
    <w:rsid w:val="037D39AE"/>
    <w:rsid w:val="03AA54A5"/>
    <w:rsid w:val="04025BED"/>
    <w:rsid w:val="041B280B"/>
    <w:rsid w:val="041D7F29"/>
    <w:rsid w:val="0420360E"/>
    <w:rsid w:val="0429078C"/>
    <w:rsid w:val="047F52FB"/>
    <w:rsid w:val="0482288A"/>
    <w:rsid w:val="048A5A1B"/>
    <w:rsid w:val="049F0298"/>
    <w:rsid w:val="04BF30A6"/>
    <w:rsid w:val="04C74770"/>
    <w:rsid w:val="04EF2002"/>
    <w:rsid w:val="04FC263C"/>
    <w:rsid w:val="04FC43EA"/>
    <w:rsid w:val="05113E96"/>
    <w:rsid w:val="052916D2"/>
    <w:rsid w:val="052922B7"/>
    <w:rsid w:val="054502A8"/>
    <w:rsid w:val="055572C6"/>
    <w:rsid w:val="055F0975"/>
    <w:rsid w:val="056401E1"/>
    <w:rsid w:val="0599158D"/>
    <w:rsid w:val="05F777BA"/>
    <w:rsid w:val="05FF35E7"/>
    <w:rsid w:val="06222576"/>
    <w:rsid w:val="063110B1"/>
    <w:rsid w:val="066D2B9B"/>
    <w:rsid w:val="06781A50"/>
    <w:rsid w:val="068C3084"/>
    <w:rsid w:val="06DD2F24"/>
    <w:rsid w:val="0715595D"/>
    <w:rsid w:val="07164A23"/>
    <w:rsid w:val="07583846"/>
    <w:rsid w:val="07595CA7"/>
    <w:rsid w:val="07965FA9"/>
    <w:rsid w:val="07B1140D"/>
    <w:rsid w:val="07B7062C"/>
    <w:rsid w:val="08161C67"/>
    <w:rsid w:val="08220661"/>
    <w:rsid w:val="08425F97"/>
    <w:rsid w:val="08446EC4"/>
    <w:rsid w:val="084762C4"/>
    <w:rsid w:val="085F6C1D"/>
    <w:rsid w:val="08607617"/>
    <w:rsid w:val="0864660C"/>
    <w:rsid w:val="088B4E3D"/>
    <w:rsid w:val="08954099"/>
    <w:rsid w:val="089A529D"/>
    <w:rsid w:val="08B60E14"/>
    <w:rsid w:val="08BE3E25"/>
    <w:rsid w:val="08C155B8"/>
    <w:rsid w:val="08F42A39"/>
    <w:rsid w:val="08F43FF8"/>
    <w:rsid w:val="08FA7CD2"/>
    <w:rsid w:val="09214FC6"/>
    <w:rsid w:val="09314259"/>
    <w:rsid w:val="093D54B6"/>
    <w:rsid w:val="0961529C"/>
    <w:rsid w:val="099612CC"/>
    <w:rsid w:val="09B65621"/>
    <w:rsid w:val="09BF20E9"/>
    <w:rsid w:val="09C268D1"/>
    <w:rsid w:val="09C97E32"/>
    <w:rsid w:val="09CB260A"/>
    <w:rsid w:val="09FB0FEB"/>
    <w:rsid w:val="0A1C2B05"/>
    <w:rsid w:val="0A225C7A"/>
    <w:rsid w:val="0A303EC3"/>
    <w:rsid w:val="0A660D47"/>
    <w:rsid w:val="0A7205DA"/>
    <w:rsid w:val="0A734199"/>
    <w:rsid w:val="0A7E4161"/>
    <w:rsid w:val="0A9E5F43"/>
    <w:rsid w:val="0AA11969"/>
    <w:rsid w:val="0AC259DC"/>
    <w:rsid w:val="0AD26B4D"/>
    <w:rsid w:val="0AF10769"/>
    <w:rsid w:val="0B0B2F74"/>
    <w:rsid w:val="0B150DBA"/>
    <w:rsid w:val="0B1C521B"/>
    <w:rsid w:val="0B2343E8"/>
    <w:rsid w:val="0B38404A"/>
    <w:rsid w:val="0B3A5DA2"/>
    <w:rsid w:val="0B3C11A9"/>
    <w:rsid w:val="0B464284"/>
    <w:rsid w:val="0B4870FD"/>
    <w:rsid w:val="0B4F5B92"/>
    <w:rsid w:val="0B625136"/>
    <w:rsid w:val="0B915565"/>
    <w:rsid w:val="0BC25EC0"/>
    <w:rsid w:val="0BD157FE"/>
    <w:rsid w:val="0BE43CD7"/>
    <w:rsid w:val="0BE449F4"/>
    <w:rsid w:val="0BFE594C"/>
    <w:rsid w:val="0C20100D"/>
    <w:rsid w:val="0C2E3196"/>
    <w:rsid w:val="0C4466F6"/>
    <w:rsid w:val="0C4D1F86"/>
    <w:rsid w:val="0C503983"/>
    <w:rsid w:val="0C605560"/>
    <w:rsid w:val="0C902DBA"/>
    <w:rsid w:val="0C9A7FBD"/>
    <w:rsid w:val="0CA45F3D"/>
    <w:rsid w:val="0CA92646"/>
    <w:rsid w:val="0CAF3705"/>
    <w:rsid w:val="0CBC42F9"/>
    <w:rsid w:val="0CBD198D"/>
    <w:rsid w:val="0CC71781"/>
    <w:rsid w:val="0D120CE2"/>
    <w:rsid w:val="0D1C7885"/>
    <w:rsid w:val="0D2327C7"/>
    <w:rsid w:val="0D3A347C"/>
    <w:rsid w:val="0D3F3A0E"/>
    <w:rsid w:val="0D646D05"/>
    <w:rsid w:val="0D9F7809"/>
    <w:rsid w:val="0DA1400D"/>
    <w:rsid w:val="0DA24FE4"/>
    <w:rsid w:val="0DBA2F0C"/>
    <w:rsid w:val="0DC74BB1"/>
    <w:rsid w:val="0DD978F7"/>
    <w:rsid w:val="0DE85846"/>
    <w:rsid w:val="0DF65F43"/>
    <w:rsid w:val="0E252C04"/>
    <w:rsid w:val="0E320E74"/>
    <w:rsid w:val="0E4754C7"/>
    <w:rsid w:val="0E820826"/>
    <w:rsid w:val="0ECA58F5"/>
    <w:rsid w:val="0ED1275A"/>
    <w:rsid w:val="0EDE0CEC"/>
    <w:rsid w:val="0EDF06C0"/>
    <w:rsid w:val="0EF177F4"/>
    <w:rsid w:val="0EFE03E2"/>
    <w:rsid w:val="0F111D94"/>
    <w:rsid w:val="0F153424"/>
    <w:rsid w:val="0F201A80"/>
    <w:rsid w:val="0F3F429D"/>
    <w:rsid w:val="0F4622A5"/>
    <w:rsid w:val="0F5F2145"/>
    <w:rsid w:val="0F651213"/>
    <w:rsid w:val="0F692C50"/>
    <w:rsid w:val="0F724E3C"/>
    <w:rsid w:val="0F7667E1"/>
    <w:rsid w:val="0F96029C"/>
    <w:rsid w:val="0FE02352"/>
    <w:rsid w:val="0FED2C86"/>
    <w:rsid w:val="0FF05A42"/>
    <w:rsid w:val="100371FC"/>
    <w:rsid w:val="1006446F"/>
    <w:rsid w:val="1029260B"/>
    <w:rsid w:val="102E4F10"/>
    <w:rsid w:val="105A2EE1"/>
    <w:rsid w:val="105F1EE1"/>
    <w:rsid w:val="10900479"/>
    <w:rsid w:val="109B39CD"/>
    <w:rsid w:val="10AF0F84"/>
    <w:rsid w:val="10B2641F"/>
    <w:rsid w:val="10C94EDC"/>
    <w:rsid w:val="10DF0360"/>
    <w:rsid w:val="10F253AB"/>
    <w:rsid w:val="112D30D5"/>
    <w:rsid w:val="116B5B74"/>
    <w:rsid w:val="11883CCA"/>
    <w:rsid w:val="11A96B4F"/>
    <w:rsid w:val="11CE5256"/>
    <w:rsid w:val="11FC6B2E"/>
    <w:rsid w:val="12095857"/>
    <w:rsid w:val="1219045D"/>
    <w:rsid w:val="122C027D"/>
    <w:rsid w:val="123F1AD2"/>
    <w:rsid w:val="127C1E3F"/>
    <w:rsid w:val="12A84AB1"/>
    <w:rsid w:val="12B13F2B"/>
    <w:rsid w:val="12CD11AB"/>
    <w:rsid w:val="12CF313E"/>
    <w:rsid w:val="12EC3308"/>
    <w:rsid w:val="12FF28F2"/>
    <w:rsid w:val="13096E0F"/>
    <w:rsid w:val="131E6CE5"/>
    <w:rsid w:val="13256C86"/>
    <w:rsid w:val="13273CCC"/>
    <w:rsid w:val="13325B24"/>
    <w:rsid w:val="13343D76"/>
    <w:rsid w:val="134B30F8"/>
    <w:rsid w:val="135C065C"/>
    <w:rsid w:val="13743C7E"/>
    <w:rsid w:val="137B5A2D"/>
    <w:rsid w:val="13915879"/>
    <w:rsid w:val="13957B1E"/>
    <w:rsid w:val="13B03FBD"/>
    <w:rsid w:val="13CB100B"/>
    <w:rsid w:val="13DE00ED"/>
    <w:rsid w:val="13ED7B05"/>
    <w:rsid w:val="140046DA"/>
    <w:rsid w:val="14071828"/>
    <w:rsid w:val="14164AE9"/>
    <w:rsid w:val="14196BF0"/>
    <w:rsid w:val="14265E1B"/>
    <w:rsid w:val="143174A5"/>
    <w:rsid w:val="1433674E"/>
    <w:rsid w:val="146F1D7A"/>
    <w:rsid w:val="1482202B"/>
    <w:rsid w:val="14AA5727"/>
    <w:rsid w:val="14B860E1"/>
    <w:rsid w:val="14C31248"/>
    <w:rsid w:val="15050C6F"/>
    <w:rsid w:val="15145B9D"/>
    <w:rsid w:val="15147589"/>
    <w:rsid w:val="155F11AF"/>
    <w:rsid w:val="15623126"/>
    <w:rsid w:val="157E61C9"/>
    <w:rsid w:val="158373A2"/>
    <w:rsid w:val="1585488A"/>
    <w:rsid w:val="159D3DBA"/>
    <w:rsid w:val="15AE1677"/>
    <w:rsid w:val="15BC42B5"/>
    <w:rsid w:val="15C43439"/>
    <w:rsid w:val="15FB4B13"/>
    <w:rsid w:val="161C6FBD"/>
    <w:rsid w:val="16273DFF"/>
    <w:rsid w:val="1629644D"/>
    <w:rsid w:val="16353C66"/>
    <w:rsid w:val="163E5F92"/>
    <w:rsid w:val="164C2AFB"/>
    <w:rsid w:val="16712BA1"/>
    <w:rsid w:val="167406F6"/>
    <w:rsid w:val="169615FB"/>
    <w:rsid w:val="16BC43FC"/>
    <w:rsid w:val="16BE185B"/>
    <w:rsid w:val="16C94EDB"/>
    <w:rsid w:val="16F03B30"/>
    <w:rsid w:val="16F0551D"/>
    <w:rsid w:val="16F073D2"/>
    <w:rsid w:val="16F972E0"/>
    <w:rsid w:val="170B1EA5"/>
    <w:rsid w:val="173979C2"/>
    <w:rsid w:val="173F2A13"/>
    <w:rsid w:val="1762315A"/>
    <w:rsid w:val="17851FD1"/>
    <w:rsid w:val="17B61B95"/>
    <w:rsid w:val="180A2E6A"/>
    <w:rsid w:val="18316564"/>
    <w:rsid w:val="183A5F45"/>
    <w:rsid w:val="18647E15"/>
    <w:rsid w:val="18734D26"/>
    <w:rsid w:val="188320E8"/>
    <w:rsid w:val="18AA5C6C"/>
    <w:rsid w:val="18D85538"/>
    <w:rsid w:val="18FB7BDB"/>
    <w:rsid w:val="19492D9B"/>
    <w:rsid w:val="1951529F"/>
    <w:rsid w:val="196560C1"/>
    <w:rsid w:val="197A5E53"/>
    <w:rsid w:val="197F0DB4"/>
    <w:rsid w:val="19874772"/>
    <w:rsid w:val="199E2C34"/>
    <w:rsid w:val="19A23D72"/>
    <w:rsid w:val="19DC4276"/>
    <w:rsid w:val="19E7365B"/>
    <w:rsid w:val="19E73B4D"/>
    <w:rsid w:val="19ED7EF3"/>
    <w:rsid w:val="19F15F01"/>
    <w:rsid w:val="19F84FF8"/>
    <w:rsid w:val="1A011B96"/>
    <w:rsid w:val="1A121721"/>
    <w:rsid w:val="1A293A7B"/>
    <w:rsid w:val="1A597170"/>
    <w:rsid w:val="1A5D7FC5"/>
    <w:rsid w:val="1A5E6F05"/>
    <w:rsid w:val="1A68559B"/>
    <w:rsid w:val="1A6D5B7E"/>
    <w:rsid w:val="1A710CE2"/>
    <w:rsid w:val="1A93699D"/>
    <w:rsid w:val="1AA6291A"/>
    <w:rsid w:val="1AB25D9C"/>
    <w:rsid w:val="1ACE63D1"/>
    <w:rsid w:val="1AF23D50"/>
    <w:rsid w:val="1AFE15AE"/>
    <w:rsid w:val="1B0D22B7"/>
    <w:rsid w:val="1B440441"/>
    <w:rsid w:val="1B4447F4"/>
    <w:rsid w:val="1B4D19EC"/>
    <w:rsid w:val="1B4D60FF"/>
    <w:rsid w:val="1B522136"/>
    <w:rsid w:val="1B704F5A"/>
    <w:rsid w:val="1B7A5C7B"/>
    <w:rsid w:val="1B99078D"/>
    <w:rsid w:val="1BB4477B"/>
    <w:rsid w:val="1BBC6AEF"/>
    <w:rsid w:val="1BC0342B"/>
    <w:rsid w:val="1BEE0485"/>
    <w:rsid w:val="1BEE3C6A"/>
    <w:rsid w:val="1BFB3C89"/>
    <w:rsid w:val="1C3D380E"/>
    <w:rsid w:val="1C5E51B5"/>
    <w:rsid w:val="1C63306D"/>
    <w:rsid w:val="1C775E11"/>
    <w:rsid w:val="1C94130A"/>
    <w:rsid w:val="1CAA422A"/>
    <w:rsid w:val="1CB201D8"/>
    <w:rsid w:val="1CC5564F"/>
    <w:rsid w:val="1CD46DC5"/>
    <w:rsid w:val="1CD5544B"/>
    <w:rsid w:val="1CDA15AB"/>
    <w:rsid w:val="1D216E25"/>
    <w:rsid w:val="1D3E3DA2"/>
    <w:rsid w:val="1D9C27B6"/>
    <w:rsid w:val="1D9F07A9"/>
    <w:rsid w:val="1DBF251F"/>
    <w:rsid w:val="1DCD3D8A"/>
    <w:rsid w:val="1E01086B"/>
    <w:rsid w:val="1E110F21"/>
    <w:rsid w:val="1E1460F1"/>
    <w:rsid w:val="1E1E7BBA"/>
    <w:rsid w:val="1E2816A5"/>
    <w:rsid w:val="1E2B45A7"/>
    <w:rsid w:val="1E2C442F"/>
    <w:rsid w:val="1E471F35"/>
    <w:rsid w:val="1E601FBD"/>
    <w:rsid w:val="1E6E0897"/>
    <w:rsid w:val="1E983EF1"/>
    <w:rsid w:val="1EAB4948"/>
    <w:rsid w:val="1EFA48BB"/>
    <w:rsid w:val="1EFE67FE"/>
    <w:rsid w:val="1F0602BA"/>
    <w:rsid w:val="1F1660EF"/>
    <w:rsid w:val="1F1E1405"/>
    <w:rsid w:val="1F4047B1"/>
    <w:rsid w:val="1F413615"/>
    <w:rsid w:val="1F4C3FEE"/>
    <w:rsid w:val="1F6C2DC2"/>
    <w:rsid w:val="1F6D35B5"/>
    <w:rsid w:val="1F7C430E"/>
    <w:rsid w:val="1F822B9E"/>
    <w:rsid w:val="1F8C283B"/>
    <w:rsid w:val="1FAE3AE5"/>
    <w:rsid w:val="1FAE475F"/>
    <w:rsid w:val="1FD94FC9"/>
    <w:rsid w:val="20263F0A"/>
    <w:rsid w:val="2048646E"/>
    <w:rsid w:val="204C27A7"/>
    <w:rsid w:val="204D4198"/>
    <w:rsid w:val="2063696A"/>
    <w:rsid w:val="2075520B"/>
    <w:rsid w:val="20A26336"/>
    <w:rsid w:val="20AB4B22"/>
    <w:rsid w:val="20AF4299"/>
    <w:rsid w:val="20B51942"/>
    <w:rsid w:val="20D364EF"/>
    <w:rsid w:val="20D67F06"/>
    <w:rsid w:val="20F8382C"/>
    <w:rsid w:val="210743EB"/>
    <w:rsid w:val="212C3297"/>
    <w:rsid w:val="217D7535"/>
    <w:rsid w:val="21AE1D5E"/>
    <w:rsid w:val="21B955C6"/>
    <w:rsid w:val="21BB572B"/>
    <w:rsid w:val="21BC3427"/>
    <w:rsid w:val="21C7295E"/>
    <w:rsid w:val="21D85F9F"/>
    <w:rsid w:val="21DA7D02"/>
    <w:rsid w:val="21E346E2"/>
    <w:rsid w:val="21E8205D"/>
    <w:rsid w:val="222D7967"/>
    <w:rsid w:val="22307E2A"/>
    <w:rsid w:val="22680EB9"/>
    <w:rsid w:val="228457AC"/>
    <w:rsid w:val="22A32855"/>
    <w:rsid w:val="22EE1B76"/>
    <w:rsid w:val="231A57A9"/>
    <w:rsid w:val="23594CB2"/>
    <w:rsid w:val="23623CB1"/>
    <w:rsid w:val="237C01D2"/>
    <w:rsid w:val="23990399"/>
    <w:rsid w:val="23A423C5"/>
    <w:rsid w:val="23B470A1"/>
    <w:rsid w:val="23C05C28"/>
    <w:rsid w:val="23E3479C"/>
    <w:rsid w:val="23FE1AFC"/>
    <w:rsid w:val="24106DC4"/>
    <w:rsid w:val="242637F6"/>
    <w:rsid w:val="242661E2"/>
    <w:rsid w:val="24374EB9"/>
    <w:rsid w:val="2444392A"/>
    <w:rsid w:val="244B0A92"/>
    <w:rsid w:val="244F7756"/>
    <w:rsid w:val="246D6C5B"/>
    <w:rsid w:val="24CE1F79"/>
    <w:rsid w:val="24F86638"/>
    <w:rsid w:val="25036998"/>
    <w:rsid w:val="25270FA6"/>
    <w:rsid w:val="252A2638"/>
    <w:rsid w:val="254004B1"/>
    <w:rsid w:val="25646CB4"/>
    <w:rsid w:val="25824BFC"/>
    <w:rsid w:val="25860EA6"/>
    <w:rsid w:val="25A22A6B"/>
    <w:rsid w:val="25C74149"/>
    <w:rsid w:val="25D91B81"/>
    <w:rsid w:val="25E572E3"/>
    <w:rsid w:val="264D28A0"/>
    <w:rsid w:val="268E3304"/>
    <w:rsid w:val="26904567"/>
    <w:rsid w:val="26B9427C"/>
    <w:rsid w:val="26C857CF"/>
    <w:rsid w:val="26F75030"/>
    <w:rsid w:val="27005DC8"/>
    <w:rsid w:val="27047F48"/>
    <w:rsid w:val="27321A96"/>
    <w:rsid w:val="276E2D1B"/>
    <w:rsid w:val="277D40AC"/>
    <w:rsid w:val="279E38CD"/>
    <w:rsid w:val="27B44B3A"/>
    <w:rsid w:val="27CC3C98"/>
    <w:rsid w:val="27EC3350"/>
    <w:rsid w:val="27FD5441"/>
    <w:rsid w:val="28106F71"/>
    <w:rsid w:val="28620931"/>
    <w:rsid w:val="28AC55C6"/>
    <w:rsid w:val="28B626F0"/>
    <w:rsid w:val="28BF44FB"/>
    <w:rsid w:val="28C40168"/>
    <w:rsid w:val="28C628A7"/>
    <w:rsid w:val="28E3375A"/>
    <w:rsid w:val="29065F32"/>
    <w:rsid w:val="2908513C"/>
    <w:rsid w:val="290B7C29"/>
    <w:rsid w:val="291561D9"/>
    <w:rsid w:val="29474F37"/>
    <w:rsid w:val="2950225D"/>
    <w:rsid w:val="295B62C7"/>
    <w:rsid w:val="296E45B5"/>
    <w:rsid w:val="297F2693"/>
    <w:rsid w:val="29870006"/>
    <w:rsid w:val="29BD4FDE"/>
    <w:rsid w:val="29EE476C"/>
    <w:rsid w:val="29F950B8"/>
    <w:rsid w:val="2A057D1C"/>
    <w:rsid w:val="2A090F19"/>
    <w:rsid w:val="2A0F7CC8"/>
    <w:rsid w:val="2A293624"/>
    <w:rsid w:val="2A54165B"/>
    <w:rsid w:val="2A662182"/>
    <w:rsid w:val="2A8719D2"/>
    <w:rsid w:val="2A8810E4"/>
    <w:rsid w:val="2AB845D9"/>
    <w:rsid w:val="2B04334A"/>
    <w:rsid w:val="2B184F2D"/>
    <w:rsid w:val="2B293A52"/>
    <w:rsid w:val="2B317991"/>
    <w:rsid w:val="2B644ED3"/>
    <w:rsid w:val="2B7A5BD7"/>
    <w:rsid w:val="2B9220D0"/>
    <w:rsid w:val="2B9B4C92"/>
    <w:rsid w:val="2BA5556A"/>
    <w:rsid w:val="2BCC17CB"/>
    <w:rsid w:val="2BE60020"/>
    <w:rsid w:val="2BFA450A"/>
    <w:rsid w:val="2C237394"/>
    <w:rsid w:val="2C237D16"/>
    <w:rsid w:val="2C9431D6"/>
    <w:rsid w:val="2CBE5706"/>
    <w:rsid w:val="2D146F8E"/>
    <w:rsid w:val="2D1D4122"/>
    <w:rsid w:val="2D415E42"/>
    <w:rsid w:val="2D51793F"/>
    <w:rsid w:val="2D8C0B81"/>
    <w:rsid w:val="2DA11543"/>
    <w:rsid w:val="2DB92BDE"/>
    <w:rsid w:val="2E0071F1"/>
    <w:rsid w:val="2E283911"/>
    <w:rsid w:val="2E4248C1"/>
    <w:rsid w:val="2E69326E"/>
    <w:rsid w:val="2E6C7A58"/>
    <w:rsid w:val="2EBD0B2A"/>
    <w:rsid w:val="2ECE58D8"/>
    <w:rsid w:val="2EEC791F"/>
    <w:rsid w:val="2F104AE5"/>
    <w:rsid w:val="2F124C61"/>
    <w:rsid w:val="2F126BFA"/>
    <w:rsid w:val="2F6439A3"/>
    <w:rsid w:val="2F6E2C5B"/>
    <w:rsid w:val="2F7D6315"/>
    <w:rsid w:val="2F821415"/>
    <w:rsid w:val="2F886105"/>
    <w:rsid w:val="2FC13BB7"/>
    <w:rsid w:val="2FCD4C09"/>
    <w:rsid w:val="2FEB49FF"/>
    <w:rsid w:val="2FEE1B56"/>
    <w:rsid w:val="301A7CA0"/>
    <w:rsid w:val="303348B4"/>
    <w:rsid w:val="304A18FE"/>
    <w:rsid w:val="305A6CC4"/>
    <w:rsid w:val="3062775B"/>
    <w:rsid w:val="306E1D90"/>
    <w:rsid w:val="30911F35"/>
    <w:rsid w:val="30D67A58"/>
    <w:rsid w:val="30EC5DBD"/>
    <w:rsid w:val="30F304C2"/>
    <w:rsid w:val="31074BFE"/>
    <w:rsid w:val="311C10D7"/>
    <w:rsid w:val="31367793"/>
    <w:rsid w:val="31406C84"/>
    <w:rsid w:val="316D2EB7"/>
    <w:rsid w:val="31896F6A"/>
    <w:rsid w:val="31A35E21"/>
    <w:rsid w:val="31A80500"/>
    <w:rsid w:val="31C972B1"/>
    <w:rsid w:val="31E235D3"/>
    <w:rsid w:val="31F478E9"/>
    <w:rsid w:val="3210116B"/>
    <w:rsid w:val="32236D84"/>
    <w:rsid w:val="323908DF"/>
    <w:rsid w:val="32513EDC"/>
    <w:rsid w:val="32570AC6"/>
    <w:rsid w:val="3258488C"/>
    <w:rsid w:val="325C41AA"/>
    <w:rsid w:val="326F1B08"/>
    <w:rsid w:val="32723F14"/>
    <w:rsid w:val="32B25B2C"/>
    <w:rsid w:val="32BA7D95"/>
    <w:rsid w:val="32C959A4"/>
    <w:rsid w:val="32C97FDC"/>
    <w:rsid w:val="32CA7C4D"/>
    <w:rsid w:val="330115C2"/>
    <w:rsid w:val="331E4257"/>
    <w:rsid w:val="332E0487"/>
    <w:rsid w:val="335B30FF"/>
    <w:rsid w:val="338E71A5"/>
    <w:rsid w:val="3397037B"/>
    <w:rsid w:val="33A96C42"/>
    <w:rsid w:val="33B10C4D"/>
    <w:rsid w:val="33B27235"/>
    <w:rsid w:val="33B57CD6"/>
    <w:rsid w:val="33D01924"/>
    <w:rsid w:val="33D80BD0"/>
    <w:rsid w:val="33F02396"/>
    <w:rsid w:val="33F3596F"/>
    <w:rsid w:val="33F44DC6"/>
    <w:rsid w:val="340B47B5"/>
    <w:rsid w:val="341F665C"/>
    <w:rsid w:val="34312F30"/>
    <w:rsid w:val="34436B2D"/>
    <w:rsid w:val="346516EC"/>
    <w:rsid w:val="34661326"/>
    <w:rsid w:val="34767465"/>
    <w:rsid w:val="34773E9B"/>
    <w:rsid w:val="34795D5D"/>
    <w:rsid w:val="347E4653"/>
    <w:rsid w:val="349E2420"/>
    <w:rsid w:val="34A409EA"/>
    <w:rsid w:val="34D114FE"/>
    <w:rsid w:val="350C6DC6"/>
    <w:rsid w:val="35195B42"/>
    <w:rsid w:val="3528474B"/>
    <w:rsid w:val="353A7AEE"/>
    <w:rsid w:val="354B2967"/>
    <w:rsid w:val="35733457"/>
    <w:rsid w:val="35903503"/>
    <w:rsid w:val="35931336"/>
    <w:rsid w:val="35A57F7A"/>
    <w:rsid w:val="35B52861"/>
    <w:rsid w:val="35BE548F"/>
    <w:rsid w:val="35C9792B"/>
    <w:rsid w:val="35DD6145"/>
    <w:rsid w:val="35F136B9"/>
    <w:rsid w:val="35F51DEE"/>
    <w:rsid w:val="361969A5"/>
    <w:rsid w:val="364F3C36"/>
    <w:rsid w:val="36710F15"/>
    <w:rsid w:val="36764E30"/>
    <w:rsid w:val="368169B0"/>
    <w:rsid w:val="36895586"/>
    <w:rsid w:val="369167D9"/>
    <w:rsid w:val="36EE315B"/>
    <w:rsid w:val="37083B32"/>
    <w:rsid w:val="370D2FE1"/>
    <w:rsid w:val="3710508A"/>
    <w:rsid w:val="37137561"/>
    <w:rsid w:val="37170F30"/>
    <w:rsid w:val="3731465C"/>
    <w:rsid w:val="37501D7A"/>
    <w:rsid w:val="378C312F"/>
    <w:rsid w:val="37B073B9"/>
    <w:rsid w:val="37BB18F6"/>
    <w:rsid w:val="37CC37DB"/>
    <w:rsid w:val="37D36D87"/>
    <w:rsid w:val="37D72575"/>
    <w:rsid w:val="37EB7C40"/>
    <w:rsid w:val="380F2422"/>
    <w:rsid w:val="383F4EEA"/>
    <w:rsid w:val="385C1855"/>
    <w:rsid w:val="387C1255"/>
    <w:rsid w:val="38B04559"/>
    <w:rsid w:val="38BD54F1"/>
    <w:rsid w:val="38D728CB"/>
    <w:rsid w:val="38FA6BB4"/>
    <w:rsid w:val="38FF7C7A"/>
    <w:rsid w:val="39175A59"/>
    <w:rsid w:val="39187199"/>
    <w:rsid w:val="391C4BE2"/>
    <w:rsid w:val="392A0E82"/>
    <w:rsid w:val="392D4120"/>
    <w:rsid w:val="39671A73"/>
    <w:rsid w:val="39736669"/>
    <w:rsid w:val="397C1B04"/>
    <w:rsid w:val="399A78F9"/>
    <w:rsid w:val="39A14F85"/>
    <w:rsid w:val="39C161D0"/>
    <w:rsid w:val="3A067300"/>
    <w:rsid w:val="3A0E41C3"/>
    <w:rsid w:val="3A176189"/>
    <w:rsid w:val="3A1D7CF6"/>
    <w:rsid w:val="3A63129A"/>
    <w:rsid w:val="3A7E410A"/>
    <w:rsid w:val="3AD84799"/>
    <w:rsid w:val="3AF5017F"/>
    <w:rsid w:val="3AF73539"/>
    <w:rsid w:val="3B187C04"/>
    <w:rsid w:val="3B215EA0"/>
    <w:rsid w:val="3B7A3D52"/>
    <w:rsid w:val="3B80020A"/>
    <w:rsid w:val="3B850194"/>
    <w:rsid w:val="3B9C06C1"/>
    <w:rsid w:val="3BC35686"/>
    <w:rsid w:val="3BF05045"/>
    <w:rsid w:val="3BF13813"/>
    <w:rsid w:val="3BF92F19"/>
    <w:rsid w:val="3C025F4A"/>
    <w:rsid w:val="3C035BF0"/>
    <w:rsid w:val="3C237ED3"/>
    <w:rsid w:val="3C24446C"/>
    <w:rsid w:val="3C3D5B12"/>
    <w:rsid w:val="3C6031C4"/>
    <w:rsid w:val="3C88781A"/>
    <w:rsid w:val="3CA12326"/>
    <w:rsid w:val="3CB20043"/>
    <w:rsid w:val="3CD70CBD"/>
    <w:rsid w:val="3D366D54"/>
    <w:rsid w:val="3D65011F"/>
    <w:rsid w:val="3DBC1248"/>
    <w:rsid w:val="3DC72B5F"/>
    <w:rsid w:val="3DCF4B3C"/>
    <w:rsid w:val="3DFC27BE"/>
    <w:rsid w:val="3E20597F"/>
    <w:rsid w:val="3E572D08"/>
    <w:rsid w:val="3E592C0D"/>
    <w:rsid w:val="3E5A3F9F"/>
    <w:rsid w:val="3E7637CB"/>
    <w:rsid w:val="3E783194"/>
    <w:rsid w:val="3E8346A9"/>
    <w:rsid w:val="3EBD717E"/>
    <w:rsid w:val="3EE33949"/>
    <w:rsid w:val="3EE41D9C"/>
    <w:rsid w:val="3EEB2EF4"/>
    <w:rsid w:val="3F010F63"/>
    <w:rsid w:val="3F0538C0"/>
    <w:rsid w:val="3F1A404E"/>
    <w:rsid w:val="3F30708E"/>
    <w:rsid w:val="3F6F511E"/>
    <w:rsid w:val="3F7C3646"/>
    <w:rsid w:val="3F821AAD"/>
    <w:rsid w:val="3FB748D2"/>
    <w:rsid w:val="400B0FDF"/>
    <w:rsid w:val="40154B9D"/>
    <w:rsid w:val="4032497A"/>
    <w:rsid w:val="4044666A"/>
    <w:rsid w:val="404B4A8B"/>
    <w:rsid w:val="405D2353"/>
    <w:rsid w:val="406313A5"/>
    <w:rsid w:val="406902F7"/>
    <w:rsid w:val="40754A75"/>
    <w:rsid w:val="40A11D0E"/>
    <w:rsid w:val="40CF483A"/>
    <w:rsid w:val="40EF4827"/>
    <w:rsid w:val="413D156A"/>
    <w:rsid w:val="41475608"/>
    <w:rsid w:val="41582062"/>
    <w:rsid w:val="41664B3E"/>
    <w:rsid w:val="41886BB1"/>
    <w:rsid w:val="419F5BE0"/>
    <w:rsid w:val="41B7206A"/>
    <w:rsid w:val="41BE0661"/>
    <w:rsid w:val="41E41EB2"/>
    <w:rsid w:val="41F01C1C"/>
    <w:rsid w:val="42192F0E"/>
    <w:rsid w:val="423678D9"/>
    <w:rsid w:val="42414A95"/>
    <w:rsid w:val="425C661C"/>
    <w:rsid w:val="427B6EAC"/>
    <w:rsid w:val="429720F1"/>
    <w:rsid w:val="42A423FC"/>
    <w:rsid w:val="42B4708F"/>
    <w:rsid w:val="42D77C69"/>
    <w:rsid w:val="42DC79F3"/>
    <w:rsid w:val="43180379"/>
    <w:rsid w:val="43183A6B"/>
    <w:rsid w:val="43265BB0"/>
    <w:rsid w:val="43400D1F"/>
    <w:rsid w:val="434540EF"/>
    <w:rsid w:val="436151BF"/>
    <w:rsid w:val="43654E22"/>
    <w:rsid w:val="43695A29"/>
    <w:rsid w:val="436B40ED"/>
    <w:rsid w:val="438D3C08"/>
    <w:rsid w:val="4392593E"/>
    <w:rsid w:val="43B52AAF"/>
    <w:rsid w:val="43C11C62"/>
    <w:rsid w:val="43C8336E"/>
    <w:rsid w:val="43FA6480"/>
    <w:rsid w:val="4413082D"/>
    <w:rsid w:val="442C5971"/>
    <w:rsid w:val="443C30D3"/>
    <w:rsid w:val="44453898"/>
    <w:rsid w:val="4447022C"/>
    <w:rsid w:val="444D6DC4"/>
    <w:rsid w:val="4458601E"/>
    <w:rsid w:val="44A130E5"/>
    <w:rsid w:val="44AC2148"/>
    <w:rsid w:val="44BD3DB1"/>
    <w:rsid w:val="44BF379D"/>
    <w:rsid w:val="44C333F6"/>
    <w:rsid w:val="44CF20A7"/>
    <w:rsid w:val="44FC5B23"/>
    <w:rsid w:val="451F189C"/>
    <w:rsid w:val="45235E97"/>
    <w:rsid w:val="45277C55"/>
    <w:rsid w:val="45322A91"/>
    <w:rsid w:val="453F2812"/>
    <w:rsid w:val="455A0C85"/>
    <w:rsid w:val="45A33D28"/>
    <w:rsid w:val="45C9097F"/>
    <w:rsid w:val="45FA7080"/>
    <w:rsid w:val="46431EDC"/>
    <w:rsid w:val="46592AEE"/>
    <w:rsid w:val="46697469"/>
    <w:rsid w:val="466E7FD7"/>
    <w:rsid w:val="46864E66"/>
    <w:rsid w:val="468B77B0"/>
    <w:rsid w:val="4699271C"/>
    <w:rsid w:val="46A62917"/>
    <w:rsid w:val="46A84F32"/>
    <w:rsid w:val="46AC3B0E"/>
    <w:rsid w:val="46AD248C"/>
    <w:rsid w:val="46B05A1F"/>
    <w:rsid w:val="46B30A16"/>
    <w:rsid w:val="46BF22DD"/>
    <w:rsid w:val="46D22751"/>
    <w:rsid w:val="46EB494F"/>
    <w:rsid w:val="46F46CD2"/>
    <w:rsid w:val="473509F2"/>
    <w:rsid w:val="47857899"/>
    <w:rsid w:val="47A44169"/>
    <w:rsid w:val="47C41BC6"/>
    <w:rsid w:val="47CD5197"/>
    <w:rsid w:val="47F367DF"/>
    <w:rsid w:val="47FB2B51"/>
    <w:rsid w:val="47FE3D88"/>
    <w:rsid w:val="481C6658"/>
    <w:rsid w:val="48201648"/>
    <w:rsid w:val="486308AF"/>
    <w:rsid w:val="48684DC2"/>
    <w:rsid w:val="48792B68"/>
    <w:rsid w:val="48802209"/>
    <w:rsid w:val="488E4C19"/>
    <w:rsid w:val="48977D09"/>
    <w:rsid w:val="48AD0CF3"/>
    <w:rsid w:val="48B167B2"/>
    <w:rsid w:val="48B47D7F"/>
    <w:rsid w:val="48D51077"/>
    <w:rsid w:val="48FC0F81"/>
    <w:rsid w:val="491318AF"/>
    <w:rsid w:val="49213B85"/>
    <w:rsid w:val="492530AE"/>
    <w:rsid w:val="4958476A"/>
    <w:rsid w:val="495A2786"/>
    <w:rsid w:val="49624A71"/>
    <w:rsid w:val="496B0D1A"/>
    <w:rsid w:val="4970518C"/>
    <w:rsid w:val="497D498F"/>
    <w:rsid w:val="49C02F57"/>
    <w:rsid w:val="49C1463B"/>
    <w:rsid w:val="49F5633A"/>
    <w:rsid w:val="49F726BA"/>
    <w:rsid w:val="4A207FA8"/>
    <w:rsid w:val="4A251B2B"/>
    <w:rsid w:val="4A3C0FF4"/>
    <w:rsid w:val="4A404A2C"/>
    <w:rsid w:val="4A542181"/>
    <w:rsid w:val="4A670FC1"/>
    <w:rsid w:val="4A6A453D"/>
    <w:rsid w:val="4A80575A"/>
    <w:rsid w:val="4A877F3D"/>
    <w:rsid w:val="4A964267"/>
    <w:rsid w:val="4AA56A1B"/>
    <w:rsid w:val="4AA72F06"/>
    <w:rsid w:val="4AB94175"/>
    <w:rsid w:val="4AC25C75"/>
    <w:rsid w:val="4AC93BE1"/>
    <w:rsid w:val="4ACE234C"/>
    <w:rsid w:val="4AD64A5E"/>
    <w:rsid w:val="4AE055C0"/>
    <w:rsid w:val="4AEF0C90"/>
    <w:rsid w:val="4AF360F8"/>
    <w:rsid w:val="4AFD4332"/>
    <w:rsid w:val="4B095D99"/>
    <w:rsid w:val="4B126B45"/>
    <w:rsid w:val="4B1C1CAE"/>
    <w:rsid w:val="4B2D319D"/>
    <w:rsid w:val="4B3410A0"/>
    <w:rsid w:val="4B75685D"/>
    <w:rsid w:val="4BAC69C0"/>
    <w:rsid w:val="4BBA64DC"/>
    <w:rsid w:val="4BE5649E"/>
    <w:rsid w:val="4BF73ABB"/>
    <w:rsid w:val="4C152702"/>
    <w:rsid w:val="4C156D39"/>
    <w:rsid w:val="4C1F0E5E"/>
    <w:rsid w:val="4C2F4EFD"/>
    <w:rsid w:val="4C372848"/>
    <w:rsid w:val="4C4869B3"/>
    <w:rsid w:val="4C5941D4"/>
    <w:rsid w:val="4C63329F"/>
    <w:rsid w:val="4CB1317E"/>
    <w:rsid w:val="4CC36B68"/>
    <w:rsid w:val="4CCF196B"/>
    <w:rsid w:val="4CD3764B"/>
    <w:rsid w:val="4CEB65B0"/>
    <w:rsid w:val="4D06420E"/>
    <w:rsid w:val="4D1A6E10"/>
    <w:rsid w:val="4D2821A1"/>
    <w:rsid w:val="4D3A7FCF"/>
    <w:rsid w:val="4D416686"/>
    <w:rsid w:val="4D8F5013"/>
    <w:rsid w:val="4D9406A1"/>
    <w:rsid w:val="4DAE1288"/>
    <w:rsid w:val="4DDF77FE"/>
    <w:rsid w:val="4DED4682"/>
    <w:rsid w:val="4E096543"/>
    <w:rsid w:val="4E196BCF"/>
    <w:rsid w:val="4E393BDC"/>
    <w:rsid w:val="4E4677F9"/>
    <w:rsid w:val="4E634A86"/>
    <w:rsid w:val="4E73410D"/>
    <w:rsid w:val="4E8237BA"/>
    <w:rsid w:val="4E854A1D"/>
    <w:rsid w:val="4E9D5698"/>
    <w:rsid w:val="4EB419B0"/>
    <w:rsid w:val="4ECD3570"/>
    <w:rsid w:val="4EE15AB5"/>
    <w:rsid w:val="4EF13DAA"/>
    <w:rsid w:val="4EFB60F2"/>
    <w:rsid w:val="4F2212D8"/>
    <w:rsid w:val="4F6A758C"/>
    <w:rsid w:val="4F6C4DEB"/>
    <w:rsid w:val="4F6E2A45"/>
    <w:rsid w:val="4F7169E8"/>
    <w:rsid w:val="4FA656FD"/>
    <w:rsid w:val="4FC47E0C"/>
    <w:rsid w:val="4FD75473"/>
    <w:rsid w:val="50250628"/>
    <w:rsid w:val="50A41653"/>
    <w:rsid w:val="50A82C45"/>
    <w:rsid w:val="50B214FA"/>
    <w:rsid w:val="51060C07"/>
    <w:rsid w:val="511013F5"/>
    <w:rsid w:val="51247909"/>
    <w:rsid w:val="512C0E07"/>
    <w:rsid w:val="5160524C"/>
    <w:rsid w:val="51711F5D"/>
    <w:rsid w:val="518F4028"/>
    <w:rsid w:val="51933C1F"/>
    <w:rsid w:val="51B23518"/>
    <w:rsid w:val="51E83400"/>
    <w:rsid w:val="51E9169C"/>
    <w:rsid w:val="51FA4D68"/>
    <w:rsid w:val="524644C3"/>
    <w:rsid w:val="525F5585"/>
    <w:rsid w:val="527A6FAB"/>
    <w:rsid w:val="52912188"/>
    <w:rsid w:val="529201CD"/>
    <w:rsid w:val="529B5D2E"/>
    <w:rsid w:val="52A57AD1"/>
    <w:rsid w:val="52C15D02"/>
    <w:rsid w:val="52D6599B"/>
    <w:rsid w:val="52E91785"/>
    <w:rsid w:val="52F757BE"/>
    <w:rsid w:val="52F76A7C"/>
    <w:rsid w:val="53050A32"/>
    <w:rsid w:val="530D0E18"/>
    <w:rsid w:val="531867D2"/>
    <w:rsid w:val="53417B32"/>
    <w:rsid w:val="534F5208"/>
    <w:rsid w:val="53540D68"/>
    <w:rsid w:val="53784016"/>
    <w:rsid w:val="539258C0"/>
    <w:rsid w:val="53CA553A"/>
    <w:rsid w:val="53CA5C6F"/>
    <w:rsid w:val="53EE27D4"/>
    <w:rsid w:val="53FA4817"/>
    <w:rsid w:val="5418333D"/>
    <w:rsid w:val="54183810"/>
    <w:rsid w:val="5422191A"/>
    <w:rsid w:val="54430630"/>
    <w:rsid w:val="54A42A14"/>
    <w:rsid w:val="54B44640"/>
    <w:rsid w:val="54B7033E"/>
    <w:rsid w:val="54C948CC"/>
    <w:rsid w:val="55066D0E"/>
    <w:rsid w:val="550C2450"/>
    <w:rsid w:val="55190E61"/>
    <w:rsid w:val="55246D0D"/>
    <w:rsid w:val="555070E2"/>
    <w:rsid w:val="55563EB3"/>
    <w:rsid w:val="55713550"/>
    <w:rsid w:val="558D3920"/>
    <w:rsid w:val="55A158CA"/>
    <w:rsid w:val="55A51501"/>
    <w:rsid w:val="55D33CA3"/>
    <w:rsid w:val="55E06554"/>
    <w:rsid w:val="55E66029"/>
    <w:rsid w:val="55FC037D"/>
    <w:rsid w:val="563C2A6A"/>
    <w:rsid w:val="565B6EB9"/>
    <w:rsid w:val="567F0EB9"/>
    <w:rsid w:val="56961C67"/>
    <w:rsid w:val="56983EB7"/>
    <w:rsid w:val="569F2963"/>
    <w:rsid w:val="56A11FDA"/>
    <w:rsid w:val="56AB0D99"/>
    <w:rsid w:val="56AF7C16"/>
    <w:rsid w:val="56C478C1"/>
    <w:rsid w:val="56E023C1"/>
    <w:rsid w:val="570E6588"/>
    <w:rsid w:val="571375C3"/>
    <w:rsid w:val="571B479C"/>
    <w:rsid w:val="571C68B6"/>
    <w:rsid w:val="571F1E19"/>
    <w:rsid w:val="572D7A56"/>
    <w:rsid w:val="57360303"/>
    <w:rsid w:val="575B26B9"/>
    <w:rsid w:val="578735B4"/>
    <w:rsid w:val="5787490D"/>
    <w:rsid w:val="57931A3C"/>
    <w:rsid w:val="57991D21"/>
    <w:rsid w:val="57A57A93"/>
    <w:rsid w:val="57BF5437"/>
    <w:rsid w:val="57C41CA4"/>
    <w:rsid w:val="57C44B08"/>
    <w:rsid w:val="57CD0549"/>
    <w:rsid w:val="57CF3250"/>
    <w:rsid w:val="57D347E7"/>
    <w:rsid w:val="57D77378"/>
    <w:rsid w:val="57EB75F1"/>
    <w:rsid w:val="57F66214"/>
    <w:rsid w:val="57FD09DF"/>
    <w:rsid w:val="580E7831"/>
    <w:rsid w:val="58104EF2"/>
    <w:rsid w:val="582E4A26"/>
    <w:rsid w:val="5832495D"/>
    <w:rsid w:val="583F335F"/>
    <w:rsid w:val="589E28FE"/>
    <w:rsid w:val="58B73EDF"/>
    <w:rsid w:val="58CC096A"/>
    <w:rsid w:val="58DE6470"/>
    <w:rsid w:val="591002F5"/>
    <w:rsid w:val="59213623"/>
    <w:rsid w:val="592356A3"/>
    <w:rsid w:val="59366974"/>
    <w:rsid w:val="5960669D"/>
    <w:rsid w:val="59681507"/>
    <w:rsid w:val="59733F2E"/>
    <w:rsid w:val="597D22F9"/>
    <w:rsid w:val="59A610A7"/>
    <w:rsid w:val="59B0384A"/>
    <w:rsid w:val="59B60181"/>
    <w:rsid w:val="59C416A4"/>
    <w:rsid w:val="59C8075D"/>
    <w:rsid w:val="59EC5950"/>
    <w:rsid w:val="5A05584B"/>
    <w:rsid w:val="5A14433F"/>
    <w:rsid w:val="5A283243"/>
    <w:rsid w:val="5A546307"/>
    <w:rsid w:val="5A622BFF"/>
    <w:rsid w:val="5A812943"/>
    <w:rsid w:val="5A9F725C"/>
    <w:rsid w:val="5AA91A93"/>
    <w:rsid w:val="5B006772"/>
    <w:rsid w:val="5B247E49"/>
    <w:rsid w:val="5B5A50C0"/>
    <w:rsid w:val="5B6E4853"/>
    <w:rsid w:val="5B95255A"/>
    <w:rsid w:val="5BBC0AED"/>
    <w:rsid w:val="5BD448EE"/>
    <w:rsid w:val="5BF1724E"/>
    <w:rsid w:val="5C1B6FC1"/>
    <w:rsid w:val="5C413AE7"/>
    <w:rsid w:val="5C4E0A70"/>
    <w:rsid w:val="5C52013B"/>
    <w:rsid w:val="5C5C1C9E"/>
    <w:rsid w:val="5C5E00F3"/>
    <w:rsid w:val="5C796835"/>
    <w:rsid w:val="5C8707DB"/>
    <w:rsid w:val="5C8F4C30"/>
    <w:rsid w:val="5CC27173"/>
    <w:rsid w:val="5CF74D74"/>
    <w:rsid w:val="5CF7604D"/>
    <w:rsid w:val="5CFA60F2"/>
    <w:rsid w:val="5CFC7735"/>
    <w:rsid w:val="5D2F7311"/>
    <w:rsid w:val="5D301C6A"/>
    <w:rsid w:val="5D416BCA"/>
    <w:rsid w:val="5D435B52"/>
    <w:rsid w:val="5D4843F9"/>
    <w:rsid w:val="5D503D43"/>
    <w:rsid w:val="5D78428A"/>
    <w:rsid w:val="5D830654"/>
    <w:rsid w:val="5D906D45"/>
    <w:rsid w:val="5D9B37C9"/>
    <w:rsid w:val="5DD071A6"/>
    <w:rsid w:val="5DE77E61"/>
    <w:rsid w:val="5E053ECD"/>
    <w:rsid w:val="5E265C9E"/>
    <w:rsid w:val="5E3E24F3"/>
    <w:rsid w:val="5E6803BA"/>
    <w:rsid w:val="5E7B54F5"/>
    <w:rsid w:val="5E89042C"/>
    <w:rsid w:val="5EC24ED2"/>
    <w:rsid w:val="5ED36287"/>
    <w:rsid w:val="5EFE265B"/>
    <w:rsid w:val="5F053A9C"/>
    <w:rsid w:val="5F0A45FB"/>
    <w:rsid w:val="5F27159A"/>
    <w:rsid w:val="5F515685"/>
    <w:rsid w:val="5F9E46B3"/>
    <w:rsid w:val="5FAA2D59"/>
    <w:rsid w:val="5FCB50ED"/>
    <w:rsid w:val="5FE87569"/>
    <w:rsid w:val="60207356"/>
    <w:rsid w:val="60273CEE"/>
    <w:rsid w:val="60300161"/>
    <w:rsid w:val="60377F76"/>
    <w:rsid w:val="606C5EC2"/>
    <w:rsid w:val="60B40F9E"/>
    <w:rsid w:val="60BC1586"/>
    <w:rsid w:val="60C04D76"/>
    <w:rsid w:val="60E87A3D"/>
    <w:rsid w:val="60E9182C"/>
    <w:rsid w:val="60E947F6"/>
    <w:rsid w:val="60F13358"/>
    <w:rsid w:val="60F1626E"/>
    <w:rsid w:val="60FC79C9"/>
    <w:rsid w:val="61151034"/>
    <w:rsid w:val="61315B31"/>
    <w:rsid w:val="615157EB"/>
    <w:rsid w:val="617C0CF0"/>
    <w:rsid w:val="618E1BF9"/>
    <w:rsid w:val="61AF0ED0"/>
    <w:rsid w:val="61E02939"/>
    <w:rsid w:val="62133007"/>
    <w:rsid w:val="622535A4"/>
    <w:rsid w:val="62372395"/>
    <w:rsid w:val="624879B7"/>
    <w:rsid w:val="62540C53"/>
    <w:rsid w:val="625C66EF"/>
    <w:rsid w:val="62630A6C"/>
    <w:rsid w:val="626B1AB8"/>
    <w:rsid w:val="62714F3F"/>
    <w:rsid w:val="627761B9"/>
    <w:rsid w:val="62885C85"/>
    <w:rsid w:val="629628FD"/>
    <w:rsid w:val="62AC2100"/>
    <w:rsid w:val="62C84DA2"/>
    <w:rsid w:val="62D3676F"/>
    <w:rsid w:val="62E16EC0"/>
    <w:rsid w:val="631953C1"/>
    <w:rsid w:val="631E0968"/>
    <w:rsid w:val="633327F6"/>
    <w:rsid w:val="63476088"/>
    <w:rsid w:val="634E3035"/>
    <w:rsid w:val="6365011B"/>
    <w:rsid w:val="636737C0"/>
    <w:rsid w:val="636C699C"/>
    <w:rsid w:val="636E1E7F"/>
    <w:rsid w:val="63734BA4"/>
    <w:rsid w:val="639749B9"/>
    <w:rsid w:val="63AF3DDE"/>
    <w:rsid w:val="63B4039B"/>
    <w:rsid w:val="63DE6C2B"/>
    <w:rsid w:val="63E03861"/>
    <w:rsid w:val="640371D0"/>
    <w:rsid w:val="6418474F"/>
    <w:rsid w:val="64236413"/>
    <w:rsid w:val="64295F63"/>
    <w:rsid w:val="6446196A"/>
    <w:rsid w:val="644C2B4E"/>
    <w:rsid w:val="64577A52"/>
    <w:rsid w:val="64832C93"/>
    <w:rsid w:val="64910A0E"/>
    <w:rsid w:val="64C16E01"/>
    <w:rsid w:val="64FF649B"/>
    <w:rsid w:val="6503164D"/>
    <w:rsid w:val="65332E12"/>
    <w:rsid w:val="65567863"/>
    <w:rsid w:val="656603E9"/>
    <w:rsid w:val="656767D3"/>
    <w:rsid w:val="6580162D"/>
    <w:rsid w:val="659C4F94"/>
    <w:rsid w:val="659F2E8B"/>
    <w:rsid w:val="65A96541"/>
    <w:rsid w:val="65CA728C"/>
    <w:rsid w:val="66157FDD"/>
    <w:rsid w:val="662220CA"/>
    <w:rsid w:val="66495594"/>
    <w:rsid w:val="664E2A8E"/>
    <w:rsid w:val="669B73CB"/>
    <w:rsid w:val="66AA7673"/>
    <w:rsid w:val="66B718D7"/>
    <w:rsid w:val="66E159F1"/>
    <w:rsid w:val="66F3057E"/>
    <w:rsid w:val="66F571FE"/>
    <w:rsid w:val="670627D1"/>
    <w:rsid w:val="670E79C4"/>
    <w:rsid w:val="67226A1F"/>
    <w:rsid w:val="675836B8"/>
    <w:rsid w:val="67811BA8"/>
    <w:rsid w:val="679B3E52"/>
    <w:rsid w:val="67BE1C68"/>
    <w:rsid w:val="67D2709E"/>
    <w:rsid w:val="67D95DBA"/>
    <w:rsid w:val="67FB19DC"/>
    <w:rsid w:val="680B6ACA"/>
    <w:rsid w:val="680C3CE0"/>
    <w:rsid w:val="680E36B0"/>
    <w:rsid w:val="682D7585"/>
    <w:rsid w:val="683D1B58"/>
    <w:rsid w:val="68403003"/>
    <w:rsid w:val="684E0CDB"/>
    <w:rsid w:val="684F214A"/>
    <w:rsid w:val="68784AF7"/>
    <w:rsid w:val="6889114E"/>
    <w:rsid w:val="68E951A3"/>
    <w:rsid w:val="68ED77D0"/>
    <w:rsid w:val="68F01D83"/>
    <w:rsid w:val="68F12AE9"/>
    <w:rsid w:val="68F24489"/>
    <w:rsid w:val="69450271"/>
    <w:rsid w:val="695E2516"/>
    <w:rsid w:val="69643755"/>
    <w:rsid w:val="696848C8"/>
    <w:rsid w:val="696A0811"/>
    <w:rsid w:val="6971122C"/>
    <w:rsid w:val="697121F8"/>
    <w:rsid w:val="698439B6"/>
    <w:rsid w:val="69A2055F"/>
    <w:rsid w:val="69A9560C"/>
    <w:rsid w:val="69C371A3"/>
    <w:rsid w:val="69D739F6"/>
    <w:rsid w:val="69DB131F"/>
    <w:rsid w:val="69E564FE"/>
    <w:rsid w:val="69FD1936"/>
    <w:rsid w:val="69FE5356"/>
    <w:rsid w:val="6A0F7F4D"/>
    <w:rsid w:val="6A551F65"/>
    <w:rsid w:val="6A6A7995"/>
    <w:rsid w:val="6A6F4E5E"/>
    <w:rsid w:val="6A7E66D4"/>
    <w:rsid w:val="6A8D3AB8"/>
    <w:rsid w:val="6A923C82"/>
    <w:rsid w:val="6AB41BF2"/>
    <w:rsid w:val="6AB7106F"/>
    <w:rsid w:val="6AB75B07"/>
    <w:rsid w:val="6AE01E1B"/>
    <w:rsid w:val="6AEE4391"/>
    <w:rsid w:val="6B055133"/>
    <w:rsid w:val="6B0C477D"/>
    <w:rsid w:val="6B120133"/>
    <w:rsid w:val="6B1F4E70"/>
    <w:rsid w:val="6B437417"/>
    <w:rsid w:val="6B4C26F3"/>
    <w:rsid w:val="6B5415A7"/>
    <w:rsid w:val="6B56051F"/>
    <w:rsid w:val="6B5A4B29"/>
    <w:rsid w:val="6B6E5715"/>
    <w:rsid w:val="6B9464F2"/>
    <w:rsid w:val="6B964304"/>
    <w:rsid w:val="6B9A559B"/>
    <w:rsid w:val="6BC8755E"/>
    <w:rsid w:val="6BD95585"/>
    <w:rsid w:val="6C024E40"/>
    <w:rsid w:val="6C1219A5"/>
    <w:rsid w:val="6C16685D"/>
    <w:rsid w:val="6C1833F5"/>
    <w:rsid w:val="6C367551"/>
    <w:rsid w:val="6C7761FD"/>
    <w:rsid w:val="6C99462E"/>
    <w:rsid w:val="6C9D31EB"/>
    <w:rsid w:val="6CA65170"/>
    <w:rsid w:val="6CA81BAB"/>
    <w:rsid w:val="6CAC72F7"/>
    <w:rsid w:val="6CAF692E"/>
    <w:rsid w:val="6CDE6D07"/>
    <w:rsid w:val="6CE46C32"/>
    <w:rsid w:val="6D0738EF"/>
    <w:rsid w:val="6D11346F"/>
    <w:rsid w:val="6D662BCB"/>
    <w:rsid w:val="6D677D53"/>
    <w:rsid w:val="6D766CCB"/>
    <w:rsid w:val="6D9810F4"/>
    <w:rsid w:val="6DB17D4F"/>
    <w:rsid w:val="6DD96AC9"/>
    <w:rsid w:val="6DED7C59"/>
    <w:rsid w:val="6E203F9C"/>
    <w:rsid w:val="6E49392B"/>
    <w:rsid w:val="6E7A7F94"/>
    <w:rsid w:val="6E8410EE"/>
    <w:rsid w:val="6E876BAA"/>
    <w:rsid w:val="6EAC168D"/>
    <w:rsid w:val="6EAF2BF0"/>
    <w:rsid w:val="6EB6525B"/>
    <w:rsid w:val="6EC93996"/>
    <w:rsid w:val="6ED23E59"/>
    <w:rsid w:val="6EE33994"/>
    <w:rsid w:val="6F1355CA"/>
    <w:rsid w:val="6F1362A1"/>
    <w:rsid w:val="6F784CDB"/>
    <w:rsid w:val="6FA12783"/>
    <w:rsid w:val="6FA903EB"/>
    <w:rsid w:val="6FC52A74"/>
    <w:rsid w:val="6FCE61FB"/>
    <w:rsid w:val="6FDA160C"/>
    <w:rsid w:val="6FF42DF8"/>
    <w:rsid w:val="70194B12"/>
    <w:rsid w:val="702E50FA"/>
    <w:rsid w:val="70455722"/>
    <w:rsid w:val="70634B54"/>
    <w:rsid w:val="70730623"/>
    <w:rsid w:val="70A432AA"/>
    <w:rsid w:val="70AB4A08"/>
    <w:rsid w:val="70CE48CB"/>
    <w:rsid w:val="70D014B8"/>
    <w:rsid w:val="70D015AF"/>
    <w:rsid w:val="70D939A2"/>
    <w:rsid w:val="70DB0358"/>
    <w:rsid w:val="70E92792"/>
    <w:rsid w:val="70F24477"/>
    <w:rsid w:val="70FC7D85"/>
    <w:rsid w:val="711A6C1F"/>
    <w:rsid w:val="71573413"/>
    <w:rsid w:val="718C6348"/>
    <w:rsid w:val="719036D3"/>
    <w:rsid w:val="7196718A"/>
    <w:rsid w:val="71A016C0"/>
    <w:rsid w:val="71AC14EA"/>
    <w:rsid w:val="71F41218"/>
    <w:rsid w:val="720E669D"/>
    <w:rsid w:val="727366E6"/>
    <w:rsid w:val="72793441"/>
    <w:rsid w:val="728A2B98"/>
    <w:rsid w:val="728A5A2B"/>
    <w:rsid w:val="72A57C1E"/>
    <w:rsid w:val="72A76461"/>
    <w:rsid w:val="72B86869"/>
    <w:rsid w:val="72C9440B"/>
    <w:rsid w:val="72E15F67"/>
    <w:rsid w:val="72EE7D96"/>
    <w:rsid w:val="7311260C"/>
    <w:rsid w:val="73277407"/>
    <w:rsid w:val="732F283C"/>
    <w:rsid w:val="735A4A4D"/>
    <w:rsid w:val="73796563"/>
    <w:rsid w:val="73AE00C0"/>
    <w:rsid w:val="73C81C8A"/>
    <w:rsid w:val="73C95900"/>
    <w:rsid w:val="73D301C7"/>
    <w:rsid w:val="73E756EF"/>
    <w:rsid w:val="73F212EA"/>
    <w:rsid w:val="73FF41C7"/>
    <w:rsid w:val="740372BA"/>
    <w:rsid w:val="742208AB"/>
    <w:rsid w:val="743E1534"/>
    <w:rsid w:val="74464594"/>
    <w:rsid w:val="745E1DE0"/>
    <w:rsid w:val="7476022A"/>
    <w:rsid w:val="75012739"/>
    <w:rsid w:val="758E7DA7"/>
    <w:rsid w:val="759A0ED9"/>
    <w:rsid w:val="759D621E"/>
    <w:rsid w:val="75A016E2"/>
    <w:rsid w:val="75BC22EF"/>
    <w:rsid w:val="75BE0EEF"/>
    <w:rsid w:val="75C11301"/>
    <w:rsid w:val="75C8312A"/>
    <w:rsid w:val="75CD23E3"/>
    <w:rsid w:val="762C039A"/>
    <w:rsid w:val="76310BBF"/>
    <w:rsid w:val="763976B0"/>
    <w:rsid w:val="76522B87"/>
    <w:rsid w:val="76AA059B"/>
    <w:rsid w:val="76B57CF3"/>
    <w:rsid w:val="76D554CF"/>
    <w:rsid w:val="76F72A5B"/>
    <w:rsid w:val="76F733EB"/>
    <w:rsid w:val="774265BC"/>
    <w:rsid w:val="77543A35"/>
    <w:rsid w:val="776442A9"/>
    <w:rsid w:val="7769350A"/>
    <w:rsid w:val="776D77DA"/>
    <w:rsid w:val="777B0DEF"/>
    <w:rsid w:val="77922D9E"/>
    <w:rsid w:val="77984CC5"/>
    <w:rsid w:val="77A74279"/>
    <w:rsid w:val="77BB75AD"/>
    <w:rsid w:val="77C110E7"/>
    <w:rsid w:val="77D60337"/>
    <w:rsid w:val="77D922C1"/>
    <w:rsid w:val="7805056B"/>
    <w:rsid w:val="782869C8"/>
    <w:rsid w:val="78546B92"/>
    <w:rsid w:val="78645E13"/>
    <w:rsid w:val="787456FE"/>
    <w:rsid w:val="78784A78"/>
    <w:rsid w:val="78880C3D"/>
    <w:rsid w:val="78887BB1"/>
    <w:rsid w:val="78A024C0"/>
    <w:rsid w:val="78AA44FB"/>
    <w:rsid w:val="78AC7721"/>
    <w:rsid w:val="78BD484E"/>
    <w:rsid w:val="78CA2A0B"/>
    <w:rsid w:val="78CD3B44"/>
    <w:rsid w:val="78D36933"/>
    <w:rsid w:val="790A3A91"/>
    <w:rsid w:val="790C2C38"/>
    <w:rsid w:val="793448F4"/>
    <w:rsid w:val="7943138F"/>
    <w:rsid w:val="7970563B"/>
    <w:rsid w:val="79717F62"/>
    <w:rsid w:val="798058E3"/>
    <w:rsid w:val="79AE385E"/>
    <w:rsid w:val="79C17D27"/>
    <w:rsid w:val="79C92109"/>
    <w:rsid w:val="79EE4229"/>
    <w:rsid w:val="79F67833"/>
    <w:rsid w:val="7A176E16"/>
    <w:rsid w:val="7A26753D"/>
    <w:rsid w:val="7A412285"/>
    <w:rsid w:val="7A792814"/>
    <w:rsid w:val="7A822D05"/>
    <w:rsid w:val="7A9711E2"/>
    <w:rsid w:val="7AD524B0"/>
    <w:rsid w:val="7ADA0EC1"/>
    <w:rsid w:val="7B1762D1"/>
    <w:rsid w:val="7B601165"/>
    <w:rsid w:val="7B607236"/>
    <w:rsid w:val="7B777DE7"/>
    <w:rsid w:val="7BAB022A"/>
    <w:rsid w:val="7BC46112"/>
    <w:rsid w:val="7BF41C4C"/>
    <w:rsid w:val="7C440165"/>
    <w:rsid w:val="7C854352"/>
    <w:rsid w:val="7C975798"/>
    <w:rsid w:val="7CD73DE6"/>
    <w:rsid w:val="7CD75AB7"/>
    <w:rsid w:val="7CE62D26"/>
    <w:rsid w:val="7CFB685F"/>
    <w:rsid w:val="7D0B32E2"/>
    <w:rsid w:val="7D23457F"/>
    <w:rsid w:val="7D8141EA"/>
    <w:rsid w:val="7D97797F"/>
    <w:rsid w:val="7D9C1BC8"/>
    <w:rsid w:val="7DA5701B"/>
    <w:rsid w:val="7DD16CFD"/>
    <w:rsid w:val="7DD20647"/>
    <w:rsid w:val="7DD26138"/>
    <w:rsid w:val="7DF63D4E"/>
    <w:rsid w:val="7E1577C2"/>
    <w:rsid w:val="7E313F01"/>
    <w:rsid w:val="7E350094"/>
    <w:rsid w:val="7E4365D3"/>
    <w:rsid w:val="7E5411B6"/>
    <w:rsid w:val="7E5D715F"/>
    <w:rsid w:val="7E5F200C"/>
    <w:rsid w:val="7E684E0B"/>
    <w:rsid w:val="7E7F715F"/>
    <w:rsid w:val="7E843F12"/>
    <w:rsid w:val="7F0A2251"/>
    <w:rsid w:val="7F0D6F25"/>
    <w:rsid w:val="7F125A41"/>
    <w:rsid w:val="7F1E08AF"/>
    <w:rsid w:val="7F3240D1"/>
    <w:rsid w:val="7F573143"/>
    <w:rsid w:val="7F606963"/>
    <w:rsid w:val="7F722E10"/>
    <w:rsid w:val="7F782629"/>
    <w:rsid w:val="7F800FD7"/>
    <w:rsid w:val="7F9A1827"/>
    <w:rsid w:val="7FD5285F"/>
    <w:rsid w:val="7FDA57E9"/>
    <w:rsid w:val="7FFC5C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宋体" w:hAnsi="Times New Roman" w:eastAsia="宋体" w:cs="Times New Roman"/>
      <w:sz w:val="34"/>
      <w:lang w:val="en-US" w:eastAsia="zh-CN" w:bidi="ar-SA"/>
    </w:rPr>
  </w:style>
  <w:style w:type="paragraph" w:styleId="5">
    <w:name w:val="heading 1"/>
    <w:basedOn w:val="1"/>
    <w:next w:val="1"/>
    <w:qFormat/>
    <w:uiPriority w:val="0"/>
    <w:pPr>
      <w:keepNext/>
      <w:outlineLvl w:val="0"/>
    </w:pPr>
    <w:rPr>
      <w:rFonts w:ascii="Times New Roman"/>
      <w:b/>
      <w:bCs/>
      <w:color w:val="000000"/>
      <w:sz w:val="24"/>
    </w:rPr>
  </w:style>
  <w:style w:type="paragraph" w:styleId="6">
    <w:name w:val="heading 2"/>
    <w:basedOn w:val="1"/>
    <w:next w:val="1"/>
    <w:link w:val="70"/>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link w:val="57"/>
    <w:qFormat/>
    <w:uiPriority w:val="0"/>
    <w:pPr>
      <w:keepNext/>
      <w:keepLines/>
      <w:autoSpaceDE/>
      <w:autoSpaceDN/>
      <w:spacing w:before="260" w:after="260" w:line="416" w:lineRule="atLeast"/>
      <w:jc w:val="both"/>
      <w:outlineLvl w:val="2"/>
    </w:pPr>
    <w:rPr>
      <w:rFonts w:ascii="Times New Roman"/>
      <w:b/>
      <w:sz w:val="32"/>
    </w:rPr>
  </w:style>
  <w:style w:type="paragraph" w:styleId="8">
    <w:name w:val="heading 4"/>
    <w:basedOn w:val="1"/>
    <w:next w:val="9"/>
    <w:qFormat/>
    <w:uiPriority w:val="0"/>
    <w:pPr>
      <w:keepNext/>
      <w:keepLines/>
      <w:autoSpaceDE/>
      <w:autoSpaceDN/>
      <w:adjustRightInd/>
      <w:spacing w:before="280" w:after="290" w:line="376" w:lineRule="auto"/>
      <w:jc w:val="both"/>
      <w:outlineLvl w:val="3"/>
    </w:pPr>
    <w:rPr>
      <w:rFonts w:ascii="Arial" w:hAnsi="Arial" w:eastAsia="黑体"/>
      <w:b/>
      <w:kern w:val="2"/>
      <w:sz w:val="28"/>
    </w:rPr>
  </w:style>
  <w:style w:type="paragraph" w:styleId="10">
    <w:name w:val="heading 5"/>
    <w:basedOn w:val="1"/>
    <w:next w:val="9"/>
    <w:qFormat/>
    <w:uiPriority w:val="0"/>
    <w:pPr>
      <w:keepNext/>
      <w:keepLines/>
      <w:autoSpaceDE/>
      <w:autoSpaceDN/>
      <w:adjustRightInd/>
      <w:spacing w:before="280" w:after="290" w:line="376" w:lineRule="auto"/>
      <w:jc w:val="both"/>
      <w:outlineLvl w:val="4"/>
    </w:pPr>
    <w:rPr>
      <w:rFonts w:ascii="Times New Roman"/>
      <w:b/>
      <w:kern w:val="2"/>
      <w:sz w:val="28"/>
    </w:rPr>
  </w:style>
  <w:style w:type="paragraph" w:styleId="11">
    <w:name w:val="heading 6"/>
    <w:basedOn w:val="1"/>
    <w:next w:val="9"/>
    <w:qFormat/>
    <w:uiPriority w:val="0"/>
    <w:pPr>
      <w:keepNext/>
      <w:keepLines/>
      <w:autoSpaceDE/>
      <w:autoSpaceDN/>
      <w:adjustRightInd/>
      <w:spacing w:before="240" w:after="64" w:line="320" w:lineRule="auto"/>
      <w:jc w:val="both"/>
      <w:outlineLvl w:val="5"/>
    </w:pPr>
    <w:rPr>
      <w:rFonts w:ascii="Arial" w:hAnsi="Arial" w:eastAsia="黑体"/>
      <w:b/>
      <w:kern w:val="2"/>
      <w:sz w:val="24"/>
    </w:rPr>
  </w:style>
  <w:style w:type="paragraph" w:styleId="12">
    <w:name w:val="heading 7"/>
    <w:basedOn w:val="1"/>
    <w:next w:val="9"/>
    <w:qFormat/>
    <w:uiPriority w:val="0"/>
    <w:pPr>
      <w:keepNext/>
      <w:keepLines/>
      <w:autoSpaceDE/>
      <w:autoSpaceDN/>
      <w:adjustRightInd/>
      <w:spacing w:before="240" w:after="64" w:line="320" w:lineRule="auto"/>
      <w:jc w:val="both"/>
      <w:outlineLvl w:val="6"/>
    </w:pPr>
    <w:rPr>
      <w:rFonts w:ascii="Times New Roman"/>
      <w:b/>
      <w:kern w:val="2"/>
      <w:sz w:val="24"/>
    </w:rPr>
  </w:style>
  <w:style w:type="paragraph" w:styleId="13">
    <w:name w:val="heading 8"/>
    <w:basedOn w:val="1"/>
    <w:next w:val="9"/>
    <w:qFormat/>
    <w:uiPriority w:val="0"/>
    <w:pPr>
      <w:keepNext/>
      <w:keepLines/>
      <w:autoSpaceDE/>
      <w:autoSpaceDN/>
      <w:adjustRightInd/>
      <w:spacing w:before="240" w:after="64" w:line="320" w:lineRule="auto"/>
      <w:jc w:val="both"/>
      <w:outlineLvl w:val="7"/>
    </w:pPr>
    <w:rPr>
      <w:rFonts w:ascii="Arial" w:hAnsi="Arial" w:eastAsia="黑体"/>
      <w:kern w:val="2"/>
      <w:sz w:val="24"/>
    </w:rPr>
  </w:style>
  <w:style w:type="paragraph" w:styleId="14">
    <w:name w:val="heading 9"/>
    <w:basedOn w:val="1"/>
    <w:next w:val="9"/>
    <w:qFormat/>
    <w:uiPriority w:val="0"/>
    <w:pPr>
      <w:keepNext/>
      <w:keepLines/>
      <w:autoSpaceDE/>
      <w:autoSpaceDN/>
      <w:adjustRightInd/>
      <w:spacing w:before="240" w:after="64" w:line="320" w:lineRule="auto"/>
      <w:jc w:val="both"/>
      <w:outlineLvl w:val="8"/>
    </w:pPr>
    <w:rPr>
      <w:rFonts w:ascii="Arial" w:hAnsi="Arial" w:eastAsia="黑体"/>
      <w:kern w:val="2"/>
      <w:sz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spacing w:after="120"/>
      <w:ind w:left="420" w:leftChars="200" w:firstLine="420"/>
    </w:pPr>
  </w:style>
  <w:style w:type="paragraph" w:styleId="3">
    <w:name w:val="Body Text Indent"/>
    <w:basedOn w:val="1"/>
    <w:next w:val="1"/>
    <w:qFormat/>
    <w:uiPriority w:val="0"/>
    <w:pPr>
      <w:adjustRightInd/>
      <w:ind w:firstLine="900"/>
      <w:jc w:val="both"/>
    </w:pPr>
    <w:rPr>
      <w:rFonts w:ascii="Times New Roman"/>
      <w:kern w:val="2"/>
      <w:sz w:val="28"/>
    </w:rPr>
  </w:style>
  <w:style w:type="paragraph" w:customStyle="1" w:styleId="4">
    <w:name w:val="xl53"/>
    <w:basedOn w:val="1"/>
    <w:next w:val="1"/>
    <w:qFormat/>
    <w:uiPriority w:val="0"/>
    <w:pPr>
      <w:spacing w:before="280" w:after="280" w:line="100" w:lineRule="exact"/>
      <w:jc w:val="center"/>
    </w:pPr>
    <w:rPr>
      <w:b/>
      <w:sz w:val="20"/>
    </w:rPr>
  </w:style>
  <w:style w:type="paragraph" w:styleId="9">
    <w:name w:val="Normal Indent"/>
    <w:basedOn w:val="1"/>
    <w:next w:val="3"/>
    <w:qFormat/>
    <w:uiPriority w:val="0"/>
    <w:pPr>
      <w:autoSpaceDE/>
      <w:autoSpaceDN/>
      <w:adjustRightInd/>
      <w:ind w:firstLine="420"/>
      <w:jc w:val="both"/>
    </w:pPr>
    <w:rPr>
      <w:rFonts w:ascii="Times New Roman"/>
      <w:kern w:val="2"/>
      <w:sz w:val="21"/>
    </w:rPr>
  </w:style>
  <w:style w:type="paragraph" w:styleId="15">
    <w:name w:val="toc 7"/>
    <w:basedOn w:val="1"/>
    <w:next w:val="1"/>
    <w:qFormat/>
    <w:uiPriority w:val="0"/>
    <w:pPr>
      <w:ind w:left="2040"/>
    </w:pPr>
    <w:rPr>
      <w:rFonts w:ascii="Times New Roman"/>
      <w:sz w:val="18"/>
      <w:szCs w:val="18"/>
    </w:rPr>
  </w:style>
  <w:style w:type="paragraph" w:styleId="16">
    <w:name w:val="table of authorities"/>
    <w:basedOn w:val="1"/>
    <w:next w:val="1"/>
    <w:unhideWhenUsed/>
    <w:qFormat/>
    <w:uiPriority w:val="99"/>
    <w:pPr>
      <w:ind w:left="420" w:leftChars="200"/>
    </w:pPr>
  </w:style>
  <w:style w:type="paragraph" w:styleId="17">
    <w:name w:val="List Number"/>
    <w:basedOn w:val="1"/>
    <w:qFormat/>
    <w:uiPriority w:val="0"/>
    <w:pPr>
      <w:widowControl/>
      <w:tabs>
        <w:tab w:val="left" w:pos="454"/>
        <w:tab w:val="left" w:pos="720"/>
        <w:tab w:val="left" w:pos="927"/>
      </w:tabs>
      <w:autoSpaceDE/>
      <w:autoSpaceDN/>
      <w:adjustRightInd/>
      <w:spacing w:afterLines="50"/>
      <w:ind w:left="454" w:hanging="284"/>
    </w:pPr>
    <w:rPr>
      <w:rFonts w:ascii="Times New Roman"/>
      <w:sz w:val="24"/>
    </w:rPr>
  </w:style>
  <w:style w:type="paragraph" w:styleId="18">
    <w:name w:val="caption"/>
    <w:basedOn w:val="1"/>
    <w:next w:val="1"/>
    <w:qFormat/>
    <w:uiPriority w:val="0"/>
    <w:pPr>
      <w:spacing w:before="152" w:after="160"/>
    </w:pPr>
    <w:rPr>
      <w:rFonts w:ascii="Arial" w:hAnsi="Arial" w:eastAsia="黑体"/>
    </w:rPr>
  </w:style>
  <w:style w:type="paragraph" w:styleId="19">
    <w:name w:val="Document Map"/>
    <w:basedOn w:val="1"/>
    <w:qFormat/>
    <w:uiPriority w:val="0"/>
    <w:pPr>
      <w:shd w:val="clear" w:color="auto" w:fill="000080"/>
    </w:pPr>
    <w:rPr>
      <w:rFonts w:ascii="Times New Roman"/>
    </w:rPr>
  </w:style>
  <w:style w:type="paragraph" w:styleId="20">
    <w:name w:val="annotation text"/>
    <w:basedOn w:val="1"/>
    <w:link w:val="64"/>
    <w:qFormat/>
    <w:uiPriority w:val="0"/>
  </w:style>
  <w:style w:type="paragraph" w:styleId="21">
    <w:name w:val="Body Text 3"/>
    <w:basedOn w:val="1"/>
    <w:qFormat/>
    <w:uiPriority w:val="0"/>
    <w:pPr>
      <w:spacing w:line="640" w:lineRule="atLeast"/>
    </w:pPr>
    <w:rPr>
      <w:rFonts w:ascii="Times New Roman"/>
      <w:color w:val="000000"/>
      <w:sz w:val="28"/>
    </w:rPr>
  </w:style>
  <w:style w:type="paragraph" w:styleId="22">
    <w:name w:val="Body Text"/>
    <w:basedOn w:val="1"/>
    <w:next w:val="23"/>
    <w:qFormat/>
    <w:uiPriority w:val="0"/>
    <w:rPr>
      <w:rFonts w:ascii="Times New Roman"/>
      <w:sz w:val="28"/>
    </w:rPr>
  </w:style>
  <w:style w:type="paragraph" w:styleId="23">
    <w:name w:val="Body Text First Indent"/>
    <w:basedOn w:val="22"/>
    <w:next w:val="1"/>
    <w:qFormat/>
    <w:uiPriority w:val="0"/>
    <w:pPr>
      <w:ind w:firstLine="420" w:firstLineChars="100"/>
    </w:pPr>
  </w:style>
  <w:style w:type="paragraph" w:styleId="24">
    <w:name w:val="List 2"/>
    <w:basedOn w:val="1"/>
    <w:qFormat/>
    <w:uiPriority w:val="0"/>
    <w:pPr>
      <w:ind w:left="100" w:leftChars="200" w:hanging="200" w:hangingChars="200"/>
    </w:pPr>
    <w:rPr>
      <w:rFonts w:ascii="Times New Roman"/>
    </w:rPr>
  </w:style>
  <w:style w:type="paragraph" w:styleId="25">
    <w:name w:val="Block Text"/>
    <w:basedOn w:val="1"/>
    <w:unhideWhenUsed/>
    <w:qFormat/>
    <w:uiPriority w:val="99"/>
    <w:pPr>
      <w:spacing w:line="300" w:lineRule="auto"/>
      <w:ind w:left="958" w:right="-120" w:rightChars="-120"/>
    </w:pPr>
    <w:rPr>
      <w:rFonts w:hAnsi="宋体"/>
      <w:sz w:val="28"/>
    </w:rPr>
  </w:style>
  <w:style w:type="paragraph" w:styleId="26">
    <w:name w:val="toc 5"/>
    <w:basedOn w:val="1"/>
    <w:next w:val="1"/>
    <w:qFormat/>
    <w:uiPriority w:val="0"/>
    <w:pPr>
      <w:ind w:left="1360"/>
    </w:pPr>
    <w:rPr>
      <w:rFonts w:ascii="Times New Roman"/>
      <w:sz w:val="18"/>
      <w:szCs w:val="18"/>
    </w:rPr>
  </w:style>
  <w:style w:type="paragraph" w:styleId="27">
    <w:name w:val="toc 3"/>
    <w:basedOn w:val="1"/>
    <w:next w:val="1"/>
    <w:qFormat/>
    <w:uiPriority w:val="0"/>
    <w:pPr>
      <w:ind w:left="680"/>
    </w:pPr>
    <w:rPr>
      <w:rFonts w:ascii="Times New Roman"/>
      <w:i/>
      <w:iCs/>
      <w:sz w:val="20"/>
    </w:rPr>
  </w:style>
  <w:style w:type="paragraph" w:styleId="28">
    <w:name w:val="Plain Text"/>
    <w:basedOn w:val="1"/>
    <w:next w:val="29"/>
    <w:link w:val="107"/>
    <w:qFormat/>
    <w:uiPriority w:val="0"/>
    <w:rPr>
      <w:rFonts w:ascii="Times New Roman" w:hAnsi="Courier New" w:cs="Courier New"/>
      <w:szCs w:val="21"/>
    </w:rPr>
  </w:style>
  <w:style w:type="paragraph" w:styleId="29">
    <w:name w:val="toc 2"/>
    <w:basedOn w:val="1"/>
    <w:next w:val="1"/>
    <w:qFormat/>
    <w:uiPriority w:val="0"/>
    <w:pPr>
      <w:tabs>
        <w:tab w:val="right" w:leader="dot" w:pos="9440"/>
      </w:tabs>
      <w:spacing w:line="380" w:lineRule="atLeast"/>
      <w:ind w:right="-133" w:rightChars="-39"/>
      <w:jc w:val="both"/>
    </w:pPr>
    <w:rPr>
      <w:rFonts w:ascii="Times New Roman"/>
      <w:smallCaps/>
      <w:color w:val="000000"/>
      <w:sz w:val="21"/>
      <w:szCs w:val="21"/>
    </w:rPr>
  </w:style>
  <w:style w:type="paragraph" w:styleId="30">
    <w:name w:val="toc 8"/>
    <w:basedOn w:val="1"/>
    <w:next w:val="1"/>
    <w:qFormat/>
    <w:uiPriority w:val="0"/>
    <w:pPr>
      <w:ind w:left="2380"/>
    </w:pPr>
    <w:rPr>
      <w:rFonts w:ascii="Times New Roman"/>
      <w:sz w:val="18"/>
      <w:szCs w:val="18"/>
    </w:rPr>
  </w:style>
  <w:style w:type="paragraph" w:styleId="31">
    <w:name w:val="Date"/>
    <w:basedOn w:val="1"/>
    <w:next w:val="1"/>
    <w:qFormat/>
    <w:uiPriority w:val="0"/>
    <w:pPr>
      <w:jc w:val="both"/>
    </w:pPr>
    <w:rPr>
      <w:rFonts w:ascii="Times New Roman"/>
      <w:sz w:val="28"/>
    </w:rPr>
  </w:style>
  <w:style w:type="paragraph" w:styleId="32">
    <w:name w:val="Body Text Indent 2"/>
    <w:basedOn w:val="1"/>
    <w:qFormat/>
    <w:uiPriority w:val="0"/>
    <w:pPr>
      <w:autoSpaceDE/>
      <w:autoSpaceDN/>
      <w:adjustRightInd/>
      <w:spacing w:line="360" w:lineRule="auto"/>
      <w:ind w:firstLine="720"/>
      <w:jc w:val="both"/>
    </w:pPr>
    <w:rPr>
      <w:rFonts w:ascii="Times New Roman"/>
      <w:kern w:val="2"/>
      <w:sz w:val="28"/>
    </w:rPr>
  </w:style>
  <w:style w:type="paragraph" w:styleId="33">
    <w:name w:val="Balloon Text"/>
    <w:basedOn w:val="1"/>
    <w:qFormat/>
    <w:uiPriority w:val="0"/>
    <w:rPr>
      <w:rFonts w:ascii="Times New Roman"/>
      <w:sz w:val="18"/>
      <w:szCs w:val="18"/>
    </w:rPr>
  </w:style>
  <w:style w:type="paragraph" w:styleId="34">
    <w:name w:val="footer"/>
    <w:basedOn w:val="1"/>
    <w:qFormat/>
    <w:uiPriority w:val="0"/>
    <w:pPr>
      <w:tabs>
        <w:tab w:val="center" w:pos="4140"/>
        <w:tab w:val="right" w:pos="8300"/>
      </w:tabs>
      <w:snapToGrid w:val="0"/>
    </w:pPr>
    <w:rPr>
      <w:rFonts w:ascii="Times New Roman"/>
      <w:sz w:val="18"/>
    </w:rPr>
  </w:style>
  <w:style w:type="paragraph" w:styleId="35">
    <w:name w:val="header"/>
    <w:basedOn w:val="1"/>
    <w:qFormat/>
    <w:uiPriority w:val="0"/>
    <w:pPr>
      <w:pBdr>
        <w:bottom w:val="single" w:color="000000" w:sz="6" w:space="1"/>
      </w:pBdr>
      <w:tabs>
        <w:tab w:val="center" w:pos="4140"/>
        <w:tab w:val="right" w:pos="8300"/>
      </w:tabs>
      <w:snapToGrid w:val="0"/>
      <w:jc w:val="center"/>
    </w:pPr>
    <w:rPr>
      <w:rFonts w:ascii="Times New Roman"/>
      <w:sz w:val="18"/>
    </w:rPr>
  </w:style>
  <w:style w:type="paragraph" w:styleId="36">
    <w:name w:val="toc 1"/>
    <w:basedOn w:val="1"/>
    <w:next w:val="1"/>
    <w:qFormat/>
    <w:uiPriority w:val="0"/>
    <w:pPr>
      <w:spacing w:before="120" w:after="120"/>
    </w:pPr>
    <w:rPr>
      <w:rFonts w:ascii="Times New Roman"/>
      <w:b/>
      <w:bCs/>
      <w:caps/>
      <w:sz w:val="20"/>
    </w:rPr>
  </w:style>
  <w:style w:type="paragraph" w:styleId="37">
    <w:name w:val="toc 4"/>
    <w:basedOn w:val="1"/>
    <w:next w:val="1"/>
    <w:qFormat/>
    <w:uiPriority w:val="0"/>
    <w:pPr>
      <w:ind w:left="1020"/>
    </w:pPr>
    <w:rPr>
      <w:rFonts w:ascii="Times New Roman"/>
      <w:sz w:val="18"/>
      <w:szCs w:val="18"/>
    </w:rPr>
  </w:style>
  <w:style w:type="paragraph" w:styleId="38">
    <w:name w:val="List"/>
    <w:basedOn w:val="1"/>
    <w:qFormat/>
    <w:uiPriority w:val="0"/>
    <w:pPr>
      <w:ind w:left="200" w:hanging="200" w:hangingChars="200"/>
    </w:pPr>
    <w:rPr>
      <w:rFonts w:ascii="Times New Roman"/>
    </w:rPr>
  </w:style>
  <w:style w:type="paragraph" w:styleId="39">
    <w:name w:val="footnote text"/>
    <w:basedOn w:val="1"/>
    <w:qFormat/>
    <w:uiPriority w:val="0"/>
    <w:pPr>
      <w:snapToGrid w:val="0"/>
    </w:pPr>
    <w:rPr>
      <w:rFonts w:ascii="Times New Roman"/>
      <w:sz w:val="18"/>
    </w:rPr>
  </w:style>
  <w:style w:type="paragraph" w:styleId="40">
    <w:name w:val="toc 6"/>
    <w:basedOn w:val="1"/>
    <w:next w:val="1"/>
    <w:qFormat/>
    <w:uiPriority w:val="0"/>
    <w:pPr>
      <w:ind w:left="1700"/>
    </w:pPr>
    <w:rPr>
      <w:rFonts w:ascii="Times New Roman"/>
      <w:sz w:val="18"/>
      <w:szCs w:val="18"/>
    </w:rPr>
  </w:style>
  <w:style w:type="paragraph" w:styleId="41">
    <w:name w:val="Body Text Indent 3"/>
    <w:basedOn w:val="1"/>
    <w:qFormat/>
    <w:uiPriority w:val="0"/>
    <w:pPr>
      <w:autoSpaceDE/>
      <w:autoSpaceDN/>
      <w:adjustRightInd/>
      <w:spacing w:line="360" w:lineRule="auto"/>
      <w:ind w:firstLine="540"/>
      <w:jc w:val="both"/>
    </w:pPr>
    <w:rPr>
      <w:rFonts w:ascii="Times New Roman"/>
      <w:kern w:val="2"/>
      <w:sz w:val="28"/>
    </w:rPr>
  </w:style>
  <w:style w:type="paragraph" w:styleId="42">
    <w:name w:val="toc 9"/>
    <w:basedOn w:val="1"/>
    <w:next w:val="1"/>
    <w:qFormat/>
    <w:uiPriority w:val="0"/>
    <w:pPr>
      <w:ind w:left="2720"/>
    </w:pPr>
    <w:rPr>
      <w:rFonts w:ascii="Times New Roman"/>
      <w:sz w:val="18"/>
      <w:szCs w:val="18"/>
    </w:rPr>
  </w:style>
  <w:style w:type="paragraph" w:styleId="43">
    <w:name w:val="Body Text 2"/>
    <w:basedOn w:val="1"/>
    <w:qFormat/>
    <w:uiPriority w:val="0"/>
    <w:pPr>
      <w:jc w:val="both"/>
    </w:pPr>
    <w:rPr>
      <w:rFonts w:ascii="Times New Roman"/>
      <w:sz w:val="28"/>
    </w:rPr>
  </w:style>
  <w:style w:type="paragraph" w:styleId="44">
    <w:name w:val="Normal (Web)"/>
    <w:basedOn w:val="1"/>
    <w:next w:val="1"/>
    <w:link w:val="73"/>
    <w:qFormat/>
    <w:uiPriority w:val="99"/>
    <w:pPr>
      <w:widowControl/>
      <w:autoSpaceDE/>
      <w:autoSpaceDN/>
      <w:adjustRightInd/>
      <w:spacing w:before="100" w:beforeAutospacing="1" w:after="100" w:afterAutospacing="1"/>
    </w:pPr>
    <w:rPr>
      <w:rFonts w:ascii="Times New Roman" w:hAnsi="宋体"/>
      <w:sz w:val="24"/>
      <w:szCs w:val="24"/>
    </w:rPr>
  </w:style>
  <w:style w:type="paragraph" w:styleId="45">
    <w:name w:val="Title"/>
    <w:basedOn w:val="1"/>
    <w:next w:val="1"/>
    <w:qFormat/>
    <w:uiPriority w:val="0"/>
    <w:pPr>
      <w:spacing w:before="240" w:after="60"/>
      <w:jc w:val="center"/>
      <w:outlineLvl w:val="0"/>
    </w:pPr>
    <w:rPr>
      <w:rFonts w:ascii="Cambria" w:hAnsi="Cambria"/>
      <w:b/>
      <w:bCs/>
      <w:sz w:val="32"/>
      <w:szCs w:val="32"/>
    </w:rPr>
  </w:style>
  <w:style w:type="paragraph" w:styleId="46">
    <w:name w:val="annotation subject"/>
    <w:basedOn w:val="20"/>
    <w:next w:val="20"/>
    <w:qFormat/>
    <w:uiPriority w:val="0"/>
    <w:rPr>
      <w:rFonts w:ascii="Times New Roman"/>
      <w:b/>
      <w:bCs/>
    </w:rPr>
  </w:style>
  <w:style w:type="table" w:styleId="48">
    <w:name w:val="Table Grid"/>
    <w:basedOn w:val="47"/>
    <w:qFormat/>
    <w:uiPriority w:val="0"/>
    <w:pPr>
      <w:widowControl w:val="0"/>
      <w:autoSpaceDE w:val="0"/>
      <w:autoSpaceDN w:val="0"/>
      <w:adjustRightInd w:val="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qFormat/>
    <w:uiPriority w:val="22"/>
    <w:rPr>
      <w:rFonts w:ascii="Times New Roman" w:hAnsi="Times New Roman" w:eastAsia="宋体" w:cs="Times New Roman"/>
      <w:b/>
      <w:bCs/>
    </w:rPr>
  </w:style>
  <w:style w:type="character" w:styleId="51">
    <w:name w:val="page number"/>
    <w:qFormat/>
    <w:uiPriority w:val="0"/>
    <w:rPr>
      <w:rFonts w:ascii="Times New Roman" w:hAnsi="Times New Roman" w:eastAsia="宋体" w:cs="Times New Roman"/>
    </w:rPr>
  </w:style>
  <w:style w:type="character" w:styleId="52">
    <w:name w:val="Hyperlink"/>
    <w:qFormat/>
    <w:uiPriority w:val="0"/>
    <w:rPr>
      <w:rFonts w:ascii="Times New Roman" w:hAnsi="Times New Roman" w:eastAsia="宋体" w:cs="Times New Roman"/>
      <w:color w:val="0000FF"/>
      <w:u w:val="single"/>
    </w:rPr>
  </w:style>
  <w:style w:type="character" w:styleId="53">
    <w:name w:val="annotation reference"/>
    <w:basedOn w:val="49"/>
    <w:qFormat/>
    <w:uiPriority w:val="0"/>
    <w:rPr>
      <w:rFonts w:ascii="Times New Roman" w:hAnsi="Times New Roman" w:eastAsia="宋体" w:cs="Times New Roman"/>
      <w:sz w:val="21"/>
    </w:rPr>
  </w:style>
  <w:style w:type="character" w:styleId="54">
    <w:name w:val="footnote reference"/>
    <w:qFormat/>
    <w:uiPriority w:val="0"/>
    <w:rPr>
      <w:rFonts w:ascii="Times New Roman" w:hAnsi="Times New Roman" w:eastAsia="宋体" w:cs="Times New Roman"/>
      <w:vertAlign w:val="superscript"/>
    </w:rPr>
  </w:style>
  <w:style w:type="paragraph" w:customStyle="1" w:styleId="55">
    <w:name w:val="样式 正文文本缩进 + 首行缩进:  2 字符 行距: 1.5 倍行距"/>
    <w:basedOn w:val="3"/>
    <w:qFormat/>
    <w:uiPriority w:val="0"/>
    <w:pPr>
      <w:spacing w:line="360" w:lineRule="auto"/>
      <w:ind w:firstLine="482" w:firstLineChars="200"/>
    </w:pPr>
    <w:rPr>
      <w:rFonts w:cs="宋体"/>
      <w:b/>
    </w:rPr>
  </w:style>
  <w:style w:type="character" w:customStyle="1" w:styleId="56">
    <w:name w:val="font01"/>
    <w:basedOn w:val="49"/>
    <w:qFormat/>
    <w:uiPriority w:val="0"/>
    <w:rPr>
      <w:rFonts w:hint="eastAsia" w:ascii="宋体" w:hAnsi="宋体" w:eastAsia="宋体" w:cs="宋体"/>
      <w:color w:val="000000"/>
      <w:sz w:val="24"/>
      <w:szCs w:val="24"/>
      <w:u w:val="none"/>
    </w:rPr>
  </w:style>
  <w:style w:type="character" w:customStyle="1" w:styleId="57">
    <w:name w:val="标题 3 Char"/>
    <w:link w:val="7"/>
    <w:qFormat/>
    <w:uiPriority w:val="0"/>
    <w:rPr>
      <w:rFonts w:ascii="Times New Roman" w:hAnsi="Times New Roman" w:eastAsia="宋体" w:cs="Times New Roman"/>
      <w:b/>
      <w:sz w:val="32"/>
    </w:rPr>
  </w:style>
  <w:style w:type="character" w:customStyle="1" w:styleId="58">
    <w:name w:val="正文文本 Char"/>
    <w:qFormat/>
    <w:uiPriority w:val="0"/>
    <w:rPr>
      <w:rFonts w:ascii="宋体" w:hAnsi="Times New Roman" w:eastAsia="宋体" w:cs="Times New Roman"/>
      <w:sz w:val="28"/>
    </w:rPr>
  </w:style>
  <w:style w:type="character" w:customStyle="1" w:styleId="59">
    <w:name w:val="纯文本 Char"/>
    <w:qFormat/>
    <w:uiPriority w:val="0"/>
    <w:rPr>
      <w:rFonts w:ascii="宋体" w:hAnsi="Courier New" w:eastAsia="宋体" w:cs="Courier New"/>
      <w:sz w:val="34"/>
      <w:szCs w:val="21"/>
      <w:lang w:val="en-US" w:eastAsia="zh-CN" w:bidi="ar-SA"/>
    </w:rPr>
  </w:style>
  <w:style w:type="character" w:customStyle="1" w:styleId="60">
    <w:name w:val="font61"/>
    <w:qFormat/>
    <w:uiPriority w:val="0"/>
    <w:rPr>
      <w:rFonts w:hint="eastAsia" w:ascii="宋体" w:hAnsi="宋体" w:eastAsia="宋体" w:cs="宋体"/>
      <w:color w:val="000000"/>
      <w:sz w:val="24"/>
      <w:szCs w:val="24"/>
      <w:u w:val="none"/>
    </w:rPr>
  </w:style>
  <w:style w:type="character" w:customStyle="1" w:styleId="61">
    <w:name w:val="普通文字 Char Char2"/>
    <w:qFormat/>
    <w:uiPriority w:val="0"/>
    <w:rPr>
      <w:rFonts w:ascii="宋体" w:hAnsi="Courier New" w:eastAsia="宋体" w:cs="Courier New"/>
      <w:sz w:val="34"/>
      <w:szCs w:val="21"/>
      <w:lang w:val="en-US" w:eastAsia="zh-CN" w:bidi="ar-SA"/>
    </w:rPr>
  </w:style>
  <w:style w:type="character" w:customStyle="1" w:styleId="62">
    <w:name w:val="font41"/>
    <w:qFormat/>
    <w:uiPriority w:val="0"/>
    <w:rPr>
      <w:rFonts w:hint="default" w:ascii="Times New Roman" w:hAnsi="Times New Roman" w:eastAsia="宋体" w:cs="Times New Roman"/>
      <w:color w:val="000000"/>
      <w:sz w:val="24"/>
      <w:szCs w:val="24"/>
      <w:u w:val="none"/>
    </w:rPr>
  </w:style>
  <w:style w:type="character" w:customStyle="1" w:styleId="63">
    <w:name w:val="标题 1 Char"/>
    <w:qFormat/>
    <w:uiPriority w:val="0"/>
    <w:rPr>
      <w:rFonts w:ascii="宋体" w:hAnsi="Times New Roman" w:eastAsia="宋体" w:cs="Times New Roman"/>
      <w:b/>
      <w:color w:val="000000"/>
      <w:sz w:val="24"/>
    </w:rPr>
  </w:style>
  <w:style w:type="character" w:customStyle="1" w:styleId="64">
    <w:name w:val="批注文字 Char"/>
    <w:link w:val="20"/>
    <w:qFormat/>
    <w:uiPriority w:val="0"/>
    <w:rPr>
      <w:rFonts w:ascii="宋体" w:hAnsi="Times New Roman" w:eastAsia="宋体" w:cs="Times New Roman"/>
      <w:sz w:val="34"/>
    </w:rPr>
  </w:style>
  <w:style w:type="character" w:customStyle="1" w:styleId="65">
    <w:name w:val="font51"/>
    <w:basedOn w:val="49"/>
    <w:qFormat/>
    <w:uiPriority w:val="0"/>
    <w:rPr>
      <w:rFonts w:hint="default" w:ascii="Arial" w:hAnsi="Arial" w:cs="Arial"/>
      <w:color w:val="000000"/>
      <w:sz w:val="20"/>
      <w:szCs w:val="20"/>
      <w:u w:val="none"/>
    </w:rPr>
  </w:style>
  <w:style w:type="character" w:customStyle="1" w:styleId="66">
    <w:name w:val="NormalCharacter"/>
    <w:semiHidden/>
    <w:qFormat/>
    <w:uiPriority w:val="0"/>
    <w:rPr>
      <w:rFonts w:ascii="Times New Roman" w:hAnsi="Times New Roman" w:eastAsia="宋体" w:cs="Times New Roman"/>
      <w:kern w:val="2"/>
      <w:sz w:val="21"/>
      <w:szCs w:val="24"/>
      <w:lang w:val="en-US" w:eastAsia="zh-CN" w:bidi="ar-SA"/>
    </w:rPr>
  </w:style>
  <w:style w:type="character" w:customStyle="1" w:styleId="67">
    <w:name w:val="font31"/>
    <w:qFormat/>
    <w:uiPriority w:val="0"/>
    <w:rPr>
      <w:rFonts w:hint="default" w:ascii="Times New Roman" w:hAnsi="Times New Roman" w:eastAsia="宋体" w:cs="Times New Roman"/>
      <w:color w:val="000000"/>
      <w:sz w:val="24"/>
      <w:szCs w:val="24"/>
      <w:u w:val="none"/>
    </w:rPr>
  </w:style>
  <w:style w:type="character" w:customStyle="1" w:styleId="68">
    <w:name w:val="font71"/>
    <w:qFormat/>
    <w:uiPriority w:val="0"/>
    <w:rPr>
      <w:rFonts w:hint="eastAsia" w:ascii="宋体" w:hAnsi="宋体" w:eastAsia="宋体" w:cs="宋体"/>
      <w:color w:val="000000"/>
      <w:sz w:val="24"/>
      <w:szCs w:val="24"/>
      <w:u w:val="none"/>
    </w:rPr>
  </w:style>
  <w:style w:type="character" w:customStyle="1" w:styleId="69">
    <w:name w:val="页脚 Char"/>
    <w:qFormat/>
    <w:uiPriority w:val="0"/>
    <w:rPr>
      <w:rFonts w:ascii="宋体" w:hAnsi="Times New Roman" w:eastAsia="宋体" w:cs="Times New Roman"/>
      <w:sz w:val="18"/>
    </w:rPr>
  </w:style>
  <w:style w:type="character" w:customStyle="1" w:styleId="70">
    <w:name w:val="标题 2 Char"/>
    <w:link w:val="6"/>
    <w:qFormat/>
    <w:uiPriority w:val="0"/>
    <w:rPr>
      <w:rFonts w:ascii="Arial" w:hAnsi="Arial" w:eastAsia="黑体" w:cs="Times New Roman"/>
      <w:b/>
      <w:bCs/>
      <w:sz w:val="32"/>
      <w:szCs w:val="32"/>
    </w:rPr>
  </w:style>
  <w:style w:type="character" w:customStyle="1" w:styleId="71">
    <w:name w:val="font81"/>
    <w:basedOn w:val="49"/>
    <w:qFormat/>
    <w:uiPriority w:val="0"/>
    <w:rPr>
      <w:rFonts w:ascii="Arial" w:hAnsi="Arial" w:cs="Arial"/>
      <w:color w:val="000000"/>
      <w:sz w:val="20"/>
      <w:szCs w:val="20"/>
      <w:u w:val="none"/>
    </w:rPr>
  </w:style>
  <w:style w:type="character" w:customStyle="1" w:styleId="72">
    <w:name w:val="font11"/>
    <w:basedOn w:val="49"/>
    <w:qFormat/>
    <w:uiPriority w:val="0"/>
    <w:rPr>
      <w:rFonts w:hint="eastAsia" w:ascii="宋体" w:hAnsi="宋体" w:cs="宋体"/>
      <w:color w:val="000000"/>
      <w:sz w:val="20"/>
      <w:szCs w:val="20"/>
      <w:u w:val="none"/>
    </w:rPr>
  </w:style>
  <w:style w:type="character" w:customStyle="1" w:styleId="73">
    <w:name w:val="普通(网站) Char"/>
    <w:link w:val="44"/>
    <w:qFormat/>
    <w:uiPriority w:val="0"/>
    <w:rPr>
      <w:rFonts w:hAnsi="宋体"/>
      <w:sz w:val="24"/>
      <w:szCs w:val="24"/>
    </w:rPr>
  </w:style>
  <w:style w:type="character" w:customStyle="1" w:styleId="74">
    <w:name w:val="Char Char"/>
    <w:qFormat/>
    <w:uiPriority w:val="0"/>
    <w:rPr>
      <w:rFonts w:ascii="宋体" w:hAnsi="宋体" w:eastAsia="宋体" w:cs="Times New Roman"/>
      <w:sz w:val="24"/>
      <w:szCs w:val="24"/>
      <w:lang w:val="en-US" w:eastAsia="zh-CN" w:bidi="ar-SA"/>
    </w:rPr>
  </w:style>
  <w:style w:type="character" w:customStyle="1" w:styleId="75">
    <w:name w:val="font21"/>
    <w:basedOn w:val="49"/>
    <w:qFormat/>
    <w:uiPriority w:val="0"/>
    <w:rPr>
      <w:rFonts w:hint="eastAsia" w:ascii="宋体" w:hAnsi="宋体" w:eastAsia="宋体"/>
      <w:color w:val="000000"/>
      <w:sz w:val="22"/>
      <w:szCs w:val="22"/>
      <w:u w:val="none"/>
    </w:rPr>
  </w:style>
  <w:style w:type="character" w:customStyle="1" w:styleId="76">
    <w:name w:val="页眉 Char"/>
    <w:qFormat/>
    <w:uiPriority w:val="0"/>
    <w:rPr>
      <w:rFonts w:ascii="宋体" w:hAnsi="Times New Roman" w:eastAsia="宋体" w:cs="Times New Roman"/>
      <w:sz w:val="18"/>
    </w:rPr>
  </w:style>
  <w:style w:type="character" w:customStyle="1" w:styleId="77">
    <w:name w:val="正文文本 3 Char"/>
    <w:qFormat/>
    <w:uiPriority w:val="0"/>
    <w:rPr>
      <w:rFonts w:ascii="宋体" w:hAnsi="Times New Roman" w:eastAsia="宋体" w:cs="Times New Roman"/>
      <w:color w:val="000000"/>
      <w:sz w:val="28"/>
    </w:rPr>
  </w:style>
  <w:style w:type="character" w:customStyle="1" w:styleId="78">
    <w:name w:val="apple-converted-space"/>
    <w:qFormat/>
    <w:uiPriority w:val="0"/>
    <w:rPr>
      <w:rFonts w:ascii="Times New Roman" w:hAnsi="Times New Roman" w:eastAsia="宋体" w:cs="Times New Roman"/>
    </w:rPr>
  </w:style>
  <w:style w:type="paragraph" w:customStyle="1" w:styleId="79">
    <w:name w:val="2"/>
    <w:basedOn w:val="1"/>
    <w:next w:val="22"/>
    <w:qFormat/>
    <w:uiPriority w:val="0"/>
    <w:rPr>
      <w:rFonts w:ascii="Times New Roman"/>
      <w:sz w:val="28"/>
    </w:rPr>
  </w:style>
  <w:style w:type="paragraph" w:customStyle="1" w:styleId="80">
    <w:name w:val="p0"/>
    <w:basedOn w:val="1"/>
    <w:qFormat/>
    <w:uiPriority w:val="0"/>
    <w:pPr>
      <w:widowControl/>
      <w:autoSpaceDE/>
      <w:autoSpaceDN/>
      <w:adjustRightInd/>
      <w:jc w:val="both"/>
    </w:pPr>
    <w:rPr>
      <w:rFonts w:hint="eastAsia" w:ascii="Courier" w:hAnsi="Courier" w:eastAsia="MingLiU"/>
      <w:sz w:val="21"/>
      <w:lang w:eastAsia="zh-TW"/>
    </w:rPr>
  </w:style>
  <w:style w:type="paragraph" w:customStyle="1" w:styleId="81">
    <w:name w:val="xl35"/>
    <w:basedOn w:val="1"/>
    <w:qFormat/>
    <w:uiPriority w:val="0"/>
    <w:pPr>
      <w:widowControl/>
      <w:pBdr>
        <w:left w:val="single" w:color="auto" w:sz="4" w:space="0"/>
        <w:bottom w:val="single" w:color="auto" w:sz="4" w:space="0"/>
        <w:right w:val="single" w:color="auto" w:sz="4" w:space="0"/>
      </w:pBdr>
      <w:autoSpaceDE/>
      <w:autoSpaceDN/>
      <w:adjustRightInd/>
      <w:spacing w:before="100" w:beforeAutospacing="1" w:after="100" w:afterAutospacing="1"/>
      <w:jc w:val="both"/>
      <w:textAlignment w:val="center"/>
    </w:pPr>
    <w:rPr>
      <w:rFonts w:ascii="Arial Unicode MS" w:hAnsi="Arial Unicode MS" w:eastAsia="Arial Unicode MS"/>
      <w:sz w:val="24"/>
      <w:szCs w:val="24"/>
    </w:rPr>
  </w:style>
  <w:style w:type="paragraph" w:customStyle="1" w:styleId="82">
    <w:name w:val="Char Char Char Char Char Char Char"/>
    <w:basedOn w:val="1"/>
    <w:qFormat/>
    <w:uiPriority w:val="0"/>
    <w:pPr>
      <w:autoSpaceDE/>
      <w:autoSpaceDN/>
      <w:adjustRightInd/>
      <w:jc w:val="both"/>
    </w:pPr>
    <w:rPr>
      <w:rFonts w:ascii="Times New Roman"/>
      <w:kern w:val="2"/>
      <w:sz w:val="21"/>
    </w:rPr>
  </w:style>
  <w:style w:type="paragraph" w:customStyle="1" w:styleId="83">
    <w:name w:val="正文段"/>
    <w:basedOn w:val="1"/>
    <w:qFormat/>
    <w:uiPriority w:val="0"/>
    <w:pPr>
      <w:widowControl/>
      <w:autoSpaceDE/>
      <w:autoSpaceDN/>
      <w:adjustRightInd/>
      <w:snapToGrid w:val="0"/>
      <w:spacing w:afterLines="50"/>
      <w:ind w:firstLine="200" w:firstLineChars="200"/>
      <w:jc w:val="both"/>
    </w:pPr>
    <w:rPr>
      <w:rFonts w:ascii="Times New Roman"/>
      <w:sz w:val="24"/>
    </w:rPr>
  </w:style>
  <w:style w:type="paragraph" w:customStyle="1" w:styleId="84">
    <w:name w:val="潘"/>
    <w:basedOn w:val="1"/>
    <w:qFormat/>
    <w:uiPriority w:val="0"/>
    <w:pPr>
      <w:widowControl/>
      <w:autoSpaceDE/>
      <w:autoSpaceDN/>
      <w:adjustRightInd/>
      <w:snapToGrid w:val="0"/>
      <w:spacing w:line="240" w:lineRule="atLeast"/>
      <w:jc w:val="both"/>
    </w:pPr>
    <w:rPr>
      <w:rFonts w:ascii="Arial" w:hAnsi="Arial" w:cs="Arial"/>
      <w:b/>
      <w:bCs/>
      <w:sz w:val="21"/>
      <w:szCs w:val="21"/>
    </w:rPr>
  </w:style>
  <w:style w:type="paragraph" w:customStyle="1" w:styleId="85">
    <w:name w:val="正文 New New New New"/>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86">
    <w:name w:val="样式K"/>
    <w:basedOn w:val="22"/>
    <w:qFormat/>
    <w:uiPriority w:val="0"/>
    <w:pPr>
      <w:autoSpaceDE/>
      <w:autoSpaceDN/>
      <w:adjustRightInd/>
    </w:pPr>
    <w:rPr>
      <w:rFonts w:ascii="仿宋_GB2312" w:hAnsi="Book Antiqua" w:eastAsia="仿宋_GB2312"/>
      <w:kern w:val="2"/>
      <w:sz w:val="24"/>
      <w:szCs w:val="24"/>
    </w:rPr>
  </w:style>
  <w:style w:type="paragraph" w:customStyle="1" w:styleId="87">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88">
    <w:name w:val="默认段落字体 Para Char Char Char Char Char Char Char Char Char1 Char Char Char Char"/>
    <w:basedOn w:val="1"/>
    <w:qFormat/>
    <w:uiPriority w:val="0"/>
    <w:pPr>
      <w:autoSpaceDE/>
      <w:autoSpaceDN/>
      <w:adjustRightInd/>
      <w:jc w:val="both"/>
    </w:pPr>
    <w:rPr>
      <w:rFonts w:ascii="Tahoma" w:hAnsi="Tahoma"/>
      <w:kern w:val="2"/>
      <w:sz w:val="24"/>
    </w:rPr>
  </w:style>
  <w:style w:type="paragraph" w:customStyle="1" w:styleId="89">
    <w:name w:val="0-正文"/>
    <w:basedOn w:val="1"/>
    <w:qFormat/>
    <w:uiPriority w:val="0"/>
    <w:pPr>
      <w:autoSpaceDE/>
      <w:autoSpaceDN/>
      <w:adjustRightInd/>
      <w:spacing w:line="360" w:lineRule="auto"/>
      <w:ind w:firstLine="420" w:firstLineChars="200"/>
      <w:jc w:val="both"/>
    </w:pPr>
    <w:rPr>
      <w:rFonts w:ascii="汉仪仿宋简" w:hAnsi="仿宋"/>
      <w:sz w:val="24"/>
      <w:szCs w:val="28"/>
    </w:rPr>
  </w:style>
  <w:style w:type="paragraph" w:customStyle="1" w:styleId="90">
    <w:name w:val="F-正文"/>
    <w:qFormat/>
    <w:uiPriority w:val="0"/>
    <w:pPr>
      <w:spacing w:line="560" w:lineRule="exact"/>
      <w:jc w:val="both"/>
    </w:pPr>
    <w:rPr>
      <w:rFonts w:ascii="Times" w:hAnsi="Times" w:eastAsia="仿宋" w:cs="Times New Roman"/>
      <w:kern w:val="2"/>
      <w:sz w:val="24"/>
      <w:lang w:val="en-US" w:eastAsia="zh-CN" w:bidi="ar-SA"/>
    </w:rPr>
  </w:style>
  <w:style w:type="paragraph" w:customStyle="1" w:styleId="91">
    <w:name w:val="列出段落2"/>
    <w:basedOn w:val="1"/>
    <w:qFormat/>
    <w:uiPriority w:val="0"/>
    <w:pPr>
      <w:autoSpaceDE/>
      <w:autoSpaceDN/>
      <w:adjustRightInd/>
      <w:ind w:firstLine="420" w:firstLineChars="200"/>
      <w:jc w:val="both"/>
    </w:pPr>
    <w:rPr>
      <w:rFonts w:ascii="Calibri" w:hAnsi="Calibri" w:eastAsia="PMingLiU"/>
      <w:kern w:val="2"/>
      <w:sz w:val="21"/>
      <w:szCs w:val="22"/>
    </w:rPr>
  </w:style>
  <w:style w:type="paragraph" w:customStyle="1" w:styleId="92">
    <w:name w:val="ZW"/>
    <w:basedOn w:val="1"/>
    <w:qFormat/>
    <w:uiPriority w:val="0"/>
    <w:pPr>
      <w:spacing w:line="580" w:lineRule="exact"/>
      <w:ind w:firstLine="560"/>
    </w:pPr>
    <w:rPr>
      <w:rFonts w:ascii="仿宋_GB2312" w:hAnsi="仿宋_GB2312" w:eastAsia="仿宋_GB2312" w:cs="宋体"/>
      <w:sz w:val="28"/>
      <w:szCs w:val="36"/>
    </w:rPr>
  </w:style>
  <w:style w:type="paragraph" w:customStyle="1" w:styleId="93">
    <w:name w:val="表格内容"/>
    <w:basedOn w:val="1"/>
    <w:qFormat/>
    <w:uiPriority w:val="3"/>
    <w:pPr>
      <w:widowControl/>
      <w:jc w:val="center"/>
    </w:pPr>
    <w:rPr>
      <w:sz w:val="24"/>
      <w:szCs w:val="28"/>
    </w:rPr>
  </w:style>
  <w:style w:type="paragraph" w:styleId="94">
    <w:name w:val="List Paragraph"/>
    <w:basedOn w:val="1"/>
    <w:qFormat/>
    <w:uiPriority w:val="0"/>
    <w:pPr>
      <w:widowControl/>
      <w:autoSpaceDE/>
      <w:autoSpaceDN/>
      <w:adjustRightInd/>
      <w:ind w:firstLine="420" w:firstLineChars="200"/>
    </w:pPr>
    <w:rPr>
      <w:rFonts w:ascii="Times New Roman" w:hAnsi="宋体" w:cs="宋体"/>
      <w:color w:val="000000"/>
      <w:sz w:val="24"/>
      <w:szCs w:val="24"/>
    </w:rPr>
  </w:style>
  <w:style w:type="paragraph" w:customStyle="1" w:styleId="95">
    <w:name w:val="BodyTextIndent"/>
    <w:basedOn w:val="1"/>
    <w:next w:val="1"/>
    <w:qFormat/>
    <w:uiPriority w:val="0"/>
    <w:pPr>
      <w:ind w:firstLine="900"/>
      <w:jc w:val="both"/>
    </w:pPr>
    <w:rPr>
      <w:rFonts w:ascii="Times New Roman"/>
      <w:kern w:val="2"/>
      <w:sz w:val="28"/>
    </w:rPr>
  </w:style>
  <w:style w:type="paragraph" w:customStyle="1" w:styleId="96">
    <w:name w:val="Char"/>
    <w:basedOn w:val="1"/>
    <w:qFormat/>
    <w:uiPriority w:val="0"/>
    <w:pPr>
      <w:autoSpaceDE/>
      <w:autoSpaceDN/>
      <w:adjustRightInd/>
      <w:jc w:val="both"/>
    </w:pPr>
    <w:rPr>
      <w:rFonts w:ascii="Tahoma" w:hAnsi="Tahoma"/>
      <w:kern w:val="2"/>
      <w:sz w:val="24"/>
    </w:rPr>
  </w:style>
  <w:style w:type="paragraph" w:customStyle="1" w:styleId="97">
    <w:name w:val="BodyText1I2"/>
    <w:basedOn w:val="95"/>
    <w:next w:val="1"/>
    <w:qFormat/>
    <w:uiPriority w:val="0"/>
    <w:pPr>
      <w:spacing w:after="120"/>
      <w:ind w:left="420" w:leftChars="200" w:firstLine="420"/>
    </w:pPr>
    <w:rPr>
      <w:sz w:val="21"/>
      <w:szCs w:val="21"/>
    </w:rPr>
  </w:style>
  <w:style w:type="paragraph" w:customStyle="1" w:styleId="98">
    <w:name w:val="正文－恩普"/>
    <w:basedOn w:val="9"/>
    <w:qFormat/>
    <w:uiPriority w:val="0"/>
    <w:pPr>
      <w:widowControl/>
      <w:spacing w:line="360" w:lineRule="auto"/>
      <w:ind w:firstLine="480" w:firstLineChars="200"/>
      <w:jc w:val="left"/>
    </w:pPr>
    <w:rPr>
      <w:kern w:val="0"/>
      <w:sz w:val="24"/>
    </w:rPr>
  </w:style>
  <w:style w:type="paragraph" w:customStyle="1" w:styleId="99">
    <w:name w:val="默认段落字体 Para Char Char Char Char Char Char Char"/>
    <w:basedOn w:val="1"/>
    <w:qFormat/>
    <w:uiPriority w:val="0"/>
    <w:pPr>
      <w:autoSpaceDE/>
      <w:autoSpaceDN/>
      <w:adjustRightInd/>
      <w:jc w:val="both"/>
    </w:pPr>
    <w:rPr>
      <w:rFonts w:ascii="Tahoma" w:hAnsi="Tahoma"/>
      <w:kern w:val="2"/>
      <w:sz w:val="24"/>
    </w:rPr>
  </w:style>
  <w:style w:type="paragraph" w:customStyle="1" w:styleId="100">
    <w:name w:val="样式2"/>
    <w:basedOn w:val="1"/>
    <w:next w:val="1"/>
    <w:qFormat/>
    <w:uiPriority w:val="0"/>
    <w:pPr>
      <w:autoSpaceDE/>
      <w:autoSpaceDN/>
      <w:adjustRightInd/>
      <w:ind w:firstLine="420" w:firstLineChars="200"/>
      <w:jc w:val="both"/>
    </w:pPr>
    <w:rPr>
      <w:rFonts w:ascii="Calibri" w:hAnsi="Calibri"/>
      <w:kern w:val="2"/>
      <w:sz w:val="21"/>
      <w:szCs w:val="22"/>
    </w:rPr>
  </w:style>
  <w:style w:type="paragraph" w:customStyle="1" w:styleId="101">
    <w:name w:val="Char Char Char Char Char Char Char Char Char Char"/>
    <w:basedOn w:val="1"/>
    <w:qFormat/>
    <w:uiPriority w:val="0"/>
    <w:pPr>
      <w:autoSpaceDE/>
      <w:autoSpaceDN/>
      <w:adjustRightInd/>
      <w:jc w:val="both"/>
    </w:pPr>
    <w:rPr>
      <w:rFonts w:ascii="Tahoma" w:hAnsi="Tahoma"/>
      <w:kern w:val="2"/>
      <w:sz w:val="24"/>
    </w:rPr>
  </w:style>
  <w:style w:type="paragraph" w:customStyle="1" w:styleId="10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03">
    <w:name w:val="Char2"/>
    <w:basedOn w:val="19"/>
    <w:next w:val="1"/>
    <w:qFormat/>
    <w:uiPriority w:val="0"/>
    <w:pPr>
      <w:autoSpaceDE/>
      <w:autoSpaceDN/>
      <w:adjustRightInd/>
      <w:jc w:val="both"/>
    </w:pPr>
    <w:rPr>
      <w:kern w:val="2"/>
      <w:sz w:val="21"/>
    </w:rPr>
  </w:style>
  <w:style w:type="paragraph" w:customStyle="1" w:styleId="104">
    <w:name w:val="Char Char Char Char"/>
    <w:basedOn w:val="1"/>
    <w:qFormat/>
    <w:uiPriority w:val="0"/>
    <w:pPr>
      <w:autoSpaceDE/>
      <w:autoSpaceDN/>
      <w:adjustRightInd/>
      <w:jc w:val="both"/>
    </w:pPr>
    <w:rPr>
      <w:rFonts w:ascii="Times New Roman"/>
    </w:rPr>
  </w:style>
  <w:style w:type="paragraph" w:customStyle="1" w:styleId="105">
    <w:name w:val="正文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06">
    <w:name w:val="表内文字"/>
    <w:basedOn w:val="1"/>
    <w:qFormat/>
    <w:uiPriority w:val="0"/>
    <w:pPr>
      <w:tabs>
        <w:tab w:val="left" w:pos="1418"/>
      </w:tabs>
      <w:autoSpaceDE/>
      <w:autoSpaceDN/>
      <w:adjustRightInd/>
      <w:spacing w:line="360" w:lineRule="auto"/>
      <w:jc w:val="center"/>
    </w:pPr>
    <w:rPr>
      <w:rFonts w:ascii="仿宋_GB2312" w:eastAsia="仿宋_GB2312"/>
      <w:spacing w:val="-20"/>
      <w:sz w:val="24"/>
      <w:szCs w:val="24"/>
    </w:rPr>
  </w:style>
  <w:style w:type="character" w:customStyle="1" w:styleId="107">
    <w:name w:val="纯文本 Char1"/>
    <w:link w:val="28"/>
    <w:qFormat/>
    <w:locked/>
    <w:uiPriority w:val="0"/>
    <w:rPr>
      <w:rFonts w:hAnsi="Courier New" w:cs="Courier New"/>
      <w:sz w:val="34"/>
      <w:szCs w:val="21"/>
    </w:rPr>
  </w:style>
  <w:style w:type="paragraph" w:customStyle="1" w:styleId="108">
    <w:name w:val="reader-word-layer"/>
    <w:basedOn w:val="1"/>
    <w:qFormat/>
    <w:uiPriority w:val="0"/>
    <w:pPr>
      <w:widowControl/>
      <w:spacing w:before="100" w:beforeAutospacing="1" w:after="100" w:afterAutospacing="1"/>
    </w:pPr>
    <w:rPr>
      <w:rFonts w:ascii="Times New Roman" w:hAnsi="宋体" w:cs="宋体"/>
      <w:sz w:val="24"/>
      <w:szCs w:val="24"/>
    </w:rPr>
  </w:style>
  <w:style w:type="paragraph" w:customStyle="1" w:styleId="109">
    <w:name w:val="纯文本1"/>
    <w:basedOn w:val="110"/>
    <w:qFormat/>
    <w:uiPriority w:val="0"/>
    <w:rPr>
      <w:rFonts w:hint="default" w:ascii="宋体" w:hAnsi="Courier New"/>
      <w:kern w:val="0"/>
      <w:sz w:val="20"/>
      <w:szCs w:val="21"/>
    </w:rPr>
  </w:style>
  <w:style w:type="paragraph" w:customStyle="1" w:styleId="110">
    <w:name w:val="正文2"/>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111">
    <w:name w:val="font91"/>
    <w:basedOn w:val="49"/>
    <w:qFormat/>
    <w:uiPriority w:val="0"/>
    <w:rPr>
      <w:rFonts w:hint="eastAsia" w:ascii="宋体" w:hAnsi="宋体" w:eastAsia="宋体" w:cs="宋体"/>
      <w:color w:val="000000"/>
      <w:sz w:val="22"/>
      <w:szCs w:val="22"/>
      <w:u w:val="none"/>
    </w:rPr>
  </w:style>
  <w:style w:type="paragraph" w:customStyle="1" w:styleId="112">
    <w:name w:val="列表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64</Pages>
  <Words>37378</Words>
  <Characters>40471</Characters>
  <Lines>363</Lines>
  <Paragraphs>102</Paragraphs>
  <TotalTime>1</TotalTime>
  <ScaleCrop>false</ScaleCrop>
  <LinksUpToDate>false</LinksUpToDate>
  <CharactersWithSpaces>41595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2022-09-18T13:25:00Z</dcterms:created>
  <dc:creator>dell</dc:creator>
  <cp:lastModifiedBy>WPS_443220290</cp:lastModifiedBy>
  <cp:lastPrinted>2022-09-21T03:41:00Z</cp:lastPrinted>
  <dcterms:modified xsi:type="dcterms:W3CDTF">2022-09-29T04:14:06Z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B5F310188D394967B7E775E6E4EE4AF2</vt:lpwstr>
  </property>
</Properties>
</file>