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Ansi="宋体"/>
          <w:b/>
          <w:color w:val="auto"/>
          <w:sz w:val="52"/>
          <w:szCs w:val="52"/>
          <w:highlight w:val="none"/>
        </w:rPr>
      </w:pPr>
      <w:bookmarkStart w:id="147" w:name="_GoBack"/>
      <w:bookmarkEnd w:id="147"/>
    </w:p>
    <w:p>
      <w:pPr>
        <w:spacing w:line="700" w:lineRule="exact"/>
        <w:jc w:val="center"/>
        <w:rPr>
          <w:rFonts w:hint="eastAsia"/>
          <w:b/>
          <w:bCs/>
          <w:color w:val="auto"/>
          <w:sz w:val="48"/>
          <w:szCs w:val="48"/>
          <w:highlight w:val="none"/>
          <w:lang w:val="zh-CN"/>
        </w:rPr>
      </w:pPr>
      <w:r>
        <w:rPr>
          <w:rFonts w:hint="eastAsia"/>
          <w:b/>
          <w:bCs/>
          <w:color w:val="auto"/>
          <w:sz w:val="48"/>
          <w:szCs w:val="48"/>
          <w:highlight w:val="none"/>
          <w:lang w:val="zh-CN"/>
        </w:rPr>
        <w:t>金华开发区社会治理微智治平台应用项目</w:t>
      </w:r>
    </w:p>
    <w:p>
      <w:pPr>
        <w:spacing w:line="360" w:lineRule="auto"/>
        <w:jc w:val="center"/>
        <w:rPr>
          <w:rFonts w:hint="eastAsia"/>
          <w:b/>
          <w:bCs/>
          <w:color w:val="auto"/>
          <w:sz w:val="48"/>
          <w:szCs w:val="48"/>
          <w:highlight w:val="none"/>
          <w:lang w:val="zh-CN"/>
        </w:rPr>
      </w:pPr>
      <w:r>
        <w:rPr>
          <w:rFonts w:hint="eastAsia"/>
          <w:b/>
          <w:bCs/>
          <w:color w:val="auto"/>
          <w:sz w:val="48"/>
          <w:szCs w:val="48"/>
          <w:highlight w:val="none"/>
          <w:lang w:val="zh-CN"/>
        </w:rPr>
        <w:t xml:space="preserve"> </w:t>
      </w:r>
    </w:p>
    <w:p>
      <w:pPr>
        <w:rPr>
          <w:color w:val="auto"/>
          <w:sz w:val="18"/>
          <w:szCs w:val="18"/>
          <w:highlight w:val="none"/>
          <w:lang w:val="zh-CN"/>
        </w:rPr>
      </w:pPr>
    </w:p>
    <w:p>
      <w:pPr>
        <w:pStyle w:val="42"/>
        <w:ind w:left="680"/>
        <w:rPr>
          <w:color w:val="auto"/>
          <w:highlight w:val="none"/>
          <w:lang w:val="zh-CN"/>
        </w:rPr>
      </w:pPr>
    </w:p>
    <w:p>
      <w:pPr>
        <w:pStyle w:val="42"/>
        <w:ind w:left="680"/>
        <w:rPr>
          <w:color w:val="auto"/>
          <w:highlight w:val="none"/>
          <w:lang w:val="zh-CN"/>
        </w:rPr>
      </w:pPr>
    </w:p>
    <w:p>
      <w:pPr>
        <w:pStyle w:val="42"/>
        <w:ind w:left="680"/>
        <w:rPr>
          <w:color w:val="auto"/>
          <w:highlight w:val="none"/>
          <w:lang w:val="zh-CN"/>
        </w:rPr>
      </w:pPr>
    </w:p>
    <w:p>
      <w:pPr>
        <w:pStyle w:val="42"/>
        <w:ind w:left="680"/>
        <w:rPr>
          <w:color w:val="auto"/>
          <w:highlight w:val="none"/>
          <w:lang w:val="zh-CN"/>
        </w:rPr>
      </w:pPr>
    </w:p>
    <w:p>
      <w:pPr>
        <w:pStyle w:val="42"/>
        <w:ind w:left="680"/>
        <w:rPr>
          <w:color w:val="auto"/>
          <w:highlight w:val="none"/>
          <w:lang w:val="zh-CN"/>
        </w:rPr>
      </w:pPr>
    </w:p>
    <w:p>
      <w:pPr>
        <w:pStyle w:val="42"/>
        <w:ind w:left="680"/>
        <w:rPr>
          <w:color w:val="auto"/>
          <w:highlight w:val="none"/>
          <w:lang w:val="zh-CN"/>
        </w:rPr>
      </w:pPr>
    </w:p>
    <w:p>
      <w:pPr>
        <w:pStyle w:val="42"/>
        <w:ind w:left="680"/>
        <w:rPr>
          <w:color w:val="auto"/>
          <w:highlight w:val="none"/>
          <w:lang w:val="zh-CN"/>
        </w:rPr>
      </w:pPr>
    </w:p>
    <w:p>
      <w:pPr>
        <w:rPr>
          <w:color w:val="auto"/>
          <w:highlight w:val="none"/>
          <w:lang w:val="zh-CN"/>
        </w:rPr>
      </w:pPr>
    </w:p>
    <w:p>
      <w:pPr>
        <w:rPr>
          <w:color w:val="auto"/>
          <w:sz w:val="18"/>
          <w:szCs w:val="18"/>
          <w:highlight w:val="none"/>
          <w:lang w:val="zh-CN"/>
        </w:rPr>
      </w:pPr>
    </w:p>
    <w:p>
      <w:pPr>
        <w:jc w:val="center"/>
        <w:rPr>
          <w:b/>
          <w:bCs/>
          <w:color w:val="auto"/>
          <w:sz w:val="48"/>
          <w:szCs w:val="48"/>
          <w:highlight w:val="none"/>
          <w:lang w:val="zh-CN"/>
        </w:rPr>
      </w:pPr>
      <w:r>
        <w:rPr>
          <w:rFonts w:hint="eastAsia"/>
          <w:b/>
          <w:bCs/>
          <w:color w:val="auto"/>
          <w:sz w:val="48"/>
          <w:szCs w:val="48"/>
          <w:highlight w:val="none"/>
          <w:lang w:val="zh-CN"/>
        </w:rPr>
        <w:t>竞争性磋商文件</w:t>
      </w:r>
    </w:p>
    <w:p>
      <w:pPr>
        <w:ind w:firstLine="2040"/>
        <w:rPr>
          <w:b/>
          <w:bCs/>
          <w:color w:val="auto"/>
          <w:sz w:val="52"/>
          <w:szCs w:val="52"/>
          <w:highlight w:val="none"/>
          <w:lang w:val="zh-CN"/>
        </w:rPr>
      </w:pPr>
    </w:p>
    <w:p>
      <w:pPr>
        <w:ind w:firstLine="2040"/>
        <w:rPr>
          <w:b/>
          <w:bCs/>
          <w:color w:val="auto"/>
          <w:sz w:val="52"/>
          <w:szCs w:val="52"/>
          <w:highlight w:val="none"/>
          <w:lang w:val="zh-CN"/>
        </w:rPr>
      </w:pPr>
    </w:p>
    <w:p>
      <w:pPr>
        <w:pStyle w:val="19"/>
        <w:rPr>
          <w:color w:val="auto"/>
          <w:highlight w:val="none"/>
          <w:lang w:val="zh-CN"/>
        </w:rPr>
      </w:pPr>
    </w:p>
    <w:p>
      <w:pPr>
        <w:pStyle w:val="42"/>
        <w:ind w:left="680"/>
        <w:rPr>
          <w:color w:val="auto"/>
          <w:highlight w:val="none"/>
          <w:lang w:val="zh-CN"/>
        </w:rPr>
      </w:pPr>
    </w:p>
    <w:p>
      <w:pPr>
        <w:pStyle w:val="42"/>
        <w:ind w:left="680"/>
        <w:rPr>
          <w:color w:val="auto"/>
          <w:highlight w:val="none"/>
          <w:lang w:val="zh-CN"/>
        </w:rPr>
      </w:pPr>
    </w:p>
    <w:p>
      <w:pPr>
        <w:ind w:firstLine="1525"/>
        <w:rPr>
          <w:b/>
          <w:bCs/>
          <w:color w:val="auto"/>
          <w:sz w:val="28"/>
          <w:szCs w:val="28"/>
          <w:highlight w:val="none"/>
          <w:lang w:val="zh-CN"/>
        </w:rPr>
      </w:pPr>
    </w:p>
    <w:p>
      <w:pPr>
        <w:pStyle w:val="19"/>
        <w:ind w:firstLine="281"/>
        <w:rPr>
          <w:b/>
          <w:bCs/>
          <w:color w:val="auto"/>
          <w:sz w:val="28"/>
          <w:szCs w:val="28"/>
          <w:highlight w:val="none"/>
          <w:lang w:val="zh-CN"/>
        </w:rPr>
      </w:pPr>
    </w:p>
    <w:p>
      <w:pPr>
        <w:pStyle w:val="19"/>
        <w:ind w:firstLine="281"/>
        <w:rPr>
          <w:b/>
          <w:bCs/>
          <w:color w:val="auto"/>
          <w:sz w:val="28"/>
          <w:szCs w:val="28"/>
          <w:highlight w:val="none"/>
          <w:lang w:val="zh-CN"/>
        </w:rPr>
      </w:pPr>
    </w:p>
    <w:p>
      <w:pPr>
        <w:pStyle w:val="24"/>
        <w:snapToGrid w:val="0"/>
        <w:spacing w:before="120" w:after="120" w:line="360" w:lineRule="auto"/>
        <w:ind w:firstLine="602" w:firstLineChars="200"/>
        <w:rPr>
          <w:rFonts w:hint="default" w:hAnsi="宋体" w:eastAsia="宋体"/>
          <w:b/>
          <w:bCs/>
          <w:color w:val="auto"/>
          <w:sz w:val="30"/>
          <w:szCs w:val="30"/>
          <w:highlight w:val="none"/>
          <w:lang w:val="en-US" w:eastAsia="zh-CN"/>
        </w:rPr>
      </w:pPr>
      <w:r>
        <w:rPr>
          <w:rFonts w:hint="eastAsia" w:hAnsi="宋体"/>
          <w:b/>
          <w:bCs/>
          <w:color w:val="auto"/>
          <w:sz w:val="30"/>
          <w:szCs w:val="30"/>
          <w:highlight w:val="none"/>
        </w:rPr>
        <w:t>项目编号</w:t>
      </w:r>
      <w:r>
        <w:rPr>
          <w:rFonts w:hAnsi="宋体"/>
          <w:b/>
          <w:bCs/>
          <w:color w:val="auto"/>
          <w:sz w:val="30"/>
          <w:szCs w:val="30"/>
          <w:highlight w:val="none"/>
        </w:rPr>
        <w:t>:</w:t>
      </w:r>
      <w:r>
        <w:rPr>
          <w:rFonts w:hint="eastAsia" w:hAnsi="宋体"/>
          <w:b/>
          <w:bCs/>
          <w:color w:val="auto"/>
          <w:sz w:val="30"/>
          <w:szCs w:val="30"/>
          <w:highlight w:val="none"/>
        </w:rPr>
        <w:t xml:space="preserve"> TY2022-FW</w:t>
      </w:r>
      <w:r>
        <w:rPr>
          <w:rFonts w:hint="eastAsia" w:hAnsi="宋体"/>
          <w:b/>
          <w:bCs/>
          <w:color w:val="auto"/>
          <w:sz w:val="30"/>
          <w:szCs w:val="30"/>
          <w:highlight w:val="none"/>
          <w:lang w:val="en-US" w:eastAsia="zh-CN"/>
        </w:rPr>
        <w:t>365</w:t>
      </w:r>
      <w:r>
        <w:rPr>
          <w:rFonts w:hint="eastAsia" w:hAnsi="宋体"/>
          <w:b/>
          <w:bCs/>
          <w:color w:val="auto"/>
          <w:sz w:val="30"/>
          <w:szCs w:val="30"/>
          <w:highlight w:val="none"/>
        </w:rPr>
        <w:t>-ZFCG</w:t>
      </w:r>
      <w:r>
        <w:rPr>
          <w:rFonts w:hint="eastAsia" w:hAnsi="宋体"/>
          <w:b/>
          <w:bCs/>
          <w:color w:val="auto"/>
          <w:sz w:val="30"/>
          <w:szCs w:val="30"/>
          <w:highlight w:val="none"/>
          <w:lang w:val="en-US" w:eastAsia="zh-CN"/>
        </w:rPr>
        <w:t>365</w:t>
      </w:r>
    </w:p>
    <w:p>
      <w:pPr>
        <w:pStyle w:val="24"/>
        <w:snapToGrid w:val="0"/>
        <w:spacing w:before="120" w:after="120" w:line="360" w:lineRule="auto"/>
        <w:ind w:firstLine="602" w:firstLineChars="200"/>
        <w:rPr>
          <w:rFonts w:hint="eastAsia" w:hAnsi="宋体"/>
          <w:b/>
          <w:bCs/>
          <w:color w:val="auto"/>
          <w:sz w:val="30"/>
          <w:szCs w:val="30"/>
          <w:highlight w:val="none"/>
        </w:rPr>
      </w:pPr>
      <w:r>
        <w:rPr>
          <w:rFonts w:hint="eastAsia" w:hAnsi="宋体"/>
          <w:b/>
          <w:bCs/>
          <w:color w:val="auto"/>
          <w:sz w:val="30"/>
          <w:szCs w:val="30"/>
          <w:highlight w:val="none"/>
        </w:rPr>
        <w:t>采购单位：中共金华经济技术开发区工作委员会政法办公室</w:t>
      </w:r>
    </w:p>
    <w:p>
      <w:pPr>
        <w:pStyle w:val="24"/>
        <w:snapToGrid w:val="0"/>
        <w:spacing w:before="120" w:after="120" w:line="360" w:lineRule="auto"/>
        <w:ind w:firstLine="602" w:firstLineChars="200"/>
        <w:rPr>
          <w:rFonts w:hAnsi="宋体"/>
          <w:b/>
          <w:bCs/>
          <w:color w:val="auto"/>
          <w:sz w:val="30"/>
          <w:szCs w:val="30"/>
          <w:highlight w:val="none"/>
        </w:rPr>
      </w:pPr>
      <w:r>
        <w:rPr>
          <w:rFonts w:hint="eastAsia" w:hAnsi="宋体"/>
          <w:b/>
          <w:bCs/>
          <w:color w:val="auto"/>
          <w:sz w:val="30"/>
          <w:szCs w:val="30"/>
          <w:highlight w:val="none"/>
        </w:rPr>
        <w:t>代理机构</w:t>
      </w:r>
      <w:r>
        <w:rPr>
          <w:rFonts w:hAnsi="宋体"/>
          <w:b/>
          <w:bCs/>
          <w:color w:val="auto"/>
          <w:sz w:val="30"/>
          <w:szCs w:val="30"/>
          <w:highlight w:val="none"/>
        </w:rPr>
        <w:t xml:space="preserve">: </w:t>
      </w:r>
      <w:r>
        <w:rPr>
          <w:rFonts w:hint="eastAsia" w:hAnsi="宋体"/>
          <w:b/>
          <w:bCs/>
          <w:color w:val="auto"/>
          <w:sz w:val="30"/>
          <w:szCs w:val="30"/>
          <w:highlight w:val="none"/>
        </w:rPr>
        <w:t>金华市天盈财务咨询有限公司</w:t>
      </w:r>
    </w:p>
    <w:p>
      <w:pPr>
        <w:pStyle w:val="24"/>
        <w:snapToGrid w:val="0"/>
        <w:spacing w:before="120" w:after="120" w:line="360" w:lineRule="auto"/>
        <w:ind w:firstLine="602" w:firstLineChars="200"/>
        <w:rPr>
          <w:rFonts w:hint="eastAsia" w:hAnsi="宋体"/>
          <w:b/>
          <w:bCs/>
          <w:color w:val="auto"/>
          <w:sz w:val="30"/>
          <w:szCs w:val="30"/>
          <w:highlight w:val="none"/>
        </w:rPr>
      </w:pPr>
      <w:r>
        <w:rPr>
          <w:rFonts w:hint="eastAsia" w:hAnsi="宋体"/>
          <w:b/>
          <w:bCs/>
          <w:color w:val="auto"/>
          <w:sz w:val="30"/>
          <w:szCs w:val="30"/>
          <w:highlight w:val="none"/>
        </w:rPr>
        <w:t>监管单位：金华经济技术开发区管理委员会财政局</w:t>
      </w:r>
    </w:p>
    <w:p>
      <w:pPr>
        <w:spacing w:line="480" w:lineRule="exact"/>
        <w:jc w:val="center"/>
        <w:rPr>
          <w:b/>
          <w:bCs/>
          <w:color w:val="auto"/>
          <w:sz w:val="32"/>
          <w:szCs w:val="32"/>
          <w:highlight w:val="none"/>
          <w:lang w:val="zh-CN"/>
        </w:rPr>
      </w:pPr>
      <w:r>
        <w:rPr>
          <w:b/>
          <w:bCs/>
          <w:color w:val="auto"/>
          <w:sz w:val="32"/>
          <w:szCs w:val="32"/>
          <w:highlight w:val="none"/>
          <w:lang w:val="zh-CN"/>
        </w:rPr>
        <w:t xml:space="preserve">2 0 </w:t>
      </w:r>
      <w:r>
        <w:rPr>
          <w:rFonts w:hint="eastAsia"/>
          <w:b/>
          <w:bCs/>
          <w:color w:val="auto"/>
          <w:sz w:val="32"/>
          <w:szCs w:val="32"/>
          <w:highlight w:val="none"/>
        </w:rPr>
        <w:t>2</w:t>
      </w:r>
      <w:r>
        <w:rPr>
          <w:rFonts w:hint="eastAsia"/>
          <w:b/>
          <w:bCs/>
          <w:color w:val="auto"/>
          <w:sz w:val="32"/>
          <w:szCs w:val="32"/>
          <w:highlight w:val="none"/>
          <w:lang w:val="zh-CN"/>
        </w:rPr>
        <w:t xml:space="preserve"> </w:t>
      </w:r>
      <w:r>
        <w:rPr>
          <w:rFonts w:hint="eastAsia"/>
          <w:b/>
          <w:bCs/>
          <w:color w:val="auto"/>
          <w:sz w:val="32"/>
          <w:szCs w:val="32"/>
          <w:highlight w:val="none"/>
        </w:rPr>
        <w:t>2</w:t>
      </w:r>
      <w:r>
        <w:rPr>
          <w:rFonts w:hint="eastAsia"/>
          <w:b/>
          <w:bCs/>
          <w:color w:val="auto"/>
          <w:sz w:val="32"/>
          <w:szCs w:val="32"/>
          <w:highlight w:val="none"/>
          <w:lang w:val="zh-CN"/>
        </w:rPr>
        <w:t xml:space="preserve"> 年 </w:t>
      </w:r>
      <w:r>
        <w:rPr>
          <w:rFonts w:hint="eastAsia"/>
          <w:b/>
          <w:bCs/>
          <w:color w:val="auto"/>
          <w:sz w:val="32"/>
          <w:szCs w:val="32"/>
          <w:highlight w:val="none"/>
        </w:rPr>
        <w:t>1</w:t>
      </w:r>
      <w:r>
        <w:rPr>
          <w:rFonts w:hint="eastAsia"/>
          <w:b/>
          <w:bCs/>
          <w:color w:val="auto"/>
          <w:sz w:val="32"/>
          <w:szCs w:val="32"/>
          <w:highlight w:val="none"/>
          <w:lang w:val="en-US" w:eastAsia="zh-CN"/>
        </w:rPr>
        <w:t>2</w:t>
      </w:r>
      <w:r>
        <w:rPr>
          <w:rFonts w:hint="eastAsia"/>
          <w:b/>
          <w:bCs/>
          <w:color w:val="auto"/>
          <w:sz w:val="32"/>
          <w:szCs w:val="32"/>
          <w:highlight w:val="none"/>
        </w:rPr>
        <w:t xml:space="preserve"> </w:t>
      </w:r>
      <w:r>
        <w:rPr>
          <w:rFonts w:hint="eastAsia"/>
          <w:b/>
          <w:bCs/>
          <w:color w:val="auto"/>
          <w:sz w:val="32"/>
          <w:szCs w:val="32"/>
          <w:highlight w:val="none"/>
          <w:lang w:val="zh-CN"/>
        </w:rPr>
        <w:t xml:space="preserve">月 </w:t>
      </w:r>
    </w:p>
    <w:p>
      <w:pPr>
        <w:jc w:val="center"/>
        <w:rPr>
          <w:color w:val="auto"/>
          <w:highlight w:val="none"/>
        </w:rPr>
      </w:pPr>
      <w:r>
        <w:rPr>
          <w:b/>
          <w:color w:val="auto"/>
          <w:highlight w:val="none"/>
        </w:rPr>
        <w:br w:type="page"/>
      </w:r>
      <w:r>
        <w:rPr>
          <w:rFonts w:hint="eastAsia"/>
          <w:b/>
          <w:color w:val="auto"/>
          <w:highlight w:val="none"/>
        </w:rPr>
        <w:t>目        录</w:t>
      </w:r>
      <w:bookmarkStart w:id="0" w:name="_Toc237182500"/>
    </w:p>
    <w:p>
      <w:pPr>
        <w:pStyle w:val="31"/>
        <w:tabs>
          <w:tab w:val="right" w:leader="dot" w:pos="9452"/>
        </w:tabs>
        <w:spacing w:line="600" w:lineRule="exact"/>
        <w:rPr>
          <w:rFonts w:ascii="Calibri"/>
          <w:b w:val="0"/>
          <w:bCs w:val="0"/>
          <w:caps w:val="0"/>
          <w:color w:val="auto"/>
          <w:kern w:val="2"/>
          <w:sz w:val="21"/>
          <w:szCs w:val="21"/>
          <w:highlight w:val="none"/>
          <w:lang/>
        </w:rPr>
      </w:pPr>
      <w:r>
        <w:rPr>
          <w:rFonts w:ascii="黑体" w:hAnsi="宋体" w:eastAsia="黑体"/>
          <w:color w:val="auto"/>
          <w:sz w:val="21"/>
          <w:szCs w:val="21"/>
          <w:highlight w:val="none"/>
        </w:rPr>
        <w:fldChar w:fldCharType="begin"/>
      </w:r>
      <w:r>
        <w:rPr>
          <w:rStyle w:val="52"/>
          <w:rFonts w:hint="eastAsia" w:ascii="黑体" w:hAnsi="宋体" w:eastAsia="黑体"/>
          <w:color w:val="auto"/>
          <w:sz w:val="21"/>
          <w:szCs w:val="21"/>
          <w:highlight w:val="none"/>
        </w:rPr>
        <w:instrText xml:space="preserve">TOC \o "1-3" \h \z \u</w:instrText>
      </w:r>
      <w:r>
        <w:rPr>
          <w:rFonts w:ascii="黑体" w:hAnsi="宋体" w:eastAsia="黑体"/>
          <w:color w:val="auto"/>
          <w:sz w:val="21"/>
          <w:szCs w:val="21"/>
          <w:highlight w:val="none"/>
        </w:rPr>
        <w:fldChar w:fldCharType="separate"/>
      </w:r>
      <w:r>
        <w:rPr>
          <w:color w:val="auto"/>
          <w:highlight w:val="none"/>
          <w:lang/>
        </w:rPr>
        <w:fldChar w:fldCharType="begin"/>
      </w:r>
      <w:r>
        <w:rPr>
          <w:color w:val="auto"/>
          <w:highlight w:val="none"/>
          <w:lang/>
        </w:rPr>
        <w:instrText xml:space="preserve"> HYPERLINK \l "_Toc519072686" </w:instrText>
      </w:r>
      <w:r>
        <w:rPr>
          <w:color w:val="auto"/>
          <w:highlight w:val="none"/>
          <w:lang/>
        </w:rPr>
        <w:fldChar w:fldCharType="separate"/>
      </w:r>
      <w:r>
        <w:rPr>
          <w:rStyle w:val="52"/>
          <w:rFonts w:hint="eastAsia" w:ascii="黑体" w:hAnsi="宋体" w:eastAsia="黑体"/>
          <w:color w:val="auto"/>
          <w:sz w:val="21"/>
          <w:szCs w:val="21"/>
          <w:highlight w:val="none"/>
          <w:lang/>
        </w:rPr>
        <w:t>第一部分  竞争性磋商公告</w:t>
      </w:r>
      <w:r>
        <w:rPr>
          <w:color w:val="auto"/>
          <w:sz w:val="21"/>
          <w:szCs w:val="21"/>
          <w:highlight w:val="none"/>
          <w:lang/>
        </w:rPr>
        <w:tab/>
      </w:r>
      <w:r>
        <w:rPr>
          <w:color w:val="auto"/>
          <w:sz w:val="21"/>
          <w:szCs w:val="21"/>
          <w:highlight w:val="none"/>
          <w:lang/>
        </w:rPr>
        <w:fldChar w:fldCharType="begin"/>
      </w:r>
      <w:r>
        <w:rPr>
          <w:color w:val="auto"/>
          <w:sz w:val="21"/>
          <w:szCs w:val="21"/>
          <w:highlight w:val="none"/>
          <w:lang/>
        </w:rPr>
        <w:instrText xml:space="preserve"> PAGEREF _Toc519072686 \h </w:instrText>
      </w:r>
      <w:r>
        <w:rPr>
          <w:color w:val="auto"/>
          <w:sz w:val="21"/>
          <w:szCs w:val="21"/>
          <w:highlight w:val="none"/>
          <w:lang/>
        </w:rPr>
        <w:fldChar w:fldCharType="separate"/>
      </w:r>
      <w:r>
        <w:rPr>
          <w:color w:val="auto"/>
          <w:sz w:val="21"/>
          <w:szCs w:val="21"/>
          <w:highlight w:val="none"/>
          <w:lang/>
        </w:rPr>
        <w:t>3</w:t>
      </w:r>
      <w:r>
        <w:rPr>
          <w:color w:val="auto"/>
          <w:sz w:val="21"/>
          <w:szCs w:val="21"/>
          <w:highlight w:val="none"/>
          <w:lang/>
        </w:rPr>
        <w:fldChar w:fldCharType="end"/>
      </w:r>
      <w:r>
        <w:rPr>
          <w:color w:val="auto"/>
          <w:sz w:val="21"/>
          <w:szCs w:val="21"/>
          <w:highlight w:val="none"/>
          <w:lang/>
        </w:rPr>
        <w:fldChar w:fldCharType="end"/>
      </w:r>
    </w:p>
    <w:p>
      <w:pPr>
        <w:pStyle w:val="31"/>
        <w:tabs>
          <w:tab w:val="right" w:leader="dot" w:pos="9452"/>
        </w:tabs>
        <w:spacing w:line="600" w:lineRule="exact"/>
        <w:rPr>
          <w:rFonts w:ascii="Calibri"/>
          <w:b w:val="0"/>
          <w:bCs w:val="0"/>
          <w:caps w:val="0"/>
          <w:color w:val="auto"/>
          <w:kern w:val="2"/>
          <w:sz w:val="21"/>
          <w:szCs w:val="21"/>
          <w:highlight w:val="none"/>
          <w:lang/>
        </w:rPr>
      </w:pPr>
      <w:r>
        <w:rPr>
          <w:color w:val="auto"/>
          <w:highlight w:val="none"/>
          <w:lang/>
        </w:rPr>
        <w:fldChar w:fldCharType="begin"/>
      </w:r>
      <w:r>
        <w:rPr>
          <w:color w:val="auto"/>
          <w:highlight w:val="none"/>
          <w:lang/>
        </w:rPr>
        <w:instrText xml:space="preserve"> HYPERLINK \l "_Toc519072687" </w:instrText>
      </w:r>
      <w:r>
        <w:rPr>
          <w:color w:val="auto"/>
          <w:highlight w:val="none"/>
          <w:lang/>
        </w:rPr>
        <w:fldChar w:fldCharType="separate"/>
      </w:r>
      <w:r>
        <w:rPr>
          <w:rStyle w:val="52"/>
          <w:rFonts w:hint="eastAsia" w:ascii="黑体" w:hAnsi="宋体" w:eastAsia="黑体"/>
          <w:color w:val="auto"/>
          <w:sz w:val="21"/>
          <w:szCs w:val="21"/>
          <w:highlight w:val="none"/>
          <w:lang/>
        </w:rPr>
        <w:t>第二部分  采购需求</w:t>
      </w:r>
      <w:r>
        <w:rPr>
          <w:color w:val="auto"/>
          <w:sz w:val="21"/>
          <w:szCs w:val="21"/>
          <w:highlight w:val="none"/>
          <w:lang/>
        </w:rPr>
        <w:tab/>
      </w:r>
      <w:r>
        <w:rPr>
          <w:color w:val="auto"/>
          <w:sz w:val="21"/>
          <w:szCs w:val="21"/>
          <w:highlight w:val="none"/>
          <w:lang/>
        </w:rPr>
        <w:fldChar w:fldCharType="begin"/>
      </w:r>
      <w:r>
        <w:rPr>
          <w:color w:val="auto"/>
          <w:sz w:val="21"/>
          <w:szCs w:val="21"/>
          <w:highlight w:val="none"/>
          <w:lang/>
        </w:rPr>
        <w:instrText xml:space="preserve"> PAGEREF _Toc519072687 \h </w:instrText>
      </w:r>
      <w:r>
        <w:rPr>
          <w:color w:val="auto"/>
          <w:sz w:val="21"/>
          <w:szCs w:val="21"/>
          <w:highlight w:val="none"/>
          <w:lang/>
        </w:rPr>
        <w:fldChar w:fldCharType="separate"/>
      </w:r>
      <w:r>
        <w:rPr>
          <w:color w:val="auto"/>
          <w:sz w:val="21"/>
          <w:szCs w:val="21"/>
          <w:highlight w:val="none"/>
          <w:lang/>
        </w:rPr>
        <w:t>3</w:t>
      </w:r>
      <w:r>
        <w:rPr>
          <w:color w:val="auto"/>
          <w:sz w:val="21"/>
          <w:szCs w:val="21"/>
          <w:highlight w:val="none"/>
          <w:lang/>
        </w:rPr>
        <w:fldChar w:fldCharType="end"/>
      </w:r>
      <w:r>
        <w:rPr>
          <w:color w:val="auto"/>
          <w:sz w:val="21"/>
          <w:szCs w:val="21"/>
          <w:highlight w:val="none"/>
          <w:lang/>
        </w:rPr>
        <w:fldChar w:fldCharType="end"/>
      </w:r>
    </w:p>
    <w:p>
      <w:pPr>
        <w:pStyle w:val="31"/>
        <w:tabs>
          <w:tab w:val="right" w:leader="dot" w:pos="9452"/>
        </w:tabs>
        <w:spacing w:line="600" w:lineRule="exact"/>
        <w:rPr>
          <w:rFonts w:ascii="Calibri"/>
          <w:b w:val="0"/>
          <w:bCs w:val="0"/>
          <w:caps w:val="0"/>
          <w:color w:val="auto"/>
          <w:kern w:val="2"/>
          <w:sz w:val="21"/>
          <w:szCs w:val="21"/>
          <w:highlight w:val="none"/>
          <w:lang/>
        </w:rPr>
      </w:pPr>
      <w:r>
        <w:rPr>
          <w:color w:val="auto"/>
          <w:highlight w:val="none"/>
          <w:lang/>
        </w:rPr>
        <w:fldChar w:fldCharType="begin"/>
      </w:r>
      <w:r>
        <w:rPr>
          <w:color w:val="auto"/>
          <w:highlight w:val="none"/>
          <w:lang/>
        </w:rPr>
        <w:instrText xml:space="preserve"> HYPERLINK \l "_Toc519072688" </w:instrText>
      </w:r>
      <w:r>
        <w:rPr>
          <w:color w:val="auto"/>
          <w:highlight w:val="none"/>
          <w:lang/>
        </w:rPr>
        <w:fldChar w:fldCharType="separate"/>
      </w:r>
      <w:r>
        <w:rPr>
          <w:rStyle w:val="52"/>
          <w:rFonts w:hint="eastAsia" w:ascii="黑体" w:hAnsi="宋体" w:eastAsia="黑体"/>
          <w:color w:val="auto"/>
          <w:sz w:val="21"/>
          <w:szCs w:val="21"/>
          <w:highlight w:val="none"/>
          <w:lang/>
        </w:rPr>
        <w:t>第三部分  供应商须知</w:t>
      </w:r>
      <w:r>
        <w:rPr>
          <w:color w:val="auto"/>
          <w:sz w:val="21"/>
          <w:szCs w:val="21"/>
          <w:highlight w:val="none"/>
          <w:lang/>
        </w:rPr>
        <w:tab/>
      </w:r>
      <w:r>
        <w:rPr>
          <w:color w:val="auto"/>
          <w:sz w:val="21"/>
          <w:szCs w:val="21"/>
          <w:highlight w:val="none"/>
          <w:lang/>
        </w:rPr>
        <w:fldChar w:fldCharType="begin"/>
      </w:r>
      <w:r>
        <w:rPr>
          <w:color w:val="auto"/>
          <w:sz w:val="21"/>
          <w:szCs w:val="21"/>
          <w:highlight w:val="none"/>
          <w:lang/>
        </w:rPr>
        <w:instrText xml:space="preserve"> PAGEREF _Toc519072688 \h </w:instrText>
      </w:r>
      <w:r>
        <w:rPr>
          <w:color w:val="auto"/>
          <w:sz w:val="21"/>
          <w:szCs w:val="21"/>
          <w:highlight w:val="none"/>
          <w:lang/>
        </w:rPr>
        <w:fldChar w:fldCharType="separate"/>
      </w:r>
      <w:r>
        <w:rPr>
          <w:color w:val="auto"/>
          <w:sz w:val="21"/>
          <w:szCs w:val="21"/>
          <w:highlight w:val="none"/>
          <w:lang/>
        </w:rPr>
        <w:t>61</w:t>
      </w:r>
      <w:r>
        <w:rPr>
          <w:color w:val="auto"/>
          <w:sz w:val="21"/>
          <w:szCs w:val="21"/>
          <w:highlight w:val="none"/>
          <w:lang/>
        </w:rPr>
        <w:fldChar w:fldCharType="end"/>
      </w:r>
      <w:r>
        <w:rPr>
          <w:color w:val="auto"/>
          <w:sz w:val="21"/>
          <w:szCs w:val="21"/>
          <w:highlight w:val="none"/>
          <w:lang/>
        </w:rPr>
        <w:fldChar w:fldCharType="end"/>
      </w:r>
    </w:p>
    <w:p>
      <w:pPr>
        <w:pStyle w:val="31"/>
        <w:tabs>
          <w:tab w:val="right" w:leader="dot" w:pos="9452"/>
        </w:tabs>
        <w:spacing w:line="600" w:lineRule="exact"/>
        <w:rPr>
          <w:rFonts w:ascii="Calibri"/>
          <w:b w:val="0"/>
          <w:bCs w:val="0"/>
          <w:caps w:val="0"/>
          <w:color w:val="auto"/>
          <w:kern w:val="2"/>
          <w:sz w:val="21"/>
          <w:szCs w:val="21"/>
          <w:highlight w:val="none"/>
          <w:lang/>
        </w:rPr>
      </w:pPr>
      <w:r>
        <w:rPr>
          <w:color w:val="auto"/>
          <w:highlight w:val="none"/>
          <w:lang/>
        </w:rPr>
        <w:fldChar w:fldCharType="begin"/>
      </w:r>
      <w:r>
        <w:rPr>
          <w:color w:val="auto"/>
          <w:highlight w:val="none"/>
          <w:lang/>
        </w:rPr>
        <w:instrText xml:space="preserve"> HYPERLINK \l "_Toc519072690" </w:instrText>
      </w:r>
      <w:r>
        <w:rPr>
          <w:color w:val="auto"/>
          <w:highlight w:val="none"/>
          <w:lang/>
        </w:rPr>
        <w:fldChar w:fldCharType="separate"/>
      </w:r>
      <w:r>
        <w:rPr>
          <w:rStyle w:val="52"/>
          <w:rFonts w:hint="eastAsia" w:ascii="黑体" w:hAnsi="宋体" w:eastAsia="黑体"/>
          <w:color w:val="auto"/>
          <w:sz w:val="21"/>
          <w:szCs w:val="21"/>
          <w:highlight w:val="none"/>
          <w:lang/>
        </w:rPr>
        <w:t>第四部分  磋商办法</w:t>
      </w:r>
      <w:bookmarkStart w:id="1" w:name="_Hlt92789098"/>
      <w:bookmarkStart w:id="2" w:name="_Hlt92789099"/>
      <w:r>
        <w:rPr>
          <w:rStyle w:val="52"/>
          <w:rFonts w:hint="eastAsia" w:ascii="黑体" w:hAnsi="宋体" w:eastAsia="黑体"/>
          <w:color w:val="auto"/>
          <w:sz w:val="21"/>
          <w:szCs w:val="21"/>
          <w:highlight w:val="none"/>
          <w:lang/>
        </w:rPr>
        <w:t>及</w:t>
      </w:r>
      <w:bookmarkEnd w:id="1"/>
      <w:bookmarkEnd w:id="2"/>
      <w:r>
        <w:rPr>
          <w:rStyle w:val="52"/>
          <w:rFonts w:hint="eastAsia" w:ascii="黑体" w:hAnsi="宋体" w:eastAsia="黑体"/>
          <w:color w:val="auto"/>
          <w:sz w:val="21"/>
          <w:szCs w:val="21"/>
          <w:highlight w:val="none"/>
          <w:lang/>
        </w:rPr>
        <w:t>评分标准</w:t>
      </w:r>
      <w:r>
        <w:rPr>
          <w:color w:val="auto"/>
          <w:sz w:val="21"/>
          <w:szCs w:val="21"/>
          <w:highlight w:val="none"/>
          <w:lang/>
        </w:rPr>
        <w:tab/>
      </w:r>
      <w:r>
        <w:rPr>
          <w:color w:val="auto"/>
          <w:sz w:val="21"/>
          <w:szCs w:val="21"/>
          <w:highlight w:val="none"/>
          <w:lang/>
        </w:rPr>
        <w:fldChar w:fldCharType="begin"/>
      </w:r>
      <w:r>
        <w:rPr>
          <w:color w:val="auto"/>
          <w:sz w:val="21"/>
          <w:szCs w:val="21"/>
          <w:highlight w:val="none"/>
          <w:lang/>
        </w:rPr>
        <w:instrText xml:space="preserve"> PAGEREF _Toc519072690 \h </w:instrText>
      </w:r>
      <w:r>
        <w:rPr>
          <w:color w:val="auto"/>
          <w:sz w:val="21"/>
          <w:szCs w:val="21"/>
          <w:highlight w:val="none"/>
          <w:lang/>
        </w:rPr>
        <w:fldChar w:fldCharType="separate"/>
      </w:r>
      <w:r>
        <w:rPr>
          <w:color w:val="auto"/>
          <w:sz w:val="21"/>
          <w:szCs w:val="21"/>
          <w:highlight w:val="none"/>
          <w:lang/>
        </w:rPr>
        <w:t>74</w:t>
      </w:r>
      <w:r>
        <w:rPr>
          <w:color w:val="auto"/>
          <w:sz w:val="21"/>
          <w:szCs w:val="21"/>
          <w:highlight w:val="none"/>
          <w:lang/>
        </w:rPr>
        <w:fldChar w:fldCharType="end"/>
      </w:r>
      <w:r>
        <w:rPr>
          <w:color w:val="auto"/>
          <w:sz w:val="21"/>
          <w:szCs w:val="21"/>
          <w:highlight w:val="none"/>
          <w:lang/>
        </w:rPr>
        <w:fldChar w:fldCharType="end"/>
      </w:r>
    </w:p>
    <w:p>
      <w:pPr>
        <w:pStyle w:val="31"/>
        <w:tabs>
          <w:tab w:val="right" w:leader="dot" w:pos="9452"/>
        </w:tabs>
        <w:spacing w:line="600" w:lineRule="exact"/>
        <w:rPr>
          <w:rFonts w:ascii="Calibri"/>
          <w:b w:val="0"/>
          <w:bCs w:val="0"/>
          <w:caps w:val="0"/>
          <w:color w:val="auto"/>
          <w:kern w:val="2"/>
          <w:sz w:val="21"/>
          <w:szCs w:val="21"/>
          <w:highlight w:val="none"/>
          <w:lang/>
        </w:rPr>
      </w:pPr>
      <w:r>
        <w:rPr>
          <w:color w:val="auto"/>
          <w:highlight w:val="none"/>
          <w:lang/>
        </w:rPr>
        <w:fldChar w:fldCharType="begin"/>
      </w:r>
      <w:r>
        <w:rPr>
          <w:color w:val="auto"/>
          <w:highlight w:val="none"/>
          <w:lang/>
        </w:rPr>
        <w:instrText xml:space="preserve"> HYPERLINK \l "_Toc519072691" </w:instrText>
      </w:r>
      <w:r>
        <w:rPr>
          <w:color w:val="auto"/>
          <w:highlight w:val="none"/>
          <w:lang/>
        </w:rPr>
        <w:fldChar w:fldCharType="separate"/>
      </w:r>
      <w:r>
        <w:rPr>
          <w:rStyle w:val="52"/>
          <w:rFonts w:hint="eastAsia" w:ascii="黑体" w:hAnsi="宋体" w:eastAsia="黑体"/>
          <w:color w:val="auto"/>
          <w:sz w:val="21"/>
          <w:szCs w:val="21"/>
          <w:highlight w:val="none"/>
          <w:lang/>
        </w:rPr>
        <w:t>第五部分  合同主要条款</w:t>
      </w:r>
      <w:r>
        <w:rPr>
          <w:color w:val="auto"/>
          <w:sz w:val="21"/>
          <w:szCs w:val="21"/>
          <w:highlight w:val="none"/>
          <w:lang/>
        </w:rPr>
        <w:tab/>
      </w:r>
      <w:r>
        <w:rPr>
          <w:color w:val="auto"/>
          <w:sz w:val="21"/>
          <w:szCs w:val="21"/>
          <w:highlight w:val="none"/>
          <w:lang/>
        </w:rPr>
        <w:fldChar w:fldCharType="begin"/>
      </w:r>
      <w:r>
        <w:rPr>
          <w:color w:val="auto"/>
          <w:sz w:val="21"/>
          <w:szCs w:val="21"/>
          <w:highlight w:val="none"/>
          <w:lang/>
        </w:rPr>
        <w:instrText xml:space="preserve"> PAGEREF _Toc519072691 \h </w:instrText>
      </w:r>
      <w:r>
        <w:rPr>
          <w:color w:val="auto"/>
          <w:sz w:val="21"/>
          <w:szCs w:val="21"/>
          <w:highlight w:val="none"/>
          <w:lang/>
        </w:rPr>
        <w:fldChar w:fldCharType="separate"/>
      </w:r>
      <w:r>
        <w:rPr>
          <w:color w:val="auto"/>
          <w:sz w:val="21"/>
          <w:szCs w:val="21"/>
          <w:highlight w:val="none"/>
          <w:lang/>
        </w:rPr>
        <w:t>86</w:t>
      </w:r>
      <w:r>
        <w:rPr>
          <w:color w:val="auto"/>
          <w:sz w:val="21"/>
          <w:szCs w:val="21"/>
          <w:highlight w:val="none"/>
          <w:lang/>
        </w:rPr>
        <w:fldChar w:fldCharType="end"/>
      </w:r>
      <w:r>
        <w:rPr>
          <w:color w:val="auto"/>
          <w:sz w:val="21"/>
          <w:szCs w:val="21"/>
          <w:highlight w:val="none"/>
          <w:lang/>
        </w:rPr>
        <w:fldChar w:fldCharType="end"/>
      </w:r>
    </w:p>
    <w:p>
      <w:pPr>
        <w:pStyle w:val="31"/>
        <w:tabs>
          <w:tab w:val="right" w:leader="dot" w:pos="9452"/>
        </w:tabs>
        <w:spacing w:line="600" w:lineRule="exact"/>
        <w:rPr>
          <w:color w:val="auto"/>
          <w:sz w:val="21"/>
          <w:szCs w:val="21"/>
          <w:highlight w:val="none"/>
          <w:lang/>
        </w:rPr>
      </w:pPr>
      <w:r>
        <w:rPr>
          <w:color w:val="auto"/>
          <w:highlight w:val="none"/>
          <w:lang/>
        </w:rPr>
        <w:fldChar w:fldCharType="begin"/>
      </w:r>
      <w:r>
        <w:rPr>
          <w:color w:val="auto"/>
          <w:highlight w:val="none"/>
          <w:lang/>
        </w:rPr>
        <w:instrText xml:space="preserve"> HYPERLINK \l "_Toc519072692" </w:instrText>
      </w:r>
      <w:r>
        <w:rPr>
          <w:color w:val="auto"/>
          <w:highlight w:val="none"/>
          <w:lang/>
        </w:rPr>
        <w:fldChar w:fldCharType="separate"/>
      </w:r>
      <w:r>
        <w:rPr>
          <w:rStyle w:val="52"/>
          <w:rFonts w:hint="eastAsia" w:ascii="黑体" w:hAnsi="宋体" w:eastAsia="黑体"/>
          <w:color w:val="auto"/>
          <w:sz w:val="21"/>
          <w:szCs w:val="21"/>
          <w:highlight w:val="none"/>
          <w:lang/>
        </w:rPr>
        <w:t xml:space="preserve">第六部分  </w:t>
      </w:r>
      <w:bookmarkStart w:id="3" w:name="_Hlt62470733"/>
      <w:bookmarkStart w:id="4" w:name="_Hlt62470732"/>
      <w:r>
        <w:rPr>
          <w:rStyle w:val="52"/>
          <w:rFonts w:hint="eastAsia" w:ascii="黑体" w:hAnsi="宋体" w:eastAsia="黑体"/>
          <w:color w:val="auto"/>
          <w:sz w:val="21"/>
          <w:szCs w:val="21"/>
          <w:highlight w:val="none"/>
          <w:lang/>
        </w:rPr>
        <w:t>响</w:t>
      </w:r>
      <w:bookmarkEnd w:id="3"/>
      <w:bookmarkEnd w:id="4"/>
      <w:r>
        <w:rPr>
          <w:rStyle w:val="52"/>
          <w:rFonts w:hint="eastAsia" w:ascii="黑体" w:hAnsi="宋体" w:eastAsia="黑体"/>
          <w:color w:val="auto"/>
          <w:sz w:val="21"/>
          <w:szCs w:val="21"/>
          <w:highlight w:val="none"/>
          <w:lang/>
        </w:rPr>
        <w:t>应文件格式范例</w:t>
      </w:r>
      <w:r>
        <w:rPr>
          <w:color w:val="auto"/>
          <w:sz w:val="21"/>
          <w:szCs w:val="21"/>
          <w:highlight w:val="none"/>
          <w:lang/>
        </w:rPr>
        <w:tab/>
      </w:r>
      <w:r>
        <w:rPr>
          <w:color w:val="auto"/>
          <w:sz w:val="21"/>
          <w:szCs w:val="21"/>
          <w:highlight w:val="none"/>
          <w:lang/>
        </w:rPr>
        <w:fldChar w:fldCharType="begin"/>
      </w:r>
      <w:r>
        <w:rPr>
          <w:color w:val="auto"/>
          <w:sz w:val="21"/>
          <w:szCs w:val="21"/>
          <w:highlight w:val="none"/>
          <w:lang/>
        </w:rPr>
        <w:instrText xml:space="preserve"> PAGEREF _Toc519072692 \h </w:instrText>
      </w:r>
      <w:r>
        <w:rPr>
          <w:color w:val="auto"/>
          <w:sz w:val="21"/>
          <w:szCs w:val="21"/>
          <w:highlight w:val="none"/>
          <w:lang/>
        </w:rPr>
        <w:fldChar w:fldCharType="separate"/>
      </w:r>
      <w:r>
        <w:rPr>
          <w:color w:val="auto"/>
          <w:sz w:val="21"/>
          <w:szCs w:val="21"/>
          <w:highlight w:val="none"/>
          <w:lang/>
        </w:rPr>
        <w:t>86</w:t>
      </w:r>
      <w:r>
        <w:rPr>
          <w:color w:val="auto"/>
          <w:sz w:val="21"/>
          <w:szCs w:val="21"/>
          <w:highlight w:val="none"/>
          <w:lang/>
        </w:rPr>
        <w:fldChar w:fldCharType="end"/>
      </w:r>
      <w:r>
        <w:rPr>
          <w:color w:val="auto"/>
          <w:sz w:val="21"/>
          <w:szCs w:val="21"/>
          <w:highlight w:val="none"/>
          <w:lang/>
        </w:rPr>
        <w:fldChar w:fldCharType="end"/>
      </w:r>
    </w:p>
    <w:p>
      <w:pPr>
        <w:pStyle w:val="19"/>
        <w:ind w:firstLine="0" w:firstLineChars="0"/>
        <w:rPr>
          <w:color w:val="auto"/>
          <w:highlight w:val="none"/>
          <w:lang/>
        </w:rPr>
      </w:pPr>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int="eastAsia" w:hAnsi="宋体" w:cs="宋体"/>
          <w:b/>
          <w:color w:val="auto"/>
          <w:sz w:val="21"/>
          <w:highlight w:val="none"/>
        </w:rPr>
      </w:pPr>
      <w:r>
        <w:rPr>
          <w:rFonts w:ascii="黑体" w:hAnsi="宋体" w:eastAsia="黑体"/>
          <w:b/>
          <w:bCs/>
          <w:caps/>
          <w:color w:val="auto"/>
          <w:sz w:val="21"/>
          <w:highlight w:val="none"/>
        </w:rPr>
        <w:fldChar w:fldCharType="end"/>
      </w:r>
      <w:r>
        <w:rPr>
          <w:rFonts w:hint="eastAsia" w:hAnsi="宋体" w:cs="宋体"/>
          <w:b/>
          <w:color w:val="auto"/>
          <w:sz w:val="21"/>
          <w:highlight w:val="none"/>
        </w:rPr>
        <w:t>为确保招投标活动的公开、公平、公正，切实维护各方合法权益，凡在招标投标、开标评标过程中，</w:t>
      </w:r>
    </w:p>
    <w:p>
      <w:pPr>
        <w:pStyle w:val="24"/>
        <w:pBdr>
          <w:top w:val="single" w:color="auto" w:sz="4" w:space="1"/>
          <w:left w:val="single" w:color="auto" w:sz="4" w:space="4"/>
          <w:bottom w:val="single" w:color="auto" w:sz="4" w:space="1"/>
          <w:right w:val="single" w:color="auto" w:sz="4" w:space="4"/>
        </w:pBdr>
        <w:snapToGrid w:val="0"/>
        <w:spacing w:line="460" w:lineRule="exact"/>
        <w:outlineLvl w:val="0"/>
        <w:rPr>
          <w:rFonts w:hint="eastAsia" w:hAnsi="宋体" w:cs="宋体"/>
          <w:b/>
          <w:color w:val="auto"/>
          <w:sz w:val="21"/>
          <w:highlight w:val="none"/>
        </w:rPr>
      </w:pPr>
      <w:r>
        <w:rPr>
          <w:rFonts w:hint="eastAsia" w:hAnsi="宋体" w:cs="宋体"/>
          <w:b/>
          <w:color w:val="auto"/>
          <w:sz w:val="21"/>
          <w:highlight w:val="none"/>
        </w:rPr>
        <w:t>受到敲诈、勒索或发现围标串标、虚假投标、恶意竞标等涉黑涉恶线索者，请及时保留相关证据并向有关部门举报！</w:t>
      </w:r>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int="eastAsia" w:hAnsi="宋体" w:cs="宋体"/>
          <w:b/>
          <w:color w:val="auto"/>
          <w:sz w:val="21"/>
          <w:highlight w:val="none"/>
        </w:rPr>
      </w:pPr>
      <w:r>
        <w:rPr>
          <w:rFonts w:hint="eastAsia" w:hAnsi="宋体" w:cs="宋体"/>
          <w:b/>
          <w:color w:val="auto"/>
          <w:sz w:val="21"/>
          <w:highlight w:val="none"/>
        </w:rPr>
        <w:t>举报电话：</w:t>
      </w:r>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int="eastAsia" w:hAnsi="宋体" w:cs="宋体"/>
          <w:b/>
          <w:color w:val="auto"/>
          <w:sz w:val="21"/>
          <w:highlight w:val="none"/>
        </w:rPr>
      </w:pPr>
      <w:r>
        <w:rPr>
          <w:rFonts w:hint="eastAsia" w:hAnsi="宋体" w:cs="宋体"/>
          <w:b/>
          <w:color w:val="auto"/>
          <w:sz w:val="21"/>
          <w:highlight w:val="none"/>
        </w:rPr>
        <w:t>市扫黑办  0579-82495227</w:t>
      </w:r>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int="eastAsia" w:hAnsi="宋体" w:cs="宋体"/>
          <w:b/>
          <w:color w:val="auto"/>
          <w:sz w:val="21"/>
          <w:highlight w:val="none"/>
        </w:rPr>
      </w:pPr>
      <w:r>
        <w:rPr>
          <w:rFonts w:hint="eastAsia" w:hAnsi="宋体" w:cs="宋体"/>
          <w:b/>
          <w:color w:val="auto"/>
          <w:sz w:val="21"/>
          <w:highlight w:val="none"/>
        </w:rPr>
        <w:t>市公安局  110、0579-82512110</w:t>
      </w:r>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int="eastAsia" w:hAnsi="宋体" w:cs="宋体"/>
          <w:b/>
          <w:color w:val="auto"/>
          <w:sz w:val="21"/>
          <w:highlight w:val="none"/>
        </w:rPr>
      </w:pPr>
      <w:r>
        <w:rPr>
          <w:rFonts w:hint="eastAsia" w:hAnsi="宋体" w:cs="宋体"/>
          <w:b/>
          <w:color w:val="auto"/>
          <w:sz w:val="21"/>
          <w:highlight w:val="none"/>
        </w:rPr>
        <w:t>市检察院  0579-82537082</w:t>
      </w:r>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int="eastAsia" w:hAnsi="宋体" w:cs="宋体"/>
          <w:b/>
          <w:color w:val="auto"/>
          <w:sz w:val="21"/>
          <w:highlight w:val="none"/>
        </w:rPr>
      </w:pPr>
      <w:r>
        <w:rPr>
          <w:rFonts w:hint="eastAsia" w:hAnsi="宋体" w:cs="宋体"/>
          <w:b/>
          <w:color w:val="auto"/>
          <w:sz w:val="21"/>
          <w:highlight w:val="none"/>
        </w:rPr>
        <w:t>市 法 院  0579-82688725</w:t>
      </w:r>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int="eastAsia" w:hAnsi="宋体" w:cs="宋体"/>
          <w:b/>
          <w:color w:val="auto"/>
          <w:sz w:val="21"/>
          <w:highlight w:val="none"/>
        </w:rPr>
      </w:pPr>
      <w:r>
        <w:rPr>
          <w:rFonts w:hint="eastAsia" w:hAnsi="宋体" w:cs="宋体"/>
          <w:b/>
          <w:color w:val="auto"/>
          <w:sz w:val="21"/>
          <w:highlight w:val="none"/>
        </w:rPr>
        <w:t>市公共资源交易管理办公室  0579-82469285</w:t>
      </w:r>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int="eastAsia" w:hAnsi="宋体" w:cs="宋体"/>
          <w:b/>
          <w:color w:val="auto"/>
          <w:sz w:val="21"/>
          <w:highlight w:val="none"/>
        </w:rPr>
      </w:pPr>
      <w:r>
        <w:rPr>
          <w:rFonts w:hint="eastAsia" w:hAnsi="宋体" w:cs="宋体"/>
          <w:b/>
          <w:color w:val="auto"/>
          <w:sz w:val="21"/>
          <w:highlight w:val="none"/>
        </w:rPr>
        <w:t>市公共资源交易中心  0579-83187211</w:t>
      </w:r>
    </w:p>
    <w:p>
      <w:pPr>
        <w:spacing w:line="480" w:lineRule="auto"/>
        <w:ind w:firstLine="211" w:firstLineChars="100"/>
        <w:jc w:val="both"/>
        <w:rPr>
          <w:rFonts w:hAnsi="宋体"/>
          <w:b/>
          <w:bCs/>
          <w:color w:val="auto"/>
          <w:sz w:val="21"/>
          <w:szCs w:val="21"/>
          <w:highlight w:val="none"/>
        </w:rPr>
      </w:pPr>
      <w:bookmarkStart w:id="5" w:name="_Toc237193452"/>
      <w:bookmarkStart w:id="6" w:name="_Toc237189781"/>
      <w:bookmarkStart w:id="7" w:name="_Toc237413905"/>
      <w:bookmarkStart w:id="8" w:name="_Toc237340100"/>
      <w:bookmarkStart w:id="9" w:name="_Toc237414001"/>
      <w:r>
        <w:rPr>
          <w:rFonts w:hint="eastAsia" w:hAnsi="宋体"/>
          <w:b/>
          <w:bCs/>
          <w:color w:val="auto"/>
          <w:sz w:val="21"/>
          <w:szCs w:val="21"/>
          <w:highlight w:val="none"/>
        </w:rPr>
        <w:t>温馨提示：</w:t>
      </w:r>
    </w:p>
    <w:p>
      <w:pPr>
        <w:numPr>
          <w:ilvl w:val="0"/>
          <w:numId w:val="1"/>
        </w:numPr>
        <w:spacing w:line="380" w:lineRule="exact"/>
        <w:jc w:val="both"/>
        <w:rPr>
          <w:rFonts w:hAnsi="宋体" w:cs="宋体"/>
          <w:b/>
          <w:color w:val="auto"/>
          <w:sz w:val="21"/>
          <w:szCs w:val="21"/>
          <w:highlight w:val="none"/>
        </w:rPr>
      </w:pPr>
      <w:r>
        <w:rPr>
          <w:rFonts w:hint="eastAsia" w:hAnsi="宋体" w:cs="宋体"/>
          <w:b/>
          <w:color w:val="auto"/>
          <w:sz w:val="21"/>
          <w:szCs w:val="21"/>
          <w:highlight w:val="none"/>
        </w:rPr>
        <w:t>供应商不得向采购人、政府采购工作人员、磋商专家行贿，违者一经查实，将列入政府采购黑名单！</w:t>
      </w:r>
    </w:p>
    <w:p>
      <w:pPr>
        <w:numPr>
          <w:ilvl w:val="0"/>
          <w:numId w:val="1"/>
        </w:numPr>
        <w:spacing w:line="380" w:lineRule="exact"/>
        <w:jc w:val="both"/>
        <w:rPr>
          <w:rFonts w:hAnsi="宋体" w:cs="宋体"/>
          <w:b/>
          <w:color w:val="auto"/>
          <w:sz w:val="21"/>
          <w:szCs w:val="21"/>
          <w:highlight w:val="none"/>
        </w:rPr>
      </w:pPr>
      <w:r>
        <w:rPr>
          <w:rFonts w:hint="eastAsia" w:hAnsi="宋体" w:cs="宋体"/>
          <w:b/>
          <w:color w:val="auto"/>
          <w:sz w:val="21"/>
          <w:szCs w:val="21"/>
          <w:highlight w:val="none"/>
        </w:rPr>
        <w:t>供应商可在政采云平台（</w:t>
      </w:r>
      <w:r>
        <w:rPr>
          <w:rFonts w:hint="eastAsia" w:hAnsi="宋体" w:cs="宋体"/>
          <w:b/>
          <w:color w:val="auto"/>
          <w:sz w:val="21"/>
          <w:szCs w:val="21"/>
          <w:highlight w:val="none"/>
        </w:rPr>
        <w:fldChar w:fldCharType="begin"/>
      </w:r>
      <w:r>
        <w:rPr>
          <w:rFonts w:hint="eastAsia" w:hAnsi="宋体" w:cs="宋体"/>
          <w:b/>
          <w:color w:val="auto"/>
          <w:sz w:val="21"/>
          <w:szCs w:val="21"/>
          <w:highlight w:val="none"/>
        </w:rPr>
        <w:instrText xml:space="preserve"> HYPERLINK "http://www.zjzfcg.gov.cn/" </w:instrText>
      </w:r>
      <w:r>
        <w:rPr>
          <w:rFonts w:hint="eastAsia" w:hAnsi="宋体" w:cs="宋体"/>
          <w:b/>
          <w:color w:val="auto"/>
          <w:sz w:val="21"/>
          <w:szCs w:val="21"/>
          <w:highlight w:val="none"/>
        </w:rPr>
        <w:fldChar w:fldCharType="separate"/>
      </w:r>
      <w:r>
        <w:rPr>
          <w:rFonts w:hint="eastAsia" w:hAnsi="宋体" w:cs="宋体"/>
          <w:b/>
          <w:color w:val="auto"/>
          <w:sz w:val="21"/>
          <w:szCs w:val="21"/>
          <w:highlight w:val="none"/>
        </w:rPr>
        <w:t>http://zfcg.czt.zj.gov.cn/</w:t>
      </w:r>
      <w:r>
        <w:rPr>
          <w:rFonts w:hint="eastAsia" w:hAnsi="宋体" w:cs="宋体"/>
          <w:b/>
          <w:color w:val="auto"/>
          <w:sz w:val="21"/>
          <w:szCs w:val="21"/>
          <w:highlight w:val="none"/>
        </w:rPr>
        <w:fldChar w:fldCharType="end"/>
      </w:r>
      <w:r>
        <w:rPr>
          <w:rFonts w:hint="eastAsia" w:hAnsi="宋体" w:cs="宋体"/>
          <w:b/>
          <w:color w:val="auto"/>
          <w:sz w:val="21"/>
          <w:szCs w:val="21"/>
          <w:highlight w:val="none"/>
        </w:rPr>
        <w:t>）进行免费注册，具体详见网站供应商注册要求，供应商获取成交资格后应在合同签订前完成注册并成为正式注册供应商。否则将无法完成合同签订与付款程序。</w:t>
      </w:r>
    </w:p>
    <w:p>
      <w:pPr>
        <w:tabs>
          <w:tab w:val="left" w:pos="0"/>
        </w:tabs>
        <w:spacing w:line="380" w:lineRule="exact"/>
        <w:ind w:left="562"/>
        <w:jc w:val="both"/>
        <w:rPr>
          <w:rFonts w:hAnsi="宋体"/>
          <w:color w:val="auto"/>
          <w:sz w:val="21"/>
          <w:szCs w:val="21"/>
          <w:highlight w:val="none"/>
        </w:rPr>
      </w:pPr>
      <w:r>
        <w:rPr>
          <w:rFonts w:hint="eastAsia" w:hAnsi="宋体" w:cs="宋体"/>
          <w:b/>
          <w:color w:val="auto"/>
          <w:sz w:val="21"/>
          <w:szCs w:val="21"/>
          <w:highlight w:val="none"/>
        </w:rPr>
        <w:t>（注：请认真阅读此竞争性磋商文件，并按规定制作磋商响应文件，否则我们的努力将是徒劳。）</w:t>
      </w:r>
      <w:bookmarkEnd w:id="0"/>
      <w:bookmarkEnd w:id="5"/>
      <w:bookmarkEnd w:id="6"/>
      <w:bookmarkEnd w:id="7"/>
      <w:bookmarkEnd w:id="8"/>
      <w:bookmarkEnd w:id="9"/>
      <w:bookmarkStart w:id="10" w:name="_Toc184785918"/>
      <w:bookmarkStart w:id="11" w:name="_Toc205638623"/>
      <w:bookmarkStart w:id="12" w:name="_Toc217289129"/>
      <w:bookmarkStart w:id="13" w:name="_Toc237176505"/>
    </w:p>
    <w:p>
      <w:pPr>
        <w:pStyle w:val="42"/>
        <w:ind w:left="680"/>
        <w:rPr>
          <w:rFonts w:hint="eastAsia"/>
          <w:color w:val="auto"/>
          <w:highlight w:val="none"/>
        </w:rPr>
      </w:pPr>
    </w:p>
    <w:p>
      <w:pPr>
        <w:pStyle w:val="2"/>
        <w:spacing w:line="360" w:lineRule="auto"/>
        <w:jc w:val="center"/>
        <w:rPr>
          <w:rFonts w:ascii="黑体" w:hAnsi="宋体" w:eastAsia="黑体"/>
          <w:color w:val="auto"/>
          <w:sz w:val="30"/>
          <w:szCs w:val="30"/>
          <w:highlight w:val="none"/>
        </w:rPr>
      </w:pPr>
      <w:bookmarkStart w:id="14" w:name="_Toc237340101"/>
      <w:bookmarkStart w:id="15" w:name="_Toc237193453"/>
      <w:bookmarkStart w:id="16" w:name="_Toc237189782"/>
      <w:bookmarkStart w:id="17" w:name="_Toc237414002"/>
      <w:bookmarkStart w:id="18" w:name="_Toc237413906"/>
      <w:bookmarkStart w:id="19" w:name="_Toc264211065"/>
      <w:bookmarkStart w:id="20" w:name="_Toc256977533"/>
      <w:bookmarkStart w:id="21" w:name="_Toc265065977"/>
      <w:bookmarkStart w:id="22" w:name="_Toc237182501"/>
      <w:bookmarkStart w:id="23" w:name="_Toc295737623"/>
      <w:bookmarkStart w:id="24" w:name="_Toc296074334"/>
      <w:bookmarkStart w:id="25" w:name="_Toc295910871"/>
      <w:bookmarkStart w:id="26" w:name="_Toc519072686"/>
      <w:r>
        <w:rPr>
          <w:rFonts w:hint="eastAsia" w:ascii="黑体" w:hAnsi="宋体" w:eastAsia="黑体"/>
          <w:color w:val="auto"/>
          <w:sz w:val="30"/>
          <w:szCs w:val="30"/>
          <w:highlight w:val="none"/>
        </w:rPr>
        <w:t xml:space="preserve">第一部分  </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hint="eastAsia" w:ascii="黑体" w:hAnsi="宋体" w:eastAsia="黑体"/>
          <w:color w:val="auto"/>
          <w:sz w:val="30"/>
          <w:szCs w:val="30"/>
          <w:highlight w:val="none"/>
        </w:rPr>
        <w:t>竞争性磋商公告</w:t>
      </w:r>
      <w:bookmarkEnd w:id="26"/>
    </w:p>
    <w:p>
      <w:pPr>
        <w:pBdr>
          <w:top w:val="single" w:color="auto" w:sz="4" w:space="1"/>
          <w:left w:val="single" w:color="auto" w:sz="4" w:space="4"/>
          <w:bottom w:val="single" w:color="auto" w:sz="4" w:space="1"/>
          <w:right w:val="single" w:color="auto" w:sz="4" w:space="4"/>
        </w:pBdr>
        <w:spacing w:line="500" w:lineRule="exact"/>
        <w:ind w:firstLine="420" w:firstLineChars="200"/>
        <w:rPr>
          <w:rFonts w:hAnsi="宋体"/>
          <w:color w:val="auto"/>
          <w:sz w:val="21"/>
          <w:szCs w:val="21"/>
          <w:highlight w:val="none"/>
        </w:rPr>
      </w:pPr>
      <w:bookmarkStart w:id="27" w:name="_Toc217289130"/>
      <w:bookmarkStart w:id="28" w:name="_Toc237176506"/>
      <w:bookmarkStart w:id="29" w:name="_Toc184785919"/>
      <w:bookmarkStart w:id="30" w:name="_Toc295910872"/>
      <w:bookmarkStart w:id="31" w:name="_Toc264211066"/>
      <w:bookmarkStart w:id="32" w:name="_Toc295737624"/>
      <w:bookmarkStart w:id="33" w:name="_Toc237193454"/>
      <w:bookmarkStart w:id="34" w:name="_Toc265065978"/>
      <w:bookmarkStart w:id="35" w:name="_Toc237414003"/>
      <w:bookmarkStart w:id="36" w:name="_Toc237413907"/>
      <w:bookmarkStart w:id="37" w:name="_Toc256977534"/>
      <w:bookmarkStart w:id="38" w:name="_Toc237182502"/>
      <w:bookmarkStart w:id="39" w:name="_Toc296074335"/>
      <w:bookmarkStart w:id="40" w:name="_Toc237189783"/>
      <w:bookmarkStart w:id="41" w:name="_Toc237340102"/>
      <w:r>
        <w:rPr>
          <w:rFonts w:hint="eastAsia" w:hAnsi="宋体"/>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500" w:lineRule="exact"/>
        <w:ind w:firstLine="420" w:firstLineChars="200"/>
        <w:rPr>
          <w:rFonts w:hAnsi="宋体"/>
          <w:color w:val="auto"/>
          <w:sz w:val="21"/>
          <w:szCs w:val="21"/>
          <w:highlight w:val="none"/>
        </w:rPr>
      </w:pPr>
      <w:r>
        <w:rPr>
          <w:rFonts w:hint="eastAsia" w:hAnsi="宋体"/>
          <w:color w:val="auto"/>
          <w:sz w:val="21"/>
          <w:szCs w:val="21"/>
          <w:highlight w:val="none"/>
          <w:lang w:eastAsia="zh-CN"/>
        </w:rPr>
        <w:t>金华开发区社会治理微智治平台应用项目</w:t>
      </w:r>
      <w:r>
        <w:rPr>
          <w:rFonts w:hint="eastAsia" w:hAnsi="宋体"/>
          <w:color w:val="auto"/>
          <w:sz w:val="21"/>
          <w:szCs w:val="21"/>
          <w:highlight w:val="none"/>
        </w:rPr>
        <w:t>的</w:t>
      </w:r>
      <w:r>
        <w:rPr>
          <w:rFonts w:hint="eastAsia" w:hAnsi="宋体" w:cs="宋体"/>
          <w:color w:val="auto"/>
          <w:sz w:val="21"/>
          <w:szCs w:val="21"/>
          <w:highlight w:val="none"/>
        </w:rPr>
        <w:t>潜</w:t>
      </w:r>
      <w:r>
        <w:rPr>
          <w:rFonts w:hint="eastAsia" w:hAnsi="宋体"/>
          <w:color w:val="auto"/>
          <w:sz w:val="21"/>
          <w:szCs w:val="21"/>
          <w:highlight w:val="none"/>
        </w:rPr>
        <w:t>在供应商应在浙江省“政采云”平台获取</w:t>
      </w:r>
      <w:r>
        <w:rPr>
          <w:rFonts w:hint="eastAsia" w:hAnsi="宋体"/>
          <w:b/>
          <w:bCs/>
          <w:color w:val="auto"/>
          <w:sz w:val="21"/>
          <w:szCs w:val="21"/>
          <w:highlight w:val="none"/>
        </w:rPr>
        <w:t>磋商文件</w:t>
      </w:r>
      <w:r>
        <w:rPr>
          <w:rFonts w:hint="eastAsia" w:hAnsi="宋体" w:cs="宋体"/>
          <w:color w:val="auto"/>
          <w:sz w:val="21"/>
          <w:szCs w:val="21"/>
          <w:highlight w:val="none"/>
        </w:rPr>
        <w:t>，并于</w:t>
      </w:r>
      <w:r>
        <w:rPr>
          <w:rFonts w:hint="eastAsia" w:hAnsi="宋体" w:cs="宋体"/>
          <w:color w:val="auto"/>
          <w:sz w:val="21"/>
          <w:szCs w:val="21"/>
          <w:highlight w:val="none"/>
          <w:u w:val="single"/>
        </w:rPr>
        <w:t xml:space="preserve"> 2022</w:t>
      </w:r>
      <w:r>
        <w:rPr>
          <w:rFonts w:hint="eastAsia" w:hAnsi="宋体" w:cs="宋体"/>
          <w:bCs/>
          <w:color w:val="auto"/>
          <w:sz w:val="21"/>
          <w:szCs w:val="21"/>
          <w:highlight w:val="none"/>
          <w:u w:val="single"/>
        </w:rPr>
        <w:t xml:space="preserve">年 </w:t>
      </w:r>
      <w:r>
        <w:rPr>
          <w:rFonts w:hint="eastAsia" w:hAnsi="宋体" w:cs="宋体"/>
          <w:bCs/>
          <w:color w:val="auto"/>
          <w:sz w:val="21"/>
          <w:szCs w:val="21"/>
          <w:highlight w:val="none"/>
          <w:u w:val="single"/>
          <w:lang w:val="en-US" w:eastAsia="zh-CN"/>
        </w:rPr>
        <w:t>1</w:t>
      </w:r>
      <w:r>
        <w:rPr>
          <w:rFonts w:hint="eastAsia" w:hAnsi="宋体" w:cs="宋体"/>
          <w:bCs/>
          <w:color w:val="auto"/>
          <w:sz w:val="21"/>
          <w:szCs w:val="21"/>
          <w:highlight w:val="none"/>
          <w:u w:val="single"/>
          <w:lang w:val="en-US" w:eastAsia="zh-CN"/>
        </w:rPr>
        <w:t>2</w:t>
      </w:r>
      <w:r>
        <w:rPr>
          <w:rFonts w:hint="eastAsia" w:hAnsi="宋体" w:cs="宋体"/>
          <w:bCs/>
          <w:color w:val="auto"/>
          <w:sz w:val="21"/>
          <w:szCs w:val="21"/>
          <w:highlight w:val="none"/>
          <w:u w:val="single"/>
        </w:rPr>
        <w:t xml:space="preserve"> 月</w:t>
      </w:r>
      <w:r>
        <w:rPr>
          <w:rFonts w:hint="eastAsia" w:hAnsi="宋体" w:cs="宋体"/>
          <w:bCs/>
          <w:color w:val="auto"/>
          <w:sz w:val="21"/>
          <w:szCs w:val="21"/>
          <w:highlight w:val="none"/>
          <w:u w:val="single"/>
          <w:lang w:val="en-US" w:eastAsia="zh-CN"/>
        </w:rPr>
        <w:t>1</w:t>
      </w:r>
      <w:r>
        <w:rPr>
          <w:rFonts w:hint="eastAsia" w:hAnsi="宋体" w:cs="宋体"/>
          <w:bCs/>
          <w:color w:val="auto"/>
          <w:sz w:val="21"/>
          <w:szCs w:val="21"/>
          <w:highlight w:val="none"/>
          <w:u w:val="single"/>
          <w:lang w:val="en-US" w:eastAsia="zh-CN"/>
        </w:rPr>
        <w:t>9</w:t>
      </w:r>
      <w:r>
        <w:rPr>
          <w:rFonts w:hint="eastAsia" w:hAnsi="宋体" w:cs="宋体"/>
          <w:bCs/>
          <w:color w:val="auto"/>
          <w:sz w:val="21"/>
          <w:szCs w:val="21"/>
          <w:highlight w:val="none"/>
          <w:u w:val="single"/>
        </w:rPr>
        <w:t xml:space="preserve"> 日09点30 分（</w:t>
      </w:r>
      <w:r>
        <w:rPr>
          <w:rFonts w:hint="eastAsia" w:hAnsi="宋体" w:cs="宋体"/>
          <w:bCs/>
          <w:color w:val="auto"/>
          <w:sz w:val="21"/>
          <w:szCs w:val="21"/>
          <w:highlight w:val="none"/>
        </w:rPr>
        <w:t>北京时间）前上传</w:t>
      </w:r>
      <w:r>
        <w:rPr>
          <w:rFonts w:hint="eastAsia" w:hAnsi="宋体"/>
          <w:color w:val="auto"/>
          <w:sz w:val="21"/>
          <w:szCs w:val="21"/>
          <w:highlight w:val="none"/>
        </w:rPr>
        <w:t>磋商响应文件。</w:t>
      </w:r>
    </w:p>
    <w:p>
      <w:pPr>
        <w:pStyle w:val="39"/>
        <w:shd w:val="clear" w:color="auto" w:fill="FFFFFF"/>
        <w:spacing w:before="0" w:beforeAutospacing="0" w:after="0" w:afterAutospacing="0" w:line="500" w:lineRule="exact"/>
        <w:ind w:firstLine="422" w:firstLineChars="200"/>
        <w:rPr>
          <w:color w:val="auto"/>
          <w:sz w:val="21"/>
          <w:szCs w:val="21"/>
          <w:highlight w:val="none"/>
        </w:rPr>
      </w:pPr>
      <w:r>
        <w:rPr>
          <w:rFonts w:cs="Arial"/>
          <w:b/>
          <w:bCs/>
          <w:color w:val="auto"/>
          <w:sz w:val="21"/>
          <w:szCs w:val="21"/>
          <w:highlight w:val="none"/>
        </w:rPr>
        <w:t>一、项目基本情况</w:t>
      </w:r>
    </w:p>
    <w:p>
      <w:pPr>
        <w:tabs>
          <w:tab w:val="left" w:pos="1260"/>
        </w:tabs>
        <w:autoSpaceDE/>
        <w:autoSpaceDN/>
        <w:adjustRightInd/>
        <w:spacing w:line="500" w:lineRule="exact"/>
        <w:ind w:firstLine="420" w:firstLineChars="200"/>
        <w:jc w:val="both"/>
        <w:textAlignment w:val="auto"/>
        <w:rPr>
          <w:rFonts w:hint="default" w:hAnsi="宋体" w:eastAsia="宋体"/>
          <w:bCs/>
          <w:color w:val="auto"/>
          <w:sz w:val="21"/>
          <w:szCs w:val="21"/>
          <w:highlight w:val="none"/>
          <w:lang w:val="en-US" w:eastAsia="zh-CN"/>
        </w:rPr>
      </w:pPr>
      <w:r>
        <w:rPr>
          <w:rFonts w:hint="eastAsia" w:hAnsi="宋体"/>
          <w:bCs/>
          <w:color w:val="auto"/>
          <w:sz w:val="21"/>
          <w:szCs w:val="21"/>
          <w:highlight w:val="none"/>
        </w:rPr>
        <w:t>项目编号：TY2022-FW</w:t>
      </w:r>
      <w:r>
        <w:rPr>
          <w:rFonts w:hint="eastAsia" w:hAnsi="宋体"/>
          <w:bCs/>
          <w:color w:val="auto"/>
          <w:sz w:val="21"/>
          <w:szCs w:val="21"/>
          <w:highlight w:val="none"/>
          <w:lang w:val="en-US" w:eastAsia="zh-CN"/>
        </w:rPr>
        <w:t>365</w:t>
      </w:r>
      <w:r>
        <w:rPr>
          <w:rFonts w:hint="eastAsia" w:hAnsi="宋体"/>
          <w:bCs/>
          <w:color w:val="auto"/>
          <w:sz w:val="21"/>
          <w:szCs w:val="21"/>
          <w:highlight w:val="none"/>
        </w:rPr>
        <w:t>-ZFCG</w:t>
      </w:r>
      <w:r>
        <w:rPr>
          <w:rFonts w:hint="eastAsia" w:hAnsi="宋体"/>
          <w:bCs/>
          <w:color w:val="auto"/>
          <w:sz w:val="21"/>
          <w:szCs w:val="21"/>
          <w:highlight w:val="none"/>
          <w:lang w:val="en-US" w:eastAsia="zh-CN"/>
        </w:rPr>
        <w:t>365</w:t>
      </w:r>
    </w:p>
    <w:p>
      <w:pPr>
        <w:tabs>
          <w:tab w:val="left" w:pos="1260"/>
        </w:tabs>
        <w:autoSpaceDE/>
        <w:autoSpaceDN/>
        <w:adjustRightInd/>
        <w:spacing w:line="500" w:lineRule="exact"/>
        <w:ind w:firstLine="420" w:firstLineChars="200"/>
        <w:jc w:val="both"/>
        <w:textAlignment w:val="auto"/>
        <w:rPr>
          <w:rFonts w:hAnsi="宋体"/>
          <w:bCs/>
          <w:color w:val="auto"/>
          <w:sz w:val="21"/>
          <w:szCs w:val="21"/>
          <w:highlight w:val="none"/>
        </w:rPr>
      </w:pPr>
      <w:r>
        <w:rPr>
          <w:rFonts w:hint="eastAsia" w:hAnsi="宋体"/>
          <w:bCs/>
          <w:color w:val="auto"/>
          <w:sz w:val="21"/>
          <w:szCs w:val="21"/>
          <w:highlight w:val="none"/>
        </w:rPr>
        <w:t>政府采购计划文号</w:t>
      </w:r>
      <w:r>
        <w:rPr>
          <w:rFonts w:hint="eastAsia" w:hAnsi="宋体" w:eastAsia="宋体" w:cs="Times New Roman"/>
          <w:bCs/>
          <w:color w:val="auto"/>
          <w:sz w:val="21"/>
          <w:szCs w:val="21"/>
          <w:highlight w:val="none"/>
          <w:lang w:val="en-US" w:eastAsia="zh-CN"/>
        </w:rPr>
        <w:t>：</w:t>
      </w:r>
      <w:r>
        <w:rPr>
          <w:rFonts w:hint="eastAsia" w:hAnsi="宋体" w:eastAsia="宋体" w:cs="Times New Roman"/>
          <w:bCs/>
          <w:color w:val="auto"/>
          <w:sz w:val="21"/>
          <w:szCs w:val="21"/>
          <w:highlight w:val="none"/>
          <w:lang w:val="en-US" w:eastAsia="zh-CN"/>
        </w:rPr>
        <w:fldChar w:fldCharType="begin"/>
      </w:r>
      <w:r>
        <w:rPr>
          <w:rFonts w:hint="eastAsia" w:hAnsi="宋体" w:eastAsia="宋体" w:cs="Times New Roman"/>
          <w:bCs/>
          <w:color w:val="auto"/>
          <w:sz w:val="21"/>
          <w:szCs w:val="21"/>
          <w:highlight w:val="none"/>
          <w:lang w:val="en-US" w:eastAsia="zh-CN"/>
        </w:rPr>
        <w:instrText xml:space="preserve"> HYPERLINK "https://pay.zcygov.cn/purchaseplan_front/" \l "/plan/list/view?id=1000000000009503684" \t "https://www.zcygov.cn/delegation-order/order/orderInfo/detail/_blank" </w:instrText>
      </w:r>
      <w:r>
        <w:rPr>
          <w:rFonts w:hint="eastAsia" w:hAnsi="宋体" w:eastAsia="宋体" w:cs="Times New Roman"/>
          <w:bCs/>
          <w:color w:val="auto"/>
          <w:sz w:val="21"/>
          <w:szCs w:val="21"/>
          <w:highlight w:val="none"/>
          <w:lang w:val="en-US" w:eastAsia="zh-CN"/>
        </w:rPr>
        <w:fldChar w:fldCharType="separate"/>
      </w:r>
      <w:r>
        <w:rPr>
          <w:rFonts w:hint="eastAsia" w:hAnsi="宋体" w:eastAsia="宋体" w:cs="Times New Roman"/>
          <w:bCs/>
          <w:color w:val="auto"/>
          <w:sz w:val="21"/>
          <w:szCs w:val="21"/>
          <w:highlight w:val="none"/>
          <w:lang w:val="en-US" w:eastAsia="zh-CN"/>
        </w:rPr>
        <w:t>临[2022]1029号</w:t>
      </w:r>
      <w:r>
        <w:rPr>
          <w:rFonts w:hint="eastAsia" w:hAnsi="宋体" w:eastAsia="宋体" w:cs="Times New Roman"/>
          <w:bCs/>
          <w:color w:val="auto"/>
          <w:sz w:val="21"/>
          <w:szCs w:val="21"/>
          <w:highlight w:val="none"/>
          <w:lang w:val="en-US" w:eastAsia="zh-CN"/>
        </w:rPr>
        <w:fldChar w:fldCharType="end"/>
      </w:r>
      <w:r>
        <w:rPr>
          <w:rFonts w:hint="eastAsia" w:hAnsi="宋体" w:eastAsia="宋体" w:cs="Times New Roman"/>
          <w:bCs/>
          <w:color w:val="auto"/>
          <w:sz w:val="21"/>
          <w:szCs w:val="21"/>
          <w:highlight w:val="none"/>
          <w:lang w:val="en-US" w:eastAsia="zh-CN"/>
        </w:rPr>
        <w:t xml:space="preserve">   </w:t>
      </w:r>
    </w:p>
    <w:p>
      <w:pPr>
        <w:tabs>
          <w:tab w:val="left" w:pos="1260"/>
        </w:tabs>
        <w:autoSpaceDE/>
        <w:autoSpaceDN/>
        <w:adjustRightInd/>
        <w:spacing w:line="500" w:lineRule="exact"/>
        <w:ind w:firstLine="420" w:firstLineChars="200"/>
        <w:jc w:val="both"/>
        <w:textAlignment w:val="auto"/>
        <w:rPr>
          <w:rFonts w:hint="eastAsia" w:hAnsi="宋体" w:eastAsia="宋体"/>
          <w:bCs/>
          <w:color w:val="auto"/>
          <w:sz w:val="21"/>
          <w:szCs w:val="21"/>
          <w:highlight w:val="none"/>
          <w:lang w:eastAsia="zh-CN"/>
        </w:rPr>
      </w:pPr>
      <w:r>
        <w:rPr>
          <w:rFonts w:hint="eastAsia" w:hAnsi="宋体"/>
          <w:bCs/>
          <w:color w:val="auto"/>
          <w:sz w:val="21"/>
          <w:szCs w:val="21"/>
          <w:highlight w:val="none"/>
        </w:rPr>
        <w:t>项目名称：</w:t>
      </w:r>
      <w:r>
        <w:rPr>
          <w:rFonts w:hint="eastAsia" w:hAnsi="宋体"/>
          <w:bCs/>
          <w:color w:val="auto"/>
          <w:sz w:val="21"/>
          <w:szCs w:val="21"/>
          <w:highlight w:val="none"/>
          <w:lang w:eastAsia="zh-CN"/>
        </w:rPr>
        <w:t>金华开发区社会治理微智治平台应用项目</w:t>
      </w:r>
    </w:p>
    <w:p>
      <w:pPr>
        <w:tabs>
          <w:tab w:val="left" w:pos="1260"/>
        </w:tabs>
        <w:autoSpaceDE/>
        <w:autoSpaceDN/>
        <w:adjustRightInd/>
        <w:spacing w:line="500" w:lineRule="exact"/>
        <w:ind w:firstLine="420" w:firstLineChars="200"/>
        <w:jc w:val="both"/>
        <w:textAlignment w:val="auto"/>
        <w:rPr>
          <w:color w:val="auto"/>
          <w:szCs w:val="21"/>
          <w:highlight w:val="none"/>
        </w:rPr>
      </w:pPr>
      <w:r>
        <w:rPr>
          <w:rFonts w:hint="eastAsia" w:hAnsi="宋体"/>
          <w:bCs/>
          <w:color w:val="auto"/>
          <w:sz w:val="21"/>
          <w:szCs w:val="21"/>
          <w:highlight w:val="none"/>
        </w:rPr>
        <w:t>采购组</w:t>
      </w:r>
      <w:r>
        <w:rPr>
          <w:rFonts w:hint="eastAsia" w:hAnsi="宋体" w:cs="宋体"/>
          <w:color w:val="auto"/>
          <w:sz w:val="21"/>
          <w:szCs w:val="21"/>
          <w:highlight w:val="none"/>
        </w:rPr>
        <w:t>织类型：分散采购委托代理</w:t>
      </w:r>
    </w:p>
    <w:p>
      <w:pPr>
        <w:tabs>
          <w:tab w:val="left" w:pos="1260"/>
        </w:tabs>
        <w:autoSpaceDE/>
        <w:autoSpaceDN/>
        <w:adjustRightInd/>
        <w:spacing w:line="500" w:lineRule="exact"/>
        <w:ind w:firstLine="420" w:firstLineChars="200"/>
        <w:jc w:val="both"/>
        <w:textAlignment w:val="auto"/>
        <w:rPr>
          <w:rFonts w:hAnsi="宋体"/>
          <w:color w:val="auto"/>
          <w:sz w:val="21"/>
          <w:szCs w:val="21"/>
          <w:highlight w:val="none"/>
        </w:rPr>
      </w:pPr>
      <w:r>
        <w:rPr>
          <w:rFonts w:hint="eastAsia" w:hAnsi="宋体"/>
          <w:bCs/>
          <w:color w:val="auto"/>
          <w:sz w:val="21"/>
          <w:szCs w:val="21"/>
          <w:highlight w:val="none"/>
        </w:rPr>
        <w:t>采购方式</w:t>
      </w:r>
      <w:r>
        <w:rPr>
          <w:rFonts w:hint="eastAsia" w:hAnsi="宋体"/>
          <w:b/>
          <w:color w:val="auto"/>
          <w:sz w:val="21"/>
          <w:szCs w:val="21"/>
          <w:highlight w:val="none"/>
        </w:rPr>
        <w:t>：</w:t>
      </w:r>
      <w:r>
        <w:rPr>
          <w:rFonts w:hint="eastAsia" w:hAnsi="宋体"/>
          <w:color w:val="auto"/>
          <w:sz w:val="21"/>
          <w:szCs w:val="21"/>
          <w:highlight w:val="none"/>
        </w:rPr>
        <w:t>竞争性磋商</w:t>
      </w:r>
    </w:p>
    <w:p>
      <w:pPr>
        <w:pStyle w:val="39"/>
        <w:shd w:val="clear" w:color="auto" w:fill="FFFFFF"/>
        <w:spacing w:before="0" w:beforeAutospacing="0" w:after="0" w:afterAutospacing="0" w:line="500" w:lineRule="exact"/>
        <w:ind w:firstLine="420" w:firstLineChars="200"/>
        <w:rPr>
          <w:rFonts w:hint="eastAsia"/>
          <w:color w:val="auto"/>
          <w:sz w:val="21"/>
          <w:szCs w:val="21"/>
          <w:highlight w:val="none"/>
        </w:rPr>
      </w:pPr>
      <w:r>
        <w:rPr>
          <w:color w:val="auto"/>
          <w:sz w:val="21"/>
          <w:szCs w:val="21"/>
          <w:highlight w:val="none"/>
        </w:rPr>
        <w:t>预算金额（</w:t>
      </w:r>
      <w:r>
        <w:rPr>
          <w:rFonts w:hint="eastAsia"/>
          <w:color w:val="auto"/>
          <w:sz w:val="21"/>
          <w:szCs w:val="21"/>
          <w:highlight w:val="none"/>
        </w:rPr>
        <w:t>人民币）：</w:t>
      </w:r>
      <w:r>
        <w:rPr>
          <w:color w:val="auto"/>
          <w:sz w:val="21"/>
          <w:szCs w:val="21"/>
          <w:highlight w:val="none"/>
        </w:rPr>
        <w:t>577</w:t>
      </w:r>
      <w:r>
        <w:rPr>
          <w:rFonts w:hint="eastAsia"/>
          <w:color w:val="auto"/>
          <w:sz w:val="21"/>
          <w:szCs w:val="21"/>
          <w:highlight w:val="none"/>
        </w:rPr>
        <w:t>.</w:t>
      </w:r>
      <w:r>
        <w:rPr>
          <w:color w:val="auto"/>
          <w:sz w:val="21"/>
          <w:szCs w:val="21"/>
          <w:highlight w:val="none"/>
        </w:rPr>
        <w:t>9206</w:t>
      </w:r>
      <w:r>
        <w:rPr>
          <w:rFonts w:hint="eastAsia"/>
          <w:color w:val="auto"/>
          <w:sz w:val="21"/>
          <w:szCs w:val="21"/>
          <w:highlight w:val="none"/>
        </w:rPr>
        <w:t>万元</w:t>
      </w:r>
    </w:p>
    <w:p>
      <w:pPr>
        <w:pStyle w:val="39"/>
        <w:shd w:val="clear" w:color="auto" w:fill="FFFFFF"/>
        <w:spacing w:before="0" w:beforeAutospacing="0" w:after="0" w:afterAutospacing="0" w:line="500" w:lineRule="exact"/>
        <w:ind w:firstLine="420" w:firstLineChars="200"/>
        <w:rPr>
          <w:rFonts w:hint="eastAsia"/>
          <w:color w:val="auto"/>
          <w:sz w:val="21"/>
          <w:szCs w:val="21"/>
          <w:highlight w:val="none"/>
        </w:rPr>
      </w:pPr>
      <w:r>
        <w:rPr>
          <w:color w:val="auto"/>
          <w:sz w:val="21"/>
          <w:szCs w:val="21"/>
          <w:highlight w:val="none"/>
        </w:rPr>
        <w:t>最高限价（</w:t>
      </w:r>
      <w:r>
        <w:rPr>
          <w:rFonts w:hint="eastAsia"/>
          <w:color w:val="auto"/>
          <w:sz w:val="21"/>
          <w:szCs w:val="21"/>
          <w:highlight w:val="none"/>
        </w:rPr>
        <w:t>人民币</w:t>
      </w:r>
      <w:r>
        <w:rPr>
          <w:color w:val="auto"/>
          <w:sz w:val="21"/>
          <w:szCs w:val="21"/>
          <w:highlight w:val="none"/>
        </w:rPr>
        <w:t>）：577</w:t>
      </w:r>
      <w:r>
        <w:rPr>
          <w:rFonts w:hint="eastAsia"/>
          <w:color w:val="auto"/>
          <w:sz w:val="21"/>
          <w:szCs w:val="21"/>
          <w:highlight w:val="none"/>
        </w:rPr>
        <w:t>.</w:t>
      </w:r>
      <w:r>
        <w:rPr>
          <w:color w:val="auto"/>
          <w:sz w:val="21"/>
          <w:szCs w:val="21"/>
          <w:highlight w:val="none"/>
        </w:rPr>
        <w:t>9206</w:t>
      </w:r>
      <w:r>
        <w:rPr>
          <w:rFonts w:hint="eastAsia"/>
          <w:color w:val="auto"/>
          <w:sz w:val="21"/>
          <w:szCs w:val="21"/>
          <w:highlight w:val="none"/>
        </w:rPr>
        <w:t>万元</w:t>
      </w:r>
    </w:p>
    <w:p>
      <w:pPr>
        <w:pStyle w:val="39"/>
        <w:shd w:val="clear" w:color="auto" w:fill="FFFFFF"/>
        <w:spacing w:before="0" w:beforeAutospacing="0" w:after="0" w:afterAutospacing="0" w:line="460" w:lineRule="exact"/>
        <w:ind w:firstLine="420" w:firstLineChars="200"/>
        <w:rPr>
          <w:rStyle w:val="90"/>
          <w:color w:val="auto"/>
          <w:sz w:val="21"/>
          <w:szCs w:val="21"/>
          <w:highlight w:val="none"/>
        </w:rPr>
      </w:pPr>
      <w:r>
        <w:rPr>
          <w:rStyle w:val="90"/>
          <w:color w:val="auto"/>
          <w:sz w:val="21"/>
          <w:szCs w:val="21"/>
          <w:highlight w:val="none"/>
        </w:rPr>
        <w:t>采购需求：</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3341"/>
        <w:gridCol w:w="940"/>
        <w:gridCol w:w="950"/>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793" w:type="dxa"/>
            <w:noWrap w:val="0"/>
            <w:vAlign w:val="center"/>
          </w:tcPr>
          <w:p>
            <w:pPr>
              <w:snapToGrid w:val="0"/>
              <w:spacing w:line="460" w:lineRule="exact"/>
              <w:jc w:val="center"/>
              <w:rPr>
                <w:rFonts w:hint="eastAsia" w:hAnsi="宋体" w:cs="宋体"/>
                <w:bCs/>
                <w:color w:val="auto"/>
                <w:sz w:val="21"/>
                <w:szCs w:val="21"/>
                <w:highlight w:val="none"/>
              </w:rPr>
            </w:pPr>
            <w:r>
              <w:rPr>
                <w:rFonts w:hint="eastAsia" w:hAnsi="宋体" w:cs="宋体"/>
                <w:bCs/>
                <w:color w:val="auto"/>
                <w:sz w:val="21"/>
                <w:szCs w:val="21"/>
                <w:highlight w:val="none"/>
              </w:rPr>
              <w:t>序号</w:t>
            </w:r>
          </w:p>
        </w:tc>
        <w:tc>
          <w:tcPr>
            <w:tcW w:w="3341" w:type="dxa"/>
            <w:noWrap w:val="0"/>
            <w:vAlign w:val="center"/>
          </w:tcPr>
          <w:p>
            <w:pPr>
              <w:snapToGrid w:val="0"/>
              <w:spacing w:line="460" w:lineRule="exact"/>
              <w:jc w:val="center"/>
              <w:rPr>
                <w:rFonts w:hint="eastAsia" w:hAnsi="宋体" w:cs="宋体"/>
                <w:bCs/>
                <w:color w:val="auto"/>
                <w:sz w:val="21"/>
                <w:szCs w:val="21"/>
                <w:highlight w:val="none"/>
              </w:rPr>
            </w:pPr>
            <w:r>
              <w:rPr>
                <w:rFonts w:hint="eastAsia" w:hAnsi="宋体" w:cs="宋体"/>
                <w:color w:val="auto"/>
                <w:sz w:val="21"/>
                <w:szCs w:val="21"/>
                <w:highlight w:val="none"/>
                <w:lang w:bidi="ar"/>
              </w:rPr>
              <w:t>采购内容</w:t>
            </w:r>
          </w:p>
        </w:tc>
        <w:tc>
          <w:tcPr>
            <w:tcW w:w="940" w:type="dxa"/>
            <w:noWrap w:val="0"/>
            <w:vAlign w:val="center"/>
          </w:tcPr>
          <w:p>
            <w:pPr>
              <w:snapToGrid w:val="0"/>
              <w:spacing w:line="460" w:lineRule="exact"/>
              <w:jc w:val="center"/>
              <w:rPr>
                <w:rFonts w:hint="eastAsia" w:hAnsi="宋体" w:cs="宋体"/>
                <w:color w:val="auto"/>
                <w:sz w:val="21"/>
                <w:szCs w:val="21"/>
                <w:highlight w:val="none"/>
                <w:lang w:bidi="ar"/>
              </w:rPr>
            </w:pPr>
            <w:r>
              <w:rPr>
                <w:rFonts w:hint="eastAsia" w:hAnsi="宋体" w:cs="宋体"/>
                <w:color w:val="auto"/>
                <w:sz w:val="21"/>
                <w:szCs w:val="21"/>
                <w:highlight w:val="none"/>
              </w:rPr>
              <w:t>数量</w:t>
            </w:r>
          </w:p>
        </w:tc>
        <w:tc>
          <w:tcPr>
            <w:tcW w:w="950" w:type="dxa"/>
            <w:noWrap w:val="0"/>
            <w:vAlign w:val="center"/>
          </w:tcPr>
          <w:p>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单位</w:t>
            </w:r>
          </w:p>
        </w:tc>
        <w:tc>
          <w:tcPr>
            <w:tcW w:w="3560" w:type="dxa"/>
            <w:noWrap w:val="0"/>
            <w:vAlign w:val="center"/>
          </w:tcPr>
          <w:p>
            <w:pPr>
              <w:snapToGrid w:val="0"/>
              <w:spacing w:line="460" w:lineRule="exact"/>
              <w:jc w:val="center"/>
              <w:rPr>
                <w:rFonts w:hint="eastAsia" w:hAnsi="宋体" w:cs="宋体"/>
                <w:bCs/>
                <w:color w:val="auto"/>
                <w:sz w:val="21"/>
                <w:szCs w:val="21"/>
                <w:highlight w:val="none"/>
              </w:rPr>
            </w:pPr>
            <w:r>
              <w:rPr>
                <w:rFonts w:hint="eastAsia" w:hAnsi="宋体" w:cs="宋体"/>
                <w:bCs/>
                <w:color w:val="auto"/>
                <w:sz w:val="21"/>
                <w:szCs w:val="21"/>
                <w:highlight w:val="none"/>
              </w:rPr>
              <w:t>简要内容及技术要求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91" w:hRule="atLeast"/>
        </w:trPr>
        <w:tc>
          <w:tcPr>
            <w:tcW w:w="793" w:type="dxa"/>
            <w:noWrap w:val="0"/>
            <w:vAlign w:val="center"/>
          </w:tcPr>
          <w:p>
            <w:pPr>
              <w:snapToGrid w:val="0"/>
              <w:spacing w:line="460" w:lineRule="exact"/>
              <w:jc w:val="center"/>
              <w:rPr>
                <w:rFonts w:hint="eastAsia" w:hAnsi="宋体" w:cs="宋体"/>
                <w:bCs/>
                <w:color w:val="auto"/>
                <w:sz w:val="21"/>
                <w:szCs w:val="21"/>
                <w:highlight w:val="none"/>
              </w:rPr>
            </w:pPr>
            <w:r>
              <w:rPr>
                <w:rFonts w:hint="eastAsia" w:hAnsi="宋体" w:cs="宋体"/>
                <w:bCs/>
                <w:color w:val="auto"/>
                <w:sz w:val="21"/>
                <w:szCs w:val="21"/>
                <w:highlight w:val="none"/>
              </w:rPr>
              <w:t>1</w:t>
            </w:r>
          </w:p>
        </w:tc>
        <w:tc>
          <w:tcPr>
            <w:tcW w:w="3341" w:type="dxa"/>
            <w:noWrap w:val="0"/>
            <w:vAlign w:val="center"/>
          </w:tcPr>
          <w:p>
            <w:pPr>
              <w:tabs>
                <w:tab w:val="left" w:pos="1260"/>
              </w:tabs>
              <w:autoSpaceDE/>
              <w:autoSpaceDN/>
              <w:adjustRightInd/>
              <w:spacing w:line="500" w:lineRule="exact"/>
              <w:jc w:val="both"/>
              <w:textAlignment w:val="auto"/>
              <w:rPr>
                <w:rFonts w:hint="eastAsia" w:hAnsi="宋体" w:eastAsia="宋体" w:cs="宋体"/>
                <w:color w:val="auto"/>
                <w:sz w:val="21"/>
                <w:szCs w:val="21"/>
                <w:highlight w:val="none"/>
                <w:lang w:eastAsia="zh-CN"/>
              </w:rPr>
            </w:pPr>
            <w:r>
              <w:rPr>
                <w:rFonts w:hint="eastAsia" w:hAnsi="宋体"/>
                <w:bCs/>
                <w:color w:val="auto"/>
                <w:sz w:val="21"/>
                <w:szCs w:val="21"/>
                <w:highlight w:val="none"/>
                <w:lang w:eastAsia="zh-CN"/>
              </w:rPr>
              <w:t>金华开发区社会治理微智治平台应用项目</w:t>
            </w:r>
          </w:p>
        </w:tc>
        <w:tc>
          <w:tcPr>
            <w:tcW w:w="940" w:type="dxa"/>
            <w:noWrap w:val="0"/>
            <w:vAlign w:val="center"/>
          </w:tcPr>
          <w:p>
            <w:pPr>
              <w:snapToGrid w:val="0"/>
              <w:spacing w:line="460" w:lineRule="exact"/>
              <w:jc w:val="center"/>
              <w:rPr>
                <w:rFonts w:hint="eastAsia" w:hAnsi="宋体" w:cs="宋体"/>
                <w:bCs/>
                <w:color w:val="auto"/>
                <w:sz w:val="21"/>
                <w:szCs w:val="21"/>
                <w:highlight w:val="none"/>
              </w:rPr>
            </w:pPr>
            <w:r>
              <w:rPr>
                <w:rFonts w:hint="eastAsia" w:hAnsi="宋体" w:cs="宋体"/>
                <w:bCs/>
                <w:color w:val="auto"/>
                <w:sz w:val="21"/>
                <w:szCs w:val="21"/>
                <w:highlight w:val="none"/>
              </w:rPr>
              <w:t>1</w:t>
            </w:r>
          </w:p>
        </w:tc>
        <w:tc>
          <w:tcPr>
            <w:tcW w:w="950" w:type="dxa"/>
            <w:noWrap w:val="0"/>
            <w:vAlign w:val="center"/>
          </w:tcPr>
          <w:p>
            <w:pPr>
              <w:snapToGrid w:val="0"/>
              <w:spacing w:line="460" w:lineRule="exact"/>
              <w:jc w:val="center"/>
              <w:rPr>
                <w:rFonts w:hint="eastAsia" w:hAnsi="宋体" w:cs="宋体"/>
                <w:bCs/>
                <w:color w:val="auto"/>
                <w:sz w:val="21"/>
                <w:szCs w:val="21"/>
                <w:highlight w:val="none"/>
              </w:rPr>
            </w:pPr>
            <w:r>
              <w:rPr>
                <w:rFonts w:hint="eastAsia" w:hAnsi="宋体" w:cs="宋体"/>
                <w:bCs/>
                <w:color w:val="auto"/>
                <w:sz w:val="21"/>
                <w:szCs w:val="21"/>
                <w:highlight w:val="none"/>
              </w:rPr>
              <w:t>项</w:t>
            </w:r>
          </w:p>
        </w:tc>
        <w:tc>
          <w:tcPr>
            <w:tcW w:w="3560" w:type="dxa"/>
            <w:noWrap w:val="0"/>
            <w:vAlign w:val="center"/>
          </w:tcPr>
          <w:p>
            <w:pPr>
              <w:snapToGrid w:val="0"/>
              <w:spacing w:line="460" w:lineRule="exact"/>
              <w:jc w:val="center"/>
              <w:rPr>
                <w:rFonts w:hint="eastAsia" w:hAnsi="宋体" w:cs="宋体"/>
                <w:color w:val="auto"/>
                <w:sz w:val="21"/>
                <w:szCs w:val="21"/>
                <w:highlight w:val="none"/>
              </w:rPr>
            </w:pPr>
            <w:r>
              <w:rPr>
                <w:rFonts w:hint="eastAsia" w:hAnsi="宋体"/>
                <w:color w:val="auto"/>
                <w:sz w:val="21"/>
                <w:szCs w:val="21"/>
                <w:highlight w:val="none"/>
              </w:rPr>
              <w:t>综合管理平台；金开通（网格移动工作台）；智慧金开（公众号）；数字驾驶舱；基础支撑应用；三资管理；系统对接。详见第二章采购需求。</w:t>
            </w:r>
          </w:p>
        </w:tc>
      </w:tr>
    </w:tbl>
    <w:p>
      <w:pPr>
        <w:pStyle w:val="19"/>
        <w:spacing w:line="500" w:lineRule="exact"/>
        <w:ind w:firstLineChars="200"/>
        <w:rPr>
          <w:rFonts w:hAnsi="宋体"/>
          <w:color w:val="auto"/>
          <w:sz w:val="21"/>
          <w:szCs w:val="21"/>
          <w:highlight w:val="none"/>
        </w:rPr>
      </w:pPr>
      <w:r>
        <w:rPr>
          <w:rFonts w:hAnsi="宋体"/>
          <w:color w:val="auto"/>
          <w:sz w:val="21"/>
          <w:szCs w:val="21"/>
          <w:highlight w:val="none"/>
        </w:rPr>
        <w:t>合同履行期限：</w:t>
      </w:r>
      <w:r>
        <w:rPr>
          <w:rFonts w:hint="eastAsia"/>
          <w:color w:val="auto"/>
          <w:sz w:val="21"/>
          <w:szCs w:val="21"/>
          <w:highlight w:val="none"/>
        </w:rPr>
        <w:t>详见</w:t>
      </w:r>
      <w:r>
        <w:rPr>
          <w:rStyle w:val="91"/>
          <w:rFonts w:hint="eastAsia"/>
          <w:color w:val="auto"/>
          <w:sz w:val="21"/>
          <w:szCs w:val="21"/>
          <w:highlight w:val="none"/>
        </w:rPr>
        <w:t>采购</w:t>
      </w:r>
      <w:r>
        <w:rPr>
          <w:rFonts w:hint="eastAsia"/>
          <w:color w:val="auto"/>
          <w:sz w:val="21"/>
          <w:szCs w:val="21"/>
          <w:highlight w:val="none"/>
        </w:rPr>
        <w:t>文件</w:t>
      </w:r>
      <w:r>
        <w:rPr>
          <w:rStyle w:val="91"/>
          <w:rFonts w:hint="eastAsia"/>
          <w:color w:val="auto"/>
          <w:sz w:val="21"/>
          <w:szCs w:val="21"/>
          <w:highlight w:val="none"/>
        </w:rPr>
        <w:t>；</w:t>
      </w:r>
    </w:p>
    <w:p>
      <w:pPr>
        <w:shd w:val="clear" w:color="auto" w:fill="FFFFFF"/>
        <w:spacing w:line="500" w:lineRule="exact"/>
        <w:ind w:firstLine="420" w:firstLineChars="200"/>
        <w:rPr>
          <w:color w:val="auto"/>
          <w:highlight w:val="none"/>
        </w:rPr>
      </w:pPr>
      <w:r>
        <w:rPr>
          <w:rFonts w:hAnsi="宋体"/>
          <w:color w:val="auto"/>
          <w:sz w:val="21"/>
          <w:szCs w:val="21"/>
          <w:highlight w:val="none"/>
        </w:rPr>
        <w:t>本项目</w:t>
      </w:r>
      <w:r>
        <w:rPr>
          <w:rFonts w:hint="eastAsia" w:hAnsi="宋体"/>
          <w:color w:val="auto"/>
          <w:sz w:val="21"/>
          <w:szCs w:val="21"/>
          <w:highlight w:val="none"/>
        </w:rPr>
        <w:t>不</w:t>
      </w:r>
      <w:r>
        <w:rPr>
          <w:rFonts w:hAnsi="宋体"/>
          <w:color w:val="auto"/>
          <w:sz w:val="21"/>
          <w:szCs w:val="21"/>
          <w:highlight w:val="none"/>
        </w:rPr>
        <w:t>接受供应商以联合体形式参与磋商。</w:t>
      </w:r>
    </w:p>
    <w:p>
      <w:pPr>
        <w:tabs>
          <w:tab w:val="left" w:pos="1260"/>
        </w:tabs>
        <w:autoSpaceDE/>
        <w:autoSpaceDN/>
        <w:adjustRightInd/>
        <w:snapToGrid w:val="0"/>
        <w:spacing w:line="500" w:lineRule="exact"/>
        <w:ind w:firstLine="316" w:firstLineChars="150"/>
        <w:jc w:val="both"/>
        <w:textAlignment w:val="auto"/>
        <w:rPr>
          <w:rFonts w:hAnsi="宋体" w:cs="宋体"/>
          <w:b/>
          <w:color w:val="auto"/>
          <w:sz w:val="21"/>
          <w:szCs w:val="21"/>
          <w:highlight w:val="none"/>
        </w:rPr>
      </w:pPr>
      <w:bookmarkStart w:id="42" w:name="_Toc519072687"/>
      <w:r>
        <w:rPr>
          <w:rFonts w:hint="eastAsia" w:hAnsi="宋体" w:cs="宋体"/>
          <w:b/>
          <w:color w:val="auto"/>
          <w:sz w:val="21"/>
          <w:szCs w:val="21"/>
          <w:highlight w:val="none"/>
        </w:rPr>
        <w:t>二、申请人的资格要求：</w:t>
      </w:r>
    </w:p>
    <w:p>
      <w:pPr>
        <w:tabs>
          <w:tab w:val="left" w:pos="1260"/>
        </w:tabs>
        <w:autoSpaceDE/>
        <w:autoSpaceDN/>
        <w:adjustRightInd/>
        <w:snapToGrid w:val="0"/>
        <w:spacing w:line="500" w:lineRule="exact"/>
        <w:ind w:firstLine="315" w:firstLineChars="150"/>
        <w:jc w:val="both"/>
        <w:textAlignment w:val="auto"/>
        <w:rPr>
          <w:rFonts w:hint="eastAsia" w:hAnsi="宋体" w:cs="宋体"/>
          <w:color w:val="auto"/>
          <w:sz w:val="21"/>
          <w:szCs w:val="21"/>
          <w:highlight w:val="none"/>
        </w:rPr>
      </w:pPr>
      <w:r>
        <w:rPr>
          <w:rFonts w:hint="eastAsia" w:hAnsi="宋体" w:cs="宋体"/>
          <w:color w:val="auto"/>
          <w:sz w:val="21"/>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tabs>
          <w:tab w:val="left" w:pos="1260"/>
        </w:tabs>
        <w:autoSpaceDE/>
        <w:autoSpaceDN/>
        <w:adjustRightInd/>
        <w:snapToGrid w:val="0"/>
        <w:spacing w:line="500" w:lineRule="exact"/>
        <w:ind w:firstLine="316" w:firstLineChars="150"/>
        <w:jc w:val="both"/>
        <w:textAlignment w:val="auto"/>
        <w:rPr>
          <w:rFonts w:hint="eastAsia" w:hAnsi="宋体" w:cs="宋体"/>
          <w:b/>
          <w:color w:val="auto"/>
          <w:sz w:val="21"/>
          <w:szCs w:val="21"/>
          <w:highlight w:val="none"/>
        </w:rPr>
      </w:pPr>
      <w:r>
        <w:rPr>
          <w:rFonts w:hint="eastAsia" w:hAnsi="宋体" w:cs="宋体"/>
          <w:b/>
          <w:bCs/>
          <w:color w:val="auto"/>
          <w:sz w:val="21"/>
          <w:szCs w:val="21"/>
          <w:highlight w:val="none"/>
        </w:rPr>
        <w:t>2.</w:t>
      </w:r>
      <w:r>
        <w:rPr>
          <w:rFonts w:hint="eastAsia" w:hAnsi="宋体" w:cs="宋体"/>
          <w:b/>
          <w:color w:val="auto"/>
          <w:sz w:val="21"/>
          <w:szCs w:val="21"/>
          <w:highlight w:val="none"/>
        </w:rPr>
        <w:t>落实政策：</w:t>
      </w:r>
    </w:p>
    <w:p>
      <w:pPr>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（1）落实政府采购政策需满足的资格要求：</w:t>
      </w:r>
    </w:p>
    <w:p>
      <w:pPr>
        <w:spacing w:line="500" w:lineRule="exact"/>
        <w:ind w:firstLine="480" w:firstLineChars="200"/>
        <w:rPr>
          <w:rFonts w:hint="eastAsia" w:hAnsi="宋体" w:cs="宋体"/>
          <w:color w:val="auto"/>
          <w:sz w:val="21"/>
          <w:szCs w:val="21"/>
          <w:highlight w:val="none"/>
        </w:rPr>
      </w:pPr>
      <w:r>
        <w:rPr>
          <w:rFonts w:ascii="MS Gothic" w:hAnsi="MS Gothic" w:eastAsia="仿宋_GB2312" w:cs="Arial"/>
          <w:color w:val="auto"/>
          <w:sz w:val="24"/>
          <w:szCs w:val="24"/>
          <w:highlight w:val="none"/>
        </w:rPr>
        <w:t>☐</w:t>
      </w:r>
      <w:r>
        <w:rPr>
          <w:rFonts w:hint="eastAsia" w:hAnsi="宋体" w:cs="宋体"/>
          <w:color w:val="auto"/>
          <w:sz w:val="21"/>
          <w:szCs w:val="21"/>
          <w:highlight w:val="none"/>
        </w:rPr>
        <w:t>无；</w:t>
      </w:r>
    </w:p>
    <w:p>
      <w:pPr>
        <w:spacing w:line="500" w:lineRule="exact"/>
        <w:ind w:firstLine="480" w:firstLineChars="200"/>
        <w:rPr>
          <w:rFonts w:hint="eastAsia" w:hAnsi="宋体" w:cs="宋体"/>
          <w:color w:val="auto"/>
          <w:sz w:val="21"/>
          <w:szCs w:val="21"/>
          <w:highlight w:val="none"/>
        </w:rPr>
      </w:pPr>
      <w:r>
        <w:rPr>
          <w:rFonts w:ascii="MS Gothic" w:hAnsi="MS Gothic" w:eastAsia="仿宋_GB2312" w:cs="Arial"/>
          <w:color w:val="auto"/>
          <w:sz w:val="24"/>
          <w:szCs w:val="24"/>
          <w:highlight w:val="none"/>
        </w:rPr>
        <w:sym w:font="Wingdings 2" w:char="0052"/>
      </w:r>
      <w:r>
        <w:rPr>
          <w:rFonts w:hint="eastAsia" w:hAnsi="宋体" w:cs="宋体"/>
          <w:color w:val="auto"/>
          <w:sz w:val="21"/>
          <w:szCs w:val="21"/>
          <w:highlight w:val="none"/>
        </w:rPr>
        <w:t>专门面向中小企业：</w:t>
      </w:r>
    </w:p>
    <w:p>
      <w:pPr>
        <w:spacing w:line="500" w:lineRule="exact"/>
        <w:ind w:firstLine="840" w:firstLineChars="400"/>
        <w:rPr>
          <w:rFonts w:hint="eastAsia" w:hAnsi="宋体" w:cs="宋体"/>
          <w:color w:val="auto"/>
          <w:sz w:val="21"/>
          <w:szCs w:val="21"/>
          <w:highlight w:val="none"/>
          <w:u w:val="single"/>
        </w:rPr>
      </w:pPr>
      <w:r>
        <w:rPr>
          <w:rFonts w:hint="eastAsia" w:hAnsi="宋体" w:cs="宋体"/>
          <w:color w:val="auto"/>
          <w:sz w:val="21"/>
          <w:szCs w:val="21"/>
          <w:highlight w:val="none"/>
        </w:rPr>
        <w:sym w:font="Wingdings" w:char="00A8"/>
      </w:r>
      <w:r>
        <w:rPr>
          <w:rFonts w:hint="eastAsia" w:hAnsi="宋体" w:cs="宋体"/>
          <w:color w:val="auto"/>
          <w:sz w:val="21"/>
          <w:szCs w:val="21"/>
          <w:highlight w:val="none"/>
        </w:rPr>
        <w:t>货物全部由符合政策要求的中小企业制造，提供中小企业声明函；</w:t>
      </w:r>
    </w:p>
    <w:p>
      <w:pPr>
        <w:spacing w:line="500" w:lineRule="exact"/>
        <w:ind w:firstLine="840" w:firstLineChars="400"/>
        <w:rPr>
          <w:rFonts w:hint="eastAsia" w:hAnsi="宋体" w:cs="宋体"/>
          <w:color w:val="auto"/>
          <w:sz w:val="21"/>
          <w:szCs w:val="21"/>
          <w:highlight w:val="none"/>
        </w:rPr>
      </w:pPr>
      <w:r>
        <w:rPr>
          <w:rFonts w:hint="eastAsia" w:hAnsi="宋体" w:cs="宋体"/>
          <w:color w:val="auto"/>
          <w:sz w:val="21"/>
          <w:szCs w:val="21"/>
          <w:highlight w:val="none"/>
        </w:rPr>
        <w:t>☐货物全部由符合政策要求的小微企业制造，提供中小企业声明函；</w:t>
      </w:r>
    </w:p>
    <w:p>
      <w:pPr>
        <w:spacing w:line="500" w:lineRule="exact"/>
        <w:ind w:firstLine="840" w:firstLineChars="400"/>
        <w:rPr>
          <w:rFonts w:hint="eastAsia" w:hAnsi="宋体" w:cs="宋体"/>
          <w:color w:val="auto"/>
          <w:sz w:val="21"/>
          <w:szCs w:val="21"/>
          <w:highlight w:val="none"/>
          <w:u w:val="single"/>
        </w:rPr>
      </w:pPr>
      <w:r>
        <w:rPr>
          <w:rFonts w:hint="eastAsia" w:hAnsi="宋体" w:cs="宋体"/>
          <w:color w:val="auto"/>
          <w:sz w:val="21"/>
          <w:szCs w:val="21"/>
          <w:highlight w:val="none"/>
        </w:rPr>
        <w:sym w:font="Wingdings" w:char="00A8"/>
      </w:r>
      <w:r>
        <w:rPr>
          <w:rFonts w:hint="eastAsia" w:hAnsi="宋体" w:cs="宋体"/>
          <w:color w:val="auto"/>
          <w:sz w:val="21"/>
          <w:szCs w:val="21"/>
          <w:highlight w:val="none"/>
        </w:rPr>
        <w:t>工程全部由符合政策要求的中小企业承接，提供中小企业声明函；</w:t>
      </w:r>
    </w:p>
    <w:p>
      <w:pPr>
        <w:spacing w:line="500" w:lineRule="exact"/>
        <w:ind w:firstLine="840" w:firstLineChars="400"/>
        <w:rPr>
          <w:rFonts w:hint="eastAsia" w:hAnsi="宋体" w:cs="宋体"/>
          <w:color w:val="auto"/>
          <w:sz w:val="21"/>
          <w:szCs w:val="21"/>
          <w:highlight w:val="none"/>
        </w:rPr>
      </w:pPr>
      <w:r>
        <w:rPr>
          <w:rFonts w:hint="eastAsia" w:hAnsi="宋体" w:cs="宋体"/>
          <w:color w:val="auto"/>
          <w:sz w:val="21"/>
          <w:szCs w:val="21"/>
          <w:highlight w:val="none"/>
        </w:rPr>
        <w:t>☐工程全部由符合政策要求的小微企业承接，提供中小企业声明函；</w:t>
      </w:r>
    </w:p>
    <w:p>
      <w:pPr>
        <w:spacing w:line="500" w:lineRule="exact"/>
        <w:ind w:firstLine="840" w:firstLineChars="400"/>
        <w:rPr>
          <w:rFonts w:hint="eastAsia" w:hAnsi="宋体" w:cs="宋体"/>
          <w:color w:val="auto"/>
          <w:sz w:val="21"/>
          <w:szCs w:val="21"/>
          <w:highlight w:val="none"/>
        </w:rPr>
      </w:pPr>
      <w:r>
        <w:rPr>
          <w:rFonts w:hint="eastAsia" w:hAnsi="宋体" w:cs="宋体"/>
          <w:color w:val="auto"/>
          <w:sz w:val="21"/>
          <w:szCs w:val="21"/>
          <w:highlight w:val="none"/>
        </w:rPr>
        <w:sym w:font="Wingdings 2" w:char="0052"/>
      </w:r>
      <w:r>
        <w:rPr>
          <w:rFonts w:hint="eastAsia" w:hAnsi="宋体" w:cs="宋体"/>
          <w:color w:val="auto"/>
          <w:sz w:val="21"/>
          <w:szCs w:val="21"/>
          <w:highlight w:val="none"/>
        </w:rPr>
        <w:t>服务全部由符合政策要求的中小企业承接，提供中小企业声明函；</w:t>
      </w:r>
    </w:p>
    <w:p>
      <w:pPr>
        <w:spacing w:line="500" w:lineRule="exact"/>
        <w:ind w:firstLine="840" w:firstLineChars="400"/>
        <w:rPr>
          <w:rFonts w:hint="eastAsia" w:hAnsi="宋体" w:cs="宋体"/>
          <w:color w:val="auto"/>
          <w:sz w:val="21"/>
          <w:szCs w:val="21"/>
          <w:highlight w:val="none"/>
        </w:rPr>
      </w:pPr>
      <w:r>
        <w:rPr>
          <w:rFonts w:hint="eastAsia" w:hAnsi="宋体" w:cs="宋体"/>
          <w:color w:val="auto"/>
          <w:sz w:val="21"/>
          <w:szCs w:val="21"/>
          <w:highlight w:val="none"/>
        </w:rPr>
        <w:t>☐服务全部由符合政策要求的小微企业承接，提供中小企业声明函；</w:t>
      </w:r>
    </w:p>
    <w:p>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☐要求以联合体形式参加，提供联合协议和中小企业声明函，联合协议中中小企业合同金额应当达到</w:t>
      </w:r>
      <w:r>
        <w:rPr>
          <w:rFonts w:hint="eastAsia" w:hAnsi="宋体" w:cs="宋体"/>
          <w:color w:val="auto"/>
          <w:sz w:val="21"/>
          <w:szCs w:val="21"/>
          <w:highlight w:val="none"/>
          <w:u w:val="single"/>
        </w:rPr>
        <w:t>/</w:t>
      </w:r>
      <w:r>
        <w:rPr>
          <w:rFonts w:hint="eastAsia" w:hAnsi="宋体" w:cs="宋体"/>
          <w:color w:val="auto"/>
          <w:sz w:val="21"/>
          <w:szCs w:val="21"/>
          <w:highlight w:val="none"/>
        </w:rPr>
        <w:t>%，小微企业合同金额应当达到</w:t>
      </w:r>
      <w:r>
        <w:rPr>
          <w:rFonts w:hint="eastAsia" w:hAnsi="宋体" w:cs="宋体"/>
          <w:color w:val="auto"/>
          <w:sz w:val="21"/>
          <w:szCs w:val="21"/>
          <w:highlight w:val="none"/>
          <w:u w:val="single"/>
        </w:rPr>
        <w:t>/</w:t>
      </w:r>
      <w:r>
        <w:rPr>
          <w:rFonts w:hint="eastAsia" w:hAnsi="宋体" w:cs="宋体"/>
          <w:color w:val="auto"/>
          <w:sz w:val="21"/>
          <w:szCs w:val="21"/>
          <w:highlight w:val="none"/>
        </w:rPr>
        <w:t>%;</w:t>
      </w:r>
      <w:r>
        <w:rPr>
          <w:rFonts w:hint="eastAsia" w:hAnsi="宋体" w:cs="宋体"/>
          <w:color w:val="auto"/>
          <w:spacing w:val="8"/>
          <w:sz w:val="21"/>
          <w:szCs w:val="21"/>
          <w:highlight w:val="none"/>
        </w:rPr>
        <w:t>如果供应商本身提供所有标的均由中小企业制造、承建或承接，视同符合了资格条件，无需再与其他中小企业组成联合体参加政府采购活动，无需提供联合协议</w:t>
      </w:r>
      <w:r>
        <w:rPr>
          <w:rFonts w:hint="eastAsia" w:hAnsi="宋体" w:cs="宋体"/>
          <w:color w:val="auto"/>
          <w:sz w:val="21"/>
          <w:szCs w:val="21"/>
          <w:highlight w:val="none"/>
        </w:rPr>
        <w:t>；</w:t>
      </w:r>
    </w:p>
    <w:p>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☐要求合同分包，提供分包意向协议和中小企业声明函，分包意向协议中中小企业合同金额应当达到达到</w:t>
      </w:r>
      <w:r>
        <w:rPr>
          <w:rFonts w:hint="eastAsia" w:hAnsi="宋体" w:cs="宋体"/>
          <w:color w:val="auto"/>
          <w:sz w:val="21"/>
          <w:szCs w:val="21"/>
          <w:highlight w:val="none"/>
          <w:u w:val="single"/>
        </w:rPr>
        <w:t>/</w:t>
      </w:r>
      <w:r>
        <w:rPr>
          <w:rFonts w:hint="eastAsia" w:hAnsi="宋体" w:cs="宋体"/>
          <w:color w:val="auto"/>
          <w:sz w:val="21"/>
          <w:szCs w:val="21"/>
          <w:highlight w:val="none"/>
        </w:rPr>
        <w:t>% ，小微企业合同金额应当达到</w:t>
      </w:r>
      <w:r>
        <w:rPr>
          <w:rFonts w:hint="eastAsia" w:hAnsi="宋体" w:cs="宋体"/>
          <w:color w:val="auto"/>
          <w:sz w:val="21"/>
          <w:szCs w:val="21"/>
          <w:highlight w:val="none"/>
          <w:u w:val="single"/>
        </w:rPr>
        <w:t>/</w:t>
      </w:r>
      <w:r>
        <w:rPr>
          <w:rFonts w:hint="eastAsia" w:hAnsi="宋体" w:cs="宋体"/>
          <w:color w:val="auto"/>
          <w:sz w:val="21"/>
          <w:szCs w:val="21"/>
          <w:highlight w:val="none"/>
        </w:rPr>
        <w:t>% ;</w:t>
      </w:r>
      <w:r>
        <w:rPr>
          <w:rFonts w:hint="eastAsia" w:hAnsi="宋体" w:cs="宋体"/>
          <w:color w:val="auto"/>
          <w:spacing w:val="8"/>
          <w:sz w:val="21"/>
          <w:szCs w:val="21"/>
          <w:highlight w:val="none"/>
        </w:rPr>
        <w:t>如果供应商本身提供所有标的均由中小企业制造、承建或承接，视同符合了资格条件，无需再向中小企业分包，无需提供分包意向协议</w:t>
      </w:r>
      <w:r>
        <w:rPr>
          <w:rFonts w:hint="eastAsia" w:hAnsi="宋体" w:cs="宋体"/>
          <w:color w:val="auto"/>
          <w:sz w:val="21"/>
          <w:szCs w:val="21"/>
          <w:highlight w:val="none"/>
        </w:rPr>
        <w:t>；</w:t>
      </w:r>
    </w:p>
    <w:p>
      <w:pPr>
        <w:pStyle w:val="39"/>
        <w:adjustRightInd w:val="0"/>
        <w:snapToGrid w:val="0"/>
        <w:spacing w:before="0" w:beforeAutospacing="0" w:after="0" w:afterAutospacing="0" w:line="500" w:lineRule="exact"/>
        <w:ind w:firstLine="420" w:firstLineChars="200"/>
        <w:rPr>
          <w:rFonts w:cs="宋体"/>
          <w:color w:val="auto"/>
          <w:sz w:val="21"/>
          <w:szCs w:val="21"/>
          <w:highlight w:val="none"/>
        </w:rPr>
      </w:pPr>
      <w:r>
        <w:rPr>
          <w:rFonts w:hint="eastAsia" w:cs="宋体"/>
          <w:color w:val="auto"/>
          <w:sz w:val="21"/>
          <w:szCs w:val="21"/>
          <w:highlight w:val="none"/>
          <w:lang w:bidi="ar"/>
        </w:rPr>
        <w:t>（2）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r>
        <w:rPr>
          <w:rFonts w:hint="eastAsia" w:cs="宋体"/>
          <w:color w:val="auto"/>
          <w:sz w:val="21"/>
          <w:szCs w:val="21"/>
          <w:highlight w:val="none"/>
        </w:rPr>
        <w:t>。</w:t>
      </w:r>
    </w:p>
    <w:p>
      <w:pPr>
        <w:tabs>
          <w:tab w:val="left" w:pos="1260"/>
        </w:tabs>
        <w:autoSpaceDE/>
        <w:autoSpaceDN/>
        <w:adjustRightInd/>
        <w:snapToGrid w:val="0"/>
        <w:spacing w:line="500" w:lineRule="exact"/>
        <w:ind w:firstLine="315" w:firstLineChars="150"/>
        <w:jc w:val="both"/>
        <w:textAlignment w:val="auto"/>
        <w:rPr>
          <w:rFonts w:hint="eastAsia" w:hAnsi="宋体" w:cs="宋体"/>
          <w:color w:val="auto"/>
          <w:sz w:val="21"/>
          <w:szCs w:val="21"/>
          <w:highlight w:val="none"/>
        </w:rPr>
      </w:pPr>
      <w:r>
        <w:rPr>
          <w:rFonts w:hint="eastAsia" w:hAnsi="宋体" w:cs="宋体"/>
          <w:color w:val="auto"/>
          <w:sz w:val="21"/>
          <w:szCs w:val="21"/>
          <w:highlight w:val="none"/>
        </w:rPr>
        <w:t>3.本项目的特定资格要求：无。</w:t>
      </w:r>
    </w:p>
    <w:p>
      <w:pPr>
        <w:tabs>
          <w:tab w:val="left" w:pos="1260"/>
        </w:tabs>
        <w:autoSpaceDE/>
        <w:autoSpaceDN/>
        <w:adjustRightInd/>
        <w:spacing w:line="500" w:lineRule="exact"/>
        <w:ind w:firstLine="422" w:firstLineChars="200"/>
        <w:jc w:val="both"/>
        <w:textAlignment w:val="auto"/>
        <w:rPr>
          <w:rFonts w:hint="eastAsia" w:hAnsi="宋体" w:cs="宋体"/>
          <w:b/>
          <w:color w:val="auto"/>
          <w:sz w:val="21"/>
          <w:szCs w:val="21"/>
          <w:highlight w:val="none"/>
        </w:rPr>
      </w:pPr>
      <w:r>
        <w:rPr>
          <w:rFonts w:hint="eastAsia" w:hAnsi="宋体" w:cs="宋体"/>
          <w:b/>
          <w:color w:val="auto"/>
          <w:sz w:val="21"/>
          <w:szCs w:val="21"/>
          <w:highlight w:val="none"/>
        </w:rPr>
        <w:t>三、获取磋商文件（</w:t>
      </w:r>
      <w:r>
        <w:rPr>
          <w:rFonts w:hint="eastAsia" w:cs="宋体"/>
          <w:color w:val="auto"/>
          <w:sz w:val="21"/>
          <w:szCs w:val="21"/>
          <w:highlight w:val="none"/>
          <w:shd w:val="clear" w:color="auto" w:fill="FFFFFF"/>
        </w:rPr>
        <w:t>采购</w:t>
      </w:r>
      <w:r>
        <w:rPr>
          <w:rFonts w:cs="宋体"/>
          <w:color w:val="auto"/>
          <w:sz w:val="21"/>
          <w:szCs w:val="21"/>
          <w:highlight w:val="none"/>
          <w:shd w:val="clear" w:color="auto" w:fill="FFFFFF"/>
        </w:rPr>
        <w:t>文件</w:t>
      </w:r>
      <w:r>
        <w:rPr>
          <w:rFonts w:hint="eastAsia" w:hAnsi="宋体" w:cs="宋体"/>
          <w:b/>
          <w:color w:val="auto"/>
          <w:sz w:val="21"/>
          <w:szCs w:val="21"/>
          <w:highlight w:val="none"/>
        </w:rPr>
        <w:t>）</w:t>
      </w:r>
    </w:p>
    <w:p>
      <w:pPr>
        <w:tabs>
          <w:tab w:val="left" w:pos="1260"/>
        </w:tabs>
        <w:autoSpaceDE/>
        <w:autoSpaceDN/>
        <w:adjustRightInd/>
        <w:spacing w:line="46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 xml:space="preserve">1.时间：本项目公告发布之日起至2022年 </w:t>
      </w:r>
      <w:r>
        <w:rPr>
          <w:rFonts w:hint="eastAsia" w:hAnsi="宋体" w:cs="宋体"/>
          <w:color w:val="auto"/>
          <w:sz w:val="21"/>
          <w:szCs w:val="21"/>
          <w:highlight w:val="none"/>
          <w:lang w:val="en-US" w:eastAsia="zh-CN"/>
        </w:rPr>
        <w:t>12</w:t>
      </w:r>
      <w:r>
        <w:rPr>
          <w:rFonts w:hint="eastAsia" w:hAnsi="宋体" w:cs="宋体"/>
          <w:color w:val="auto"/>
          <w:sz w:val="21"/>
          <w:szCs w:val="21"/>
          <w:highlight w:val="none"/>
        </w:rPr>
        <w:t xml:space="preserve"> 月 </w:t>
      </w:r>
      <w:r>
        <w:rPr>
          <w:rFonts w:hint="eastAsia" w:hAnsi="宋体" w:cs="宋体"/>
          <w:color w:val="auto"/>
          <w:sz w:val="21"/>
          <w:szCs w:val="21"/>
          <w:highlight w:val="none"/>
          <w:lang w:val="en-US" w:eastAsia="zh-CN"/>
        </w:rPr>
        <w:t>19</w:t>
      </w:r>
      <w:r>
        <w:rPr>
          <w:rFonts w:hint="eastAsia" w:hAnsi="宋体" w:cs="宋体"/>
          <w:color w:val="auto"/>
          <w:sz w:val="21"/>
          <w:szCs w:val="21"/>
          <w:highlight w:val="none"/>
        </w:rPr>
        <w:t xml:space="preserve"> 日，每天上午 00:00至12:00 ，下午12:00至23:59（北京时间）</w:t>
      </w:r>
    </w:p>
    <w:p>
      <w:pPr>
        <w:pStyle w:val="39"/>
        <w:spacing w:before="0" w:beforeAutospacing="0" w:after="0" w:afterAutospacing="0" w:line="500" w:lineRule="exact"/>
        <w:rPr>
          <w:rFonts w:hint="eastAsia" w:cs="宋体"/>
          <w:color w:val="auto"/>
          <w:sz w:val="21"/>
          <w:szCs w:val="21"/>
          <w:highlight w:val="none"/>
          <w:shd w:val="clear" w:color="auto" w:fill="FFFFFF"/>
        </w:rPr>
      </w:pPr>
      <w:r>
        <w:rPr>
          <w:rFonts w:cs="宋体"/>
          <w:color w:val="auto"/>
          <w:sz w:val="21"/>
          <w:szCs w:val="21"/>
          <w:highlight w:val="none"/>
          <w:shd w:val="clear" w:color="auto" w:fill="FFFFFF"/>
        </w:rPr>
        <w:t xml:space="preserve">     </w:t>
      </w:r>
      <w:r>
        <w:rPr>
          <w:rFonts w:hint="eastAsia" w:cs="宋体"/>
          <w:color w:val="auto"/>
          <w:sz w:val="21"/>
          <w:szCs w:val="21"/>
          <w:highlight w:val="none"/>
          <w:shd w:val="clear" w:color="auto" w:fill="FFFFFF"/>
        </w:rPr>
        <w:t>2. 采购文件获取地址及方式</w:t>
      </w:r>
    </w:p>
    <w:p>
      <w:pPr>
        <w:pStyle w:val="39"/>
        <w:spacing w:before="0" w:beforeAutospacing="0" w:after="0" w:afterAutospacing="0" w:line="500" w:lineRule="exact"/>
        <w:ind w:firstLine="420" w:firstLineChars="200"/>
        <w:rPr>
          <w:rFonts w:hint="eastAsia" w:cs="宋体"/>
          <w:color w:val="auto"/>
          <w:sz w:val="21"/>
          <w:szCs w:val="21"/>
          <w:highlight w:val="none"/>
          <w:shd w:val="clear" w:color="auto" w:fill="FFFFFF"/>
        </w:rPr>
      </w:pPr>
      <w:r>
        <w:rPr>
          <w:rFonts w:hint="eastAsia" w:hAnsi="Calibri" w:cs="Calibri"/>
          <w:color w:val="auto"/>
          <w:sz w:val="21"/>
          <w:szCs w:val="21"/>
          <w:highlight w:val="none"/>
          <w:shd w:val="clear" w:color="auto" w:fill="FFFFFF"/>
        </w:rPr>
        <w:t>（1）</w:t>
      </w:r>
      <w:r>
        <w:rPr>
          <w:rFonts w:hint="eastAsia" w:cs="宋体"/>
          <w:color w:val="auto"/>
          <w:sz w:val="21"/>
          <w:szCs w:val="21"/>
          <w:highlight w:val="none"/>
          <w:shd w:val="clear" w:color="auto" w:fill="FFFFFF"/>
        </w:rPr>
        <w:t>获取地址（网址）：政采云平台线上获取（</w:t>
      </w:r>
      <w:r>
        <w:rPr>
          <w:rFonts w:hint="eastAsia" w:cs="宋体"/>
          <w:color w:val="auto"/>
          <w:highlight w:val="none"/>
        </w:rPr>
        <w:t>https://www.zcygov.cn）</w:t>
      </w:r>
      <w:r>
        <w:rPr>
          <w:rFonts w:hint="eastAsia" w:cs="宋体"/>
          <w:color w:val="auto"/>
          <w:sz w:val="21"/>
          <w:szCs w:val="21"/>
          <w:highlight w:val="none"/>
          <w:shd w:val="clear" w:color="auto" w:fill="FFFFFF"/>
        </w:rPr>
        <w:t>。</w:t>
      </w:r>
    </w:p>
    <w:p>
      <w:pPr>
        <w:pStyle w:val="39"/>
        <w:spacing w:before="0" w:beforeAutospacing="0" w:after="0" w:afterAutospacing="0" w:line="440" w:lineRule="exact"/>
        <w:rPr>
          <w:rFonts w:hint="eastAsia" w:cs="宋体"/>
          <w:color w:val="auto"/>
          <w:sz w:val="21"/>
          <w:szCs w:val="21"/>
          <w:highlight w:val="none"/>
          <w:shd w:val="clear" w:color="auto" w:fill="FFFFFF"/>
        </w:rPr>
      </w:pPr>
      <w:r>
        <w:rPr>
          <w:rFonts w:cs="宋体"/>
          <w:color w:val="auto"/>
          <w:sz w:val="21"/>
          <w:szCs w:val="21"/>
          <w:highlight w:val="none"/>
          <w:shd w:val="clear" w:color="auto" w:fill="FFFFFF"/>
        </w:rPr>
        <w:t xml:space="preserve">  </w:t>
      </w:r>
      <w:r>
        <w:rPr>
          <w:rFonts w:hint="eastAsia" w:cs="宋体"/>
          <w:color w:val="auto"/>
          <w:sz w:val="21"/>
          <w:szCs w:val="21"/>
          <w:highlight w:val="none"/>
          <w:shd w:val="clear" w:color="auto" w:fill="FFFFFF"/>
        </w:rPr>
        <w:t xml:space="preserve"> （</w:t>
      </w:r>
      <w:r>
        <w:rPr>
          <w:rFonts w:cs="宋体"/>
          <w:color w:val="auto"/>
          <w:sz w:val="21"/>
          <w:szCs w:val="21"/>
          <w:highlight w:val="none"/>
          <w:shd w:val="clear" w:color="auto" w:fill="FFFFFF"/>
        </w:rPr>
        <w:t>2</w:t>
      </w:r>
      <w:r>
        <w:rPr>
          <w:rFonts w:hint="eastAsia" w:cs="宋体"/>
          <w:color w:val="auto"/>
          <w:sz w:val="21"/>
          <w:szCs w:val="21"/>
          <w:highlight w:val="none"/>
          <w:shd w:val="clear" w:color="auto" w:fill="FFFFFF"/>
        </w:rPr>
        <w:t>）</w:t>
      </w:r>
      <w:r>
        <w:rPr>
          <w:rFonts w:cs="宋体"/>
          <w:color w:val="auto"/>
          <w:sz w:val="21"/>
          <w:szCs w:val="21"/>
          <w:highlight w:val="none"/>
          <w:shd w:val="clear" w:color="auto" w:fill="FFFFFF"/>
        </w:rPr>
        <w:t>获取采购文件方式：供应商自行登录浙江省“政采云”平台（网址https://www.zcygov.cn）获取采购文件（供应商线上获取采购文件的流程：供应商登</w:t>
      </w:r>
      <w:r>
        <w:rPr>
          <w:rFonts w:hint="eastAsia" w:cs="宋体"/>
          <w:color w:val="auto"/>
          <w:sz w:val="21"/>
          <w:szCs w:val="21"/>
          <w:highlight w:val="none"/>
          <w:shd w:val="clear" w:color="auto" w:fill="FFFFFF"/>
        </w:rPr>
        <w:t>录</w:t>
      </w:r>
      <w:r>
        <w:rPr>
          <w:rFonts w:cs="宋体"/>
          <w:color w:val="auto"/>
          <w:sz w:val="21"/>
          <w:szCs w:val="21"/>
          <w:highlight w:val="none"/>
          <w:shd w:val="clear" w:color="auto" w:fill="FFFFFF"/>
        </w:rPr>
        <w:t>浙江省“政采云”平台并进入【项目采购】应用模块，点击左侧菜单的【获取采购文件】，点击对应项目的【申请获取采购文件】按钮，填写获取采购文件申请信息后，点右下角【确定】按钮提交）</w:t>
      </w:r>
      <w:r>
        <w:rPr>
          <w:rFonts w:hint="eastAsia" w:cs="宋体"/>
          <w:color w:val="auto"/>
          <w:sz w:val="21"/>
          <w:szCs w:val="21"/>
          <w:highlight w:val="none"/>
          <w:shd w:val="clear" w:color="auto" w:fill="FFFFFF"/>
        </w:rPr>
        <w:t>。</w:t>
      </w:r>
    </w:p>
    <w:p>
      <w:pPr>
        <w:pStyle w:val="39"/>
        <w:spacing w:before="0" w:beforeAutospacing="0" w:after="0" w:afterAutospacing="0" w:line="440" w:lineRule="exact"/>
        <w:ind w:firstLine="630"/>
        <w:rPr>
          <w:rFonts w:cs="宋体"/>
          <w:color w:val="auto"/>
          <w:sz w:val="21"/>
          <w:szCs w:val="21"/>
          <w:highlight w:val="none"/>
          <w:shd w:val="clear" w:color="auto" w:fill="FFFFFF"/>
        </w:rPr>
      </w:pPr>
      <w:r>
        <w:rPr>
          <w:rFonts w:cs="宋体"/>
          <w:color w:val="auto"/>
          <w:sz w:val="21"/>
          <w:szCs w:val="21"/>
          <w:highlight w:val="none"/>
          <w:shd w:val="clear" w:color="auto" w:fill="FFFFFF"/>
        </w:rPr>
        <w:t>售价（元）：  0 </w:t>
      </w:r>
    </w:p>
    <w:p>
      <w:pPr>
        <w:tabs>
          <w:tab w:val="left" w:pos="1260"/>
        </w:tabs>
        <w:autoSpaceDE/>
        <w:autoSpaceDN/>
        <w:adjustRightInd/>
        <w:spacing w:line="46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shd w:val="clear" w:color="auto" w:fill="FFFFFF"/>
        </w:rPr>
        <w:t>3.</w:t>
      </w:r>
      <w:r>
        <w:rPr>
          <w:rFonts w:hint="eastAsia" w:hAnsi="宋体" w:cs="宋体"/>
          <w:bCs/>
          <w:color w:val="auto"/>
          <w:sz w:val="21"/>
          <w:szCs w:val="21"/>
          <w:highlight w:val="none"/>
        </w:rPr>
        <w:t>获取</w:t>
      </w:r>
      <w:r>
        <w:rPr>
          <w:rFonts w:hint="eastAsia" w:cs="宋体"/>
          <w:color w:val="auto"/>
          <w:sz w:val="21"/>
          <w:szCs w:val="21"/>
          <w:highlight w:val="none"/>
          <w:shd w:val="clear" w:color="auto" w:fill="FFFFFF"/>
        </w:rPr>
        <w:t>采购</w:t>
      </w:r>
      <w:r>
        <w:rPr>
          <w:rFonts w:cs="宋体"/>
          <w:color w:val="auto"/>
          <w:sz w:val="21"/>
          <w:szCs w:val="21"/>
          <w:highlight w:val="none"/>
          <w:shd w:val="clear" w:color="auto" w:fill="FFFFFF"/>
        </w:rPr>
        <w:t>文件</w:t>
      </w:r>
      <w:r>
        <w:rPr>
          <w:rFonts w:hint="eastAsia" w:hAnsi="宋体" w:cs="宋体"/>
          <w:bCs/>
          <w:color w:val="auto"/>
          <w:sz w:val="21"/>
          <w:szCs w:val="21"/>
          <w:highlight w:val="none"/>
        </w:rPr>
        <w:t>时应提供以下资料扫描件：</w:t>
      </w:r>
    </w:p>
    <w:p>
      <w:pPr>
        <w:tabs>
          <w:tab w:val="left" w:pos="1260"/>
        </w:tabs>
        <w:autoSpaceDE/>
        <w:autoSpaceDN/>
        <w:adjustRightInd/>
        <w:spacing w:line="46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（1）供应商有效期内的营业执照副本（或事业单位法人证书等注册登记证照）复印件（加盖单位公章）；</w:t>
      </w:r>
    </w:p>
    <w:p>
      <w:pPr>
        <w:tabs>
          <w:tab w:val="left" w:pos="1260"/>
        </w:tabs>
        <w:autoSpaceDE/>
        <w:autoSpaceDN/>
        <w:adjustRightInd/>
        <w:spacing w:line="46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（2）供应商的法定代表人授权委托书、授权代表人有效身份证件复印件（加盖单位公章）；</w:t>
      </w:r>
    </w:p>
    <w:p>
      <w:pPr>
        <w:tabs>
          <w:tab w:val="left" w:pos="1260"/>
        </w:tabs>
        <w:autoSpaceDE/>
        <w:autoSpaceDN/>
        <w:adjustRightInd/>
        <w:spacing w:line="46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（3）</w:t>
      </w:r>
      <w:r>
        <w:rPr>
          <w:rFonts w:hAnsi="宋体" w:cs="宋体"/>
          <w:color w:val="auto"/>
          <w:sz w:val="21"/>
          <w:szCs w:val="21"/>
          <w:highlight w:val="none"/>
        </w:rPr>
        <w:t>供应商的联系人、联系电话等通联信息及投标项目名称与项目编号</w:t>
      </w:r>
      <w:r>
        <w:rPr>
          <w:rFonts w:hint="eastAsia" w:hAnsi="宋体" w:cs="宋体"/>
          <w:color w:val="auto"/>
          <w:sz w:val="21"/>
          <w:szCs w:val="21"/>
          <w:highlight w:val="none"/>
        </w:rPr>
        <w:t>。</w:t>
      </w:r>
    </w:p>
    <w:p>
      <w:pPr>
        <w:autoSpaceDE/>
        <w:autoSpaceDN/>
        <w:adjustRightInd/>
        <w:spacing w:line="500" w:lineRule="exact"/>
        <w:ind w:firstLine="422" w:firstLineChars="200"/>
        <w:jc w:val="both"/>
        <w:textAlignment w:val="auto"/>
        <w:rPr>
          <w:rStyle w:val="46"/>
          <w:rFonts w:hint="eastAsia" w:hAnsi="宋体"/>
          <w:color w:val="auto"/>
          <w:sz w:val="21"/>
          <w:szCs w:val="21"/>
          <w:highlight w:val="none"/>
        </w:rPr>
      </w:pPr>
      <w:r>
        <w:rPr>
          <w:rStyle w:val="46"/>
          <w:rFonts w:hint="eastAsia" w:hAnsi="宋体"/>
          <w:color w:val="auto"/>
          <w:sz w:val="21"/>
          <w:szCs w:val="21"/>
          <w:highlight w:val="none"/>
        </w:rPr>
        <w:t>注：</w:t>
      </w:r>
    </w:p>
    <w:p>
      <w:pPr>
        <w:pStyle w:val="42"/>
        <w:spacing w:after="0" w:line="440" w:lineRule="atLeast"/>
        <w:ind w:left="0" w:leftChars="0" w:firstLine="422"/>
        <w:rPr>
          <w:rStyle w:val="46"/>
          <w:rFonts w:hint="eastAsia"/>
          <w:bCs w:val="0"/>
          <w:color w:val="auto"/>
          <w:sz w:val="24"/>
          <w:szCs w:val="24"/>
          <w:highlight w:val="none"/>
        </w:rPr>
      </w:pPr>
      <w:r>
        <w:rPr>
          <w:rStyle w:val="46"/>
          <w:rFonts w:hint="eastAsia" w:hAnsi="宋体"/>
          <w:color w:val="auto"/>
          <w:highlight w:val="none"/>
        </w:rPr>
        <w:t>（1）浙江政府采购网上随公告发布的采购文件仅供阅览；供应商应按上述方式获取采购文件；未按上述方式完成获取采购文件流程的，不得对采购文件提起质疑投诉。同时请供应商在参加投标前随时关注项目的可能更正公告情况。</w:t>
      </w:r>
    </w:p>
    <w:p>
      <w:pPr>
        <w:autoSpaceDE/>
        <w:autoSpaceDN/>
        <w:adjustRightInd/>
        <w:spacing w:line="500" w:lineRule="exact"/>
        <w:ind w:firstLine="422" w:firstLineChars="200"/>
        <w:jc w:val="both"/>
        <w:textAlignment w:val="auto"/>
        <w:rPr>
          <w:color w:val="auto"/>
          <w:highlight w:val="none"/>
        </w:rPr>
      </w:pPr>
      <w:r>
        <w:rPr>
          <w:rStyle w:val="46"/>
          <w:rFonts w:hint="eastAsia" w:hAnsi="宋体"/>
          <w:color w:val="auto"/>
          <w:sz w:val="21"/>
          <w:szCs w:val="21"/>
          <w:highlight w:val="none"/>
        </w:rPr>
        <w:t>（2）采购代理机构将拒绝接受非报名人的投标文件。</w:t>
      </w:r>
    </w:p>
    <w:p>
      <w:pPr>
        <w:tabs>
          <w:tab w:val="left" w:pos="1260"/>
        </w:tabs>
        <w:autoSpaceDE/>
        <w:autoSpaceDN/>
        <w:adjustRightInd/>
        <w:spacing w:line="500" w:lineRule="exact"/>
        <w:ind w:firstLine="422" w:firstLineChars="200"/>
        <w:jc w:val="both"/>
        <w:textAlignment w:val="auto"/>
        <w:rPr>
          <w:rFonts w:hint="eastAsia" w:hAnsi="宋体" w:cs="宋体"/>
          <w:b/>
          <w:color w:val="auto"/>
          <w:sz w:val="21"/>
          <w:szCs w:val="21"/>
          <w:highlight w:val="none"/>
        </w:rPr>
      </w:pPr>
      <w:bookmarkStart w:id="43" w:name="_Toc28359005"/>
      <w:bookmarkStart w:id="44" w:name="_Toc28359082"/>
      <w:bookmarkStart w:id="45" w:name="_Toc35393624"/>
      <w:bookmarkStart w:id="46" w:name="_Toc35393793"/>
      <w:r>
        <w:rPr>
          <w:rFonts w:hint="eastAsia" w:hAnsi="宋体" w:cs="宋体"/>
          <w:b/>
          <w:color w:val="auto"/>
          <w:sz w:val="21"/>
          <w:szCs w:val="21"/>
          <w:highlight w:val="none"/>
        </w:rPr>
        <w:t>四、提交磋商响应文件</w:t>
      </w:r>
      <w:bookmarkEnd w:id="43"/>
      <w:bookmarkEnd w:id="44"/>
      <w:r>
        <w:rPr>
          <w:rFonts w:hint="eastAsia" w:hAnsi="宋体" w:cs="宋体"/>
          <w:b/>
          <w:color w:val="auto"/>
          <w:sz w:val="21"/>
          <w:szCs w:val="21"/>
          <w:highlight w:val="none"/>
        </w:rPr>
        <w:t>截止时间、开启时间和地点</w:t>
      </w:r>
      <w:bookmarkEnd w:id="45"/>
      <w:bookmarkEnd w:id="46"/>
    </w:p>
    <w:p>
      <w:pPr>
        <w:tabs>
          <w:tab w:val="left" w:pos="1260"/>
        </w:tabs>
        <w:autoSpaceDE/>
        <w:autoSpaceDN/>
        <w:adjustRightInd/>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1.提交</w:t>
      </w:r>
      <w:r>
        <w:rPr>
          <w:rFonts w:hint="eastAsia" w:hAnsi="宋体" w:cs="宋体"/>
          <w:b/>
          <w:color w:val="auto"/>
          <w:sz w:val="21"/>
          <w:szCs w:val="21"/>
          <w:highlight w:val="none"/>
        </w:rPr>
        <w:t>磋商响</w:t>
      </w:r>
      <w:r>
        <w:rPr>
          <w:rFonts w:hint="eastAsia" w:hAnsi="宋体" w:cs="宋体"/>
          <w:color w:val="auto"/>
          <w:sz w:val="21"/>
          <w:szCs w:val="21"/>
          <w:highlight w:val="none"/>
        </w:rPr>
        <w:t xml:space="preserve">文件截止时间：2022年 </w:t>
      </w:r>
      <w:r>
        <w:rPr>
          <w:rFonts w:hint="eastAsia" w:hAnsi="宋体" w:cs="宋体"/>
          <w:color w:val="auto"/>
          <w:sz w:val="21"/>
          <w:szCs w:val="21"/>
          <w:highlight w:val="none"/>
          <w:lang w:val="en-US" w:eastAsia="zh-CN"/>
        </w:rPr>
        <w:t>12</w:t>
      </w:r>
      <w:r>
        <w:rPr>
          <w:rFonts w:hint="eastAsia" w:hAnsi="宋体" w:cs="宋体"/>
          <w:color w:val="auto"/>
          <w:sz w:val="21"/>
          <w:szCs w:val="21"/>
          <w:highlight w:val="none"/>
        </w:rPr>
        <w:t xml:space="preserve"> 月</w:t>
      </w:r>
      <w:r>
        <w:rPr>
          <w:rFonts w:hint="eastAsia" w:hAnsi="宋体" w:cs="宋体"/>
          <w:color w:val="auto"/>
          <w:sz w:val="21"/>
          <w:szCs w:val="21"/>
          <w:highlight w:val="none"/>
          <w:lang w:val="en-US" w:eastAsia="zh-CN"/>
        </w:rPr>
        <w:t>19</w:t>
      </w:r>
      <w:r>
        <w:rPr>
          <w:rFonts w:hint="eastAsia" w:hAnsi="宋体" w:cs="宋体"/>
          <w:color w:val="auto"/>
          <w:sz w:val="21"/>
          <w:szCs w:val="21"/>
          <w:highlight w:val="none"/>
        </w:rPr>
        <w:t xml:space="preserve"> 日09:30 时（北京时间）</w:t>
      </w:r>
    </w:p>
    <w:p>
      <w:pPr>
        <w:pStyle w:val="39"/>
        <w:spacing w:before="0" w:beforeAutospacing="0" w:after="0" w:afterAutospacing="0" w:line="500" w:lineRule="exact"/>
        <w:rPr>
          <w:rFonts w:cs="宋体"/>
          <w:color w:val="auto"/>
          <w:sz w:val="21"/>
          <w:szCs w:val="21"/>
          <w:highlight w:val="none"/>
        </w:rPr>
      </w:pPr>
      <w:r>
        <w:rPr>
          <w:rFonts w:cs="宋体"/>
          <w:color w:val="auto"/>
          <w:sz w:val="21"/>
          <w:szCs w:val="21"/>
          <w:highlight w:val="none"/>
          <w:shd w:val="clear" w:color="auto" w:fill="FFFFFF"/>
        </w:rPr>
        <w:t>投标地点（网址）：通过浙江政府采购网政府采购云平台实行在线投标响应。</w:t>
      </w:r>
    </w:p>
    <w:p>
      <w:pPr>
        <w:pStyle w:val="39"/>
        <w:spacing w:before="0" w:beforeAutospacing="0" w:after="0" w:afterAutospacing="0" w:line="500" w:lineRule="exact"/>
        <w:rPr>
          <w:rFonts w:cs="宋体"/>
          <w:color w:val="auto"/>
          <w:sz w:val="21"/>
          <w:szCs w:val="21"/>
          <w:highlight w:val="none"/>
        </w:rPr>
      </w:pPr>
      <w:r>
        <w:rPr>
          <w:rFonts w:cs="宋体"/>
          <w:color w:val="auto"/>
          <w:sz w:val="21"/>
          <w:szCs w:val="21"/>
          <w:highlight w:val="none"/>
          <w:shd w:val="clear" w:color="auto" w:fill="FFFFFF"/>
        </w:rPr>
        <w:t>   开</w:t>
      </w:r>
      <w:r>
        <w:rPr>
          <w:rFonts w:hint="eastAsia" w:cs="宋体"/>
          <w:b/>
          <w:color w:val="auto"/>
          <w:sz w:val="21"/>
          <w:szCs w:val="21"/>
          <w:highlight w:val="none"/>
        </w:rPr>
        <w:t>启</w:t>
      </w:r>
      <w:r>
        <w:rPr>
          <w:rFonts w:cs="宋体"/>
          <w:color w:val="auto"/>
          <w:sz w:val="21"/>
          <w:szCs w:val="21"/>
          <w:highlight w:val="none"/>
          <w:shd w:val="clear" w:color="auto" w:fill="FFFFFF"/>
        </w:rPr>
        <w:t>时间：</w:t>
      </w:r>
      <w:r>
        <w:rPr>
          <w:rFonts w:hint="eastAsia" w:cs="宋体"/>
          <w:color w:val="auto"/>
          <w:sz w:val="21"/>
          <w:szCs w:val="21"/>
          <w:highlight w:val="none"/>
        </w:rPr>
        <w:t xml:space="preserve">2022年 </w:t>
      </w:r>
      <w:r>
        <w:rPr>
          <w:rFonts w:hint="eastAsia" w:cs="宋体"/>
          <w:color w:val="auto"/>
          <w:sz w:val="21"/>
          <w:szCs w:val="21"/>
          <w:highlight w:val="none"/>
          <w:lang w:val="en-US" w:eastAsia="zh-CN"/>
        </w:rPr>
        <w:t>12</w:t>
      </w:r>
      <w:r>
        <w:rPr>
          <w:rFonts w:hint="eastAsia" w:cs="宋体"/>
          <w:color w:val="auto"/>
          <w:sz w:val="21"/>
          <w:szCs w:val="21"/>
          <w:highlight w:val="none"/>
        </w:rPr>
        <w:t xml:space="preserve"> 月 </w:t>
      </w:r>
      <w:r>
        <w:rPr>
          <w:rFonts w:hint="eastAsia" w:cs="宋体"/>
          <w:color w:val="auto"/>
          <w:sz w:val="21"/>
          <w:szCs w:val="21"/>
          <w:highlight w:val="none"/>
          <w:lang w:val="en-US" w:eastAsia="zh-CN"/>
        </w:rPr>
        <w:t>19</w:t>
      </w:r>
      <w:r>
        <w:rPr>
          <w:rFonts w:hint="eastAsia" w:cs="宋体"/>
          <w:color w:val="auto"/>
          <w:sz w:val="21"/>
          <w:szCs w:val="21"/>
          <w:highlight w:val="none"/>
        </w:rPr>
        <w:t xml:space="preserve"> 日09:30时</w:t>
      </w:r>
      <w:r>
        <w:rPr>
          <w:rFonts w:cs="宋体"/>
          <w:color w:val="auto"/>
          <w:sz w:val="21"/>
          <w:szCs w:val="21"/>
          <w:highlight w:val="none"/>
          <w:shd w:val="clear" w:color="auto" w:fill="FFFFFF"/>
        </w:rPr>
        <w:t>（北京时间）</w:t>
      </w:r>
    </w:p>
    <w:p>
      <w:pPr>
        <w:pStyle w:val="39"/>
        <w:spacing w:before="0" w:beforeAutospacing="0" w:after="0" w:afterAutospacing="0" w:line="500" w:lineRule="exact"/>
        <w:rPr>
          <w:rFonts w:ascii="Times New Roman" w:cs="宋体"/>
          <w:color w:val="auto"/>
          <w:sz w:val="21"/>
          <w:szCs w:val="21"/>
          <w:highlight w:val="none"/>
        </w:rPr>
      </w:pPr>
      <w:r>
        <w:rPr>
          <w:rFonts w:cs="宋体"/>
          <w:color w:val="auto"/>
          <w:sz w:val="21"/>
          <w:szCs w:val="21"/>
          <w:highlight w:val="none"/>
          <w:shd w:val="clear" w:color="auto" w:fill="FFFFFF"/>
        </w:rPr>
        <w:t>   开</w:t>
      </w:r>
      <w:r>
        <w:rPr>
          <w:rFonts w:hint="eastAsia" w:cs="宋体"/>
          <w:b/>
          <w:color w:val="auto"/>
          <w:sz w:val="21"/>
          <w:szCs w:val="21"/>
          <w:highlight w:val="none"/>
        </w:rPr>
        <w:t>启</w:t>
      </w:r>
      <w:r>
        <w:rPr>
          <w:rFonts w:cs="宋体"/>
          <w:color w:val="auto"/>
          <w:sz w:val="21"/>
          <w:szCs w:val="21"/>
          <w:highlight w:val="none"/>
          <w:shd w:val="clear" w:color="auto" w:fill="FFFFFF"/>
        </w:rPr>
        <w:t>地点（网址）：</w:t>
      </w:r>
      <w:r>
        <w:rPr>
          <w:rFonts w:cs="宋体"/>
          <w:color w:val="auto"/>
          <w:sz w:val="21"/>
          <w:szCs w:val="21"/>
          <w:highlight w:val="none"/>
        </w:rPr>
        <w:t>金华市双龙南街858号金华财富大厦（金华市行政服务中心新办事大厅4楼开标</w:t>
      </w:r>
      <w:r>
        <w:rPr>
          <w:rFonts w:hint="eastAsia" w:cs="宋体"/>
          <w:color w:val="auto"/>
          <w:sz w:val="21"/>
          <w:szCs w:val="21"/>
          <w:highlight w:val="none"/>
          <w:lang w:val="en-US" w:eastAsia="zh-CN"/>
        </w:rPr>
        <w:t>3</w:t>
      </w:r>
      <w:r>
        <w:rPr>
          <w:rFonts w:cs="宋体"/>
          <w:color w:val="auto"/>
          <w:sz w:val="21"/>
          <w:szCs w:val="21"/>
          <w:highlight w:val="none"/>
        </w:rPr>
        <w:t>室）</w:t>
      </w:r>
      <w:r>
        <w:rPr>
          <w:rFonts w:hint="eastAsia" w:cs="宋体"/>
          <w:color w:val="auto"/>
          <w:sz w:val="21"/>
          <w:szCs w:val="21"/>
          <w:highlight w:val="none"/>
        </w:rPr>
        <w:t>，本项目</w:t>
      </w:r>
      <w:r>
        <w:rPr>
          <w:rFonts w:cs="宋体"/>
          <w:color w:val="auto"/>
          <w:sz w:val="21"/>
          <w:szCs w:val="21"/>
          <w:highlight w:val="none"/>
          <w:shd w:val="clear" w:color="auto" w:fill="FFFFFF"/>
        </w:rPr>
        <w:t>通过浙江政府采购网政府采</w:t>
      </w:r>
      <w:r>
        <w:rPr>
          <w:rFonts w:ascii="Times New Roman" w:cs="宋体"/>
          <w:color w:val="auto"/>
          <w:sz w:val="21"/>
          <w:szCs w:val="21"/>
          <w:highlight w:val="none"/>
        </w:rPr>
        <w:t>购云平台在线开标，</w:t>
      </w:r>
      <w:r>
        <w:rPr>
          <w:rStyle w:val="46"/>
          <w:rFonts w:ascii="Times New Roman"/>
          <w:b w:val="0"/>
          <w:color w:val="auto"/>
          <w:sz w:val="21"/>
          <w:szCs w:val="21"/>
          <w:highlight w:val="none"/>
        </w:rPr>
        <w:t>供应商无需到开标现场，但须准时在线参加，</w:t>
      </w:r>
      <w:r>
        <w:rPr>
          <w:rStyle w:val="46"/>
          <w:rFonts w:ascii="Times New Roman"/>
          <w:b w:val="0"/>
          <w:bCs w:val="0"/>
          <w:color w:val="auto"/>
          <w:sz w:val="21"/>
          <w:szCs w:val="21"/>
          <w:highlight w:val="none"/>
        </w:rPr>
        <w:t>直至评审结束。</w:t>
      </w:r>
      <w:r>
        <w:rPr>
          <w:rFonts w:ascii="Times New Roman" w:cs="宋体"/>
          <w:color w:val="auto"/>
          <w:sz w:val="21"/>
          <w:szCs w:val="21"/>
          <w:highlight w:val="none"/>
        </w:rPr>
        <w:t>开标</w:t>
      </w:r>
      <w:r>
        <w:rPr>
          <w:rFonts w:cs="宋体"/>
          <w:color w:val="auto"/>
          <w:sz w:val="21"/>
          <w:szCs w:val="21"/>
          <w:highlight w:val="none"/>
        </w:rPr>
        <w:t>截止</w:t>
      </w:r>
      <w:r>
        <w:rPr>
          <w:rFonts w:ascii="Times New Roman" w:cs="宋体"/>
          <w:color w:val="auto"/>
          <w:sz w:val="21"/>
          <w:szCs w:val="21"/>
          <w:highlight w:val="none"/>
        </w:rPr>
        <w:t>时间后</w:t>
      </w:r>
      <w:r>
        <w:rPr>
          <w:rFonts w:cs="宋体"/>
          <w:color w:val="auto"/>
          <w:sz w:val="21"/>
          <w:szCs w:val="21"/>
          <w:highlight w:val="none"/>
        </w:rPr>
        <w:t>30分钟以</w:t>
      </w:r>
      <w:r>
        <w:rPr>
          <w:rFonts w:ascii="Times New Roman" w:cs="宋体"/>
          <w:color w:val="auto"/>
          <w:sz w:val="21"/>
          <w:szCs w:val="21"/>
          <w:highlight w:val="none"/>
        </w:rPr>
        <w:t>内供应商登录“政采云”平台，用“项目采购-开标评标”功能进行解密投标文件。若供应商在规定时间内投标文件无法解密或解密失败（含未提交），则投标无效。</w:t>
      </w:r>
    </w:p>
    <w:p>
      <w:pPr>
        <w:pStyle w:val="39"/>
        <w:spacing w:before="0" w:beforeAutospacing="0" w:after="0" w:afterAutospacing="0" w:line="500" w:lineRule="exact"/>
        <w:ind w:firstLine="422" w:firstLineChars="200"/>
        <w:jc w:val="both"/>
        <w:rPr>
          <w:rFonts w:cs="宋体"/>
          <w:color w:val="auto"/>
          <w:sz w:val="21"/>
          <w:szCs w:val="21"/>
          <w:highlight w:val="none"/>
        </w:rPr>
      </w:pPr>
      <w:bookmarkStart w:id="47" w:name="_Toc28359084"/>
      <w:bookmarkStart w:id="48" w:name="_Toc35393794"/>
      <w:bookmarkStart w:id="49" w:name="_Toc35393625"/>
      <w:bookmarkStart w:id="50" w:name="_Toc28359007"/>
      <w:r>
        <w:rPr>
          <w:rStyle w:val="46"/>
          <w:color w:val="auto"/>
          <w:sz w:val="21"/>
          <w:szCs w:val="21"/>
          <w:highlight w:val="none"/>
          <w:shd w:val="clear" w:color="auto" w:fill="FFFFFF"/>
        </w:rPr>
        <w:t>五、公告期限及其他事项</w:t>
      </w:r>
    </w:p>
    <w:p>
      <w:pPr>
        <w:tabs>
          <w:tab w:val="left" w:pos="1260"/>
        </w:tabs>
        <w:autoSpaceDE/>
        <w:autoSpaceDN/>
        <w:adjustRightInd/>
        <w:spacing w:line="500" w:lineRule="exact"/>
        <w:ind w:firstLine="420" w:firstLineChars="200"/>
        <w:jc w:val="both"/>
        <w:textAlignment w:val="auto"/>
        <w:rPr>
          <w:rFonts w:hint="eastAsia" w:hAnsi="宋体" w:cs="宋体"/>
          <w:bCs/>
          <w:color w:val="auto"/>
          <w:sz w:val="21"/>
          <w:szCs w:val="21"/>
          <w:highlight w:val="none"/>
        </w:rPr>
      </w:pPr>
      <w:r>
        <w:rPr>
          <w:rFonts w:hint="eastAsia" w:hAnsi="宋体" w:cs="宋体"/>
          <w:bCs/>
          <w:color w:val="auto"/>
          <w:sz w:val="21"/>
          <w:szCs w:val="21"/>
          <w:highlight w:val="none"/>
        </w:rPr>
        <w:t>1.供应商认为采购文件使自己的权益受到损害的，可以自收到采购文件之日（获取采购文件截止日之后收到采购文件的，以获取截止日为准）或者采购文件公告期限届满之日（即为招标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应在法定质疑期内一次性提出针对同一采购程序环节的质疑。</w:t>
      </w:r>
    </w:p>
    <w:p>
      <w:pPr>
        <w:tabs>
          <w:tab w:val="left" w:pos="1260"/>
        </w:tabs>
        <w:autoSpaceDE/>
        <w:autoSpaceDN/>
        <w:adjustRightInd/>
        <w:spacing w:line="500" w:lineRule="exact"/>
        <w:ind w:firstLine="420" w:firstLineChars="200"/>
        <w:jc w:val="both"/>
        <w:textAlignment w:val="auto"/>
        <w:rPr>
          <w:rStyle w:val="46"/>
          <w:rFonts w:hAnsi="宋体"/>
          <w:color w:val="auto"/>
          <w:sz w:val="21"/>
          <w:szCs w:val="21"/>
          <w:highlight w:val="none"/>
        </w:rPr>
      </w:pPr>
      <w:r>
        <w:rPr>
          <w:rFonts w:hint="eastAsia" w:hAnsi="宋体" w:cs="宋体"/>
          <w:bCs/>
          <w:color w:val="auto"/>
          <w:sz w:val="21"/>
          <w:szCs w:val="21"/>
          <w:highlight w:val="none"/>
        </w:rPr>
        <w:t>2.根据《浙江省政府采购供应商注册及诚信管理暂行办法》(浙财采监【2009】28号)文件，请各投标供应商及时办理浙江政府采购网“政府采购供应商注册”手续。如中标供应商未在浙江省政府采购网正式注册入库的，采购代理机构将暂缓发出中标通知书，因此造成的后果由该供应商承担。</w:t>
      </w:r>
    </w:p>
    <w:p>
      <w:pPr>
        <w:spacing w:line="500" w:lineRule="exact"/>
        <w:ind w:firstLine="420" w:firstLineChars="200"/>
        <w:jc w:val="both"/>
        <w:rPr>
          <w:rFonts w:hint="eastAsia"/>
          <w:color w:val="auto"/>
          <w:sz w:val="21"/>
          <w:szCs w:val="21"/>
          <w:highlight w:val="none"/>
        </w:rPr>
      </w:pPr>
      <w:r>
        <w:rPr>
          <w:rStyle w:val="46"/>
          <w:rFonts w:hint="eastAsia" w:hAnsi="宋体"/>
          <w:b w:val="0"/>
          <w:bCs w:val="0"/>
          <w:color w:val="auto"/>
          <w:sz w:val="21"/>
          <w:szCs w:val="21"/>
          <w:highlight w:val="none"/>
        </w:rPr>
        <w:t>3.供</w:t>
      </w:r>
      <w:r>
        <w:rPr>
          <w:rFonts w:hint="eastAsia" w:hAnsi="宋体" w:cs="宋体"/>
          <w:color w:val="auto"/>
          <w:sz w:val="21"/>
          <w:szCs w:val="21"/>
          <w:highlight w:val="none"/>
        </w:rPr>
        <w:t>应商注册网址：</w:t>
      </w:r>
      <w:r>
        <w:rPr>
          <w:rFonts w:hint="eastAsia" w:hAnsi="宋体" w:cs="宋体"/>
          <w:color w:val="auto"/>
          <w:kern w:val="2"/>
          <w:sz w:val="21"/>
          <w:szCs w:val="21"/>
          <w:highlight w:val="none"/>
        </w:rPr>
        <w:t>浙江政府采购网：</w:t>
      </w:r>
      <w:r>
        <w:rPr>
          <w:rFonts w:hint="eastAsia" w:hAnsi="宋体" w:cs="宋体"/>
          <w:color w:val="auto"/>
          <w:sz w:val="21"/>
          <w:szCs w:val="21"/>
          <w:highlight w:val="none"/>
        </w:rPr>
        <w:fldChar w:fldCharType="begin"/>
      </w:r>
      <w:r>
        <w:rPr>
          <w:rFonts w:hint="eastAsia" w:hAnsi="宋体" w:cs="宋体"/>
          <w:color w:val="auto"/>
          <w:sz w:val="21"/>
          <w:szCs w:val="21"/>
          <w:highlight w:val="none"/>
        </w:rPr>
        <w:instrText xml:space="preserve"> HYPERLINK "https://middle.zcygov.cn/settle-front/" \l "/registry" </w:instrText>
      </w:r>
      <w:r>
        <w:rPr>
          <w:rFonts w:hint="eastAsia" w:hAnsi="宋体" w:cs="宋体"/>
          <w:color w:val="auto"/>
          <w:sz w:val="21"/>
          <w:szCs w:val="21"/>
          <w:highlight w:val="none"/>
        </w:rPr>
        <w:fldChar w:fldCharType="separate"/>
      </w:r>
      <w:r>
        <w:rPr>
          <w:rFonts w:hint="eastAsia"/>
          <w:color w:val="auto"/>
          <w:sz w:val="21"/>
          <w:highlight w:val="none"/>
        </w:rPr>
        <w:t>https://middle.zcygov.cn/settle-front/#/registry</w:t>
      </w:r>
      <w:r>
        <w:rPr>
          <w:rFonts w:hint="eastAsia" w:hAnsi="宋体" w:cs="宋体"/>
          <w:color w:val="auto"/>
          <w:sz w:val="21"/>
          <w:szCs w:val="21"/>
          <w:highlight w:val="none"/>
        </w:rPr>
        <w:fldChar w:fldCharType="end"/>
      </w:r>
    </w:p>
    <w:p>
      <w:pPr>
        <w:tabs>
          <w:tab w:val="left" w:pos="1260"/>
        </w:tabs>
        <w:autoSpaceDE/>
        <w:autoSpaceDN/>
        <w:adjustRightInd/>
        <w:spacing w:line="500" w:lineRule="exact"/>
        <w:ind w:firstLine="422" w:firstLineChars="200"/>
        <w:jc w:val="both"/>
        <w:textAlignment w:val="auto"/>
        <w:rPr>
          <w:rFonts w:hint="eastAsia" w:hAnsi="宋体" w:cs="宋体"/>
          <w:color w:val="auto"/>
          <w:sz w:val="21"/>
          <w:szCs w:val="21"/>
          <w:highlight w:val="none"/>
          <w:shd w:val="clear" w:color="auto" w:fill="FFFFFF"/>
        </w:rPr>
      </w:pPr>
      <w:r>
        <w:rPr>
          <w:rFonts w:hint="eastAsia" w:hAnsi="宋体" w:cs="宋体"/>
          <w:b/>
          <w:color w:val="auto"/>
          <w:sz w:val="21"/>
          <w:szCs w:val="21"/>
          <w:highlight w:val="none"/>
        </w:rPr>
        <w:t>六、公告地址：</w:t>
      </w:r>
      <w:r>
        <w:rPr>
          <w:rFonts w:hint="eastAsia" w:hAnsi="宋体" w:cs="宋体"/>
          <w:color w:val="auto"/>
          <w:sz w:val="21"/>
          <w:szCs w:val="21"/>
          <w:highlight w:val="none"/>
        </w:rPr>
        <w:t>浙江政府采购网(http://zfcg.czt.zj.gov.cn/)。</w:t>
      </w:r>
    </w:p>
    <w:p>
      <w:pPr>
        <w:tabs>
          <w:tab w:val="left" w:pos="1260"/>
        </w:tabs>
        <w:autoSpaceDE/>
        <w:autoSpaceDN/>
        <w:adjustRightInd/>
        <w:snapToGrid w:val="0"/>
        <w:spacing w:line="500" w:lineRule="exact"/>
        <w:ind w:firstLine="422" w:firstLineChars="200"/>
        <w:jc w:val="both"/>
        <w:textAlignment w:val="auto"/>
        <w:rPr>
          <w:rFonts w:hint="eastAsia" w:hAnsi="宋体" w:cs="宋体"/>
          <w:b/>
          <w:color w:val="auto"/>
          <w:sz w:val="21"/>
          <w:szCs w:val="21"/>
          <w:highlight w:val="none"/>
        </w:rPr>
      </w:pPr>
      <w:bookmarkStart w:id="51" w:name="_Toc35393795"/>
      <w:bookmarkStart w:id="52" w:name="_Toc35393626"/>
      <w:r>
        <w:rPr>
          <w:rFonts w:hint="eastAsia" w:hAnsi="宋体" w:cs="宋体"/>
          <w:b/>
          <w:color w:val="auto"/>
          <w:sz w:val="21"/>
          <w:szCs w:val="21"/>
          <w:highlight w:val="none"/>
        </w:rPr>
        <w:t>七、其他补充事宜</w:t>
      </w:r>
      <w:bookmarkEnd w:id="51"/>
      <w:bookmarkEnd w:id="52"/>
    </w:p>
    <w:p>
      <w:pPr>
        <w:tabs>
          <w:tab w:val="left" w:pos="1260"/>
        </w:tabs>
        <w:adjustRightInd/>
        <w:spacing w:line="500" w:lineRule="exact"/>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pPr>
        <w:tabs>
          <w:tab w:val="left" w:pos="1260"/>
        </w:tabs>
        <w:autoSpaceDE/>
        <w:autoSpaceDN/>
        <w:adjustRightInd/>
        <w:spacing w:line="500" w:lineRule="exact"/>
        <w:ind w:firstLine="420" w:firstLineChars="200"/>
        <w:textAlignment w:val="auto"/>
        <w:rPr>
          <w:rFonts w:hint="eastAsia" w:hAnsi="宋体" w:cs="宋体"/>
          <w:bCs/>
          <w:color w:val="auto"/>
          <w:sz w:val="21"/>
          <w:szCs w:val="21"/>
          <w:highlight w:val="none"/>
        </w:rPr>
      </w:pPr>
      <w:r>
        <w:rPr>
          <w:rFonts w:hint="eastAsia" w:hAnsi="宋体" w:cs="宋体"/>
          <w:bCs/>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39"/>
        <w:snapToGrid w:val="0"/>
        <w:spacing w:before="0" w:beforeAutospacing="0" w:after="0" w:afterAutospacing="0" w:line="500" w:lineRule="exact"/>
        <w:ind w:firstLine="420" w:firstLineChars="200"/>
        <w:rPr>
          <w:rStyle w:val="46"/>
          <w:rFonts w:cs="宋体"/>
          <w:b w:val="0"/>
          <w:bCs w:val="0"/>
          <w:color w:val="auto"/>
          <w:sz w:val="21"/>
          <w:szCs w:val="21"/>
          <w:highlight w:val="none"/>
          <w:shd w:val="clear" w:color="auto" w:fill="FFFFFF"/>
        </w:rPr>
      </w:pPr>
      <w:r>
        <w:rPr>
          <w:rFonts w:hint="eastAsia" w:cs="宋体"/>
          <w:bCs/>
          <w:color w:val="auto"/>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3.供应商认为采购文件使自己的权益受到损害的，可以自获取采购文件之日或者采购文件公告期限届满之日（公告期限届满后获取采购文件的，以公告期限届满之日为准）起7个工作日内，对采购文件</w:t>
      </w:r>
      <w:r>
        <w:rPr>
          <w:rFonts w:hint="eastAsia" w:cs="宋体"/>
          <w:b/>
          <w:color w:val="auto"/>
          <w:sz w:val="21"/>
          <w:szCs w:val="21"/>
          <w:highlight w:val="none"/>
        </w:rPr>
        <w:t>需求</w:t>
      </w:r>
      <w:r>
        <w:rPr>
          <w:rFonts w:hint="eastAsia" w:cs="宋体"/>
          <w:bCs/>
          <w:color w:val="auto"/>
          <w:sz w:val="21"/>
          <w:szCs w:val="21"/>
          <w:highlight w:val="none"/>
        </w:rPr>
        <w:t>的以书面形式向采购人提出质疑，对</w:t>
      </w:r>
      <w:r>
        <w:rPr>
          <w:rFonts w:hint="eastAsia" w:cs="宋体"/>
          <w:b/>
          <w:color w:val="auto"/>
          <w:sz w:val="21"/>
          <w:szCs w:val="21"/>
          <w:highlight w:val="none"/>
        </w:rPr>
        <w:t>其他内容</w:t>
      </w:r>
      <w:r>
        <w:rPr>
          <w:rFonts w:hint="eastAsia" w:cs="宋体"/>
          <w:bCs/>
          <w:color w:val="auto"/>
          <w:sz w:val="21"/>
          <w:szCs w:val="21"/>
          <w:highlight w:val="none"/>
        </w:rPr>
        <w:t>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应在法定质疑期内一次性提出针对同一采购程序环节的质疑。</w:t>
      </w:r>
    </w:p>
    <w:p>
      <w:pPr>
        <w:tabs>
          <w:tab w:val="left" w:pos="1260"/>
        </w:tabs>
        <w:adjustRightInd/>
        <w:spacing w:line="500" w:lineRule="exact"/>
        <w:ind w:firstLine="420"/>
        <w:jc w:val="both"/>
        <w:rPr>
          <w:rFonts w:hint="eastAsia" w:hAnsi="宋体" w:cs="宋体"/>
          <w:bCs/>
          <w:color w:val="auto"/>
          <w:sz w:val="21"/>
          <w:szCs w:val="21"/>
          <w:highlight w:val="none"/>
        </w:rPr>
      </w:pPr>
      <w:r>
        <w:rPr>
          <w:rFonts w:hint="eastAsia" w:hAnsi="宋体" w:cs="宋体"/>
          <w:bCs/>
          <w:color w:val="auto"/>
          <w:sz w:val="21"/>
          <w:szCs w:val="21"/>
          <w:highlight w:val="none"/>
        </w:rPr>
        <w:t>4.其他事项：</w:t>
      </w:r>
      <w:r>
        <w:rPr>
          <w:rFonts w:hint="eastAsia" w:hAnsi="宋体" w:cs="宋体"/>
          <w:bCs/>
          <w:color w:val="auto"/>
          <w:sz w:val="21"/>
          <w:szCs w:val="21"/>
          <w:highlight w:val="none"/>
          <w:lang w:bidi="ar"/>
        </w:rPr>
        <w:t>见招标文件。</w:t>
      </w:r>
      <w:r>
        <w:rPr>
          <w:rFonts w:hint="eastAsia" w:hAnsi="宋体" w:cs="宋体"/>
          <w:bCs/>
          <w:color w:val="auto"/>
          <w:sz w:val="21"/>
          <w:szCs w:val="21"/>
          <w:highlight w:val="none"/>
        </w:rPr>
        <w:t> </w:t>
      </w:r>
    </w:p>
    <w:p>
      <w:pPr>
        <w:tabs>
          <w:tab w:val="left" w:pos="1260"/>
        </w:tabs>
        <w:adjustRightInd/>
        <w:spacing w:line="500" w:lineRule="exact"/>
        <w:ind w:firstLine="420"/>
        <w:jc w:val="both"/>
        <w:rPr>
          <w:rFonts w:hint="eastAsia" w:hAnsi="宋体" w:cs="宋体"/>
          <w:bCs/>
          <w:color w:val="auto"/>
          <w:sz w:val="21"/>
          <w:szCs w:val="21"/>
          <w:highlight w:val="none"/>
          <w:lang w:bidi="ar"/>
        </w:rPr>
      </w:pPr>
      <w:r>
        <w:rPr>
          <w:rFonts w:hint="eastAsia" w:hAnsi="宋体" w:cs="宋体"/>
          <w:bCs/>
          <w:color w:val="auto"/>
          <w:sz w:val="21"/>
          <w:szCs w:val="21"/>
          <w:highlight w:val="none"/>
          <w:lang w:bidi="ar"/>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w:t>
      </w:r>
      <w:r>
        <w:rPr>
          <w:rFonts w:hint="eastAsia" w:hAnsi="宋体" w:cs="宋体"/>
          <w:bCs/>
          <w:color w:val="auto"/>
          <w:sz w:val="21"/>
          <w:szCs w:val="21"/>
          <w:highlight w:val="none"/>
          <w:lang w:eastAsia="zh-CN" w:bidi="ar"/>
        </w:rPr>
        <w:t>响应供应商</w:t>
      </w:r>
      <w:r>
        <w:rPr>
          <w:rFonts w:hint="eastAsia" w:hAnsi="宋体" w:cs="宋体"/>
          <w:bCs/>
          <w:color w:val="auto"/>
          <w:sz w:val="21"/>
          <w:szCs w:val="21"/>
          <w:highlight w:val="none"/>
          <w:lang w:bidi="ar"/>
        </w:rPr>
        <w:t>发放贷款的一种融资方式。</w:t>
      </w:r>
      <w:r>
        <w:rPr>
          <w:rFonts w:hint="eastAsia" w:hAnsi="宋体" w:cs="宋体"/>
          <w:bCs/>
          <w:color w:val="auto"/>
          <w:sz w:val="21"/>
          <w:szCs w:val="21"/>
          <w:highlight w:val="none"/>
          <w:lang w:eastAsia="zh-CN" w:bidi="ar"/>
        </w:rPr>
        <w:t>响应供应商</w:t>
      </w:r>
      <w:r>
        <w:rPr>
          <w:rFonts w:hint="eastAsia" w:hAnsi="宋体" w:cs="宋体"/>
          <w:bCs/>
          <w:color w:val="auto"/>
          <w:sz w:val="21"/>
          <w:szCs w:val="21"/>
          <w:highlight w:val="none"/>
          <w:lang w:bidi="ar"/>
        </w:rPr>
        <w:t>可登录浙江政府采购(https://zfcg.czt.zj.gov.cn/)的中小企业信用融资栏目了解相关信息。供应商可以通过浙江政府采购网(https://zfcg. czt.zj. gov.cn/)首页的“政采云金融服务”模块进入申请，还可以通过政府采购云平台(https://www.zcygov.cn/)首页的“金融服务”模块进入申请。</w:t>
      </w:r>
    </w:p>
    <w:p>
      <w:pPr>
        <w:widowControl/>
        <w:tabs>
          <w:tab w:val="left" w:pos="1260"/>
        </w:tabs>
        <w:autoSpaceDE/>
        <w:autoSpaceDN/>
        <w:adjustRightInd/>
        <w:spacing w:line="500" w:lineRule="exact"/>
        <w:ind w:firstLine="420"/>
        <w:jc w:val="both"/>
        <w:textAlignment w:val="auto"/>
        <w:rPr>
          <w:rFonts w:hint="eastAsia" w:hAnsi="宋体" w:cs="宋体"/>
          <w:bCs/>
          <w:color w:val="auto"/>
          <w:sz w:val="21"/>
          <w:szCs w:val="21"/>
          <w:highlight w:val="none"/>
          <w:lang w:bidi="ar"/>
        </w:rPr>
      </w:pPr>
      <w:r>
        <w:rPr>
          <w:rFonts w:hint="eastAsia" w:hAnsi="宋体" w:cs="宋体"/>
          <w:bCs/>
          <w:color w:val="auto"/>
          <w:sz w:val="21"/>
          <w:szCs w:val="21"/>
          <w:highlight w:val="none"/>
          <w:lang w:bidi="ar"/>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widowControl/>
        <w:tabs>
          <w:tab w:val="left" w:pos="1260"/>
        </w:tabs>
        <w:autoSpaceDE/>
        <w:autoSpaceDN/>
        <w:adjustRightInd/>
        <w:spacing w:line="500" w:lineRule="exact"/>
        <w:ind w:firstLine="420"/>
        <w:jc w:val="both"/>
        <w:textAlignment w:val="auto"/>
        <w:rPr>
          <w:rFonts w:hint="eastAsia" w:hAnsi="宋体" w:cs="宋体"/>
          <w:b/>
          <w:color w:val="auto"/>
          <w:sz w:val="21"/>
          <w:szCs w:val="21"/>
          <w:highlight w:val="none"/>
          <w:lang w:bidi="ar"/>
        </w:rPr>
      </w:pPr>
      <w:r>
        <w:rPr>
          <w:rFonts w:hint="eastAsia" w:hAnsi="宋体" w:cs="宋体"/>
          <w:b/>
          <w:color w:val="auto"/>
          <w:sz w:val="21"/>
          <w:szCs w:val="21"/>
          <w:highlight w:val="none"/>
          <w:lang w:bidi="ar"/>
        </w:rPr>
        <w:t>政府采购金融服务提示：</w:t>
      </w:r>
    </w:p>
    <w:p>
      <w:pPr>
        <w:spacing w:line="5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为扩大政府采购金融服务面，除政采云网上金融服务合作银行外，金华市范围增加线下合作银行两家，具体信息如下：</w:t>
      </w:r>
    </w:p>
    <w:p>
      <w:pPr>
        <w:spacing w:line="5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金华银行文创支行   联系人：   姜峰</w:t>
      </w:r>
    </w:p>
    <w:p>
      <w:pPr>
        <w:spacing w:line="5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 xml:space="preserve">                   联系电话： 13905792828</w:t>
      </w:r>
    </w:p>
    <w:p>
      <w:pPr>
        <w:spacing w:line="5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 xml:space="preserve">                              0579-82479020</w:t>
      </w:r>
    </w:p>
    <w:p>
      <w:pPr>
        <w:spacing w:line="5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 xml:space="preserve">浙商银行金华分行   联系人：   朱晨祥 </w:t>
      </w:r>
    </w:p>
    <w:p>
      <w:pPr>
        <w:spacing w:line="5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 xml:space="preserve">                   联系电话： 15857978811</w:t>
      </w:r>
    </w:p>
    <w:p>
      <w:pPr>
        <w:spacing w:line="540" w:lineRule="exact"/>
        <w:ind w:firstLine="420" w:firstLineChars="200"/>
        <w:rPr>
          <w:rFonts w:hint="eastAsia" w:hAnsi="宋体" w:cs="宋体"/>
          <w:color w:val="auto"/>
          <w:sz w:val="21"/>
          <w:szCs w:val="21"/>
          <w:highlight w:val="none"/>
          <w:lang w:bidi="ar"/>
        </w:rPr>
      </w:pPr>
      <w:r>
        <w:rPr>
          <w:rFonts w:hint="eastAsia" w:hAnsi="宋体" w:cs="宋体"/>
          <w:color w:val="auto"/>
          <w:sz w:val="21"/>
          <w:szCs w:val="21"/>
          <w:highlight w:val="none"/>
        </w:rPr>
        <w:t xml:space="preserve">                              0579-82999581</w:t>
      </w:r>
    </w:p>
    <w:p>
      <w:pPr>
        <w:pStyle w:val="39"/>
        <w:spacing w:before="0" w:beforeAutospacing="0" w:after="0" w:afterAutospacing="0" w:line="500" w:lineRule="exact"/>
        <w:ind w:firstLine="422" w:firstLineChars="200"/>
        <w:rPr>
          <w:rFonts w:cs="宋体"/>
          <w:color w:val="auto"/>
          <w:sz w:val="21"/>
          <w:szCs w:val="21"/>
          <w:highlight w:val="none"/>
        </w:rPr>
      </w:pPr>
      <w:r>
        <w:rPr>
          <w:rStyle w:val="46"/>
          <w:rFonts w:hint="eastAsia"/>
          <w:color w:val="auto"/>
          <w:sz w:val="21"/>
          <w:szCs w:val="21"/>
          <w:highlight w:val="none"/>
          <w:shd w:val="clear" w:color="auto" w:fill="FFFFFF"/>
        </w:rPr>
        <w:t>八</w:t>
      </w:r>
      <w:r>
        <w:rPr>
          <w:rStyle w:val="46"/>
          <w:color w:val="auto"/>
          <w:sz w:val="21"/>
          <w:szCs w:val="21"/>
          <w:highlight w:val="none"/>
          <w:shd w:val="clear" w:color="auto" w:fill="FFFFFF"/>
        </w:rPr>
        <w:t>、电子投标事项特别说明</w:t>
      </w:r>
    </w:p>
    <w:p>
      <w:pPr>
        <w:pStyle w:val="39"/>
        <w:spacing w:before="0" w:beforeAutospacing="0" w:after="0" w:afterAutospacing="0" w:line="500" w:lineRule="exact"/>
        <w:ind w:firstLine="420" w:firstLineChars="200"/>
        <w:rPr>
          <w:rFonts w:cs="宋体"/>
          <w:color w:val="auto"/>
          <w:sz w:val="21"/>
          <w:szCs w:val="21"/>
          <w:highlight w:val="none"/>
          <w:shd w:val="clear" w:color="auto" w:fill="FFFFFF"/>
        </w:rPr>
      </w:pPr>
      <w:r>
        <w:rPr>
          <w:rFonts w:cs="宋体"/>
          <w:color w:val="auto"/>
          <w:sz w:val="21"/>
          <w:szCs w:val="21"/>
          <w:highlight w:val="none"/>
          <w:shd w:val="clear" w:color="auto" w:fill="FFFFFF"/>
        </w:rPr>
        <w:t>1.本项目实行电子投标，投标供应商应按照本项目采购文件和政采云平台的要求编制、加密并递交响应文件。供应商在使用系统进行投标的过程中遇到涉及平台使用的任何问题，可致电政采云平台技术支持热线咨询，联系方式：400-881-7190。</w:t>
      </w:r>
    </w:p>
    <w:p>
      <w:pPr>
        <w:pStyle w:val="39"/>
        <w:spacing w:before="0" w:beforeAutospacing="0" w:after="0" w:afterAutospacing="0" w:line="500" w:lineRule="exact"/>
        <w:ind w:firstLine="420" w:firstLineChars="200"/>
        <w:rPr>
          <w:rFonts w:cs="宋体"/>
          <w:color w:val="auto"/>
          <w:sz w:val="21"/>
          <w:szCs w:val="21"/>
          <w:highlight w:val="none"/>
          <w:shd w:val="clear" w:color="auto" w:fill="FFFFFF"/>
        </w:rPr>
      </w:pPr>
      <w:r>
        <w:rPr>
          <w:rFonts w:cs="宋体"/>
          <w:color w:val="auto"/>
          <w:sz w:val="21"/>
          <w:szCs w:val="21"/>
          <w:highlight w:val="none"/>
          <w:shd w:val="clear" w:color="auto" w:fill="FFFFFF"/>
        </w:rPr>
        <w:t>2.供应商应在开标前完成 CA 数字证书办理。（办理流程详见http://zfcg.czt.zj.gov.cn/bidClientTemplate/2019-05-27/12945.html）。完成 CA 数字证书办理预计一周左右，建议各供应商抓紧时间办理。</w:t>
      </w:r>
    </w:p>
    <w:p>
      <w:pPr>
        <w:pStyle w:val="39"/>
        <w:spacing w:before="0" w:beforeAutospacing="0" w:after="0" w:afterAutospacing="0" w:line="500" w:lineRule="exact"/>
        <w:ind w:firstLine="420" w:firstLineChars="200"/>
        <w:rPr>
          <w:rFonts w:cs="宋体"/>
          <w:color w:val="auto"/>
          <w:sz w:val="21"/>
          <w:szCs w:val="21"/>
          <w:highlight w:val="none"/>
          <w:shd w:val="clear" w:color="auto" w:fill="FFFFFF"/>
        </w:rPr>
      </w:pPr>
      <w:r>
        <w:rPr>
          <w:rFonts w:cs="宋体"/>
          <w:color w:val="auto"/>
          <w:sz w:val="21"/>
          <w:szCs w:val="21"/>
          <w:highlight w:val="none"/>
          <w:shd w:val="clear" w:color="auto" w:fill="FFFFFF"/>
        </w:rPr>
        <w:t>3.供应商通过政采云平台“电子交易客户端”制作响应文件，电子投标工具请供应商自行前往浙江省政府采购网下载并安装，（下载网址： http://zfcg.czt.zj.gov.cn/bidClientTemplate/2019-05-27/12946.html）。</w:t>
      </w:r>
    </w:p>
    <w:p>
      <w:pPr>
        <w:pStyle w:val="39"/>
        <w:spacing w:before="0" w:beforeAutospacing="0" w:after="0" w:afterAutospacing="0" w:line="500" w:lineRule="exact"/>
        <w:ind w:firstLine="420" w:firstLineChars="200"/>
        <w:rPr>
          <w:rFonts w:cs="宋体"/>
          <w:color w:val="auto"/>
          <w:sz w:val="21"/>
          <w:szCs w:val="21"/>
          <w:highlight w:val="none"/>
          <w:shd w:val="clear" w:color="auto" w:fill="FFFFFF"/>
        </w:rPr>
      </w:pPr>
      <w:r>
        <w:rPr>
          <w:rFonts w:cs="宋体"/>
          <w:color w:val="auto"/>
          <w:sz w:val="21"/>
          <w:szCs w:val="21"/>
          <w:highlight w:val="none"/>
          <w:shd w:val="clear" w:color="auto" w:fill="FFFFFF"/>
        </w:rPr>
        <w:t>4.供应商将加密的电子版响应文件于投标截止时间前上传到政采云系统中。</w:t>
      </w:r>
    </w:p>
    <w:p>
      <w:pPr>
        <w:pStyle w:val="39"/>
        <w:spacing w:before="0" w:beforeAutospacing="0" w:after="0" w:afterAutospacing="0" w:line="500" w:lineRule="exact"/>
        <w:ind w:firstLine="420" w:firstLineChars="200"/>
        <w:rPr>
          <w:rFonts w:cs="宋体"/>
          <w:color w:val="auto"/>
          <w:sz w:val="21"/>
          <w:szCs w:val="21"/>
          <w:highlight w:val="none"/>
          <w:shd w:val="clear" w:color="auto" w:fill="FFFFFF"/>
        </w:rPr>
      </w:pPr>
      <w:r>
        <w:rPr>
          <w:rFonts w:cs="宋体"/>
          <w:color w:val="auto"/>
          <w:sz w:val="21"/>
          <w:szCs w:val="21"/>
          <w:highlight w:val="none"/>
          <w:shd w:val="clear" w:color="auto" w:fill="FFFFFF"/>
        </w:rPr>
        <w:t>5.具体的响应文件加密上传等操作详见政采云平台操作指南。https://edu.zcygov.cn/luban/e-biding?utm=a0004.2ef5001f.0001.0109.da8b35e0da8611e98d8937b7ef8a3544 。</w:t>
      </w:r>
    </w:p>
    <w:p>
      <w:pPr>
        <w:pStyle w:val="39"/>
        <w:spacing w:before="0" w:beforeAutospacing="0" w:after="0" w:afterAutospacing="0" w:line="500" w:lineRule="exact"/>
        <w:ind w:firstLine="420" w:firstLineChars="200"/>
        <w:rPr>
          <w:rFonts w:cs="宋体"/>
          <w:color w:val="auto"/>
          <w:sz w:val="21"/>
          <w:szCs w:val="21"/>
          <w:highlight w:val="none"/>
          <w:shd w:val="clear" w:color="auto" w:fill="FFFFFF"/>
        </w:rPr>
      </w:pPr>
      <w:r>
        <w:rPr>
          <w:rFonts w:cs="宋体"/>
          <w:color w:val="auto"/>
          <w:sz w:val="21"/>
          <w:szCs w:val="21"/>
          <w:highlight w:val="none"/>
          <w:shd w:val="clear" w:color="auto" w:fill="FFFFFF"/>
        </w:rPr>
        <w:t>注：建议使用谷歌浏览器，使用其他浏览器可能发生无法解密等未知情况。</w:t>
      </w:r>
    </w:p>
    <w:p>
      <w:pPr>
        <w:pStyle w:val="39"/>
        <w:spacing w:before="0" w:beforeAutospacing="0" w:after="0" w:afterAutospacing="0" w:line="500" w:lineRule="exact"/>
        <w:ind w:firstLine="420" w:firstLineChars="200"/>
        <w:rPr>
          <w:rFonts w:hint="eastAsia" w:cs="宋体"/>
          <w:color w:val="auto"/>
          <w:sz w:val="21"/>
          <w:szCs w:val="21"/>
          <w:highlight w:val="none"/>
          <w:shd w:val="clear" w:color="auto" w:fill="FFFFFF"/>
        </w:rPr>
      </w:pPr>
      <w:r>
        <w:rPr>
          <w:rFonts w:cs="宋体"/>
          <w:color w:val="auto"/>
          <w:sz w:val="21"/>
          <w:szCs w:val="21"/>
          <w:highlight w:val="none"/>
          <w:shd w:val="clear" w:color="auto" w:fill="FFFFFF"/>
        </w:rPr>
        <w:t>6.供应商应当在投标截止时间前完成电子响应文件的传输递交，并可以补充、修改或者撤回电子响应文件。补充或者修改电子响应文件的，应当先行撤回原文件，补充、修改后重新传输递交。投标截止时间前未完成传输的，视为撤回响应文件。投标、响应截止时间后送达的投标、响应文件，将被政采云平台拒收。</w:t>
      </w:r>
      <w:bookmarkEnd w:id="47"/>
      <w:bookmarkEnd w:id="48"/>
      <w:bookmarkEnd w:id="49"/>
      <w:bookmarkEnd w:id="50"/>
    </w:p>
    <w:p>
      <w:pPr>
        <w:pStyle w:val="39"/>
        <w:shd w:val="clear" w:color="auto" w:fill="FFFFFF"/>
        <w:spacing w:before="0" w:beforeAutospacing="0" w:after="0" w:afterAutospacing="0" w:line="410" w:lineRule="exact"/>
        <w:ind w:firstLine="422" w:firstLineChars="200"/>
        <w:jc w:val="both"/>
        <w:rPr>
          <w:rFonts w:cs="Arial"/>
          <w:color w:val="auto"/>
          <w:sz w:val="21"/>
          <w:szCs w:val="21"/>
          <w:highlight w:val="none"/>
        </w:rPr>
      </w:pPr>
      <w:r>
        <w:rPr>
          <w:rFonts w:hint="eastAsia" w:cs="Arial"/>
          <w:b/>
          <w:bCs/>
          <w:color w:val="auto"/>
          <w:sz w:val="21"/>
          <w:szCs w:val="21"/>
          <w:highlight w:val="none"/>
        </w:rPr>
        <w:t>九</w:t>
      </w:r>
      <w:r>
        <w:rPr>
          <w:rFonts w:cs="Arial"/>
          <w:b/>
          <w:bCs/>
          <w:color w:val="auto"/>
          <w:sz w:val="21"/>
          <w:szCs w:val="21"/>
          <w:highlight w:val="none"/>
        </w:rPr>
        <w:t>、对本次采购提出询问，请按以下方式联系。</w:t>
      </w:r>
      <w:r>
        <w:rPr>
          <w:rFonts w:cs="Arial"/>
          <w:color w:val="auto"/>
          <w:sz w:val="21"/>
          <w:szCs w:val="21"/>
          <w:highlight w:val="none"/>
        </w:rPr>
        <w:t>　　　　　　　　　　　　</w:t>
      </w:r>
    </w:p>
    <w:p>
      <w:pPr>
        <w:pStyle w:val="39"/>
        <w:shd w:val="clear" w:color="auto" w:fill="FFFFFF"/>
        <w:spacing w:before="0" w:beforeAutospacing="0" w:after="0" w:afterAutospacing="0" w:line="410" w:lineRule="exact"/>
        <w:rPr>
          <w:b/>
          <w:color w:val="auto"/>
          <w:sz w:val="21"/>
          <w:szCs w:val="21"/>
          <w:highlight w:val="none"/>
        </w:rPr>
      </w:pPr>
      <w:r>
        <w:rPr>
          <w:color w:val="auto"/>
          <w:sz w:val="21"/>
          <w:szCs w:val="21"/>
          <w:highlight w:val="none"/>
        </w:rPr>
        <w:t> </w:t>
      </w:r>
      <w:r>
        <w:rPr>
          <w:b/>
          <w:color w:val="auto"/>
          <w:sz w:val="21"/>
          <w:szCs w:val="21"/>
          <w:highlight w:val="none"/>
        </w:rPr>
        <w:t xml:space="preserve"> </w:t>
      </w:r>
      <w:r>
        <w:rPr>
          <w:rFonts w:hint="eastAsia"/>
          <w:b/>
          <w:color w:val="auto"/>
          <w:sz w:val="21"/>
          <w:szCs w:val="21"/>
          <w:highlight w:val="none"/>
        </w:rPr>
        <w:t xml:space="preserve"> </w:t>
      </w:r>
      <w:r>
        <w:rPr>
          <w:b/>
          <w:color w:val="auto"/>
          <w:sz w:val="21"/>
          <w:szCs w:val="21"/>
          <w:highlight w:val="none"/>
        </w:rPr>
        <w:t>1.采购人信息</w:t>
      </w:r>
    </w:p>
    <w:p>
      <w:pPr>
        <w:tabs>
          <w:tab w:val="left" w:pos="1260"/>
        </w:tabs>
        <w:autoSpaceDE/>
        <w:autoSpaceDN/>
        <w:adjustRightInd/>
        <w:snapToGrid w:val="0"/>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名称：中共金华经济技术开发区工作委员会政法办公室</w:t>
      </w:r>
    </w:p>
    <w:p>
      <w:pPr>
        <w:tabs>
          <w:tab w:val="left" w:pos="1260"/>
        </w:tabs>
        <w:autoSpaceDE/>
        <w:autoSpaceDN/>
        <w:adjustRightInd/>
        <w:snapToGrid w:val="0"/>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地址：</w:t>
      </w:r>
      <w:r>
        <w:rPr>
          <w:rFonts w:hint="eastAsia" w:hAnsi="宋体" w:cs="宋体"/>
          <w:color w:val="auto"/>
          <w:sz w:val="21"/>
          <w:szCs w:val="21"/>
          <w:highlight w:val="none"/>
          <w:lang w:val="en-US" w:eastAsia="zh-CN"/>
        </w:rPr>
        <w:t>金华市婺城区双溪西路620号开发区大楼</w:t>
      </w:r>
      <w:r>
        <w:rPr>
          <w:rFonts w:hint="eastAsia" w:hAnsi="宋体" w:cs="宋体"/>
          <w:color w:val="auto"/>
          <w:sz w:val="21"/>
          <w:szCs w:val="21"/>
          <w:highlight w:val="none"/>
        </w:rPr>
        <w:t xml:space="preserve"> </w:t>
      </w:r>
    </w:p>
    <w:p>
      <w:pPr>
        <w:tabs>
          <w:tab w:val="left" w:pos="1260"/>
        </w:tabs>
        <w:autoSpaceDE/>
        <w:autoSpaceDN/>
        <w:adjustRightInd/>
        <w:snapToGrid w:val="0"/>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项目联系人（询问）：</w:t>
      </w:r>
      <w:r>
        <w:rPr>
          <w:rFonts w:hint="eastAsia" w:hAnsi="宋体" w:cs="宋体"/>
          <w:color w:val="auto"/>
          <w:sz w:val="21"/>
          <w:szCs w:val="21"/>
          <w:highlight w:val="none"/>
          <w:lang w:val="en-US" w:eastAsia="zh-CN"/>
        </w:rPr>
        <w:t>杨女士</w:t>
      </w:r>
      <w:r>
        <w:rPr>
          <w:rFonts w:hint="eastAsia" w:hAnsi="宋体" w:cs="宋体"/>
          <w:color w:val="auto"/>
          <w:sz w:val="21"/>
          <w:szCs w:val="21"/>
          <w:highlight w:val="none"/>
        </w:rPr>
        <w:t xml:space="preserve"> </w:t>
      </w:r>
    </w:p>
    <w:p>
      <w:pPr>
        <w:tabs>
          <w:tab w:val="left" w:pos="1260"/>
        </w:tabs>
        <w:autoSpaceDE/>
        <w:autoSpaceDN/>
        <w:adjustRightInd/>
        <w:snapToGrid w:val="0"/>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项目联系方式（询问）：</w:t>
      </w:r>
      <w:r>
        <w:rPr>
          <w:rFonts w:hint="eastAsia" w:hAnsi="宋体" w:cs="宋体"/>
          <w:color w:val="auto"/>
          <w:sz w:val="21"/>
          <w:szCs w:val="21"/>
          <w:highlight w:val="none"/>
          <w:lang w:val="en-US" w:eastAsia="zh-CN"/>
        </w:rPr>
        <w:t>0579-89155072</w:t>
      </w:r>
      <w:r>
        <w:rPr>
          <w:rFonts w:hint="eastAsia" w:hAnsi="宋体" w:cs="宋体"/>
          <w:color w:val="auto"/>
          <w:sz w:val="21"/>
          <w:szCs w:val="21"/>
          <w:highlight w:val="none"/>
        </w:rPr>
        <w:t xml:space="preserve"> </w:t>
      </w:r>
    </w:p>
    <w:p>
      <w:pPr>
        <w:tabs>
          <w:tab w:val="left" w:pos="1260"/>
        </w:tabs>
        <w:autoSpaceDE/>
        <w:autoSpaceDN/>
        <w:adjustRightInd/>
        <w:snapToGrid w:val="0"/>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 xml:space="preserve">质疑联系人： </w:t>
      </w:r>
      <w:r>
        <w:rPr>
          <w:rFonts w:hint="eastAsia" w:hAnsi="宋体" w:cs="宋体"/>
          <w:color w:val="auto"/>
          <w:sz w:val="21"/>
          <w:szCs w:val="21"/>
          <w:highlight w:val="none"/>
          <w:lang w:val="en-US" w:eastAsia="zh-CN"/>
        </w:rPr>
        <w:t>杨女士</w:t>
      </w:r>
      <w:r>
        <w:rPr>
          <w:rFonts w:hint="eastAsia" w:hAnsi="宋体" w:cs="宋体"/>
          <w:color w:val="auto"/>
          <w:sz w:val="21"/>
          <w:szCs w:val="21"/>
          <w:highlight w:val="none"/>
        </w:rPr>
        <w:t xml:space="preserve"> </w:t>
      </w:r>
    </w:p>
    <w:p>
      <w:pPr>
        <w:tabs>
          <w:tab w:val="left" w:pos="1260"/>
        </w:tabs>
        <w:autoSpaceDE/>
        <w:autoSpaceDN/>
        <w:adjustRightInd/>
        <w:snapToGrid w:val="0"/>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 xml:space="preserve">质疑联系方式： </w:t>
      </w:r>
      <w:r>
        <w:rPr>
          <w:rFonts w:hint="eastAsia" w:hAnsi="宋体" w:cs="宋体"/>
          <w:color w:val="auto"/>
          <w:sz w:val="21"/>
          <w:szCs w:val="21"/>
          <w:highlight w:val="none"/>
          <w:lang w:val="en-US" w:eastAsia="zh-CN"/>
        </w:rPr>
        <w:t>0579-89155072</w:t>
      </w:r>
      <w:r>
        <w:rPr>
          <w:rFonts w:hint="eastAsia" w:hAnsi="宋体" w:cs="宋体"/>
          <w:color w:val="auto"/>
          <w:sz w:val="21"/>
          <w:szCs w:val="21"/>
          <w:highlight w:val="none"/>
        </w:rPr>
        <w:t xml:space="preserve"> </w:t>
      </w:r>
    </w:p>
    <w:p>
      <w:pPr>
        <w:tabs>
          <w:tab w:val="left" w:pos="1260"/>
        </w:tabs>
        <w:autoSpaceDE/>
        <w:autoSpaceDN/>
        <w:adjustRightInd/>
        <w:snapToGrid w:val="0"/>
        <w:spacing w:line="500" w:lineRule="exact"/>
        <w:ind w:firstLine="420" w:firstLineChars="199"/>
        <w:jc w:val="both"/>
        <w:textAlignment w:val="auto"/>
        <w:rPr>
          <w:rFonts w:hAnsi="宋体" w:cs="宋体"/>
          <w:b/>
          <w:color w:val="auto"/>
          <w:sz w:val="21"/>
          <w:szCs w:val="21"/>
          <w:highlight w:val="none"/>
        </w:rPr>
      </w:pPr>
      <w:r>
        <w:rPr>
          <w:rFonts w:hAnsi="宋体" w:cs="宋体"/>
          <w:b/>
          <w:color w:val="auto"/>
          <w:sz w:val="21"/>
          <w:szCs w:val="21"/>
          <w:highlight w:val="none"/>
        </w:rPr>
        <w:t>2.采购代理机构信息</w:t>
      </w:r>
    </w:p>
    <w:p>
      <w:pPr>
        <w:tabs>
          <w:tab w:val="left" w:pos="1260"/>
        </w:tabs>
        <w:autoSpaceDE/>
        <w:autoSpaceDN/>
        <w:adjustRightInd/>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名称：金华市天盈财务咨询有限公司 　　　　　　　　　　</w:t>
      </w:r>
    </w:p>
    <w:p>
      <w:pPr>
        <w:tabs>
          <w:tab w:val="left" w:pos="1260"/>
        </w:tabs>
        <w:autoSpaceDE/>
        <w:autoSpaceDN/>
        <w:adjustRightInd/>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地址：金华市创新街18号南楼四楼，农科教大楼西侧 　   </w:t>
      </w:r>
    </w:p>
    <w:p>
      <w:pPr>
        <w:tabs>
          <w:tab w:val="left" w:pos="1260"/>
        </w:tabs>
        <w:autoSpaceDE/>
        <w:autoSpaceDN/>
        <w:adjustRightInd/>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传真：0579-82460882   　</w:t>
      </w:r>
    </w:p>
    <w:p>
      <w:pPr>
        <w:tabs>
          <w:tab w:val="left" w:pos="1260"/>
        </w:tabs>
        <w:autoSpaceDE/>
        <w:autoSpaceDN/>
        <w:adjustRightInd/>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项目联系人（询问）：夏翰宇　   　　</w:t>
      </w:r>
    </w:p>
    <w:p>
      <w:pPr>
        <w:tabs>
          <w:tab w:val="left" w:pos="1260"/>
        </w:tabs>
        <w:autoSpaceDE/>
        <w:autoSpaceDN/>
        <w:adjustRightInd/>
        <w:snapToGrid w:val="0"/>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项目联系方式（询问）：0579-82474058</w:t>
      </w:r>
    </w:p>
    <w:p>
      <w:pPr>
        <w:tabs>
          <w:tab w:val="left" w:pos="1260"/>
        </w:tabs>
        <w:autoSpaceDE/>
        <w:autoSpaceDN/>
        <w:adjustRightInd/>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质疑联系人： 李宗宝   　　</w:t>
      </w:r>
    </w:p>
    <w:p>
      <w:pPr>
        <w:tabs>
          <w:tab w:val="left" w:pos="1260"/>
        </w:tabs>
        <w:autoSpaceDE/>
        <w:autoSpaceDN/>
        <w:adjustRightInd/>
        <w:snapToGrid w:val="0"/>
        <w:spacing w:line="500" w:lineRule="exact"/>
        <w:ind w:firstLine="420" w:firstLineChars="200"/>
        <w:jc w:val="both"/>
        <w:textAlignment w:val="auto"/>
        <w:rPr>
          <w:color w:val="auto"/>
          <w:highlight w:val="none"/>
        </w:rPr>
      </w:pPr>
      <w:r>
        <w:rPr>
          <w:rFonts w:hint="eastAsia" w:hAnsi="宋体" w:cs="宋体"/>
          <w:color w:val="auto"/>
          <w:sz w:val="21"/>
          <w:szCs w:val="21"/>
          <w:highlight w:val="none"/>
        </w:rPr>
        <w:t>质疑联系方式： 0579-82162001</w:t>
      </w:r>
    </w:p>
    <w:p>
      <w:pPr>
        <w:tabs>
          <w:tab w:val="left" w:pos="1260"/>
        </w:tabs>
        <w:autoSpaceDE/>
        <w:autoSpaceDN/>
        <w:adjustRightInd/>
        <w:snapToGrid w:val="0"/>
        <w:spacing w:line="500" w:lineRule="exact"/>
        <w:ind w:firstLine="420" w:firstLineChars="199"/>
        <w:jc w:val="both"/>
        <w:textAlignment w:val="auto"/>
        <w:rPr>
          <w:rFonts w:hAnsi="宋体" w:cs="宋体"/>
          <w:b/>
          <w:color w:val="auto"/>
          <w:sz w:val="21"/>
          <w:szCs w:val="21"/>
          <w:highlight w:val="none"/>
        </w:rPr>
      </w:pPr>
      <w:r>
        <w:rPr>
          <w:rFonts w:hAnsi="宋体" w:cs="宋体"/>
          <w:b/>
          <w:color w:val="auto"/>
          <w:sz w:val="21"/>
          <w:szCs w:val="21"/>
          <w:highlight w:val="none"/>
        </w:rPr>
        <w:t>3.同级政府采购监督管理部门</w:t>
      </w:r>
    </w:p>
    <w:p>
      <w:pPr>
        <w:tabs>
          <w:tab w:val="left" w:pos="1260"/>
        </w:tabs>
        <w:autoSpaceDE/>
        <w:autoSpaceDN/>
        <w:adjustRightInd/>
        <w:snapToGrid w:val="0"/>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名称：金华经济技术开发区管理委员会财政局　　　　　　　　　　　</w:t>
      </w:r>
    </w:p>
    <w:p>
      <w:pPr>
        <w:tabs>
          <w:tab w:val="left" w:pos="1260"/>
        </w:tabs>
        <w:autoSpaceDE/>
        <w:autoSpaceDN/>
        <w:adjustRightInd/>
        <w:snapToGrid w:val="0"/>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联系人 ：靳昭岩 </w:t>
      </w:r>
    </w:p>
    <w:p>
      <w:pPr>
        <w:tabs>
          <w:tab w:val="left" w:pos="1260"/>
        </w:tabs>
        <w:autoSpaceDE/>
        <w:autoSpaceDN/>
        <w:adjustRightInd/>
        <w:snapToGrid w:val="0"/>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地址：金华市双溪西路620号 　　　　　　　　　　　　　　</w:t>
      </w:r>
    </w:p>
    <w:p>
      <w:pPr>
        <w:tabs>
          <w:tab w:val="left" w:pos="1260"/>
        </w:tabs>
        <w:autoSpaceDE/>
        <w:autoSpaceDN/>
        <w:adjustRightInd/>
        <w:snapToGrid w:val="0"/>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br w:type="page"/>
      </w:r>
    </w:p>
    <w:p>
      <w:pPr>
        <w:pStyle w:val="2"/>
        <w:spacing w:line="360" w:lineRule="auto"/>
        <w:jc w:val="center"/>
        <w:rPr>
          <w:rFonts w:hint="eastAsia" w:ascii="黑体" w:hAnsi="宋体" w:eastAsia="黑体"/>
          <w:color w:val="auto"/>
          <w:sz w:val="30"/>
          <w:szCs w:val="30"/>
          <w:highlight w:val="none"/>
        </w:rPr>
      </w:pPr>
      <w:r>
        <w:rPr>
          <w:rFonts w:hint="eastAsia" w:ascii="黑体" w:hAnsi="宋体" w:eastAsia="黑体"/>
          <w:color w:val="auto"/>
          <w:sz w:val="30"/>
          <w:szCs w:val="30"/>
          <w:highlight w:val="none"/>
        </w:rPr>
        <w:t>第二部分   采购需求</w:t>
      </w:r>
      <w:bookmarkEnd w:id="42"/>
    </w:p>
    <w:p>
      <w:pPr>
        <w:spacing w:line="500" w:lineRule="exact"/>
        <w:ind w:firstLine="422" w:firstLineChars="200"/>
        <w:textAlignment w:val="auto"/>
        <w:rPr>
          <w:rFonts w:hint="eastAsia" w:hAnsi="宋体"/>
          <w:b/>
          <w:bCs/>
          <w:color w:val="auto"/>
          <w:sz w:val="21"/>
          <w:szCs w:val="21"/>
          <w:highlight w:val="none"/>
        </w:rPr>
      </w:pPr>
      <w:r>
        <w:rPr>
          <w:rFonts w:hint="eastAsia" w:hAnsi="宋体"/>
          <w:b/>
          <w:bCs/>
          <w:color w:val="auto"/>
          <w:sz w:val="21"/>
          <w:szCs w:val="21"/>
          <w:highlight w:val="none"/>
        </w:rPr>
        <w:t>一、项目背景</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为深入贯彻落实党的十九届四中全会精神，全面深化“最多跑一次”改革，深入推进社会治理体系和治理能力现代化建设，以“全科网格”建设为基础，以“微网格”活动为抓手，探索“金开通+微网格”社会“微智治”新模式，充分调动广大人民群众参与社会管理和服务的积极性。发挥“人”的主体作用，强化“智”的技术支撑，优化“事”的管理服务，打通基层治理“最后一公里”的“神经末梢”，形成智慧开发区“一张网”管理，实现“多网融合、多方联动、多元共治”和“治理主体全民化、治理机制便民化、治理过程民主化、治理结构扁平化、治理运行规范化、治理成果共享化、治理模式智能化”的目标。</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根据《金华经济技术开发区管理委员会网格化管理实施意见》精神，不断巩固与提升社会治理的社会化、法治化、智能化、专业化水平，将以“微网格”建设为抓手，按照“党建引领、资源整合、全能建设、科技支撑、虚实结合、实体运作”的思路，坚持政府数字化转型，创新管理模式，全力构建“一个管理体系、一张统一网格、一个智慧平台、一支网格队伍、一套运行机制”的“五个一”网格化管理体系，着力提升网格管理服务水平,为有效提升开发区基层治理能力，促进高质量发展提供坚实保障。</w:t>
      </w:r>
    </w:p>
    <w:p>
      <w:pPr>
        <w:spacing w:line="500" w:lineRule="exact"/>
        <w:ind w:firstLine="422" w:firstLineChars="200"/>
        <w:textAlignment w:val="auto"/>
        <w:rPr>
          <w:rFonts w:hint="eastAsia" w:hAnsi="宋体"/>
          <w:b/>
          <w:bCs/>
          <w:color w:val="auto"/>
          <w:sz w:val="21"/>
          <w:szCs w:val="21"/>
          <w:highlight w:val="none"/>
        </w:rPr>
      </w:pPr>
      <w:r>
        <w:rPr>
          <w:rFonts w:hint="eastAsia" w:hAnsi="宋体"/>
          <w:b/>
          <w:bCs/>
          <w:color w:val="auto"/>
          <w:sz w:val="21"/>
          <w:szCs w:val="21"/>
          <w:highlight w:val="none"/>
        </w:rPr>
        <w:t>二、项目概述</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2019年，金华经济技术开发区智慧开发区指挥中心项目主要建设了金华开发区城市大脑及其四大中心，包括搭建了综管平台、城市运行管理中心、协同作战指挥中心、产业民生服务中心、大数据分析决策中心，已具备了部分基层管理的数据资源和针对部分城市管理的专项应用分析，同时建设了大的应用框架的移动端应用——金华开发区综管通，部分实现了信息采集和事件上报功能，打通部分部门的信息互通，初步实现了城市管理的信息化点、线维度的应用。</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本期项目建设，将以浙江省基治办印发的“关于《浙江省“基层治理四平台”数字化建设指南》的通知”和《浙江省“基层治理四平台”数字化建设指南》为原则依据，在原智慧开发区指挥中心项目基础上升级改造。打通金华开发区纵向、横向信息通道，构建本地统一特色的基层治理网格，一方面满足省标指南的“66项标准动作”打造先进的治理数字化体系，重构+优化业务流程、应用功能、系统性能。另一方面聚焦实现社会治理现代化及精细化管理，结合本地网格化治理需求和特性，新增“微网格”体系，重构金华开发区网格组织架构，为网格员及微网格员开设精细化配套移动工作台，在充分利旧和运用原一期建设的部分网格化功能基础上，纵向形成区级、镇街级、村社级、网格（微网格）协同指挥联动，横向贯通各层级、各部门、各专业平台的业务与数据，最终全面完善形成点、线、面的全覆盖的金华开发区全科网格管理模式，提升本地基层治理管理能效与风险防范能力。</w:t>
      </w:r>
    </w:p>
    <w:p>
      <w:pPr>
        <w:spacing w:line="500" w:lineRule="exact"/>
        <w:ind w:firstLine="422" w:firstLineChars="200"/>
        <w:textAlignment w:val="auto"/>
        <w:rPr>
          <w:rFonts w:hint="eastAsia" w:hAnsi="宋体"/>
          <w:b/>
          <w:bCs/>
          <w:color w:val="auto"/>
          <w:sz w:val="21"/>
          <w:szCs w:val="21"/>
          <w:highlight w:val="none"/>
        </w:rPr>
      </w:pPr>
      <w:r>
        <w:rPr>
          <w:rFonts w:hint="eastAsia" w:hAnsi="宋体"/>
          <w:b/>
          <w:bCs/>
          <w:color w:val="auto"/>
          <w:sz w:val="21"/>
          <w:szCs w:val="21"/>
          <w:highlight w:val="none"/>
        </w:rPr>
        <w:t>三、项目建设原则</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（一）坚持党建引领、红色支撑。</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充分发挥基层党组织在网格化管理中的领导核心作用，充分发挥党员干部在网格管理服务中的先锋模范作用，以“网格+党建”模式，强化党群联动、干群联动，把党的领导充分体现在基层治理的最末梢，促使广大党员干部自觉参与党建和网格管理服务，把网格+党建工作纳入基层考核范围。</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（二）坚持资源整合、发挥优势。</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充分利用好、发挥好现有资源，科学整合和配置工作力量，完善机制、统筹职能、优化资源、整合经费，实现多方协作、一网联动，将网格全要素，视频资源，自然资源和规划、建设、生态环境保护等资源信息接入和融合，实现城市感知“一张图”。</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（三）坚持全能建设、优质服务。</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按照“一员多能”的思路，本着为民便民利民的原则，整合城市管理、基层服务、公共安全、环境保护、市场监管等多项职能，形成网格管理服务全覆盖模式，构建集人、事、地、物、组织等于一体的“全科网格”。同时，建立全能网格员队伍，强化服务意识，加强各类业务培训，提升综合业务技能，着力解决好群众最关心、最直接、最现实的小事微事，提升服务质量和效率。</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（四）坚持科技支撑、精准精细。</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充分运用现代信息技术，发挥开发区统一支撑平台优势，加强与各级平台整合对接，形成纵向贯通省、区级平台、开发区指挥中心（开发区智慧城市管理中心）、乡镇（街道）、村（社区）、网格、微网格，横向联动开发区职能部门的统一指挥、综合协调、快速处置的一体化社会治理运行平台。实现网格管理更精准，组团服务更精细。</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（五）坚持实体运作、高效快捷。</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成立开发区网格工作委员会，实施实体化运行，负责开发区网格化管理工作的组织实施、统筹协调、教育培训、督查考评和平台建设。创新实体化运行机制，采取“一格多员、一员多能”的网格管理服务模式，实行定人、定岗、定责，建立以“金开通”为基础的“多网合一”考核评价体系，合理匹配权责，使干部力量下移、工作职能下沉、工作待遇下倾，促进管理效率上升、服务水平上提、工作热情上涨。</w:t>
      </w:r>
    </w:p>
    <w:p>
      <w:pPr>
        <w:spacing w:line="500" w:lineRule="exact"/>
        <w:ind w:firstLine="422" w:firstLineChars="200"/>
        <w:textAlignment w:val="auto"/>
        <w:rPr>
          <w:rFonts w:hint="eastAsia" w:hAnsi="宋体"/>
          <w:b/>
          <w:bCs/>
          <w:color w:val="auto"/>
          <w:sz w:val="21"/>
          <w:szCs w:val="21"/>
          <w:highlight w:val="none"/>
        </w:rPr>
      </w:pPr>
      <w:r>
        <w:rPr>
          <w:rFonts w:hint="eastAsia" w:hAnsi="宋体"/>
          <w:b/>
          <w:bCs/>
          <w:color w:val="auto"/>
          <w:sz w:val="21"/>
          <w:szCs w:val="21"/>
          <w:highlight w:val="none"/>
        </w:rPr>
        <w:t>四、项目建设内容</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1.综合管理平台功能升级改造</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通过本次升级改造，使现有的综合管理平台能够满足基层社会治理的工作全流程管理，基层网格力量可进行民情获取、数据采集、事件上报，平台对各项工作进行标准化流程管理和信息留痕，同时对于过程中归集的基础数据、业务数据进行管理，并应用到各项治理工作需求中。在一期建设的基础上进行升级改造，平台功能升级改造详见采购清单。</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2.金开通（网格移动工作台）功能升级改造</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网格移动工作台主要功能是通过金开通App给网格长、网格员、微网格员、基层执法人员等提供的网格日常工作掌上操作台，可进行公告浏览、日常活动管理、事件处置、信息查询、督查统计等功能，打造“数字+网格”的工作模式。功能升级改造详见采购清单。</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3.智慧金开（公众号）功能升级改造</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智慧金开公众号的建设可提升便民服务、企业办事、居民办事等能力，实现快速办公以及移动办公能力，通过微信公众号拓展便民渠道。方便居民日常办事、提升辖区内办事效率、提升居民幸福感。功能升级改造详见采购清单。</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4.数字驾驶舱建设</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数字驾驶舱通过一张图动态展示辖区重要事件的化解、整改、稳控等情况，集会商系统、视频监控、移动终端等一体实现多层级跨部门指挥调度，将综合指挥处置工作分工与相关人员绑定，实现任务的集中派发和处置情况跟踪；稳控化解一张图、指挥调度一体化、应急预案智能化。功能建设详见采购清单。</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5.基础支撑应用建设</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基础支撑平台建设逐步升级、数据归集沉淀逐步扩容，为保证平台能够长效、有序、安全的运行，需进一步加强平台系统自身支撑运维的能力。构建协同融合平台及安全运维体系，通过技术手段夯实平台基础支撑能力、降低平台运行风险。功能升级改造详见采购清单。</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6.三资管理</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着力解决农村集体“三资”管理不规范、公开不及时等突出问题，使农村集体“三资”管理水平稳步提升，实现代理服务率、按时报账率、账务处理率、按规公示率达到四个100%。事前审批、财务公开、三资统计等。</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7.系统对接</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本项目需对接金华开发区在建和已建系统，要求如下：</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对接内容包括：</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①　政务端APP入口对接。主要对接用户体系和入口位置，嵌入APP，还需能在浙政钉2.0环境下使用。</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②　政务端web入口对接。主要对接用户体系和入口位置，符合智慧开发区用户体系，实现单点登录。</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③　公众端APP入口对接。主要对接用户体系和入口位置，符合智慧金开用户体系，实现单点登录。</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④　数据归集对接。根据智慧开发区数据中心对接标准，数据交互需在政务云和政务网环境下进行。</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⑤　业务协同对接。对接双方系统的事件、任务、活动，实现业务协同，事件上报至本项目系统，本项目系统事件可交办至对接的系统。</w:t>
      </w:r>
    </w:p>
    <w:p>
      <w:pPr>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⑥　数据协同对接。提供用户体系、网格员数据、网格地图等数据。</w:t>
      </w:r>
    </w:p>
    <w:p>
      <w:pPr>
        <w:spacing w:line="500" w:lineRule="exact"/>
        <w:ind w:firstLine="420" w:firstLineChars="200"/>
        <w:textAlignment w:val="auto"/>
        <w:rPr>
          <w:rFonts w:hAnsi="宋体"/>
          <w:color w:val="auto"/>
          <w:sz w:val="21"/>
          <w:szCs w:val="21"/>
          <w:highlight w:val="none"/>
        </w:rPr>
        <w:sectPr>
          <w:headerReference r:id="rId5" w:type="first"/>
          <w:headerReference r:id="rId3" w:type="default"/>
          <w:footerReference r:id="rId6" w:type="default"/>
          <w:headerReference r:id="rId4" w:type="even"/>
          <w:footerReference r:id="rId7" w:type="even"/>
          <w:pgSz w:w="11907" w:h="16840"/>
          <w:pgMar w:top="689" w:right="1027" w:bottom="689" w:left="1418" w:header="851" w:footer="851" w:gutter="0"/>
          <w:cols w:space="720" w:num="1"/>
          <w:docGrid w:linePitch="462" w:charSpace="0"/>
        </w:sectPr>
      </w:pPr>
      <w:r>
        <w:rPr>
          <w:rFonts w:hint="eastAsia" w:hAnsi="宋体"/>
          <w:color w:val="auto"/>
          <w:sz w:val="21"/>
          <w:szCs w:val="21"/>
          <w:highlight w:val="none"/>
        </w:rPr>
        <w:t>★对接的系统包括：公安地址库、开发区智慧养老、开发区智慧健康、开发区智慧应急、开发区智慧城管、江南公安码上申报、数字化改革门户、开发区智能卫生监督协管系统、平安小区法治建设一件事等。</w:t>
      </w:r>
    </w:p>
    <w:p>
      <w:pPr>
        <w:spacing w:line="500" w:lineRule="exact"/>
        <w:ind w:firstLine="422" w:firstLineChars="200"/>
        <w:textAlignment w:val="auto"/>
        <w:rPr>
          <w:rFonts w:hAnsi="宋体"/>
          <w:b/>
          <w:bCs/>
          <w:color w:val="auto"/>
          <w:sz w:val="21"/>
          <w:szCs w:val="21"/>
          <w:highlight w:val="none"/>
        </w:rPr>
      </w:pPr>
      <w:r>
        <w:rPr>
          <w:rFonts w:hint="eastAsia" w:hAnsi="宋体"/>
          <w:b/>
          <w:bCs/>
          <w:color w:val="auto"/>
          <w:sz w:val="21"/>
          <w:szCs w:val="21"/>
          <w:highlight w:val="none"/>
        </w:rPr>
        <w:t>五、采购清单</w:t>
      </w:r>
    </w:p>
    <w:p>
      <w:pPr>
        <w:pageBreakBefore w:val="0"/>
        <w:kinsoku/>
        <w:wordWrap/>
        <w:overflowPunct/>
        <w:topLinePunct w:val="0"/>
        <w:bidi w:val="0"/>
        <w:adjustRightInd w:val="0"/>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1.软件开发</w:t>
      </w:r>
    </w:p>
    <w:tbl>
      <w:tblPr>
        <w:tblStyle w:val="43"/>
        <w:tblW w:w="1444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62"/>
        <w:gridCol w:w="851"/>
        <w:gridCol w:w="787"/>
        <w:gridCol w:w="866"/>
        <w:gridCol w:w="2355"/>
        <w:gridCol w:w="7911"/>
        <w:gridCol w:w="567"/>
        <w:gridCol w:w="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blHeader/>
        </w:trPr>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851"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模块名称</w:t>
            </w:r>
          </w:p>
        </w:tc>
        <w:tc>
          <w:tcPr>
            <w:tcW w:w="1653" w:type="dxa"/>
            <w:gridSpan w:val="2"/>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功能名称</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功能子项</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功能描述</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51"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综合管理平台（PC端）</w:t>
            </w: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导航</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集成视图</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首页集成视图</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首页（集成视图）是基层对外展示地方总体概况的平台，纵览辖区多方位信息，系统自动统计各组织的人口、关怀对象、社会组织、商事主体、网格事件、城市部件等基础数据，对各类信息的整体情况进行丰富的图文展现。通过平台监测分析事件趋势、网格活跃情况、基层治理指数、人员在线情况等相关运行概况分析。集成视图中配置有基层治理业务功能的常用入口，为日常工作的实际操作提供便利。</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日常工作台</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“我的常用”和平台自定义</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默认提供常用功能，并可自定义设置常用菜单项。</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主题换肤</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提供系统主题换肤设置，满足系统页面风格切换的需求。</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网格地图</w:t>
            </w: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网格一张图</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实时管控</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通过地图GPS等定位技术实时展现上报事件、网格人员的定位信息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统一搜索</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结合GPS等定位技术统一搜索展示各类图层数据信息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网格人员管理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通过GPS对网格人员进行定位，查看网格人员情况；通过GPS对网格人员的历史轨迹进行展示，查看网格人员工作日志，包含网格人员登录、在线时间、工作量统计。</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事件展示</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结合GPS对上报事件进行定位展示，结合地图宏观展现事件分布情况和事件的区域高发；同时可以查询查看具体事件的详细情况。</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一房一档</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以建筑物等的地址为核心关联基础数据信息，在网格地图上展示地址内的房屋、人口、企业、巡查结果等信息，同时提供被关联的关系信息展示、分析。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p>
        </w:tc>
        <w:tc>
          <w:tcPr>
            <w:tcW w:w="2355"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图层专题展示(2D)</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党建图层，网格地图上能够直接查询党人员信息。网格层级内容包括网格信息，默认展示层级为网格层级。</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p>
        </w:tc>
        <w:tc>
          <w:tcPr>
            <w:tcW w:w="2355"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视频图层，统一视频接入系统，提供自建系统集成、外部系统接入、视频与网格地图结合、视频调用、视频信息显示等功能的支持。</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p>
        </w:tc>
        <w:tc>
          <w:tcPr>
            <w:tcW w:w="2355"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高发事件图层，结合GPS技术，在地图上展示高发事件的具体信息。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统一GIS服务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统一GIS服务子系统是给系统管理员使用的管理平台，用于维护网格化基层治理（四个平台）所使用的空间地理信息数据，实现空间地理信息数据的发布，并对不同地图来源的整合。</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p>
        </w:tc>
        <w:tc>
          <w:tcPr>
            <w:tcW w:w="2355"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地图应用支撑</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在地图中对地址与地理信息进行标注以及修改等功能</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p>
        </w:tc>
        <w:tc>
          <w:tcPr>
            <w:tcW w:w="2355"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包括对网格的划分、修改、删除等操作，实现基于GIS地图的网格便捷、精准划分功能。</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p>
        </w:tc>
        <w:tc>
          <w:tcPr>
            <w:tcW w:w="2355"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综合指挥专项展示</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接入路况信息、气象信息及公用信息作为指挥地图；</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p>
        </w:tc>
        <w:tc>
          <w:tcPr>
            <w:tcW w:w="2355"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多种视频查看方式，支持视频信息查看、存储回放及基于地点调看附近监控设备</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p>
        </w:tc>
        <w:tc>
          <w:tcPr>
            <w:tcW w:w="2355"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联防队员、网格员、志愿者等网格管理力量展示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p>
        </w:tc>
        <w:tc>
          <w:tcPr>
            <w:tcW w:w="2355"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应急车辆、医疗救护信息、消防物资信息、交通路网信息、安保部署信息展示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p>
        </w:tc>
        <w:tc>
          <w:tcPr>
            <w:tcW w:w="2355"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实现语音、短视频发送/接收，多媒体传输和展示；视频会议及对讲；</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监测预警专项展示</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监测预警专题展示包括对重要事件预警、突发事件预警、重点人员预警、重点场所预警、专题预警的分析预测可视化展示。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微网格一张图</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街道网格情况</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通过微网格一张图查看街道网格情况，能够查询网格内党员信息、年龄、网格名称、人数等信息。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网格信息</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能继续查看网格基本信息，包括网格员信息包括：年龄、身份证号码、出声年月，能对网格地址、网格进行查询，对历史网格巡查记录。</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楼幢信息</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能够查询流动人口、住户数据、党员、重点人员信息，通过列表进行展示。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事件管理</w:t>
            </w: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事件处置</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待办事件</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通过待办事件功能模块，操作人员可直接快速访问个人工作任务中等待处理的事件。</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草稿箱</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对为完成的事件可暂时存入草稿箱，便于后期继续使用。</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标注事件</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对事件的类型等属性进行标注，可为平台事件查询提供依据。</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超期事件</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在规定时间内未完成的事件被定义为超期事件，可通过短信、钉消息等方式发出提醒。</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申请延期事件</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由各种原因引起的的未能及时办结的事件，可通过申请延期来延长事件办结时限，操作人员需具备操作本项操作权限才可使用。</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申请退回事件</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当职能部门/科室处置事件时，根据实际情况可对判定为无法处置的事件申请退回，退回事件返回中心进行重新判别。</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事件追踪</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参与事件</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归集展示参与处置的事件列表，并进行详情查看。</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所辖事件</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归集展示所辖范围内的所有事件列表，并进行详情查看。</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触动神经事件</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触动神经事件是事件中较为特殊或重要的，需被及时响应的事件的判定，例如重点管控人员、重大风险事件等。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关注事件</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被标记为关注的事件列表，可进行此类事件详情查看。</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公众事件</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被标记为疑难类的事件列表，可进行此类事件详情查看。</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触动神经事件配置</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被标记为公众类的事件列表，可进行此类事件详情查看。</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事件历史</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事件历史</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查询事件历史，包括事件发生时间、处置经过、处置人员等。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数据服务</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实有人口</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户籍人员、流动人口、境外人员、人口核查、</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有人口是对户籍人员、流动人员、境外人员等信息的集中管理，实现对常住人员的维护和管理，包括对所辖范围内的实有人口进行增加、删除、修改、导入、导出等操作，根据实际走访核实实有人口的变化，系统工作者可及时对人员死亡、迁移、流动等信息变化情况进行管理，系统将会自动记录管理日志，保障数据操作安全。</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b/>
                <w:bCs/>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管控对象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社区矫正人员、涉毒人员、涉邪人员、易肇精患人员、刑满释放人员、重点信访人员、归正人员、危险品从业人员、重点青少年、传销人员、寄递业从业人员、其他管控对象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对社区矫正人员、涉毒人员、涉邪人员、易肇精患人员、刑满释放人员、重点信访人员、归正人员、危险品从业人员、重点青少年、传销人员、寄递业从业人员、其他管控对象等管控对象的管理和维护，包括对所辖范围内管控对象进行增加、删除、修改、导入、导出等操作。系统将会自动记录管理日志，保障数据操作安全。</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服务对象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重病卧床老人、孤寡空巢老人、低保困难对象/救助对象、残疾人、优抚对象、留守人员、育龄妇女、失独家庭、60岁以上老人、老党员/困难生活党员、退役军人、其他服务对象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对象管理主要是对重病卧床老人、孤寡空巢老人、低保困难对象/救助对象、残疾人、优抚对象、留守人员、育龄妇女、失独家庭、60岁以上老人、老党员/困难生活党员、退役军人、其他服务对象等信息的管理和维护，包括对所辖范围内服务对象进行增加、删除、修改、导入、导出等操作。系统将会自动记录管理日志，保障数据操作安全。</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依靠对象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党员干部、村民代表、组长、两代表一委员、法人代表、侨台联工作对象、社会组织骨干、宗教教职人员、其他依靠对象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对党员干部、村民代表、组长，两代表一委员、法人代表、侨台联工作对象、社会组织骨干、宗教教职人员、其他依靠对象等信息的管理和维护，包括对所辖范围内骨干对象进行增加、删除、修改、导入、导出等操作。系统将会自动记录管理日志，保障数据操作安全。</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组织机构</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法人企业、个体工商户、机关单位、事业单位、社团组织、法人企业核查</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组织机构基础信息管理，包括对所辖范围内的法人企业、个体工商户、机关单位、事业单位、社团组织、法人企业核查，进行增加、删除、修改、导入、导出等操作。系统将会自动记录管理日志，保障数据操作安全。</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重点场所</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公安重点场所、安监重点场所、消防重点场所、金融重点场所、生态环境重点场所、食品、药品重点场所、民生关注重点场所、特种行业重点场所</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重点场所基础信息管理，包括对所辖范围内的公安重点场所、安监重点场所、消防重点场所、金融重点场所、生态环境重点场所，食品、药品重点场所、民生关注重点场所、特种行业重点场所，可进行增加、删除、修改、导入、导出等操作。系统将会自动记录管理日志，保障数据操作安全。</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住所</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住所、出租房、住所核查</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住所基础信息管理，包括住所、出租房等住所信息管理。可对所辖范围内的住所进行增加、删除、修改、导入、导出等操作。系统将会自动记录管理日志，保障数据操作安全。同时，通过住所信息，可进一步关联实有人口，实现人、建筑、住所的属地管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建筑物</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建筑物、危房</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实现建筑物基础信息管理，包括建筑物和危房等信息管理。可对所辖范围内的建筑物和危房等进行增加、删除、修改、导入、导出等操作。系统将会自动记录管理日志，保障数据操作安全。</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地址库</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地址库入库、地址库查询、地址库绑定、地址库更新</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地址库入库、地址库查询、地址库绑定、地址库更新</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地址数据的清洗比对处理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地址数据的清洗比对处理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规范标准（属地统一地址等规范编制实施）</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规范标准（属地统一地址等规范编制实施）</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变更记录</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迁出记录、人员死亡记录等</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包括对基础数据(组织)的迁出记录和人员死亡的记录，并在列表中展示详细信息。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对象管理</w:t>
            </w: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辖区任务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走访任务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针对人、企、房等进行对象走访和从地址维度进行日常巡访。系统自动记录自动生成工作日志，方便网格人员的自我查看及乡镇中心对网格的监管。企业巡查等产生的记录与企业信息关联。</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专项排查</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针对重点对象、重点场所等进行任务排查，包括对排查任务的频率设置；系统自动记录工作任务的完成情况，自动生成工作日志，方便网格人员的自我查看及乡镇中心对网格的监管。</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其他任务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其他任务走访任务的信息记录与管理。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访查记录</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走访任务记录、专项任务记录、其他任务记录、日常巡查记录</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网格人员的实际工作情况，系统自动记录工作指令的完成情况，每日自动生成工作日志，方便网格人员的自我查看及乡镇中心对网格的监管。走访任务、专项任务、其他任务、日常巡查等的产生的记录与企业等信息关联。</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任务设置</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走访任务三色表</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以红、黄、绿三色作为任务状态的指示形成走访任务三色表</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访查规则设置</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任务设置功能是根据访查规则进行设置为网格日常工作安排提供一目了然的指示作用。</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网格管理</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运行现状</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运行总览、在线统计、用户统计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总览从全局的角度展现所辖范围内的基层社会治理情况的综合统计，包括数据采集概况、事件处理概况、运行一览表等内容。对网格员在线情况的统计。系统监控是一种后台检测行为，可以针对用户登录操作进行记录，进行版本更新及版本更新情况的查看。</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工作报表</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信息处置报表、日常工作报表、考核异常报表、风险预警报表</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系统平台根据基层社会治理运行管理需求，对涉及治理工作的重要指标进行实时监督与记录，定期形成信息处置报表、日常工作报表、考核异常报表、风险预警报表等，为工作规划和部署提供有力依据。</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力量队伍</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网格工作团队、村(居)主职干部、党建力量建设、部门派驻力量建设、联村（社）服务团</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力量队伍是对网格中人员配置情况和队伍机构的列表展现和信息管理。主要包括网格工作团队、村(居)主职干部、党建力量建设、部门派驻力量建设和联村（社）服务团。</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全科网格管理</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全科网格总览</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对网格内人口总数、网格内房屋数量、网格内党员数量、网格内网格员数量等进行展示。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基层机构队伍展示</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网格人员和队伍力量的展现。</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网格人员档案管理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网格人员档案主要是对网格工作人员的工作情况分别建档管理。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网格工作档案管理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网格工作档案主要是对网格辖区内的治理工作情况分别建档管理。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服务网点管理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对辖区内网格服务网点信息的管理和查询。</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网格员管理</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微网格组织管理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对网格内各个微网格进行组织架构管理，展示1级、2级、3级、4级网格架构。</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微网格群及成员管理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对微网格群进行管理显示微网格群数量，管理人员等。对群成员的联系方式、姓名、年龄等资料进行管理。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微网格管理</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微网格档案</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微网格的名称，范围（文字描述）、微网格群主、群主姓名、联系方式、年龄、性别、工作单位、家庭住址、备注（总户数，企业数、总人数等简介）。</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微网格调整</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三级网格长，三级网格指导员均可以新建、删除、修改，指派只能是网格长来指派；三级网格员只能增删改自己名下的网格，增删改后需要网格长审批。</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微网格调整审核</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对微网格调整进行申请提交，由上一层级的网格长进行审核后逐级提交。</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信息采集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根据地址库信息，网格员采集人员基础信息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巡查日志</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对重点管理人员进行巡查走访，行成日常日志</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微网格事件上报</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对微网格内事件进行上报，记录上报事件、地点、人物、定位、联系方式等信息。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微网格地址关联</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对接公安标准地址库，与地图关联到地址、楼栋、房屋、人员信息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网格调整</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新增网格人员</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发起新增网格人员的指令，经过三级网格长同意，经过网格办同意，新增是否成功。</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解除网格关系</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网格员从账号中发起解除网格关系流程，经三级网格同意，经过网格办同意，解除关系成功。</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交换网格关系</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网格员交换网格发起流程后，经三级网格长同意，经网格办同意，流程发起成功，新增成功。</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添加网格关系</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发起添加网格业务流程</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网格调整申请</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网格人员发生调整，在线发起审批申请</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审批管理</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网格调整审批</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网格人员发生调整，在线发起审批流程。网格审批，网格调整人员、调整理由、网格长审批意见。</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请假审批</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对网格不能参加强制性活动时，在线发起请假审批流程，发起请假审批，请假理由，请假时间，请假人、请假时间、请假理由。</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积分申报</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网格员基于某些原因无法参加活动，但实际有给社区出力；公众做了某些好人好事等情形下，可发起积分申报</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审批日志</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对上报的日志进行审批，需网格长进行审批。审批日志、审批时间、审批意见</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督查统计</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统计总览</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统计总览</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各类网格员数量、在线、签到情况、案件办理情况、活动开展情况、活动热图等开发区层面的整体宏观信息以及各个网格、各个部门、各个网格员的微观信息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每日报告</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每日报告</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能够查询网格员每日上报的报告总量、各个时间段上报数量。</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统计及查询权限</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统计及查询权限</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对不同层级的账号进行权限划分，能看见不同统计数据。</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网格员信息统计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网格员信息统计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对网格员手机号码、姓名、工作地点、住址、年龄、性别等信息进行统计。</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网格员工作统计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网格员工作统计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网格员按网格、所属单位进行统计排名，统计签到、积分、事件等情况。</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专项统计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专项统计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对网格员签到、签到、活动开展情况等情况进行统计。</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考核绩效统计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考核绩效统计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对网格员每月进行考核考核标准（由考核单位出具），对考核绩效进行统计。 </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活动督查统计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活动绩效统计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对每个月的网格活动进行绩效统计分析。 </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协同指挥</w:t>
            </w:r>
          </w:p>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（镇街）</w:t>
            </w: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协同指挥</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事件下派</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基于网格地图对疑难事件、跨部门事件进行指挥协同，可督办、下派</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领导督办</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在指挥调度工作流程中针对各个处置节点由系统关联到相关单位和主要责任人，实现重要事件的资源调配、处置过程全监控及督办</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疑难事件、多部门联动协同</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对处置结果跟踪反馈</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绩效考核</w:t>
            </w: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网格绩效评估</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网格出勤评估</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对网格内治理工作情况按考核指标进行量化评估和统计展现，网格出勤评估</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网格员在线在岗评估</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(在线率、巡查时长达标率、巡查里程达标率)</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事件合格评估</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对网格员上报的事件质量、合格情况的评估。</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走访服务评估</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对网格员日常走访的工作及提供服务的情况进行评估。</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督办事件评估</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网格员对自己上报的事件需要及时关注进展和动态，对网格员事件办结的情况进行评估。</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事件评价评估</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对于网格员上报督办的事件的办理效果和服务情况反馈评价进行评估。</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评价结果</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网格员工作及服务的综合评价评估。</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乡镇绩效评估</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基础评估</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绩效评估的基础评估管理，需配合实际用户方根据业务需求制定考核评分办法，完成系统开发应用。</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评价结果</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评价结果，是对乡镇基层管理工作的绩效情况的考核依据</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区级考核督察</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签收时间</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同比、环比、差异值等完成情况及趋势情况的对比分析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延期情况</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同比、环比、差异值等完成情况及趋势情况的对比分析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退回情况</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同比、环比、差异值等完成情况及趋势情况的对比分析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群众满意度</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同比、环比、差异值等完成情况及趋势情况的对比分析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网格活动</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发起活动</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发起活动</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针对不同角色可发起不同类型的活动，可选择活动类型、活动签到有效范围；设定参与者、活动有效日期、签到签退时间、积分规则。</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参加活动</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活动码</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活动详情页，可以报名参与活动，输入活动码，若已报名的活动，则跳转至签到详情页；若不在打卡有效时间范围内，则跳转至。</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待参加</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活动详情页，可以报名参与活动，输入活动码，若已报名的活动，则跳转至签到详情页；若不在打卡有效时间范围内，则跳转至。</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可参加</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列出已参加的、未开始的、进行中的活动，未开始的活动动态显示倒计时，已开始的活动显示今日计时。</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找活动</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寻找活动</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可以通过活动码、活动名称检索活动，可以按照活动类型、时间筛选活动。</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我发起的活动</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已发起活动</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编辑后再申请，其他活动可以再起发起，显示我发起的各种状态的活动，包括：待审核、未开始、进行中、已结束、待定活动，待定活动可完成编辑后再发起申请。</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我收藏的活动</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收藏活动</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显示我添加收藏的活动列表，包括活动时间、活动内容、参加人数、参加地点等。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已参加的活动</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已参加活动</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包括未开始、进行中、已结束，能够查询已参加活动的历史记录，未参加活动的记录。</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活动签到</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活动签到</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包括地图显示签到范围和当前定位、实时计时，可在此页面发起请假、签到、签退、查看活动详情等操作。</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活动详情</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活动详情</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针对活动所处的状态不同，显示的内容不同。显示内容包括：标题、评分、活动时间、组织架构、积分规则、有效范围、活动详情、活动评价、二维码、活动码，可发起报名、收藏、编辑、删除、分享等操作。</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活动评价</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活动评价</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针对活动结束进行的评价，对活动进行打分。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活动请假</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活动请假</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针对活动发起请假申请，需说明请假时间、请假理由，并且进行上报。显示内容包括：请假时间、请假时长、请假理由、请假人等。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活动审批</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活动审批</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对发起的活动进行审批，能够进行批示留言，抄送相关人员。显示包括：审批时间、审批状态、审批结果、审批人员等。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积分管理</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积分总览及排行</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积分总览及排行</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展示网格员的总积分排名，能够查询总积分以及单日获得积分榜单</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每日任务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每日任务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展示网格内每日任务，如签到、参与活动等，可获得积分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积分明细</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积分明细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展示积分进账与消费的明细，并且显示时间、获取/消费内容</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积分统计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积分统计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对获得的总积分进行统计，包括积分明细、积分总量、积分日期等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积分规则设置</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积分规则设置</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设计积分获取规则，制定相关的参赛项目获取积分数值</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积分兑换及兑换记录</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积分兑换及兑换记录</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设置积分兑换专栏，显示积分可兑换物品，消耗积分兑换相应物品</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统计分析（基础性）</w:t>
            </w:r>
          </w:p>
        </w:tc>
        <w:tc>
          <w:tcPr>
            <w:tcW w:w="866"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运行概况</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运行概况</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基础性统计分析的综合分析展示概况。</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实有人口</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概况一览</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通过图表对辖区内实有人口基础信息进行总览统计。</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人口趋势</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通过图表对辖区内实有人口的构成和发展趋势进行统计分析。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管辖对象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通过图表对辖区内实有人口基础信息进行详细统计分析。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男女分布</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通过图表对辖区内实有人口的男女比例、分布进行统计分析。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组织机构统计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组织机构统计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通过图表对辖区内组织机构进行统计分析。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房屋统计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房屋统计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通过图表对辖区内房屋进行统计分析。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场所统计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场所</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通过图表对辖区内场所类进行统计分析。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重点场所</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通过图表对辖区内重点场所类进行统计分析。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队伍力量统计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队伍力量统计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通过图表对辖区内队伍力量及人员进行统计分析。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事件分析</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事件概况</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通过图表对辖区内事件进行总体的概况分析展示。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事件预警</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从事件预警方面进行统计分析。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事件等级</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从事件等级方面进行统计分析。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事件状态</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从事件状态方面进行统计分析。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事件类型</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从事件类型方面进行统计分析。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事件高发分析</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从事件高发方面进行统计分析。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绩效评估</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登陆统计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出勤日志管理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出勤日志</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出勤报表管理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出勤报表</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通过图表对辖区治理出勤报表进行统计</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部门专题</w:t>
            </w: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部门活动</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职能部门网格员工作统计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展示区各职能部门中网格员工作数据统计。</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各职能部门的工作量统计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针对部门发起的活动，区各职能部门的工作量统计。</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疫情管理</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疫情信息查询</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疫情信息查询</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通过筛选返金时间、何处返回、返金后居住地、14天内是否到访中高风险地区、有无核酸检测报告等信息对上报信息的返金人员进行搜索、排查。</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疫情人员审核</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疫情人员审核</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通过人员列表，对该人员返金时间、何处返回、返金后居住地、14天内是否到访中高风险地区、有无核酸检测报告等信息进行审核。</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信息名单导出</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信息名单导出</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管理人员可根据需要对名单及其信息进行导出操作</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办公服务</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通知公告</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通知公告</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通知公告是网格与上级联系最为紧密的模块，通过该模块能便捷的查看上级发布的各类通知公告，便于及时掌握近期态势和工作要求，对基层的公告通知进行规范化管理，逐步提高日常工作效率。</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短信管理</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短信管理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短信服务提供短信发送功能，展示短信发送列表数据，以及对发送状态反馈，方便领导通知下达工作。</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日常办公(台账）</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日常办公</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提供部门台账分类管理、部门台账上传、基层台账分类管理、基层台账上传等功能。实现办公文件、信息资料等文件的指定工作范围的下发。</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知识库</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知识库</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知识库提供包括操作指南、政策法规、案例分析、培训资料等各个方面的常见问题和办事指南。当网格人员遇到疑难问题时，可通过快速查询检索知识库，为网格人员提供咨询服务，如社会治理、便民服务、政策法规等，以提高网格人员的工作时间利用率和公众满意度。</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通讯录管理</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通讯录管理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根据队伍的无缝沟通协作机制，通过队伍通讯管理可以实现高效的联系沟通，实时查看基层治理工作各责任部门、责任人的联系方式。</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工作宣传</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工作宣传</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对基层治理工作的政策信息、专项任务、学习材料等进行体系内宣传，相关人员可及时获取工作相关的重要信息。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帮助中心</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帮助中心</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平台设置帮助中心，为用户提供系统操作相关的帮助文档以供浏览和查阅。</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系统支撑</w:t>
            </w: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用户体系</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个人设置</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用户的维护和管理，实现对用户的账户信息进行管理，可增删改，并且对用户个人信息进行维护。</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可增删改，对用户进行管理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用户组管理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可增删改，对用户组进行管理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角色管理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可增删改，对角色信息进行管理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资源管理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可增删改，对资源进行管理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业务配置</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触动神经事项</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系统全局性相关业务的配置，实现触动神经事项配置功能</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事件阶段时限</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系统全局性相关业务的配置，实现事件阶段时限配置功能</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事件等级时限</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系统全局性相关业务的配置，实现事件等级时限配置功能</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事件类型</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系统全局性相关业务的配置，实现事件类型配置功能</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事件时限</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系统全局性相关业务的配置，实现事件时限配置功能</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事件派遣设置</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系统全局性相关业务的配置，实现事件派遣设置配置功能</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网格考核配置</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系统全局性相关业务的配置，实现网格考核配置功能</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乡镇考核配置</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系统全局性相关业务的配置，实现乡镇考核配置功能</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基础配置</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数据字典</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实现基础信息的编码分类管理的设置。</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系统参数</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实现平台系统参数管理的设置。</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监控维护</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操作日志审计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对系统运行监控类的查看和统计，进行操作日志审计。</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常见问题汇总</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对系统运营维护类的查看和发布，进行常见问题查看。</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版本更新</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版本更新说明。</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系统对接</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地址库对接</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调用标准地址库接口，获取开发区标准地址信息，包括网格划分、标准地址库、标准地址编码、建筑物面等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统一工作站升级</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通知公告</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对接金开通通知通报模块内容，从而实现内容更新。可进入相关操作界面查看消息列表、发布对象以及发布时间。</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综合管理平台</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智慧OA：同新版本OA系统做组织、用户同步</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一张图 ：在对原图层进行迁移的基础上，对接新采集地址库内容信息展示人房企信息。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城市运行中心</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包括智慧城管、平安综合体、三改一拆以及城市运行中心等模块，各系统间都将根据不同的权限实现单点登录。</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应急指挥中心</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主要对接智慧应急平台完善各乡镇街道指挥中心</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产业民生服务中心</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民生服务平台：整合原民生服务平台、金华公众平台、智慧金开、微信功能，主要面向智慧金开，对相关用户使用情况及用户量等数据进行统计分析；此外，该平台还包括智慧金开管理后台，可通过该界面进入智慧金开管理后台进行相关操作。</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产业服务平台：产业服务平台待经发局项目全周期平台建设后进行对接，将其数据对接后补充。</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用户同步</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过制定统一的对接标准，明确第三方平台与本平台的对接要求，实现用户只需登录本平台，便可跳转到第三方智慧应用系统的过程。</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智慧金开管理后台</w:t>
            </w: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社区概况</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社区基本情况管理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新增社区基本情况信息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对下属**室里警官基本信息及所属社区进行查看和新增管理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社区两会架构管理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对党支部情况、党员信息进行管理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社区特色管理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查看及新增各街道社区特色风采情况</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身份公开栏</w:t>
            </w: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工作人员管理</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各社区管理员新增本社区工作人员信息进行展示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一周一值班</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各社区管理员新增本社区一周一值班信息进行展示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一周一集中管理</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各社区管理员新增本社区一周一集中管理信息进行展示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每月沟通管理</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各社区管理员新增本社区每月沟通管理信息进行展示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三务公开</w:t>
            </w: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村务管理</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各社区管理员新增本社区村务管理信息从而在移动端进行展示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党务管理</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各社区管理员新增本社区党务管理信息从而在移动端进行展示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财务管理</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各社区管理员新增本社区财务管理信息从而在移动端进行展示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服务队伍</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公共场所</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新增对社区公共场所的点位管理，包括名称、地址、联系方式、上班时间以及经纬度等。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新闻发布</w:t>
            </w: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村社发布</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主要发布村社等相关信息，可插入文件或线上编辑</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红榜</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主要发布红榜等相关信息，可插入文件或线上编辑</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黑榜</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主要发布黑榜等相关信息，可插入文件或线上编辑</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乡贤风采</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主要发布乡贤风采等相关信息，可插入文件或线上编辑</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企业服务</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主要发布企业服务等相关信息，可插入文件或线上编辑</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专栏学习</w:t>
            </w: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党员教育</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发布党员教育等相关信息，可插入文件或线上编辑</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宣传学习</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发布宣传学习等相关信息，可插入文件或线上编辑</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金开普法</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发布金开普法等相关信息，可插入文件或线上编辑</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政策咨询</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发布政策咨询等相关信息，可插入文件或线上编辑</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村社服务</w:t>
            </w:r>
          </w:p>
        </w:tc>
        <w:tc>
          <w:tcPr>
            <w:tcW w:w="2355" w:type="dxa"/>
            <w:shd w:val="clear" w:color="auto" w:fill="FFFFFF"/>
            <w:noWrap w:val="0"/>
            <w:vAlign w:val="bottom"/>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居民信箱</w:t>
            </w:r>
          </w:p>
        </w:tc>
        <w:tc>
          <w:tcPr>
            <w:tcW w:w="7911" w:type="dxa"/>
            <w:shd w:val="clear" w:color="auto" w:fill="FFFFFF"/>
            <w:noWrap w:val="0"/>
            <w:vAlign w:val="bottom"/>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通过居民信箱对信件中反馈的事项进行审核以及回复操作，根据居民反馈的问题进行进一步的处置管理。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w:t>
            </w:r>
          </w:p>
        </w:tc>
        <w:tc>
          <w:tcPr>
            <w:tcW w:w="851"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数据驾驶舱</w:t>
            </w: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社会治理数据仓</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数据目录</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社会治理数据资源目录</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资源目录主要分为基础数据资源目录和专题数据资源目录构成，通过目录梳理明确各部门提供的数据资源代码、数据资源名称、数据项名称、数据来源、交换方式、交换频率等信息，为规范区域治理平台数据资源归集、应用提供指南。</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数据交换</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社会治理数据交换</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数据交换可实现与省级数据资源平台、市级数据资源平台、市级职能部门平台、公共安全视频图像信息共享平台等的协同对接，实现数据交换共享。</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数据处理</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数据清洗工具</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浙江省基层治理四平台数字化建设指南》基础数据标准，通过区平台汇聚的人口、地址、组织机构等基础数据和事件数据进行处理，支撑数据在基础数据库和专题数据库的入库。清洗工具包括：清洗规则设置、一键清洗、清洗日志功能。</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数据比对工具</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根据《浙江省基层治理四平台数字化建设指南》基础数据标准，通过区平台汇聚的人口、地址、组织机构等基础数据和事件数据进行比对，数据比对工具包括实现比对规则设置、一键比对、比对日志等功能</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数据合成工具</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根据《浙江省基层治理四平台数字化建设指南》基础数据标准，通过区平台汇聚的人口、地址、组织机构等基础数据和事件数据进行合成处理，包括实现合成规则设置、一键合成、合成日志等功能。</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统一数据服务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统一数据服务</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为支撑各部门、乡镇街道基于基层平台开发个性化应用模块或跨部门跨层级业务联动，对外提供统一的数据服务。主要包括数据查询、共享接口，及地址救济与核查服务。</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指标体系管理</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指数指标管理</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社会治理指数指标管理</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社会治理各级各项指标进行管理，包括各级指标增删改、考核方式设置、考核分值设置、管理部门设置、排序设置、预警条件设置；通过合理赋权，进行综合计算；采用功效系数法，计算各区县、街镇六要素指标每个分项指标得分；根据综合评分加权计算出每个区县及街镇治理指数分值，最高得分100，最低得分0；同时根据各街镇总量分别占全区（县）的比重，通过加权计算得出全区（县）总指数，进一步计算出全市总指数。</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治理指标展示</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区域治理指数</w:t>
            </w:r>
          </w:p>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(按每个指数计算）</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按日、周、月、季、年的时间维度，分别计算、切换展示城市治理指数、各区域的治理指数；</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总指数一览表</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可以按年月查询市、区县、镇街的平安指数情况。每月进行区县及镇街排名，并实现治理指数图表分析，多维度展示平安指数信息。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考核数据管理</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考核数据录入</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对辖区内治理工作考核的内容和指标进行记录，提供考核数据录入、平安考核数据展示功能，对部分需要由手工录入的数据进行录入和维护。</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平安考核数据展示</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对部分需要由手工录入的数据进行录入和维护</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预警督办管理</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预警督办管理</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对部分需要督办、催办事件进行录入，并形成催办、督办提醒给相关部门，并根据执行结果在相应指标上进行得分考核；</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效能考核</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区域治理考核</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区域治理考核分析</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可以按年月查询市、区县、镇街的平安考核情况。每月进行区县及镇街排名，并实现治理指数图表分析，多维度展示平安指数信息。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职能部门考核</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职能部门效能考核分析</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析各职能部门服务质量、联动效率，包括签收时间、延期情况、退回情况、群众满意度等指标的同比、环比、差异值等完成情况及趋势情况的对比分析，通过智能下钻分析，可以详细查看每个职能部门相关指标的同比、环比、差异率、增长率等完成情况。</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全科网格决策分析（基于网格地图）</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网格信息展示</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房屋、单位、人员、日志</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升级后基于新的数据进行分析展示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企业发展稳控</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企业发展稳控</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建立企业（法人）稳定发展分析模型，根据具体要素得分评估企业（法人）的运行健康指数，运用绿蓝黄橙红五色预警企业稳定发展情况。</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重点人员稳控</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重点人员稳控</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重点人员稳控是把特定辖区内的人口标签汇总，结合动态数据，按照相应的算法模型，并不断更新，自动筛选出需要被关注或者被帮扶的潜在风险人员，进行重点关注，做到提前管控、提前帮扶。</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重点场所稳控</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重点场所稳控</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通过建立重点场所稳定模型，根据具体要素得分评估重点场所的运行健康指数，运用绿蓝黄橙红五色预警重点场所稳定发展情况。</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舆情分析</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每日关注</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每日关注重点内容分析展示。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舆情分析（互联网相关信息）</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通过抓取的各类互联网信息对舆情进行分析，并将舆情数据关联到网格，实现网格内对社会舆情数据的分析管理，实现网格化+舆情分析，把握民生舆情的实时走向，为市领导和全市各部门提供决策依据。</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事件发展态势（网格内事件）</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对网格内重点关注事件、特殊疑难问题的舆情态势进行分析，并以数图形式进行趋势演变展现，为管理者掌握事态发展方向提供依据。</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社会风险感知（网格画像）</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企业风险感知</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通过建立企业风险通过建立企业（法人）风险分析模型，根据具体要素得分评估企业（法人）的运行健康指数，包括企业风险网格数、占比、企业风险总分、企业风险排名等。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重点场所风险感知</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通过建立重点场所风险分析模型，根据具体要素得分评估重点场所的危险等级，进行重点场所风险网格数统计、评分、排名等分析重点场所风险情况与严重程度，为网格工作任务的安排提供指导。</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人员风险感知</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通过建立人员风险分析模型，根据具体要素得分评估人员的危险等级，可及时预测预警人员动态风险，尽早进行预防处置。</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老龄化风险感知</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通过建立老龄风险分析模型，对老龄人口结构和占比进行统计、评分及排名，分析网格内老龄人口风险存在情况，可提前预估风险。</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专题分析</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市场监管专题</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用大数据技术整合社会数据资源和社会化信息服务，既有利于降低行政管理成本，又能够充分发挥公众对规范市场主体行为的积极作用，强化社会监督，进而真正构建“企业自治、行业自律、政府监管、社会监督”的社会共治格局，提升国家治理能力和水平。</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社会保障专题</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将乡镇平台中的残疾人数据充实到网格人、企数据库。通过将残疾人数据关联到网格，实现网格内对社会保障数据的分析管理，实现网格化+社会保障专题分析。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综合执法专题</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对流经系统平台的综合执法类事件进行多角度的监测和统计，结合网格内治理情况形成综合执法数据的专题分析。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人口分析专题</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对辖区内人口进行详细多面的分析，如通过年龄、性别、来源、职业等形成网格人口画像，形成具有社会治理指导价值的指标依据，从而实现精细化管理。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综合治理专题</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综合治理工作内容繁多且关系城市整体建设的优化升级，根据各类综合执法类事件的上报、处置和办结，分析事件的构成、高发范围、治理效果等，直观的了解城市管理的成效。</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234</w:t>
            </w:r>
          </w:p>
        </w:tc>
        <w:tc>
          <w:tcPr>
            <w:tcW w:w="851"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金开通(政务移动端）</w:t>
            </w:r>
          </w:p>
        </w:tc>
        <w:tc>
          <w:tcPr>
            <w:tcW w:w="78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切换组织</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切换组织</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切换组织</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一键切换部门/科室/网格组织等。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快捷入口</w:t>
            </w: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快捷入口</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扫一扫</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对二维码进行扫一扫操作，可实现地址信息等的快速识别和查询。</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快捷上报</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提供快捷上报入口，对事件进行上报，如：事件时间、上报人员、添加照片、地理位置信息、添加内容。</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网格活动</w:t>
            </w: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事件处置</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事件上报</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对事件进行上报，如：事件类型、事件描述、事件时间、上报人员、添加照片、添加视频、地理位置信息、上报内容。</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事件处置</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工作人员对事件进行处置，自动记录处置时间、处置结果、处置所花费的时间。</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事件历史</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查询事件历史，包括事件发生时间、处置经过、处置人员等。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参加活动</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发起活动</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针对不同角色可发起不同类型的活动，可选择活动类型、活动签到有效范围、设定参与者、活动有效日期、签到签退时间、积分规则。</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参加活动</w:t>
            </w:r>
          </w:p>
        </w:tc>
        <w:tc>
          <w:tcPr>
            <w:tcW w:w="7911" w:type="dxa"/>
            <w:shd w:val="clear" w:color="auto" w:fill="FFFFFF"/>
            <w:noWrap w:val="0"/>
            <w:vAlign w:val="top"/>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已报名的活动、可参加的活动、活动码</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找活动</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可参加的活动、搜索、活动码</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我的收藏</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我收藏的活动列表</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我发起的活动</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待审核、未开始、进行中、已结束、待定活动</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已参加的活动</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包括未开始、进行中、已结束，能够查询已参加活动的历史记录，未参加活动的记录。</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签到详情</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包括地图显示签到范围和当前定位、实时计时，可在此页面发起请假、签到、签退、查看活动详情等操作。</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活动详情</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针对活动所处的状态不同，显示的内容不同。显示内容包括：标题、评分、活动时间、组织架构、积分规则、有效范围、活动详情、活动评价、二维码、活动码，可发起报名、收藏、编辑、删除、分享等操作。</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活动评价</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针对活动结束进行的评价，对活动进行打分。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活动请假</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针对活动发起请假申请，需说明请假时间、请假理由，并且进行上报。显示内容包括：请假时间、请假时长、请假理由、请假人等。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活动审批</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对发起的活动进行审批，能够进行批示留言，抄送相关人员。显示包括：审批时间、审批状态、审批结果、审批人员等。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信息采集</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采集辖区内重点人员、依靠人员、骨干人员等信息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场所</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采集辖区内重点、治安重点、学校、危险化学品等单位基本信息。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采集辖区内公安、企业等单位基本信息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网格巡查</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巡查</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对网格内巡查，同时进行日志进行上报，主要上报时间、路线、巡查结果等。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人员走访</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对网格内重点人员、残疾人、老人进行走访，记录相关信息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场所走访</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对网格内的重点场所、企业进行走访，记录相关信息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网格总览</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显示列表</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显示网格列表，如网格名称、网格大小、位置等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房屋类型</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在移动端总览界面以网格地图为基础，对房屋类型划分为出租房、非出租房，并进行上图展示。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标签化管理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提供各类标签，如党员、重点人员、依靠对象等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网格概况</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网格基本情况，如网格员数量、网格大小、人员联系方式等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网格力量</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网格内网格员数量、兼职网格员数量、党员数量、社区骨干数量等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微网格</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我的微网格、我联系的微网格</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权限</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功能权限划分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网格审批</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请假审批</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对网格不能参加强制性活动时，在线发起请假审批流程包括：待我审批、我的审批</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网格调整审批</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网格人员发生调整，在线发起审批流程</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积分申报</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网格员基于某些原因无法参加活动，但实际有给社区出力；公众做了某些好人好事等情形下，可发起积分申报</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活动审批</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对上报的日志进行审批，需网格长进行审批</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地图查看</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地图查看</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查看网格员归属网格，查看网格员定位信息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最新活动</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最新活动</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针对网格员内需参加的最新活动</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驻企服务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企业查询</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包含企业列表和企业详情</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企业走访</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企业走访信息展示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网格动态</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网格动态</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以新闻图片滚动的方式轮播网格内新闻热点，点击可查看详情</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公告</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通知公告</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通知公告</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发送各类消息以及重大通知。</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精选模块</w:t>
            </w: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分析统计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活动统计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对活动进行统计，如活动人数、活动位置等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事件统计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对事件进行统计，如使用人数、处理时间等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办结统计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对办结的事件进行统计，如办结时长、完结率等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预警预测</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预警预测</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对网格内问题事件、风险隐患等进行预警预测，给相关人员发生预警提示。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信息查询</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地址查询</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对网格内的地址进行查询，查询以地址为关联的所有网格内的数据信息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网络通讯录</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展示单位联系方式，如单位名称、单位联系方式等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辖区</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展示辖区人员联系方式，如名称、联系方式等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服务队伍</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展示服务队伍联系，如辖区人员、手机号码等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视频链接</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视频链接</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采用视频连线，使移动端与移动端、移动端与平台端进行对接，实现视频通讯功能，能够及时交流以及指挥。</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知识库</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知识库</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知识库提供包括操作指南、政策法规、案例分析、培训资料等各个方面的常见问题和办事指南。</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网格故事</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网格故事</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展示网格内发生的故事，传达网格精神、网格气质风貌。</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他山之石</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他山之石</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展示辖区内先进人物，先进事迹等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风采展示</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风采展示</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展示网格员的事迹及风采</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意见建议</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意见建议</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提供建议上报</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部门专题</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部门专题</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职能部门工作统计概览</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展示区各职能部门网格员、部门、乡镇街的网格工作和网格活动统计情况概览</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一张图</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一张图</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一张图</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图层信息、资源展示、测距、测面</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w:t>
            </w: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个人档案</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我的显示界面展示事件的个人档案情况</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网格工作</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我的显示界面展示网络工作的情况</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今日工作</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我的显示界面展示今日工作的情况</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我的显示界面展示积分的详细情况</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微记事（日志）</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我的显示界面展示微记事日志的情况</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实用小工具</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我的显示界面展示实用工具功能</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设置</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我的显示界面关于设置的功能操作</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297</w:t>
            </w:r>
          </w:p>
        </w:tc>
        <w:tc>
          <w:tcPr>
            <w:tcW w:w="851"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智慧金开（群众移动端）</w:t>
            </w: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村（社区）</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账号管理</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帐号登录、个人操作界面，支持社区账号自定义背景图片。</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社区广播</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金开区最新消息播报。</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村社概况</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对村社区情况的综合展示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身份公开栏</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对村社内主要领导班子和各类负责人信息公开展示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三务公开</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定期公开党务、村务、财务等情况，落实广大群众的知情权。</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服务队伍</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对应急处置联动队伍、民情民访代办员队伍、便民服务跑腿队伍、社区志愿服务员队伍等信息的管理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党员教育</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包括支部介绍、主题教育、党员初心、党员登录、先锋指数、制度机制等内容发布与展示。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宣传学习</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发布学习培训资料及学习活动记录等信息。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金开普法</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发布金开区相关法律法规、规章制度等信息。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乡贤风采</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村社区辖区内名人风采、事迹展示。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居民信箱</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居民信箱包括公开信件、我的信件、我要写信的功能，居民可选取公开或保密的方式将要反馈的问题发送至平台，支持文字描述和图片附件的添加。</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政策咨询</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对本地的政策法规、规章制度进行分类展示，包括提供各类政策依据、办理流程、咨询方式等详细信息。可分为三农类、商贸类、文旅类、科创类、精准帮扶等。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随手拍</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通过随手拍功能进行添加照片、添加内容、事件地址、事件上报时间等。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红黑榜</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村社发布红黑动态，如好人好事、打架斗殴等事件的公开。</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社区动态</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开发区发布的新闻动态及热点消息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特色服务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群众办事</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里办入口：交警E键办、机动车人行道违法处理、临时占道审批、社保查询、公积金查询、流动人口居住登记、居住房屋出租登记、市区犬类饲养登记、户口本补领、边境通行证、居民身份证申领、换领、补领，居民身份证挂失申报、室内住址变动落户、公安专区</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民生诉求</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我的申请，通过本模块对诉求内容进行描述，诉求发布流转至金开通社区账号进行处置流转。</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里办入口，包括救助救济、助残扶残、老年人优待证办理、重度残疾人护理补贴、残疾人证办理、各类贷学金、助学金审核发放、特困人员救助供养认定及保障金给付、最低生活保障家庭认定及保障金给付、临时救助对象认定及救助金给付、最低生活保障边缘家庭认定和专项社会救助</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智慧生活</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提供标准接口，对接本地生活服务厂商，提供智慧生活服务内容，包括实现用户体系统一及用户积分、订单、优惠券等信息的同步</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企业服务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对接经发局小程序</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浙里办入口，包括链接企业码、工商电子执照、工商电子签章、工商登记查询、市场监管业务办理、个体户年报、企业登记档案查询、个体工商户开业登记</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热门服务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公安服务</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集中显示可提供的热门服务列表，实现单点登录，可快捷进入浙江政务服务网的公安服务、社保服务、交通出行、公积金服务、优待救助、政务办事专区等相关板块</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疫情模块</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疫情模块</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疫情模块</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主要提供给返金人员申报信息或者网格员代为申报使用，包括个人基本信息、返金日期以及从何处返金等情况。</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个人中心</w:t>
            </w: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个人中心</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个人信息</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查询个人名称、联系方式、所在地址、职业等。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我的收藏</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收藏我关注的信息资讯、服务等。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我的积分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能够查询总积分、获得的积分明细、消耗的积分明细等。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我的订单</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显示已购物品的名称、图片信息、购买信息、金额/积分等。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我的优惠券</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查询已使用优惠券、未使用优惠券、过期优惠券的信息。</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显示个人姓名、地址、联系方式、上传定位信息等。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关于智慧金开</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显示当前使用的版本信息、功能介绍等。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327</w:t>
            </w:r>
          </w:p>
        </w:tc>
        <w:tc>
          <w:tcPr>
            <w:tcW w:w="851"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支撑应用</w:t>
            </w: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协同融合</w:t>
            </w: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第三方协同</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统一用户认证</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包括用户管理， 组织管理，用户认证。</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第三方应用管理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用于区县等第三方个性化应用在资源管理平台注册， 对第三方系统的上线、下线进行管理。 提供唯一key给第三方系统， 用于后续数据、接口对接验证。</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统一接口注册管理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接口管理分为接口注册管理和接口使用申请管理。</w:t>
            </w:r>
          </w:p>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接口注册管理，对所有系统开放的所有接口进行注册管理，包括金华市基层治理平台提供的对外接口及第三方应用提供的接口。</w:t>
            </w:r>
          </w:p>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接口使用申请管理，对所有开放的接口有使用需求时，在该系统上进行申请，申请通过后，可以调用接口。接口申请管理平台会对接口访问每日的次数进行控制。</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调用日志监控</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保障资源管理平台的安全，提供日志监控系统。系统记录资源管理平台各种操作日志， 包括第三方应用注册日志、区县个性化的配置日志、接口注册日志、接口调用日志等。 同时对接口调用频率、接口的上限情况等进行监控。</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协同流转控制</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事件流转接口集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通过各类专项接口集为基层治理平台的业务和数据流转提供接口调用、判断、分转等服务，管理控制事件流转接口集</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任务流转接口集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对任务流转接口集进行管理和控制</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轨迹流转接口集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对轨迹流转接口集进行管理和控制</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业务数据流转接口集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对业务数据流转接口集进行管理和控制</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日志管理</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通过业务日志记录、业务日志查询、日志监测等功能保证各类接口的运转情况有迹可循。</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运行监测</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运行监测分析</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通过对自身承接的用户登录、接口注册、接口应用、数据流转情况等进行监测和记录，并以图表的形式进行展示，及时发现和提示所对接平台的运行和使用情况，并定期形成统计结果报表提供参考依据。</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安全运维系统</w:t>
            </w: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统一日志子系统</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基础数据采集维护日志</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梳理标准的日志规范，记录用户登录日志、操作日志及各操作的请求参数和操作花费时间，研发统一的分析展现功能，为系统故障排查及运营分析提供数据基础。</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基础数据访问日志</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梳理标准的日志规范，记录用户登录日志、操作日志及各操作的请求参数和操作花费时间，研发统一的分析展现功能，为系统故障排查及运营分析提供数据基础。</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339</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系统账号管理日志</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梳理标准的日志规范，记录用户登录日志、操作日志及各操作的请求参数和操作花费时间，研发统一的分析展现功能，为系统故障排查及运营分析提供数据基础。</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外部应用操作日志</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梳理标准的日志规范，记录用户登录日志、操作日志及各操作的请求参数和操作花费时间，研发统一的分析展现功能，为系统故障排查及运营分析提供数据基础。</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日常监控预警子系统</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接口运行监控</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实时记录数据库的各项指标，进行接口运行监测（连接数、tps、qps、慢查询等）</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服务器资源监控</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应用服务器的cpu、内存使用情况，各业务表的数据量增长情况等数据监测</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数据库监控</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各业务表的数据量增长情况等数据数据库进行监控</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运行任务监控</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研发相关统计分析功能，设置各项指标的阈值，异常事件发生时能够及时通过邮件、短信等多种方式预警。</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中间件监控</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中间件运行状况监控</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任务调度子系统</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任务调度子系统</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对系统中各种定时任务进行配置管理，控制任务是否启动，记录各任务的启动完成时间、执行结果。</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347</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应用安全网关</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应用安全网关</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应用安全网关</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应用网关为核心系统提供统一的对外API入口，通过统一的身份认证、授权管理、安全验证等，为核心系统暴露的API提供安全保障。</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348</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手机地图引擎软件</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手机地图引擎软件</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手机地图引擎软件</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基于移动终端的地图引擎，实现了适配移动应用端的地图渲染加载、放大、缩小，查询等功能，以此高效管理移动终端地理数据，支持市面主流地图软件发布的瓦片、矢量图层。</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349</w:t>
            </w:r>
          </w:p>
        </w:tc>
        <w:tc>
          <w:tcPr>
            <w:tcW w:w="851"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三资管理</w:t>
            </w: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移动端</w:t>
            </w:r>
          </w:p>
        </w:tc>
        <w:tc>
          <w:tcPr>
            <w:tcW w:w="866"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H5</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申请支出</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持卡人按需使用村务卡，履行事前审批，金开通上填写开支审批单，包括时间、地点、事由、金额等，可上传附件，附件格式一般为图片、PDF、word、excel等，1村主任、监委主任审批同意后才能支出。支出审批单可在PC端打印。</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350</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报销审批</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出完成后报销审批，关联事前审批单，填写报销审批单，包括事由、金额、附件数，上传发票、交易凭条、清单，监委主任审批，村主任审批，乡镇三资中心工作人员审批，三资中心工作人品判断金额是否由三资中心主任审批。审批过程根据审批单内容和附件符合情况进行修改、补充、撤回、作废等操作。</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审批提醒</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审批流程按岗位短信提醒相应审批人员；超期提醒；</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352</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权限</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发起人为村副主任、报账员，审批人为监委主任、村主任，三资中心主任、乡镇街领导、开发区农办领导、开发区指挥中心、开发区领导具有按层级查看权限</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353</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restart"/>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后台管理系统（PC端）</w:t>
            </w: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层级统计：按发起人-村-乡镇街-开发区统计分析各类时间段支出审批事由；可按日-周-月-季度-年统计分析各层级各支出审批事由</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354</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财务公开</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乡镇三资中心工作人员以固定文件格式统一导入下属村社财务公开内容，村社财务公开页面自动显示财务公开内容。（数据同步至智慧金开）</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355</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单点登录</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对接金开通单点登录接口，达到用户权限互通</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62"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356</w:t>
            </w:r>
          </w:p>
        </w:tc>
        <w:tc>
          <w:tcPr>
            <w:tcW w:w="851" w:type="dxa"/>
            <w:vMerge w:val="continue"/>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78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p>
        </w:tc>
        <w:tc>
          <w:tcPr>
            <w:tcW w:w="866"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系统管理</w:t>
            </w:r>
          </w:p>
        </w:tc>
        <w:tc>
          <w:tcPr>
            <w:tcW w:w="2355"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911" w:type="dxa"/>
            <w:shd w:val="clear" w:color="auto" w:fill="FFFFFF"/>
            <w:noWrap w:val="0"/>
            <w:vAlign w:val="center"/>
          </w:tcPr>
          <w:p>
            <w:pPr>
              <w:pageBreakBefore w:val="0"/>
              <w:widowControl/>
              <w:kinsoku/>
              <w:wordWrap/>
              <w:overflowPunct/>
              <w:topLinePunct w:val="0"/>
              <w:bidi w:val="0"/>
              <w:adjustRightInd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用户管理、角色管理、权限管理。（用户信息需要和金开通同步）。</w:t>
            </w:r>
          </w:p>
        </w:tc>
        <w:tc>
          <w:tcPr>
            <w:tcW w:w="56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7" w:type="dxa"/>
            <w:shd w:val="clear" w:color="auto" w:fill="FFFFFF"/>
            <w:noWrap w:val="0"/>
            <w:vAlign w:val="center"/>
          </w:tcPr>
          <w:p>
            <w:pPr>
              <w:pageBreakBefore w:val="0"/>
              <w:widowControl/>
              <w:kinsoku/>
              <w:wordWrap/>
              <w:overflowPunct/>
              <w:topLinePunct w:val="0"/>
              <w:bidi w:val="0"/>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bl>
    <w:p>
      <w:pPr>
        <w:pageBreakBefore w:val="0"/>
        <w:kinsoku/>
        <w:wordWrap/>
        <w:overflowPunct/>
        <w:topLinePunct w:val="0"/>
        <w:bidi w:val="0"/>
        <w:adjustRightInd w:val="0"/>
        <w:spacing w:line="500" w:lineRule="exact"/>
        <w:ind w:firstLine="480"/>
        <w:rPr>
          <w:rFonts w:hint="eastAsia" w:ascii="宋体" w:hAnsi="宋体" w:eastAsia="宋体" w:cs="宋体"/>
          <w:color w:val="auto"/>
          <w:sz w:val="21"/>
          <w:szCs w:val="21"/>
          <w:highlight w:val="none"/>
          <w:lang w:val="zh-CN"/>
        </w:rPr>
      </w:pPr>
    </w:p>
    <w:p>
      <w:pPr>
        <w:pStyle w:val="4"/>
        <w:pageBreakBefore w:val="0"/>
        <w:numPr>
          <w:ilvl w:val="2"/>
          <w:numId w:val="2"/>
        </w:numPr>
        <w:tabs>
          <w:tab w:val="left" w:pos="2160"/>
        </w:tabs>
        <w:kinsoku/>
        <w:wordWrap/>
        <w:overflowPunct/>
        <w:topLinePunct w:val="0"/>
        <w:bidi w:val="0"/>
        <w:adjustRightInd w:val="0"/>
        <w:spacing w:line="500" w:lineRule="exact"/>
        <w:ind w:left="2160" w:hanging="360"/>
        <w:rPr>
          <w:rFonts w:hint="eastAsia" w:ascii="宋体" w:hAnsi="宋体" w:eastAsia="宋体" w:cs="宋体"/>
          <w:color w:val="auto"/>
          <w:sz w:val="21"/>
          <w:szCs w:val="21"/>
          <w:highlight w:val="none"/>
        </w:rPr>
        <w:sectPr>
          <w:pgSz w:w="16838" w:h="11906" w:orient="landscape"/>
          <w:pgMar w:top="1134" w:right="1417" w:bottom="1134" w:left="1417" w:header="851" w:footer="992" w:gutter="0"/>
          <w:cols w:space="720" w:num="1"/>
          <w:docGrid w:type="lines" w:linePitch="326" w:charSpace="0"/>
        </w:sectPr>
      </w:pPr>
    </w:p>
    <w:p>
      <w:pPr>
        <w:pageBreakBefore w:val="0"/>
        <w:kinsoku/>
        <w:wordWrap/>
        <w:overflowPunct/>
        <w:topLinePunct w:val="0"/>
        <w:bidi w:val="0"/>
        <w:adjustRightInd w:val="0"/>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2.云服务改造升级部分（含3年的云服务的租赁费）</w:t>
      </w:r>
    </w:p>
    <w:p>
      <w:pPr>
        <w:pageBreakBefore w:val="0"/>
        <w:kinsoku/>
        <w:wordWrap/>
        <w:overflowPunct/>
        <w:topLinePunct w:val="0"/>
        <w:bidi w:val="0"/>
        <w:adjustRightInd w:val="0"/>
        <w:spacing w:line="5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本项目政务云资源是基于“智慧开发区一期指挥中心项目”基础上的优化调整，需对“智慧开发区一期指挥中心项目”的云资源配置及其软件、数据进行缩容、扩容、迁徙、优化等，调整至符合“智慧开发区一期指挥中心项目”和本项目运行所需配置和环境，缩容、扩容、迁徙、优化过程须确保安全、稳定、可靠，实现无缝调整。</w:t>
      </w:r>
    </w:p>
    <w:tbl>
      <w:tblPr>
        <w:tblStyle w:val="4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5B9BD5" w:fill="FFFFFF"/>
        <w:tblLayout w:type="fixed"/>
        <w:tblCellMar>
          <w:top w:w="0" w:type="dxa"/>
          <w:left w:w="108" w:type="dxa"/>
          <w:bottom w:w="0" w:type="dxa"/>
          <w:right w:w="108" w:type="dxa"/>
        </w:tblCellMar>
      </w:tblPr>
      <w:tblGrid>
        <w:gridCol w:w="493"/>
        <w:gridCol w:w="947"/>
        <w:gridCol w:w="7015"/>
        <w:gridCol w:w="396"/>
        <w:gridCol w:w="438"/>
      </w:tblGrid>
      <w:tr>
        <w:tblPrEx>
          <w:shd w:val="clear" w:color="5B9BD5" w:fill="FFFFFF"/>
          <w:tblCellMar>
            <w:top w:w="0" w:type="dxa"/>
            <w:left w:w="108" w:type="dxa"/>
            <w:bottom w:w="0" w:type="dxa"/>
            <w:right w:w="108" w:type="dxa"/>
          </w:tblCellMar>
        </w:tblPrEx>
        <w:trPr>
          <w:trHeight w:val="285" w:hRule="atLeast"/>
        </w:trPr>
        <w:tc>
          <w:tcPr>
            <w:tcW w:w="493"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947"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7015"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描述</w:t>
            </w:r>
          </w:p>
        </w:tc>
        <w:tc>
          <w:tcPr>
            <w:tcW w:w="396"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438"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3"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47"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调整云主机及操作系统</w:t>
            </w:r>
          </w:p>
        </w:tc>
        <w:tc>
          <w:tcPr>
            <w:tcW w:w="7015"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智慧开发区一期指挥中心项目”的云资源云资源配置及其软件、数据进行缩容、扩容、迁徙、优化等，调整至符合“智慧开发区一期指挥中心项目”和本项目运行所需配置和环境，智慧开发区一期指挥中心项目配置见附件“智慧开发区一期指挥中心项目云资源配置”，调整后的配置见附件“本项目及智慧开发区一期指挥中心所需云资源配置”</w:t>
            </w:r>
          </w:p>
        </w:tc>
        <w:tc>
          <w:tcPr>
            <w:tcW w:w="396"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438"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3"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47"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调整云WAF</w:t>
            </w:r>
          </w:p>
        </w:tc>
        <w:tc>
          <w:tcPr>
            <w:tcW w:w="7015"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智慧开发区一期指挥中心项目”的云资源云资源配置及其软件、数据进行缩容、扩容、迁徙、优化等，调整至符合“智慧开发区一期指挥中心项目”和本项目运行所需配置和环境，智慧开发区一期指挥中心项目配置见附件“智慧开发区一期指挥中心项目云资源配置”，调整后的配置见附件“本项目及智慧开发区一期指挥中心所需云资源配置”</w:t>
            </w:r>
          </w:p>
        </w:tc>
        <w:tc>
          <w:tcPr>
            <w:tcW w:w="396"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438"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3"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47"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调整MySQL</w:t>
            </w:r>
          </w:p>
        </w:tc>
        <w:tc>
          <w:tcPr>
            <w:tcW w:w="7015"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智慧开发区一期指挥中心项目”的云资源云资源配置及其软件、数据进行缩容、扩容、迁徙、优化等，调整至符合“智慧开发区一期指挥中心项目”和本项目运行所需配置和环境，智慧开发区一期指挥中心项目配置见附件“智慧开发区一期指挥中心项目云资源配置”，调整后的配置见附件“本项目及智慧开发区一期指挥中心所需云资源配置”</w:t>
            </w:r>
          </w:p>
        </w:tc>
        <w:tc>
          <w:tcPr>
            <w:tcW w:w="396"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438"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3"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47"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调整云数据库审计</w:t>
            </w:r>
          </w:p>
        </w:tc>
        <w:tc>
          <w:tcPr>
            <w:tcW w:w="7015"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智慧开发区一期指挥中心项目”的云资源云资源配置及其软件、数据进行缩容、扩容、迁徙、优化等，调整至符合“智慧开发区一期指挥中心项目”和本项目运行所需配置和环境，智慧开发区一期指挥中心项目配置见附件“智慧开发区一期指挥中心项目云资源配置”，调整后的配置见附件“本项目及智慧开发区一期指挥中心所需云资源配置”</w:t>
            </w:r>
          </w:p>
        </w:tc>
        <w:tc>
          <w:tcPr>
            <w:tcW w:w="396"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438"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3"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47"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调整云日志审计</w:t>
            </w:r>
          </w:p>
        </w:tc>
        <w:tc>
          <w:tcPr>
            <w:tcW w:w="7015"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智慧开发区一期指挥中心项目”的云资源云资源配置及其软件、数据进行缩容、扩容、迁徙、优化等，调整至符合“智慧开发区一期指挥中心项目”和本项目运行所需配置和环境，智慧开发区一期指挥中心项目配置见附件“智慧开发区一期指挥中心项目云资源配置”，调整后的配置见附件“本项目及智慧开发区一期指挥中心所需云资源配置”</w:t>
            </w:r>
          </w:p>
        </w:tc>
        <w:tc>
          <w:tcPr>
            <w:tcW w:w="396"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438"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3"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47"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调整负载均衡</w:t>
            </w:r>
          </w:p>
        </w:tc>
        <w:tc>
          <w:tcPr>
            <w:tcW w:w="7015"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智慧开发区一期指挥中心项目”的云资源云资源配置及其软件、数据进行缩容、扩容、迁徙、优化等，调整至符合“智慧开发区一期指挥中心项目”和本项目运行所需配置和环境，智慧开发区一期指挥中心项目配置见附件“智慧开发区一期指挥中心项目云资源配置”，调整后的配置见附件“本项目及智慧开发区一期指挥中心所需云资源配置”</w:t>
            </w:r>
          </w:p>
        </w:tc>
        <w:tc>
          <w:tcPr>
            <w:tcW w:w="396"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438"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3"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947"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调整堡垒机服务（独占堡垒）</w:t>
            </w:r>
          </w:p>
        </w:tc>
        <w:tc>
          <w:tcPr>
            <w:tcW w:w="7015"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智慧开发区一期指挥中心项目”的云资源云资源配置及其软件、数据进行缩容、扩容、迁徙、优化等，调整至符合“智慧开发区一期指挥中心项目”和本项目运行所需配置和环境，智慧开发区一期指挥中心项目配置见附件“智慧开发区一期指挥中心项目云资源配置”，调整后的配置见附件“本项目及智慧开发区一期指挥中心所需云资源配置”</w:t>
            </w:r>
          </w:p>
        </w:tc>
        <w:tc>
          <w:tcPr>
            <w:tcW w:w="396"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438"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3"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947"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新增杀毒服务</w:t>
            </w:r>
          </w:p>
        </w:tc>
        <w:tc>
          <w:tcPr>
            <w:tcW w:w="7015"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单台杀毒服务每月服务费，Linux操作系统或windows</w:t>
            </w:r>
          </w:p>
        </w:tc>
        <w:tc>
          <w:tcPr>
            <w:tcW w:w="396"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38" w:type="dxa"/>
            <w:shd w:val="clear" w:color="5B9BD5" w:fill="FFFFFF"/>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r>
    </w:tbl>
    <w:p>
      <w:pPr>
        <w:pageBreakBefore w:val="0"/>
        <w:kinsoku/>
        <w:wordWrap/>
        <w:overflowPunct/>
        <w:topLinePunct w:val="0"/>
        <w:bidi w:val="0"/>
        <w:adjustRightInd w:val="0"/>
        <w:spacing w:line="500" w:lineRule="exact"/>
        <w:ind w:firstLine="480"/>
        <w:rPr>
          <w:rFonts w:hint="eastAsia" w:ascii="宋体" w:hAnsi="宋体" w:eastAsia="宋体" w:cs="宋体"/>
          <w:color w:val="auto"/>
          <w:sz w:val="21"/>
          <w:szCs w:val="21"/>
          <w:highlight w:val="none"/>
        </w:rPr>
      </w:pPr>
    </w:p>
    <w:p>
      <w:pPr>
        <w:pageBreakBefore w:val="0"/>
        <w:kinsoku/>
        <w:wordWrap/>
        <w:overflowPunct/>
        <w:topLinePunct w:val="0"/>
        <w:bidi w:val="0"/>
        <w:adjustRightInd w:val="0"/>
        <w:spacing w:line="5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附件：智慧开发区一期指挥中心项目云资源配置</w:t>
      </w:r>
    </w:p>
    <w:tbl>
      <w:tblPr>
        <w:tblStyle w:val="4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043"/>
        <w:gridCol w:w="2129"/>
        <w:gridCol w:w="4700"/>
        <w:gridCol w:w="472"/>
        <w:gridCol w:w="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473" w:type="dxa"/>
            <w:shd w:val="clear" w:color="5B9BD5" w:fill="5B9BD5"/>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043" w:type="dxa"/>
            <w:shd w:val="clear" w:color="5B9BD5" w:fill="5B9BD5"/>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2129" w:type="dxa"/>
            <w:shd w:val="clear" w:color="5B9BD5" w:fill="5B9BD5"/>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配置</w:t>
            </w:r>
          </w:p>
        </w:tc>
        <w:tc>
          <w:tcPr>
            <w:tcW w:w="4700" w:type="dxa"/>
            <w:shd w:val="clear" w:color="5B9BD5" w:fill="5B9BD5"/>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描述</w:t>
            </w:r>
          </w:p>
        </w:tc>
        <w:tc>
          <w:tcPr>
            <w:tcW w:w="472" w:type="dxa"/>
            <w:shd w:val="clear" w:color="5B9BD5" w:fill="5B9BD5"/>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472" w:type="dxa"/>
            <w:shd w:val="clear" w:color="5B9BD5" w:fill="5B9BD5"/>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4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2129"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700"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CPU：4核 内存：8GB 数据盘：100GB</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4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2129"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700"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CPU：4核 内存：16GB 数据盘：100GB</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4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2129"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700"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数据盘：1000GB</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4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2129"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700"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CPU：4核 内存：8GB 数据盘：100GB</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04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2129"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700"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数据盘：100GB</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04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2129"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700"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CPU：16核 内存：64GB 数据盘：1000GB</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04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安全服务</w:t>
            </w:r>
          </w:p>
        </w:tc>
        <w:tc>
          <w:tcPr>
            <w:tcW w:w="2129"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云WAF</w:t>
            </w:r>
          </w:p>
        </w:tc>
        <w:tc>
          <w:tcPr>
            <w:tcW w:w="4700"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保护域名授权上限16个，新建10000，并发150000，防护流量100Mbps</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04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云数据库</w:t>
            </w:r>
          </w:p>
        </w:tc>
        <w:tc>
          <w:tcPr>
            <w:tcW w:w="2129"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MySQL</w:t>
            </w:r>
          </w:p>
        </w:tc>
        <w:tc>
          <w:tcPr>
            <w:tcW w:w="4700"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版本5.1或5.5，最大连接数2000，1T存储</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04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安全服务</w:t>
            </w:r>
          </w:p>
        </w:tc>
        <w:tc>
          <w:tcPr>
            <w:tcW w:w="2129"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云数据库审计</w:t>
            </w:r>
          </w:p>
        </w:tc>
        <w:tc>
          <w:tcPr>
            <w:tcW w:w="4700"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最多可提供4个数据库实例审计，纯数据库流量上限：200Mbs峰值事务处理能力:20000(条/秒)</w:t>
            </w:r>
          </w:p>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日志数量存储:4亿条 含软件基本模块</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04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安全服务</w:t>
            </w:r>
          </w:p>
        </w:tc>
        <w:tc>
          <w:tcPr>
            <w:tcW w:w="2129"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云日志审计</w:t>
            </w:r>
          </w:p>
        </w:tc>
        <w:tc>
          <w:tcPr>
            <w:tcW w:w="4700"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最多支持20个日志源</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04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安全服务</w:t>
            </w:r>
          </w:p>
        </w:tc>
        <w:tc>
          <w:tcPr>
            <w:tcW w:w="2129"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云日志审计</w:t>
            </w:r>
          </w:p>
        </w:tc>
        <w:tc>
          <w:tcPr>
            <w:tcW w:w="4700"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最多支持100个日志源</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04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负载均衡</w:t>
            </w:r>
          </w:p>
        </w:tc>
        <w:tc>
          <w:tcPr>
            <w:tcW w:w="2129"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负载均衡</w:t>
            </w:r>
          </w:p>
        </w:tc>
        <w:tc>
          <w:tcPr>
            <w:tcW w:w="4700"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负载均衡租用</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04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安全服务</w:t>
            </w:r>
          </w:p>
        </w:tc>
        <w:tc>
          <w:tcPr>
            <w:tcW w:w="2129"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堡垒机服务（独占堡垒）</w:t>
            </w:r>
          </w:p>
        </w:tc>
        <w:tc>
          <w:tcPr>
            <w:tcW w:w="4700"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单核，2GB内存，250GB硬盘，50资产服务费用</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043"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安全服务</w:t>
            </w:r>
          </w:p>
        </w:tc>
        <w:tc>
          <w:tcPr>
            <w:tcW w:w="2129"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堡垒机服务（独占堡垒）</w:t>
            </w:r>
          </w:p>
        </w:tc>
        <w:tc>
          <w:tcPr>
            <w:tcW w:w="4700"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单核，2GB内存，100GB硬盘，20资产服务费用</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bl>
    <w:p>
      <w:pPr>
        <w:pageBreakBefore w:val="0"/>
        <w:kinsoku/>
        <w:wordWrap/>
        <w:overflowPunct/>
        <w:topLinePunct w:val="0"/>
        <w:bidi w:val="0"/>
        <w:adjustRightInd w:val="0"/>
        <w:spacing w:line="500" w:lineRule="exact"/>
        <w:ind w:firstLine="480"/>
        <w:rPr>
          <w:rFonts w:hint="eastAsia" w:ascii="宋体" w:hAnsi="宋体" w:eastAsia="宋体" w:cs="宋体"/>
          <w:color w:val="auto"/>
          <w:sz w:val="21"/>
          <w:szCs w:val="21"/>
          <w:highlight w:val="none"/>
        </w:rPr>
      </w:pPr>
    </w:p>
    <w:p>
      <w:pPr>
        <w:pageBreakBefore w:val="0"/>
        <w:kinsoku/>
        <w:wordWrap/>
        <w:overflowPunct/>
        <w:topLinePunct w:val="0"/>
        <w:bidi w:val="0"/>
        <w:adjustRightInd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附件：本项目及智慧开发区一期指挥中心所需云资源配置</w:t>
      </w:r>
    </w:p>
    <w:tbl>
      <w:tblPr>
        <w:tblStyle w:val="43"/>
        <w:tblW w:w="928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126"/>
        <w:gridCol w:w="1947"/>
        <w:gridCol w:w="4801"/>
        <w:gridCol w:w="472"/>
        <w:gridCol w:w="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471" w:type="dxa"/>
            <w:shd w:val="clear" w:color="5B9BD5" w:fill="5B9BD5"/>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26" w:type="dxa"/>
            <w:shd w:val="clear" w:color="5B9BD5" w:fill="5B9BD5"/>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1947" w:type="dxa"/>
            <w:shd w:val="clear" w:color="5B9BD5" w:fill="5B9BD5"/>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配置</w:t>
            </w:r>
          </w:p>
        </w:tc>
        <w:tc>
          <w:tcPr>
            <w:tcW w:w="4801" w:type="dxa"/>
            <w:shd w:val="clear" w:color="5B9BD5" w:fill="5B9BD5"/>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描述</w:t>
            </w:r>
          </w:p>
        </w:tc>
        <w:tc>
          <w:tcPr>
            <w:tcW w:w="472" w:type="dxa"/>
            <w:shd w:val="clear" w:color="5B9BD5" w:fill="5B9BD5"/>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472" w:type="dxa"/>
            <w:shd w:val="clear" w:color="5B9BD5" w:fill="5B9BD5"/>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数据盘：500GB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数据盘：2300GB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数据盘：200GB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数据盘：200GB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数据盘：200GB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数据盘：200GB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数据盘：200GB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数据盘：200GB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数据盘：200GB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数据盘：200GB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数据盘：200GB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数据盘：200GB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数据盘：200GB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数据盘：200GB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数据盘：200GB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数据盘：200GB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数据盘：100GB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数据盘：100GB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数据盘：100GB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数据盘：100GB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数据盘：100GB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数据盘：100GB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数据盘：100GB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数据盘：100GB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数据盘：1000GB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数据盘：1000GB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数据盘：1000GB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内存：16GB 数据盘：1000GB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CPU：8核 内存: 16GB 数据盘： 600GB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CPU：4核 内存：8GB 数据盘：100GB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CPU：4核 内存：8GB 数据盘：100GB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CPU：2核 内存：4GB 数据盘：200GB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CPU：16核 内存：64GB 数据盘：1000GB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CPU：16核 内存：64GB 数据盘：1000GB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CPU：16核 内存：64GB 数据盘：1000GB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云主机及操作系统</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CPU：16核 内存：32GB 数据盘：1000GB</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安全服务</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云数据库审计</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最多可提供4个数据库实例审计，纯数据库流量上限：200Mbs峰值事务处理能力:20000(条/秒)</w:t>
            </w:r>
          </w:p>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日志数量存储:4亿条 含软件基本模块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安全服务</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云日志审计</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最多支持20个日志源</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安全服务</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云日志审计</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最多支持100个日志源</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安全服务</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云WAF</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保护域名授权上限64个，新建10000，并发150000，防护流量100Mbps</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安全服务</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云WAF</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保护域名授权上限16个，新建10000，并发150000，防护流量100Mbps</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负载均衡</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负载均衡</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负载均衡租用</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云数据库</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MySQL</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版本5.1或5.5，最大连接数2000，3T存储</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云数据库</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MySQL</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版本5.1或5.5，最大连接数2000，2T存储</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安全服务</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堡垒机服务（独占堡垒）</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单核，2GB内存，250GB硬盘，50资产服务费用</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126"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安全服务</w:t>
            </w:r>
          </w:p>
        </w:tc>
        <w:tc>
          <w:tcPr>
            <w:tcW w:w="1947"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杀毒服务</w:t>
            </w:r>
          </w:p>
        </w:tc>
        <w:tc>
          <w:tcPr>
            <w:tcW w:w="4801"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单台杀毒服务每月服务费，Linux操作系统或windows</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72" w:type="dxa"/>
            <w:noWrap w:val="0"/>
            <w:vAlign w:val="center"/>
          </w:tcPr>
          <w:p>
            <w:pPr>
              <w:pageBreakBefore w:val="0"/>
              <w:widowControl/>
              <w:kinsoku/>
              <w:wordWrap/>
              <w:overflowPunct/>
              <w:topLinePunct w:val="0"/>
              <w:bidi w:val="0"/>
              <w:adjustRightIn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r>
    </w:tbl>
    <w:p>
      <w:pPr>
        <w:pageBreakBefore w:val="0"/>
        <w:kinsoku/>
        <w:wordWrap/>
        <w:overflowPunct/>
        <w:topLinePunct w:val="0"/>
        <w:bidi w:val="0"/>
        <w:adjustRightInd w:val="0"/>
        <w:snapToGrid w:val="0"/>
        <w:spacing w:line="50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★所提供政务云服务的平台须通过三级及以上等保测评。(提供等保测评证明)</w:t>
      </w:r>
    </w:p>
    <w:p>
      <w:pPr>
        <w:pageBreakBefore w:val="0"/>
        <w:kinsoku/>
        <w:wordWrap/>
        <w:overflowPunct/>
        <w:topLinePunct w:val="0"/>
        <w:bidi w:val="0"/>
        <w:adjustRightInd w:val="0"/>
        <w:snapToGrid w:val="0"/>
        <w:spacing w:line="50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★中标方在中标7天内，以上资源须开通到位。</w:t>
      </w:r>
    </w:p>
    <w:p>
      <w:pPr>
        <w:pageBreakBefore w:val="0"/>
        <w:kinsoku/>
        <w:wordWrap/>
        <w:overflowPunct/>
        <w:topLinePunct w:val="0"/>
        <w:bidi w:val="0"/>
        <w:adjustRightInd w:val="0"/>
        <w:snapToGrid w:val="0"/>
        <w:spacing w:line="50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★具备与浙江省一体化数字资源系统对接能力（IRS），实现IRS云资源申请，云资源调用查询等，与省IRS平台实例编码匹配对应。</w:t>
      </w:r>
    </w:p>
    <w:p>
      <w:pPr>
        <w:pageBreakBefore w:val="0"/>
        <w:kinsoku/>
        <w:wordWrap/>
        <w:overflowPunct/>
        <w:topLinePunct w:val="0"/>
        <w:bidi w:val="0"/>
        <w:adjustRightInd w:val="0"/>
        <w:snapToGrid w:val="0"/>
        <w:spacing w:line="50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★提供的云资源须实现接入金华市政务云资源监控平台。</w:t>
      </w:r>
    </w:p>
    <w:p>
      <w:pPr>
        <w:pageBreakBefore w:val="0"/>
        <w:kinsoku/>
        <w:wordWrap/>
        <w:overflowPunct/>
        <w:topLinePunct w:val="0"/>
        <w:bidi w:val="0"/>
        <w:adjustRightInd w:val="0"/>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3.短信服务</w:t>
      </w:r>
    </w:p>
    <w:p>
      <w:pPr>
        <w:pageBreakBefore w:val="0"/>
        <w:kinsoku/>
        <w:wordWrap/>
        <w:overflowPunct/>
        <w:topLinePunct w:val="0"/>
        <w:bidi w:val="0"/>
        <w:adjustRightIn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采购人提供3年短信代发服务，每年代发短信数量不多于110万条，短信通信费包含在本项目报价内。短信类型有修改密码、找回密码、用户注册、参加活动、系统升级、事件受理、事件处置结果、紧急事项等通知类型。</w:t>
      </w:r>
    </w:p>
    <w:p>
      <w:pPr>
        <w:pStyle w:val="20"/>
        <w:rPr>
          <w:rFonts w:hint="eastAsia"/>
          <w:color w:val="auto"/>
          <w:highlight w:val="none"/>
        </w:rPr>
      </w:pPr>
    </w:p>
    <w:p>
      <w:pPr>
        <w:spacing w:line="500" w:lineRule="exact"/>
        <w:ind w:firstLine="422" w:firstLineChars="200"/>
        <w:rPr>
          <w:rFonts w:hint="eastAsia" w:hAnsi="宋体"/>
          <w:b/>
          <w:color w:val="auto"/>
          <w:sz w:val="21"/>
          <w:szCs w:val="21"/>
          <w:highlight w:val="none"/>
        </w:rPr>
      </w:pPr>
      <w:r>
        <w:rPr>
          <w:rFonts w:hint="eastAsia" w:hAnsi="宋体"/>
          <w:b/>
          <w:color w:val="auto"/>
          <w:sz w:val="21"/>
          <w:szCs w:val="21"/>
          <w:highlight w:val="none"/>
          <w:lang w:val="en-US" w:eastAsia="zh-CN"/>
        </w:rPr>
        <w:t>六</w:t>
      </w:r>
      <w:r>
        <w:rPr>
          <w:rFonts w:hAnsi="宋体"/>
          <w:b/>
          <w:color w:val="auto"/>
          <w:sz w:val="21"/>
          <w:szCs w:val="21"/>
          <w:highlight w:val="none"/>
        </w:rPr>
        <w:t xml:space="preserve">、对供应商提供的系统及服务的要求 </w:t>
      </w:r>
    </w:p>
    <w:p>
      <w:pPr>
        <w:spacing w:line="500" w:lineRule="exact"/>
        <w:ind w:firstLine="420" w:firstLineChars="200"/>
        <w:rPr>
          <w:rFonts w:hint="eastAsia" w:hAnsi="宋体"/>
          <w:color w:val="auto"/>
          <w:sz w:val="21"/>
          <w:szCs w:val="21"/>
          <w:highlight w:val="none"/>
        </w:rPr>
      </w:pPr>
      <w:r>
        <w:rPr>
          <w:rFonts w:hAnsi="宋体"/>
          <w:color w:val="auto"/>
          <w:sz w:val="21"/>
          <w:szCs w:val="21"/>
          <w:highlight w:val="none"/>
        </w:rPr>
        <w:t xml:space="preserve">（一）质量要求 </w:t>
      </w:r>
    </w:p>
    <w:p>
      <w:pPr>
        <w:spacing w:line="500" w:lineRule="exact"/>
        <w:ind w:firstLine="420" w:firstLineChars="200"/>
        <w:rPr>
          <w:rFonts w:hint="eastAsia" w:hAnsi="宋体"/>
          <w:color w:val="auto"/>
          <w:sz w:val="21"/>
          <w:szCs w:val="21"/>
          <w:highlight w:val="none"/>
        </w:rPr>
      </w:pPr>
      <w:r>
        <w:rPr>
          <w:rFonts w:hAnsi="宋体"/>
          <w:color w:val="auto"/>
          <w:sz w:val="21"/>
          <w:szCs w:val="21"/>
          <w:highlight w:val="none"/>
        </w:rPr>
        <w:t xml:space="preserve">1.应用系统开发应严格按照国家软件工程规范进行，中标方必须根据开发进度及时提供有关文档 （均为中文），包括《系统管理员培训手册》、《用户操作手册》、《系统安装维护手册》、《二次 开发文档》等。 </w:t>
      </w:r>
    </w:p>
    <w:p>
      <w:pPr>
        <w:spacing w:line="500" w:lineRule="exact"/>
        <w:ind w:firstLine="420" w:firstLineChars="200"/>
        <w:rPr>
          <w:rFonts w:hint="eastAsia" w:hAnsi="宋体"/>
          <w:color w:val="auto"/>
          <w:sz w:val="21"/>
          <w:szCs w:val="21"/>
          <w:highlight w:val="none"/>
        </w:rPr>
      </w:pPr>
      <w:r>
        <w:rPr>
          <w:rFonts w:hAnsi="宋体"/>
          <w:color w:val="auto"/>
          <w:sz w:val="21"/>
          <w:szCs w:val="21"/>
          <w:highlight w:val="none"/>
        </w:rPr>
        <w:t xml:space="preserve">2.成交供应商提供软件产品具有合法的版权或使用权，如在本项目范围内使用过程中出现版权或 使用权纠纷，由成交供应商全权负责，采购人不承担责任。 </w:t>
      </w:r>
    </w:p>
    <w:p>
      <w:pPr>
        <w:spacing w:line="500" w:lineRule="exact"/>
        <w:ind w:firstLine="420" w:firstLineChars="200"/>
        <w:rPr>
          <w:rFonts w:hint="eastAsia" w:hAnsi="宋体"/>
          <w:color w:val="auto"/>
          <w:sz w:val="21"/>
          <w:szCs w:val="21"/>
          <w:highlight w:val="none"/>
        </w:rPr>
      </w:pPr>
      <w:r>
        <w:rPr>
          <w:rFonts w:hAnsi="宋体"/>
          <w:color w:val="auto"/>
          <w:sz w:val="21"/>
          <w:szCs w:val="21"/>
          <w:highlight w:val="none"/>
        </w:rPr>
        <w:t xml:space="preserve">3.成交供应商必须保证解决项目所涉及的技术问题，如因技术原因无法满足采购人需求，由此产 生的风险（如合同解约等）由成交供应商承担。 </w:t>
      </w:r>
    </w:p>
    <w:p>
      <w:pPr>
        <w:spacing w:line="500" w:lineRule="exact"/>
        <w:ind w:firstLine="420" w:firstLineChars="200"/>
        <w:rPr>
          <w:rFonts w:hint="eastAsia" w:hAnsi="宋体"/>
          <w:color w:val="auto"/>
          <w:sz w:val="21"/>
          <w:szCs w:val="21"/>
          <w:highlight w:val="none"/>
        </w:rPr>
      </w:pPr>
      <w:r>
        <w:rPr>
          <w:rFonts w:hAnsi="宋体"/>
          <w:color w:val="auto"/>
          <w:sz w:val="21"/>
          <w:szCs w:val="21"/>
          <w:highlight w:val="none"/>
        </w:rPr>
        <w:t xml:space="preserve">（二）工期和质保期要求： </w:t>
      </w:r>
    </w:p>
    <w:p>
      <w:pPr>
        <w:spacing w:line="500" w:lineRule="exact"/>
        <w:ind w:firstLine="420" w:firstLineChars="200"/>
        <w:rPr>
          <w:rFonts w:hint="eastAsia" w:hAnsi="宋体"/>
          <w:color w:val="auto"/>
          <w:sz w:val="21"/>
          <w:szCs w:val="21"/>
          <w:highlight w:val="none"/>
        </w:rPr>
      </w:pPr>
      <w:r>
        <w:rPr>
          <w:rFonts w:hAnsi="宋体"/>
          <w:color w:val="auto"/>
          <w:sz w:val="21"/>
          <w:szCs w:val="21"/>
          <w:highlight w:val="none"/>
        </w:rPr>
        <w:t>1.交货及完工时间：合同签订后</w:t>
      </w:r>
      <w:r>
        <w:rPr>
          <w:rFonts w:hint="eastAsia" w:hAnsi="宋体"/>
          <w:color w:val="auto"/>
          <w:sz w:val="21"/>
          <w:szCs w:val="21"/>
          <w:highlight w:val="none"/>
        </w:rPr>
        <w:t>3</w:t>
      </w:r>
      <w:r>
        <w:rPr>
          <w:rFonts w:hAnsi="宋体"/>
          <w:color w:val="auto"/>
          <w:sz w:val="21"/>
          <w:szCs w:val="21"/>
          <w:highlight w:val="none"/>
        </w:rPr>
        <w:t>0日内</w:t>
      </w:r>
      <w:r>
        <w:rPr>
          <w:rFonts w:hint="eastAsia" w:hAnsi="宋体"/>
          <w:color w:val="auto"/>
          <w:sz w:val="21"/>
          <w:szCs w:val="21"/>
          <w:highlight w:val="none"/>
        </w:rPr>
        <w:t>完工</w:t>
      </w:r>
      <w:r>
        <w:rPr>
          <w:rFonts w:hAnsi="宋体"/>
          <w:color w:val="auto"/>
          <w:sz w:val="21"/>
          <w:szCs w:val="21"/>
          <w:highlight w:val="none"/>
        </w:rPr>
        <w:t>，向采购人书面申请</w:t>
      </w:r>
      <w:r>
        <w:rPr>
          <w:rFonts w:hint="eastAsia" w:hAnsi="宋体"/>
          <w:color w:val="auto"/>
          <w:sz w:val="21"/>
          <w:szCs w:val="21"/>
          <w:highlight w:val="none"/>
        </w:rPr>
        <w:t>验收</w:t>
      </w:r>
      <w:r>
        <w:rPr>
          <w:rFonts w:hAnsi="宋体"/>
          <w:color w:val="auto"/>
          <w:sz w:val="21"/>
          <w:szCs w:val="21"/>
          <w:highlight w:val="none"/>
        </w:rPr>
        <w:t xml:space="preserve">。 </w:t>
      </w:r>
      <w:r>
        <w:rPr>
          <w:rFonts w:hint="eastAsia" w:hAnsi="宋体"/>
          <w:color w:val="auto"/>
          <w:sz w:val="21"/>
          <w:szCs w:val="21"/>
          <w:highlight w:val="none"/>
        </w:rPr>
        <w:t>如因中标人原因未按工期要求完工，采购人有权单方面解除合同，采购人不承担任何责任，所产生的损失由中标人承担。</w:t>
      </w:r>
    </w:p>
    <w:p>
      <w:pPr>
        <w:spacing w:line="500" w:lineRule="exact"/>
        <w:ind w:firstLine="420" w:firstLineChars="200"/>
        <w:rPr>
          <w:rFonts w:hint="eastAsia" w:hAnsi="宋体"/>
          <w:color w:val="auto"/>
          <w:sz w:val="21"/>
          <w:szCs w:val="21"/>
          <w:highlight w:val="none"/>
        </w:rPr>
      </w:pPr>
      <w:r>
        <w:rPr>
          <w:rFonts w:hAnsi="宋体"/>
          <w:color w:val="auto"/>
          <w:sz w:val="21"/>
          <w:szCs w:val="21"/>
          <w:highlight w:val="none"/>
        </w:rPr>
        <w:t xml:space="preserve">2.质保期：提供1年的质保服务。质保期验收合格之日开始计算。除非采购人另有要求，质保期内的服务均为免费上门服务。 </w:t>
      </w:r>
    </w:p>
    <w:p>
      <w:pPr>
        <w:spacing w:line="500" w:lineRule="exact"/>
        <w:ind w:firstLine="420" w:firstLineChars="200"/>
        <w:rPr>
          <w:rFonts w:hint="eastAsia" w:hAnsi="宋体"/>
          <w:color w:val="auto"/>
          <w:sz w:val="21"/>
          <w:szCs w:val="21"/>
          <w:highlight w:val="none"/>
        </w:rPr>
      </w:pPr>
      <w:r>
        <w:rPr>
          <w:rFonts w:hAnsi="宋体"/>
          <w:color w:val="auto"/>
          <w:sz w:val="21"/>
          <w:szCs w:val="21"/>
          <w:highlight w:val="none"/>
        </w:rPr>
        <w:t xml:space="preserve">（三）验收要求：符合项目建设标准。本项目验收工作由包括采购人、专家等在内的项目验收小组来完成，具体成员和组织形式由采购人确定。 </w:t>
      </w:r>
    </w:p>
    <w:p>
      <w:pPr>
        <w:spacing w:line="500" w:lineRule="exact"/>
        <w:ind w:firstLine="420" w:firstLineChars="200"/>
        <w:rPr>
          <w:rFonts w:hint="eastAsia" w:hAnsi="宋体"/>
          <w:color w:val="auto"/>
          <w:sz w:val="21"/>
          <w:szCs w:val="21"/>
          <w:highlight w:val="none"/>
        </w:rPr>
      </w:pPr>
      <w:r>
        <w:rPr>
          <w:rFonts w:hAnsi="宋体"/>
          <w:color w:val="auto"/>
          <w:sz w:val="21"/>
          <w:szCs w:val="21"/>
          <w:highlight w:val="none"/>
        </w:rPr>
        <w:t xml:space="preserve">（四）售后服务要求： </w:t>
      </w:r>
    </w:p>
    <w:p>
      <w:pPr>
        <w:spacing w:line="500" w:lineRule="exact"/>
        <w:ind w:firstLine="420" w:firstLineChars="200"/>
        <w:rPr>
          <w:rFonts w:hint="eastAsia" w:hAnsi="宋体"/>
          <w:color w:val="auto"/>
          <w:sz w:val="21"/>
          <w:szCs w:val="21"/>
          <w:highlight w:val="none"/>
        </w:rPr>
      </w:pPr>
      <w:r>
        <w:rPr>
          <w:rFonts w:hAnsi="宋体"/>
          <w:color w:val="auto"/>
          <w:sz w:val="21"/>
          <w:szCs w:val="21"/>
          <w:highlight w:val="none"/>
        </w:rPr>
        <w:t xml:space="preserve">1.质保期：本次采购项目整体质保期1年（自最验收合格次日起计算），质保期内（免费维护期）的技术服务不再另行收费（质保期满后的服务费用另行协商）。 </w:t>
      </w:r>
    </w:p>
    <w:p>
      <w:pPr>
        <w:spacing w:line="500" w:lineRule="exact"/>
        <w:ind w:firstLine="420" w:firstLineChars="200"/>
        <w:rPr>
          <w:rFonts w:hint="eastAsia" w:hAnsi="宋体"/>
          <w:color w:val="auto"/>
          <w:sz w:val="21"/>
          <w:szCs w:val="21"/>
          <w:highlight w:val="none"/>
        </w:rPr>
      </w:pPr>
      <w:r>
        <w:rPr>
          <w:rFonts w:hAnsi="宋体"/>
          <w:color w:val="auto"/>
          <w:sz w:val="21"/>
          <w:szCs w:val="21"/>
          <w:highlight w:val="none"/>
        </w:rPr>
        <w:t>2.质保期内出现问题，成交供应商必须在接到采购人通知后，10 分钟内响应，一般故障应急响应 时间为为 7×24 小时，2 小时内到达现场，24 小时内解决问题；重大故障应急响应时间为 7×24 小 时，30 分钟内到达现场，24 小时内解决问题。故障排除后成交供应商应出具书面故障诊断报告备案</w:t>
      </w:r>
    </w:p>
    <w:p>
      <w:pPr>
        <w:spacing w:line="500" w:lineRule="exact"/>
        <w:ind w:firstLine="420" w:firstLineChars="200"/>
        <w:rPr>
          <w:rFonts w:hint="eastAsia" w:hAnsi="宋体"/>
          <w:color w:val="auto"/>
          <w:sz w:val="21"/>
          <w:szCs w:val="21"/>
          <w:highlight w:val="none"/>
        </w:rPr>
      </w:pPr>
      <w:r>
        <w:rPr>
          <w:rFonts w:hAnsi="宋体"/>
          <w:color w:val="auto"/>
          <w:sz w:val="21"/>
          <w:szCs w:val="21"/>
          <w:highlight w:val="none"/>
        </w:rPr>
        <w:t>3.售后服务要求响应时间：提供 7×24 小时技术咨询支持（邮件、电话、远程维护、现场服务等方式），包括且不限于系统升级、功能完善、故障排除、性能调优、技术咨询、硬件维保等。</w:t>
      </w:r>
    </w:p>
    <w:p>
      <w:pPr>
        <w:pStyle w:val="24"/>
        <w:autoSpaceDE/>
        <w:adjustRightInd/>
        <w:snapToGrid w:val="0"/>
        <w:spacing w:line="500" w:lineRule="exact"/>
        <w:ind w:firstLine="422" w:firstLineChars="200"/>
        <w:rPr>
          <w:rFonts w:hint="eastAsia" w:hAnsi="宋体" w:cs="Times New Roman"/>
          <w:b/>
          <w:color w:val="auto"/>
          <w:sz w:val="21"/>
          <w:highlight w:val="none"/>
        </w:rPr>
      </w:pPr>
      <w:r>
        <w:rPr>
          <w:rFonts w:hint="eastAsia" w:hAnsi="宋体" w:cs="宋体"/>
          <w:b/>
          <w:color w:val="auto"/>
          <w:sz w:val="21"/>
          <w:highlight w:val="none"/>
          <w:lang w:val="en-US" w:eastAsia="zh-CN"/>
        </w:rPr>
        <w:t>七</w:t>
      </w:r>
      <w:r>
        <w:rPr>
          <w:rFonts w:hint="eastAsia" w:hAnsi="宋体" w:cs="宋体"/>
          <w:b/>
          <w:color w:val="auto"/>
          <w:sz w:val="21"/>
          <w:highlight w:val="none"/>
        </w:rPr>
        <w:t>、其他要求</w:t>
      </w:r>
    </w:p>
    <w:p>
      <w:pPr>
        <w:pStyle w:val="24"/>
        <w:autoSpaceDE/>
        <w:adjustRightInd/>
        <w:snapToGrid w:val="0"/>
        <w:spacing w:line="500" w:lineRule="exact"/>
        <w:ind w:firstLine="420" w:firstLineChars="200"/>
        <w:rPr>
          <w:rFonts w:hAnsi="宋体" w:cs="Times New Roman"/>
          <w:b/>
          <w:color w:val="auto"/>
          <w:sz w:val="21"/>
          <w:highlight w:val="none"/>
        </w:rPr>
      </w:pPr>
      <w:r>
        <w:rPr>
          <w:rFonts w:hint="eastAsia" w:hAnsi="宋体" w:cs="宋体"/>
          <w:color w:val="auto"/>
          <w:sz w:val="21"/>
          <w:highlight w:val="none"/>
        </w:rPr>
        <w:t>项目建设完成后，</w:t>
      </w:r>
      <w:r>
        <w:rPr>
          <w:rFonts w:hint="eastAsia" w:hAnsi="宋体" w:cs="宋体"/>
          <w:color w:val="auto"/>
          <w:sz w:val="21"/>
          <w:highlight w:val="none"/>
          <w:lang w:eastAsia="zh-CN"/>
        </w:rPr>
        <w:t>响应供应商</w:t>
      </w:r>
      <w:r>
        <w:rPr>
          <w:rFonts w:hint="eastAsia" w:hAnsi="宋体" w:cs="宋体"/>
          <w:color w:val="auto"/>
          <w:sz w:val="21"/>
          <w:highlight w:val="none"/>
        </w:rPr>
        <w:t>应提供所有相关技术文档。在验收时应提交最终版本的各类文档，包括项目计划、相关设计文档、开发过程文档、测试文档以及测试报告，此外，还需交付程序源代码，要求能够在本地不经过任何特殊设置，即可编译打包，部署后正常运行。</w:t>
      </w:r>
    </w:p>
    <w:p>
      <w:pPr>
        <w:pStyle w:val="24"/>
        <w:autoSpaceDE/>
        <w:adjustRightInd/>
        <w:snapToGrid w:val="0"/>
        <w:spacing w:line="500" w:lineRule="exact"/>
        <w:ind w:firstLine="422" w:firstLineChars="200"/>
        <w:rPr>
          <w:rFonts w:hint="eastAsia" w:hAnsi="宋体" w:cs="宋体"/>
          <w:b/>
          <w:color w:val="auto"/>
          <w:sz w:val="21"/>
          <w:highlight w:val="none"/>
        </w:rPr>
      </w:pPr>
      <w:r>
        <w:rPr>
          <w:rFonts w:hint="eastAsia" w:hAnsi="宋体" w:cs="宋体"/>
          <w:b/>
          <w:color w:val="auto"/>
          <w:sz w:val="21"/>
          <w:highlight w:val="none"/>
          <w:lang w:val="en-US" w:eastAsia="zh-CN"/>
        </w:rPr>
        <w:t>八</w:t>
      </w:r>
      <w:r>
        <w:rPr>
          <w:rFonts w:hAnsi="宋体" w:cs="宋体"/>
          <w:b/>
          <w:color w:val="auto"/>
          <w:sz w:val="21"/>
          <w:highlight w:val="none"/>
        </w:rPr>
        <w:t xml:space="preserve">、项目结算方式： </w:t>
      </w:r>
    </w:p>
    <w:p>
      <w:pPr>
        <w:pStyle w:val="24"/>
        <w:autoSpaceDE/>
        <w:adjustRightInd/>
        <w:snapToGrid w:val="0"/>
        <w:spacing w:line="500" w:lineRule="exact"/>
        <w:ind w:firstLine="420" w:firstLineChars="200"/>
        <w:rPr>
          <w:rFonts w:hint="eastAsia"/>
          <w:bCs/>
          <w:color w:val="auto"/>
          <w:sz w:val="21"/>
          <w:highlight w:val="none"/>
        </w:rPr>
      </w:pPr>
      <w:r>
        <w:rPr>
          <w:rFonts w:hint="eastAsia"/>
          <w:bCs/>
          <w:color w:val="auto"/>
          <w:sz w:val="21"/>
          <w:highlight w:val="none"/>
        </w:rPr>
        <w:t>合同签订后7个工作日内，采购人向中标人支付40%合同款，项目验验后支付合同总价的</w:t>
      </w:r>
      <w:r>
        <w:rPr>
          <w:rFonts w:hint="eastAsia"/>
          <w:bCs/>
          <w:color w:val="auto"/>
          <w:sz w:val="21"/>
          <w:highlight w:val="none"/>
          <w:lang w:val="en-US" w:eastAsia="zh-CN"/>
        </w:rPr>
        <w:t>6</w:t>
      </w:r>
      <w:r>
        <w:rPr>
          <w:rFonts w:hint="eastAsia"/>
          <w:bCs/>
          <w:color w:val="auto"/>
          <w:sz w:val="21"/>
          <w:highlight w:val="none"/>
        </w:rPr>
        <w:t>0%。</w:t>
      </w:r>
    </w:p>
    <w:p>
      <w:pPr>
        <w:pStyle w:val="24"/>
        <w:autoSpaceDE/>
        <w:adjustRightInd/>
        <w:snapToGrid w:val="0"/>
        <w:spacing w:line="500" w:lineRule="exact"/>
        <w:ind w:firstLine="420" w:firstLineChars="200"/>
        <w:rPr>
          <w:rFonts w:hint="eastAsia" w:hAnsi="宋体" w:cs="宋体"/>
          <w:b/>
          <w:color w:val="auto"/>
          <w:sz w:val="21"/>
          <w:highlight w:val="none"/>
        </w:rPr>
      </w:pPr>
      <w:r>
        <w:rPr>
          <w:rFonts w:hint="eastAsia" w:hAnsi="宋体"/>
          <w:color w:val="auto"/>
          <w:sz w:val="21"/>
          <w:szCs w:val="21"/>
          <w:highlight w:val="none"/>
        </w:rPr>
        <w:t>在签订合同时，供应商明确表示无需预付款或者主动要求降低预付款比例的，采购单位可不适用前述规定。</w:t>
      </w:r>
    </w:p>
    <w:p>
      <w:pPr>
        <w:pStyle w:val="24"/>
        <w:autoSpaceDE/>
        <w:adjustRightInd/>
        <w:snapToGrid w:val="0"/>
        <w:spacing w:line="500" w:lineRule="exact"/>
        <w:ind w:firstLine="422" w:firstLineChars="200"/>
        <w:rPr>
          <w:rFonts w:hint="eastAsia" w:hAnsi="宋体" w:cs="宋体"/>
          <w:b/>
          <w:color w:val="auto"/>
          <w:sz w:val="21"/>
          <w:highlight w:val="none"/>
        </w:rPr>
      </w:pPr>
      <w:r>
        <w:rPr>
          <w:rFonts w:hint="eastAsia" w:hAnsi="宋体" w:cs="宋体"/>
          <w:b/>
          <w:color w:val="auto"/>
          <w:sz w:val="21"/>
          <w:highlight w:val="none"/>
          <w:lang w:val="en-US" w:eastAsia="zh-CN"/>
        </w:rPr>
        <w:t>九</w:t>
      </w:r>
      <w:r>
        <w:rPr>
          <w:rFonts w:hint="eastAsia" w:hAnsi="宋体" w:cs="宋体"/>
          <w:b/>
          <w:color w:val="auto"/>
          <w:sz w:val="21"/>
          <w:highlight w:val="none"/>
        </w:rPr>
        <w:t>、履约保证金</w:t>
      </w:r>
    </w:p>
    <w:p>
      <w:pPr>
        <w:pStyle w:val="24"/>
        <w:autoSpaceDE/>
        <w:adjustRightInd/>
        <w:snapToGrid w:val="0"/>
        <w:spacing w:line="500" w:lineRule="exact"/>
        <w:ind w:firstLine="422" w:firstLineChars="200"/>
        <w:rPr>
          <w:rFonts w:hint="eastAsia"/>
          <w:b/>
          <w:color w:val="auto"/>
          <w:sz w:val="21"/>
          <w:highlight w:val="none"/>
        </w:rPr>
      </w:pPr>
      <w:r>
        <w:rPr>
          <w:rFonts w:hint="eastAsia"/>
          <w:b/>
          <w:color w:val="auto"/>
          <w:sz w:val="21"/>
          <w:highlight w:val="none"/>
        </w:rPr>
        <w:t>中标人必须在合同签订后向采购人提供合同总价1%的履约保证金，可以支票、汇票、本票或者金融机构、保险公司、担保机构出具的保函/保险（可在政采云平台购买，咨询热线4009039583）等非现金形式提交。履约保证金于验收合格后无息退还（或撤销履约保函）。</w:t>
      </w:r>
    </w:p>
    <w:p>
      <w:pPr>
        <w:pStyle w:val="34"/>
        <w:spacing w:before="48" w:beforeLines="20" w:after="48" w:afterLines="20" w:line="500" w:lineRule="exact"/>
        <w:ind w:firstLine="422" w:firstLineChars="200"/>
        <w:rPr>
          <w:rFonts w:hint="eastAsia" w:hAnsi="宋体" w:cs="宋体"/>
          <w:b/>
          <w:bCs/>
          <w:color w:val="auto"/>
          <w:sz w:val="21"/>
          <w:szCs w:val="21"/>
          <w:highlight w:val="none"/>
        </w:rPr>
      </w:pPr>
      <w:r>
        <w:rPr>
          <w:b/>
          <w:color w:val="auto"/>
          <w:sz w:val="21"/>
          <w:highlight w:val="none"/>
        </w:rPr>
        <w:t>为支持和促进中小企业发展，进一步发挥政府采购政策功能，浙江省财政厅出台浙财采监〔2020〕3 号文件，企业若有</w:t>
      </w:r>
      <w:r>
        <w:rPr>
          <w:rFonts w:hint="eastAsia"/>
          <w:b/>
          <w:color w:val="auto"/>
          <w:sz w:val="21"/>
          <w:highlight w:val="none"/>
        </w:rPr>
        <w:t>购买保险/保函或者</w:t>
      </w:r>
      <w:r>
        <w:rPr>
          <w:b/>
          <w:color w:val="auto"/>
          <w:sz w:val="21"/>
          <w:highlight w:val="none"/>
        </w:rPr>
        <w:t>融资意向，可登陆政采云平台融资服务（https://jinrong.zcygov.cn/），查看相应融资政策文件及各相关服务方案</w:t>
      </w:r>
      <w:r>
        <w:rPr>
          <w:rFonts w:hint="eastAsia"/>
          <w:b/>
          <w:color w:val="auto"/>
          <w:sz w:val="21"/>
          <w:highlight w:val="none"/>
        </w:rPr>
        <w:t>，咨询热线4</w:t>
      </w:r>
      <w:r>
        <w:rPr>
          <w:b/>
          <w:color w:val="auto"/>
          <w:sz w:val="21"/>
          <w:highlight w:val="none"/>
        </w:rPr>
        <w:t>00-903-9583。</w:t>
      </w:r>
    </w:p>
    <w:p>
      <w:pPr>
        <w:pStyle w:val="2"/>
        <w:keepNext w:val="0"/>
        <w:spacing w:line="360" w:lineRule="auto"/>
        <w:rPr>
          <w:rFonts w:hint="eastAsia" w:ascii="黑体" w:hAnsi="宋体" w:eastAsia="黑体"/>
          <w:color w:val="auto"/>
          <w:sz w:val="30"/>
          <w:szCs w:val="30"/>
          <w:highlight w:val="none"/>
        </w:rPr>
      </w:pPr>
      <w:bookmarkStart w:id="53" w:name="_Toc519072688"/>
      <w:r>
        <w:rPr>
          <w:rFonts w:ascii="黑体" w:hAnsi="宋体" w:eastAsia="黑体"/>
          <w:color w:val="auto"/>
          <w:sz w:val="30"/>
          <w:szCs w:val="30"/>
          <w:highlight w:val="none"/>
        </w:rPr>
        <w:br w:type="page"/>
      </w:r>
    </w:p>
    <w:p>
      <w:pPr>
        <w:pStyle w:val="2"/>
        <w:spacing w:line="360" w:lineRule="auto"/>
        <w:jc w:val="center"/>
        <w:rPr>
          <w:rFonts w:ascii="黑体" w:hAnsi="宋体" w:eastAsia="黑体"/>
          <w:color w:val="auto"/>
          <w:sz w:val="30"/>
          <w:szCs w:val="30"/>
          <w:highlight w:val="none"/>
        </w:rPr>
      </w:pPr>
      <w:r>
        <w:rPr>
          <w:rFonts w:hint="eastAsia" w:ascii="黑体" w:hAnsi="宋体" w:eastAsia="黑体"/>
          <w:color w:val="auto"/>
          <w:sz w:val="30"/>
          <w:szCs w:val="30"/>
          <w:highlight w:val="none"/>
        </w:rPr>
        <w:t xml:space="preserve">第三部分  </w:t>
      </w:r>
      <w:bookmarkEnd w:id="27"/>
      <w:bookmarkEnd w:id="28"/>
      <w:bookmarkEnd w:id="29"/>
      <w:r>
        <w:rPr>
          <w:rFonts w:hint="eastAsia" w:ascii="黑体" w:hAnsi="宋体" w:eastAsia="黑体"/>
          <w:color w:val="auto"/>
          <w:sz w:val="30"/>
          <w:szCs w:val="30"/>
          <w:highlight w:val="none"/>
        </w:rPr>
        <w:t>供应商须知</w:t>
      </w:r>
      <w:bookmarkEnd w:id="30"/>
      <w:bookmarkEnd w:id="31"/>
      <w:bookmarkEnd w:id="32"/>
      <w:bookmarkEnd w:id="33"/>
      <w:bookmarkEnd w:id="34"/>
      <w:bookmarkEnd w:id="35"/>
      <w:bookmarkEnd w:id="36"/>
      <w:bookmarkEnd w:id="37"/>
      <w:bookmarkEnd w:id="38"/>
      <w:bookmarkEnd w:id="39"/>
      <w:bookmarkEnd w:id="40"/>
      <w:bookmarkEnd w:id="41"/>
      <w:bookmarkEnd w:id="53"/>
    </w:p>
    <w:p>
      <w:pPr>
        <w:snapToGrid w:val="0"/>
        <w:spacing w:before="120" w:beforeLines="50" w:after="120" w:afterLines="50" w:line="276" w:lineRule="auto"/>
        <w:ind w:left="238"/>
        <w:jc w:val="center"/>
        <w:outlineLvl w:val="1"/>
        <w:rPr>
          <w:rFonts w:ascii="黑体" w:hAnsi="宋体" w:eastAsia="黑体"/>
          <w:b/>
          <w:color w:val="auto"/>
          <w:sz w:val="30"/>
          <w:szCs w:val="30"/>
          <w:highlight w:val="none"/>
        </w:rPr>
      </w:pPr>
      <w:bookmarkStart w:id="54" w:name="_Toc421647255"/>
      <w:bookmarkStart w:id="55" w:name="_Toc519072689"/>
      <w:bookmarkStart w:id="56" w:name="_Toc374366047"/>
      <w:r>
        <w:rPr>
          <w:rFonts w:hint="eastAsia" w:ascii="黑体" w:hAnsi="宋体" w:eastAsia="黑体"/>
          <w:b/>
          <w:color w:val="auto"/>
          <w:sz w:val="30"/>
          <w:szCs w:val="30"/>
          <w:highlight w:val="none"/>
        </w:rPr>
        <w:t>前附表</w:t>
      </w:r>
      <w:bookmarkEnd w:id="54"/>
      <w:bookmarkEnd w:id="55"/>
      <w:bookmarkEnd w:id="56"/>
    </w:p>
    <w:tbl>
      <w:tblPr>
        <w:tblStyle w:val="43"/>
        <w:tblW w:w="974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2434"/>
        <w:gridCol w:w="64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Ansi="宋体" w:cs="Arial"/>
                <w:color w:val="auto"/>
                <w:sz w:val="21"/>
                <w:szCs w:val="21"/>
                <w:highlight w:val="none"/>
              </w:rPr>
            </w:pPr>
            <w:r>
              <w:rPr>
                <w:rFonts w:hint="eastAsia" w:hAnsi="宋体" w:cs="Arial"/>
                <w:color w:val="auto"/>
                <w:sz w:val="21"/>
                <w:szCs w:val="21"/>
                <w:highlight w:val="none"/>
              </w:rPr>
              <w:t>序号</w:t>
            </w:r>
          </w:p>
        </w:tc>
        <w:tc>
          <w:tcPr>
            <w:tcW w:w="88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Ansi="宋体" w:cs="Arial"/>
                <w:color w:val="auto"/>
                <w:sz w:val="21"/>
                <w:szCs w:val="21"/>
                <w:highlight w:val="none"/>
              </w:rPr>
            </w:pPr>
            <w:r>
              <w:rPr>
                <w:rFonts w:hint="eastAsia" w:hAnsi="宋体" w:cs="Arial"/>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Ansi="宋体" w:cs="Arial"/>
                <w:color w:val="auto"/>
                <w:sz w:val="21"/>
                <w:szCs w:val="21"/>
                <w:highlight w:val="none"/>
              </w:rPr>
            </w:pPr>
            <w:r>
              <w:rPr>
                <w:rFonts w:hAnsi="宋体" w:cs="Arial"/>
                <w:color w:val="auto"/>
                <w:sz w:val="21"/>
                <w:szCs w:val="21"/>
                <w:highlight w:val="none"/>
              </w:rPr>
              <w:t>1</w:t>
            </w:r>
          </w:p>
        </w:tc>
        <w:tc>
          <w:tcPr>
            <w:tcW w:w="8878" w:type="dxa"/>
            <w:gridSpan w:val="2"/>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line="440" w:lineRule="exact"/>
              <w:jc w:val="both"/>
              <w:textAlignment w:val="auto"/>
              <w:rPr>
                <w:rFonts w:hint="eastAsia" w:hAnsi="宋体" w:eastAsia="宋体" w:cs="Arial"/>
                <w:color w:val="auto"/>
                <w:sz w:val="21"/>
                <w:szCs w:val="21"/>
                <w:highlight w:val="none"/>
                <w:lang w:eastAsia="zh-CN"/>
              </w:rPr>
            </w:pPr>
            <w:r>
              <w:rPr>
                <w:rFonts w:hint="eastAsia" w:hAnsi="宋体" w:cs="Arial"/>
                <w:color w:val="auto"/>
                <w:sz w:val="21"/>
                <w:szCs w:val="21"/>
                <w:highlight w:val="none"/>
              </w:rPr>
              <w:t>项目名称：</w:t>
            </w:r>
            <w:r>
              <w:rPr>
                <w:rFonts w:hint="eastAsia" w:hAnsi="宋体" w:cs="宋体"/>
                <w:color w:val="auto"/>
                <w:sz w:val="21"/>
                <w:szCs w:val="21"/>
                <w:highlight w:val="none"/>
                <w:lang w:eastAsia="zh-CN"/>
              </w:rPr>
              <w:t>金华开发区社会治理微智治平台应用项目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Ansi="宋体" w:cs="Arial"/>
                <w:color w:val="auto"/>
                <w:sz w:val="21"/>
                <w:szCs w:val="21"/>
                <w:highlight w:val="none"/>
              </w:rPr>
            </w:pPr>
            <w:r>
              <w:rPr>
                <w:rFonts w:hint="eastAsia" w:hAnsi="宋体" w:cs="Arial"/>
                <w:color w:val="auto"/>
                <w:sz w:val="21"/>
                <w:szCs w:val="21"/>
                <w:highlight w:val="none"/>
              </w:rPr>
              <w:t>2</w:t>
            </w:r>
          </w:p>
        </w:tc>
        <w:tc>
          <w:tcPr>
            <w:tcW w:w="88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rPr>
                <w:rFonts w:hAnsi="宋体" w:cs="Arial"/>
                <w:b/>
                <w:color w:val="auto"/>
                <w:sz w:val="21"/>
                <w:szCs w:val="21"/>
                <w:highlight w:val="none"/>
              </w:rPr>
            </w:pPr>
            <w:r>
              <w:rPr>
                <w:rFonts w:hint="eastAsia" w:hAnsi="宋体" w:cs="Arial"/>
                <w:b/>
                <w:color w:val="auto"/>
                <w:sz w:val="21"/>
                <w:szCs w:val="21"/>
                <w:highlight w:val="none"/>
              </w:rPr>
              <w:t>竞争性磋商报价及费用：</w:t>
            </w:r>
          </w:p>
          <w:p>
            <w:pPr>
              <w:snapToGrid w:val="0"/>
              <w:spacing w:line="420" w:lineRule="exact"/>
              <w:rPr>
                <w:rFonts w:hAnsi="宋体" w:cs="Arial"/>
                <w:b/>
                <w:color w:val="auto"/>
                <w:sz w:val="21"/>
                <w:szCs w:val="21"/>
                <w:highlight w:val="none"/>
              </w:rPr>
            </w:pPr>
            <w:r>
              <w:rPr>
                <w:rFonts w:hAnsi="宋体" w:cs="Arial"/>
                <w:b/>
                <w:color w:val="auto"/>
                <w:sz w:val="21"/>
                <w:szCs w:val="21"/>
                <w:highlight w:val="none"/>
              </w:rPr>
              <w:t>1</w:t>
            </w:r>
            <w:r>
              <w:rPr>
                <w:rFonts w:hint="eastAsia" w:hAnsi="宋体" w:cs="Arial"/>
                <w:b/>
                <w:color w:val="auto"/>
                <w:sz w:val="21"/>
                <w:szCs w:val="21"/>
                <w:highlight w:val="none"/>
              </w:rPr>
              <w:t>.本项目竞争性磋商应以</w:t>
            </w:r>
            <w:r>
              <w:rPr>
                <w:rFonts w:hint="eastAsia" w:hAnsi="宋体" w:cs="Arial"/>
                <w:b/>
                <w:bCs/>
                <w:color w:val="auto"/>
                <w:sz w:val="21"/>
                <w:szCs w:val="21"/>
                <w:highlight w:val="none"/>
              </w:rPr>
              <w:t>人民币报价</w:t>
            </w:r>
            <w:r>
              <w:rPr>
                <w:rFonts w:hint="eastAsia" w:hAnsi="宋体" w:cs="Arial"/>
                <w:b/>
                <w:color w:val="auto"/>
                <w:sz w:val="21"/>
                <w:szCs w:val="21"/>
                <w:highlight w:val="none"/>
              </w:rPr>
              <w:t>；</w:t>
            </w:r>
          </w:p>
          <w:p>
            <w:pPr>
              <w:snapToGrid w:val="0"/>
              <w:spacing w:line="420" w:lineRule="exact"/>
              <w:rPr>
                <w:rFonts w:hAnsi="宋体" w:cs="Arial"/>
                <w:b/>
                <w:color w:val="auto"/>
                <w:sz w:val="21"/>
                <w:szCs w:val="21"/>
                <w:highlight w:val="none"/>
              </w:rPr>
            </w:pPr>
            <w:r>
              <w:rPr>
                <w:rFonts w:hAnsi="宋体" w:cs="Arial"/>
                <w:b/>
                <w:color w:val="auto"/>
                <w:sz w:val="21"/>
                <w:szCs w:val="21"/>
                <w:highlight w:val="none"/>
              </w:rPr>
              <w:t>2</w:t>
            </w:r>
            <w:r>
              <w:rPr>
                <w:rFonts w:hint="eastAsia" w:hAnsi="宋体" w:cs="Arial"/>
                <w:b/>
                <w:color w:val="auto"/>
                <w:sz w:val="21"/>
                <w:szCs w:val="21"/>
                <w:highlight w:val="none"/>
              </w:rPr>
              <w:t>.不论竞争性磋商结果如何，响应供应商均应自行承担所有与本项目竞争性磋商有关的全部费用；</w:t>
            </w:r>
          </w:p>
          <w:p>
            <w:pPr>
              <w:snapToGrid w:val="0"/>
              <w:spacing w:line="460" w:lineRule="exact"/>
              <w:textAlignment w:val="bottom"/>
              <w:rPr>
                <w:rFonts w:hint="eastAsia" w:hAnsi="宋体" w:cs="Arial"/>
                <w:b/>
                <w:bCs/>
                <w:color w:val="auto"/>
                <w:sz w:val="21"/>
                <w:szCs w:val="21"/>
                <w:highlight w:val="none"/>
              </w:rPr>
            </w:pPr>
            <w:r>
              <w:rPr>
                <w:rFonts w:hint="eastAsia" w:hAnsi="宋体" w:cs="Arial"/>
                <w:b/>
                <w:color w:val="auto"/>
                <w:sz w:val="21"/>
                <w:szCs w:val="21"/>
                <w:highlight w:val="none"/>
              </w:rPr>
              <w:t>3.</w:t>
            </w:r>
            <w:r>
              <w:rPr>
                <w:rFonts w:hint="eastAsia" w:hAnsi="宋体" w:cs="Arial"/>
                <w:b/>
                <w:bCs/>
                <w:color w:val="auto"/>
                <w:sz w:val="21"/>
                <w:szCs w:val="21"/>
                <w:highlight w:val="none"/>
              </w:rPr>
              <w:t xml:space="preserve"> 供应商取得中标资格后，须参照原国家计委的计价格（2002）1980号《关于招标代理服务收费管理暂行办法的通知》文件规定标准向招标代理机构支付采购代理服务费。</w:t>
            </w:r>
          </w:p>
          <w:p>
            <w:pPr>
              <w:snapToGrid w:val="0"/>
              <w:spacing w:line="460" w:lineRule="exact"/>
              <w:textAlignment w:val="bottom"/>
              <w:rPr>
                <w:rFonts w:hint="eastAsia" w:hAnsi="宋体" w:cs="Arial"/>
                <w:b/>
                <w:bCs/>
                <w:color w:val="auto"/>
                <w:sz w:val="21"/>
                <w:szCs w:val="21"/>
                <w:highlight w:val="none"/>
              </w:rPr>
            </w:pPr>
            <w:r>
              <w:rPr>
                <w:rFonts w:hint="eastAsia" w:hAnsi="宋体" w:cs="Arial"/>
                <w:b/>
                <w:bCs/>
                <w:color w:val="auto"/>
                <w:sz w:val="21"/>
                <w:szCs w:val="21"/>
                <w:highlight w:val="none"/>
              </w:rPr>
              <w:t xml:space="preserve">中标人在收到中标通知书的同时向招标代理机构以银行转账等形式支付采购代理服务费：    </w:t>
            </w:r>
          </w:p>
          <w:p>
            <w:pPr>
              <w:snapToGrid w:val="0"/>
              <w:spacing w:line="460" w:lineRule="exact"/>
              <w:textAlignment w:val="bottom"/>
              <w:rPr>
                <w:rFonts w:hint="eastAsia" w:hAnsi="宋体" w:cs="Arial"/>
                <w:b/>
                <w:bCs/>
                <w:color w:val="auto"/>
                <w:sz w:val="21"/>
                <w:szCs w:val="21"/>
                <w:highlight w:val="none"/>
              </w:rPr>
            </w:pPr>
            <w:r>
              <w:rPr>
                <w:rFonts w:hint="eastAsia" w:hAnsi="宋体" w:cs="Arial"/>
                <w:b/>
                <w:bCs/>
                <w:color w:val="auto"/>
                <w:sz w:val="21"/>
                <w:szCs w:val="21"/>
                <w:highlight w:val="none"/>
              </w:rPr>
              <w:t>户名：金华市天盈财务咨询有限公司</w:t>
            </w:r>
          </w:p>
          <w:p>
            <w:pPr>
              <w:snapToGrid w:val="0"/>
              <w:spacing w:line="460" w:lineRule="exact"/>
              <w:textAlignment w:val="bottom"/>
              <w:rPr>
                <w:rFonts w:hint="eastAsia" w:hAnsi="宋体" w:cs="Arial"/>
                <w:b/>
                <w:bCs/>
                <w:color w:val="auto"/>
                <w:sz w:val="21"/>
                <w:szCs w:val="21"/>
                <w:highlight w:val="none"/>
              </w:rPr>
            </w:pPr>
            <w:r>
              <w:rPr>
                <w:rFonts w:hint="eastAsia" w:hAnsi="宋体" w:cs="Arial"/>
                <w:b/>
                <w:bCs/>
                <w:color w:val="auto"/>
                <w:sz w:val="21"/>
                <w:szCs w:val="21"/>
                <w:highlight w:val="none"/>
              </w:rPr>
              <w:t>开户银行：金华银行股份有限公司多湖支行</w:t>
            </w:r>
          </w:p>
          <w:p>
            <w:pPr>
              <w:snapToGrid w:val="0"/>
              <w:spacing w:line="420" w:lineRule="exact"/>
              <w:rPr>
                <w:rFonts w:hAnsi="宋体" w:cs="Arial"/>
                <w:color w:val="auto"/>
                <w:sz w:val="21"/>
                <w:szCs w:val="21"/>
                <w:highlight w:val="none"/>
              </w:rPr>
            </w:pPr>
            <w:r>
              <w:rPr>
                <w:rFonts w:hint="eastAsia" w:hAnsi="宋体" w:cs="Arial"/>
                <w:b/>
                <w:bCs/>
                <w:color w:val="auto"/>
                <w:sz w:val="21"/>
                <w:szCs w:val="21"/>
                <w:highlight w:val="none"/>
              </w:rPr>
              <w:t>银行账号：0188990822000064。（汇款用途请注明“采购代理服务费”及项目编号 ：</w:t>
            </w:r>
            <w:r>
              <w:rPr>
                <w:rFonts w:hint="eastAsia" w:hAnsi="宋体" w:cs="Arial"/>
                <w:b/>
                <w:bCs/>
                <w:color w:val="auto"/>
                <w:sz w:val="21"/>
                <w:szCs w:val="21"/>
                <w:highlight w:val="none"/>
                <w:lang w:val="en-US" w:eastAsia="zh-CN"/>
              </w:rPr>
              <w:t>3</w:t>
            </w:r>
            <w:r>
              <w:rPr>
                <w:rFonts w:hint="eastAsia" w:hAnsi="宋体" w:cs="Arial"/>
                <w:b/>
                <w:bCs/>
                <w:color w:val="auto"/>
                <w:sz w:val="21"/>
                <w:szCs w:val="21"/>
                <w:highlight w:val="none"/>
                <w:lang w:val="en-US" w:eastAsia="zh-CN"/>
              </w:rPr>
              <w:t>65</w:t>
            </w:r>
            <w:r>
              <w:rPr>
                <w:rFonts w:hint="eastAsia" w:hAnsi="宋体" w:cs="Arial"/>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hAnsi="宋体" w:cs="Arial"/>
                <w:color w:val="auto"/>
                <w:sz w:val="21"/>
                <w:szCs w:val="21"/>
                <w:highlight w:val="none"/>
              </w:rPr>
            </w:pPr>
            <w:r>
              <w:rPr>
                <w:rFonts w:hint="eastAsia" w:hAnsi="宋体" w:cs="Arial"/>
                <w:color w:val="auto"/>
                <w:sz w:val="21"/>
                <w:szCs w:val="21"/>
                <w:highlight w:val="none"/>
              </w:rPr>
              <w:t>3</w:t>
            </w:r>
          </w:p>
        </w:tc>
        <w:tc>
          <w:tcPr>
            <w:tcW w:w="88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rPr>
                <w:rFonts w:hAnsi="宋体" w:cs="Arial"/>
                <w:color w:val="auto"/>
                <w:sz w:val="21"/>
                <w:szCs w:val="21"/>
                <w:highlight w:val="none"/>
              </w:rPr>
            </w:pPr>
            <w:r>
              <w:rPr>
                <w:rFonts w:hint="eastAsia" w:hAnsi="宋体" w:cs="Arial"/>
                <w:color w:val="auto"/>
                <w:sz w:val="21"/>
                <w:szCs w:val="21"/>
                <w:highlight w:val="none"/>
              </w:rPr>
              <w:t>答疑与澄清：</w:t>
            </w:r>
          </w:p>
          <w:p>
            <w:pPr>
              <w:snapToGrid w:val="0"/>
              <w:spacing w:line="420" w:lineRule="exact"/>
              <w:rPr>
                <w:rFonts w:hAnsi="宋体" w:cs="Arial"/>
                <w:color w:val="auto"/>
                <w:sz w:val="21"/>
                <w:szCs w:val="21"/>
                <w:highlight w:val="none"/>
              </w:rPr>
            </w:pPr>
            <w:r>
              <w:rPr>
                <w:rFonts w:hint="eastAsia" w:hAnsi="宋体" w:cs="Arial"/>
                <w:color w:val="auto"/>
                <w:sz w:val="21"/>
                <w:szCs w:val="21"/>
                <w:highlight w:val="none"/>
              </w:rPr>
              <w:t>供应商如认为磋商文件表述不清晰、存在歧视性、排他性或者其他违法内容的，应当于投标截止时间5日前，以书面形式要求磋商采购单位作出书面解释、澄清或者向磋商采购单位提出书面质疑；磋商采购单位将于投标截止时间5日前答疑；答疑内容是磋商文件的组成部份，并将以书面形式送达所有已报名的供应商；因其他紧急情况影响本项目正常磋商采购活动的，磋商采购单位将于投标截止日期3天前书面通知所有已报名的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hAnsi="宋体" w:cs="Arial"/>
                <w:color w:val="auto"/>
                <w:sz w:val="21"/>
                <w:szCs w:val="21"/>
                <w:highlight w:val="none"/>
              </w:rPr>
            </w:pPr>
            <w:r>
              <w:rPr>
                <w:rFonts w:hint="eastAsia" w:hAnsi="宋体" w:cs="Arial"/>
                <w:color w:val="auto"/>
                <w:sz w:val="21"/>
                <w:szCs w:val="21"/>
                <w:highlight w:val="none"/>
              </w:rPr>
              <w:t>4</w:t>
            </w:r>
          </w:p>
        </w:tc>
        <w:tc>
          <w:tcPr>
            <w:tcW w:w="887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60" w:lineRule="exact"/>
              <w:rPr>
                <w:rFonts w:hint="eastAsia" w:hAnsi="宋体" w:cs="宋体"/>
                <w:b/>
                <w:bCs/>
                <w:color w:val="auto"/>
                <w:sz w:val="21"/>
                <w:szCs w:val="21"/>
                <w:highlight w:val="none"/>
              </w:rPr>
            </w:pPr>
            <w:r>
              <w:rPr>
                <w:rFonts w:hint="eastAsia" w:hAnsi="宋体" w:cs="宋体"/>
                <w:b/>
                <w:bCs/>
                <w:color w:val="auto"/>
                <w:sz w:val="21"/>
                <w:szCs w:val="21"/>
                <w:highlight w:val="none"/>
              </w:rPr>
              <w:t>政策落实：</w:t>
            </w:r>
          </w:p>
          <w:p>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1、扶持中小企业（监狱企业、残疾人福利性单位）：</w:t>
            </w:r>
          </w:p>
          <w:p>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（1）项目预算：</w:t>
            </w:r>
            <w:r>
              <w:rPr>
                <w:rFonts w:hint="eastAsia" w:hAnsi="宋体" w:cs="宋体"/>
                <w:color w:val="auto"/>
                <w:sz w:val="21"/>
                <w:szCs w:val="21"/>
                <w:highlight w:val="none"/>
                <w:u w:val="single"/>
              </w:rPr>
              <w:t>577.9206万元</w:t>
            </w:r>
          </w:p>
          <w:p>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（2）项目属性：</w:t>
            </w:r>
            <w:r>
              <w:rPr>
                <w:rFonts w:hint="eastAsia" w:hAnsi="宋体" w:cs="宋体"/>
                <w:color w:val="auto"/>
                <w:sz w:val="21"/>
                <w:szCs w:val="21"/>
                <w:highlight w:val="none"/>
                <w:u w:val="single"/>
              </w:rPr>
              <w:t xml:space="preserve"> ②   </w:t>
            </w:r>
            <w:r>
              <w:rPr>
                <w:rFonts w:hint="eastAsia" w:hAnsi="宋体" w:cs="宋体"/>
                <w:color w:val="auto"/>
                <w:sz w:val="21"/>
                <w:szCs w:val="21"/>
                <w:highlight w:val="none"/>
              </w:rPr>
              <w:t>（①货物类/②服务类/③工程类）</w:t>
            </w:r>
          </w:p>
          <w:p>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（3）项目对应的中小企业划分标准所属行业：</w:t>
            </w:r>
            <w:r>
              <w:rPr>
                <w:rFonts w:hint="eastAsia" w:hAnsi="宋体" w:cs="Arial"/>
                <w:color w:val="auto"/>
                <w:sz w:val="21"/>
                <w:szCs w:val="21"/>
                <w:highlight w:val="none"/>
              </w:rPr>
              <w:t>“软件和信息技术服务业”</w:t>
            </w:r>
            <w:r>
              <w:rPr>
                <w:rFonts w:hint="eastAsia" w:hAnsi="宋体" w:cs="宋体"/>
                <w:color w:val="auto"/>
                <w:sz w:val="21"/>
                <w:szCs w:val="21"/>
                <w:highlight w:val="none"/>
              </w:rPr>
              <w:t>（具体根据《中小企业划型标准规定》执行）</w:t>
            </w:r>
          </w:p>
          <w:p>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 xml:space="preserve">（4）本项目 </w:t>
            </w:r>
            <w:r>
              <w:rPr>
                <w:rFonts w:hint="eastAsia" w:hAnsi="宋体" w:cs="宋体"/>
                <w:color w:val="auto"/>
                <w:sz w:val="21"/>
                <w:szCs w:val="21"/>
                <w:highlight w:val="none"/>
                <w:u w:val="single"/>
              </w:rPr>
              <w:t xml:space="preserve">是  </w:t>
            </w:r>
            <w:r>
              <w:rPr>
                <w:rFonts w:hint="eastAsia" w:hAnsi="宋体" w:cs="宋体"/>
                <w:color w:val="auto"/>
                <w:sz w:val="21"/>
                <w:szCs w:val="21"/>
                <w:highlight w:val="none"/>
              </w:rPr>
              <w:t>（是/否）属于预留份额专门面向中小企业采购的项目。</w:t>
            </w:r>
          </w:p>
          <w:p>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（5）上述第4项中确定为“是”的采购项目，预留份额通过（①）措施进行：</w:t>
            </w:r>
          </w:p>
          <w:p>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 xml:space="preserve">①将采购项目整体或者设置采购包专门面向中小企业采购； </w:t>
            </w:r>
          </w:p>
          <w:p>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②要求供应商以联合体形式参加采购活动，且联合体中中小企业承担的部分达到</w:t>
            </w:r>
            <w:r>
              <w:rPr>
                <w:rFonts w:hint="eastAsia" w:hAnsi="宋体" w:cs="宋体"/>
                <w:color w:val="auto"/>
                <w:sz w:val="21"/>
                <w:szCs w:val="21"/>
                <w:highlight w:val="none"/>
                <w:u w:val="single"/>
              </w:rPr>
              <w:t> / </w:t>
            </w:r>
            <w:r>
              <w:rPr>
                <w:rFonts w:hint="eastAsia" w:hAnsi="宋体" w:cs="宋体"/>
                <w:color w:val="auto"/>
                <w:sz w:val="21"/>
                <w:szCs w:val="21"/>
                <w:highlight w:val="none"/>
              </w:rPr>
              <w:t xml:space="preserve">(比例)； </w:t>
            </w:r>
          </w:p>
          <w:p>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③要求获得采购合同的供应商将采购项目中的</w:t>
            </w:r>
            <w:r>
              <w:rPr>
                <w:rFonts w:hint="eastAsia" w:hAnsi="宋体" w:cs="宋体"/>
                <w:color w:val="auto"/>
                <w:sz w:val="21"/>
                <w:szCs w:val="21"/>
                <w:highlight w:val="none"/>
                <w:u w:val="single"/>
              </w:rPr>
              <w:t xml:space="preserve"> / </w:t>
            </w:r>
            <w:r>
              <w:rPr>
                <w:rFonts w:hint="eastAsia" w:hAnsi="宋体" w:cs="宋体"/>
                <w:color w:val="auto"/>
                <w:sz w:val="21"/>
                <w:szCs w:val="21"/>
                <w:highlight w:val="none"/>
              </w:rPr>
              <w:t>(比例)分包给一家或者多家中小企业。</w:t>
            </w:r>
          </w:p>
          <w:p>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（6）对于经主管预算单位统筹后未预留份额专门面向中小企业采购的采购项目，以及预留份额项目中的非预留部分采购包，对小微企业报价给予</w:t>
            </w:r>
            <w:r>
              <w:rPr>
                <w:rFonts w:hint="eastAsia" w:hAnsi="宋体" w:cs="宋体"/>
                <w:color w:val="auto"/>
                <w:sz w:val="21"/>
                <w:szCs w:val="21"/>
                <w:highlight w:val="none"/>
                <w:u w:val="single"/>
              </w:rPr>
              <w:t> / %</w:t>
            </w:r>
            <w:r>
              <w:rPr>
                <w:rFonts w:hint="eastAsia" w:hAnsi="宋体" w:cs="宋体"/>
                <w:color w:val="auto"/>
                <w:sz w:val="21"/>
                <w:szCs w:val="21"/>
                <w:highlight w:val="none"/>
              </w:rPr>
              <w:t xml:space="preserve"> 的扣除，用扣除后的价格参加评审。 </w:t>
            </w:r>
          </w:p>
          <w:p>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hAnsi="宋体" w:cs="宋体"/>
                <w:color w:val="auto"/>
                <w:sz w:val="21"/>
                <w:szCs w:val="21"/>
                <w:highlight w:val="none"/>
                <w:u w:val="single"/>
              </w:rPr>
              <w:t>  /% </w:t>
            </w:r>
            <w:r>
              <w:rPr>
                <w:rFonts w:hint="eastAsia" w:hAnsi="宋体" w:cs="宋体"/>
                <w:color w:val="auto"/>
                <w:sz w:val="21"/>
                <w:szCs w:val="21"/>
                <w:highlight w:val="none"/>
              </w:rPr>
              <w:t>的扣除，用扣除后的价格参加评审。</w:t>
            </w:r>
          </w:p>
          <w:p>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注：货物和服务项目中未预留份额专门面向中小企业采购的，以及预留份额项目中的非预留部分采购包，采购单位、采购代理机构应结合项目实际，对符合规定的</w:t>
            </w:r>
            <w:r>
              <w:rPr>
                <w:rFonts w:hint="eastAsia" w:hAnsi="宋体" w:cs="宋体"/>
                <w:b/>
                <w:bCs/>
                <w:color w:val="auto"/>
                <w:sz w:val="21"/>
                <w:szCs w:val="21"/>
                <w:highlight w:val="none"/>
              </w:rPr>
              <w:t>小微企业报价原则上按最高优惠幅度20%</w:t>
            </w:r>
            <w:r>
              <w:rPr>
                <w:rFonts w:hint="eastAsia" w:hAnsi="宋体" w:cs="宋体"/>
                <w:color w:val="auto"/>
                <w:sz w:val="21"/>
                <w:szCs w:val="21"/>
                <w:highlight w:val="none"/>
              </w:rPr>
              <w:t>给予扣除，用扣除后的价格参加评审；对于联合协议或者分包意向协议约定</w:t>
            </w:r>
            <w:r>
              <w:rPr>
                <w:rFonts w:hint="eastAsia" w:hAnsi="宋体" w:cs="宋体"/>
                <w:b/>
                <w:bCs/>
                <w:color w:val="auto"/>
                <w:sz w:val="21"/>
                <w:szCs w:val="21"/>
                <w:highlight w:val="none"/>
              </w:rPr>
              <w:t>小微企业的合同份额占到合同总金额30%</w:t>
            </w:r>
            <w:r>
              <w:rPr>
                <w:rFonts w:hint="eastAsia" w:hAnsi="宋体" w:cs="宋体"/>
                <w:color w:val="auto"/>
                <w:sz w:val="21"/>
                <w:szCs w:val="21"/>
                <w:highlight w:val="none"/>
              </w:rPr>
              <w:t>以上的，采购单位、采购代理机构应结合项目实际，对联合体或者大中型企业的报价原则上按</w:t>
            </w:r>
            <w:r>
              <w:rPr>
                <w:rFonts w:hint="eastAsia" w:hAnsi="宋体" w:cs="宋体"/>
                <w:b/>
                <w:bCs/>
                <w:color w:val="auto"/>
                <w:sz w:val="21"/>
                <w:szCs w:val="21"/>
                <w:highlight w:val="none"/>
              </w:rPr>
              <w:t>最高优惠幅度6%</w:t>
            </w:r>
            <w:r>
              <w:rPr>
                <w:rFonts w:hint="eastAsia" w:hAnsi="宋体" w:cs="宋体"/>
                <w:color w:val="auto"/>
                <w:sz w:val="21"/>
                <w:szCs w:val="21"/>
                <w:highlight w:val="none"/>
              </w:rPr>
              <w:t>给予扣除，用扣除后的价格参加评审。自2022年7月1日起至2022年12月31日期间发布采购公告或者发出采购邀请的货物、服务采购项目按照此《浙江省财政厅关于进一步加大政府采购支持中小企业力度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专门面向中小企业采购的项目或者标项，不再执行价格评审优惠的扶持政策。</w:t>
            </w:r>
          </w:p>
          <w:p>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2、节能产品、环境标志产品的强制采购政策</w:t>
            </w:r>
          </w:p>
          <w:p>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w:t>
            </w:r>
            <w:r>
              <w:rPr>
                <w:rFonts w:hint="eastAsia" w:hAnsi="宋体" w:cs="宋体"/>
                <w:color w:val="auto"/>
                <w:sz w:val="21"/>
                <w:szCs w:val="21"/>
                <w:highlight w:val="none"/>
                <w:lang w:eastAsia="zh-CN"/>
              </w:rPr>
              <w:t>响应供应商</w:t>
            </w:r>
            <w:r>
              <w:rPr>
                <w:rFonts w:hint="eastAsia" w:hAnsi="宋体" w:cs="宋体"/>
                <w:color w:val="auto"/>
                <w:sz w:val="21"/>
                <w:szCs w:val="21"/>
                <w:highlight w:val="none"/>
              </w:rPr>
              <w:t>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3、节能产品、环境标志产品的优先采购政策</w:t>
            </w:r>
          </w:p>
          <w:p>
            <w:pPr>
              <w:snapToGrid w:val="0"/>
              <w:spacing w:line="420" w:lineRule="exact"/>
              <w:rPr>
                <w:rFonts w:hint="eastAsia" w:hAnsi="宋体" w:cs="Arial"/>
                <w:color w:val="auto"/>
                <w:sz w:val="21"/>
                <w:szCs w:val="21"/>
                <w:highlight w:val="none"/>
              </w:rPr>
            </w:pPr>
            <w:r>
              <w:rPr>
                <w:rFonts w:hint="eastAsia" w:hAnsi="宋体" w:cs="宋体"/>
                <w:color w:val="auto"/>
                <w:sz w:val="21"/>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w:t>
            </w:r>
            <w:r>
              <w:rPr>
                <w:rFonts w:hint="eastAsia" w:hAnsi="宋体" w:cs="宋体"/>
                <w:color w:val="auto"/>
                <w:sz w:val="21"/>
                <w:szCs w:val="21"/>
                <w:highlight w:val="none"/>
                <w:lang w:eastAsia="zh-CN"/>
              </w:rPr>
              <w:t>响应供应商</w:t>
            </w:r>
            <w:r>
              <w:rPr>
                <w:rFonts w:hint="eastAsia" w:hAnsi="宋体" w:cs="宋体"/>
                <w:color w:val="auto"/>
                <w:sz w:val="21"/>
                <w:szCs w:val="21"/>
                <w:highlight w:val="none"/>
              </w:rPr>
              <w:t>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hAnsi="宋体" w:cs="Arial"/>
                <w:color w:val="auto"/>
                <w:sz w:val="21"/>
                <w:szCs w:val="21"/>
                <w:highlight w:val="none"/>
              </w:rPr>
            </w:pPr>
            <w:r>
              <w:rPr>
                <w:rFonts w:hint="eastAsia" w:hAnsi="宋体" w:cs="Arial"/>
                <w:color w:val="auto"/>
                <w:sz w:val="21"/>
                <w:szCs w:val="21"/>
                <w:highlight w:val="none"/>
              </w:rPr>
              <w:t>5</w:t>
            </w:r>
          </w:p>
        </w:tc>
        <w:tc>
          <w:tcPr>
            <w:tcW w:w="88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int="eastAsia" w:hAnsi="宋体" w:cs="宋体"/>
                <w:color w:val="auto"/>
                <w:sz w:val="21"/>
                <w:szCs w:val="21"/>
                <w:highlight w:val="none"/>
              </w:rPr>
            </w:pPr>
            <w:r>
              <w:rPr>
                <w:rFonts w:hint="eastAsia" w:hAnsi="宋体" w:cs="宋体"/>
                <w:b/>
                <w:bCs/>
                <w:color w:val="auto"/>
                <w:sz w:val="21"/>
                <w:szCs w:val="21"/>
                <w:highlight w:val="none"/>
                <w:lang w:bidi="ar"/>
              </w:rPr>
              <w:t>信用查询：</w:t>
            </w:r>
          </w:p>
          <w:p>
            <w:pPr>
              <w:snapToGrid w:val="0"/>
              <w:spacing w:line="460" w:lineRule="exact"/>
              <w:ind w:left="170" w:leftChars="50" w:firstLine="420" w:firstLineChars="200"/>
              <w:rPr>
                <w:rFonts w:hint="eastAsia" w:hAnsi="宋体" w:cs="宋体"/>
                <w:color w:val="auto"/>
                <w:sz w:val="21"/>
                <w:szCs w:val="21"/>
                <w:highlight w:val="none"/>
              </w:rPr>
            </w:pPr>
            <w:r>
              <w:rPr>
                <w:rFonts w:hint="eastAsia" w:hAnsi="宋体" w:cs="宋体"/>
                <w:color w:val="auto"/>
                <w:sz w:val="21"/>
                <w:szCs w:val="21"/>
                <w:highlight w:val="none"/>
              </w:rPr>
              <w:t>根据《关于在政府采购活动中查询及使用信用记录有关问题的通知》财库[2016]125号的规定：</w:t>
            </w:r>
          </w:p>
          <w:p>
            <w:pPr>
              <w:snapToGrid w:val="0"/>
              <w:spacing w:line="460" w:lineRule="exact"/>
              <w:ind w:left="170" w:leftChars="50"/>
              <w:rPr>
                <w:rFonts w:hint="eastAsia" w:hAnsi="宋体" w:cs="宋体"/>
                <w:color w:val="auto"/>
                <w:sz w:val="21"/>
                <w:szCs w:val="21"/>
                <w:highlight w:val="none"/>
              </w:rPr>
            </w:pPr>
            <w:r>
              <w:rPr>
                <w:rFonts w:hint="eastAsia" w:hAnsi="宋体" w:cs="宋体"/>
                <w:color w:val="auto"/>
                <w:sz w:val="21"/>
                <w:szCs w:val="21"/>
                <w:highlight w:val="none"/>
              </w:rPr>
              <w:t>（1）招标人或采购代理机构将对本项目供应商的信用记录进行查询。查询渠道为信用中国网站（www.creditchina.gov.cn）、中国政府采购网（www.ccgp.gov.cn）；</w:t>
            </w:r>
          </w:p>
          <w:p>
            <w:pPr>
              <w:snapToGrid w:val="0"/>
              <w:spacing w:line="460" w:lineRule="exact"/>
              <w:ind w:firstLine="105" w:firstLineChars="50"/>
              <w:rPr>
                <w:rFonts w:hint="eastAsia" w:hAnsi="宋体" w:cs="宋体"/>
                <w:color w:val="auto"/>
                <w:sz w:val="21"/>
                <w:szCs w:val="21"/>
                <w:highlight w:val="none"/>
              </w:rPr>
            </w:pPr>
            <w:r>
              <w:rPr>
                <w:rFonts w:hint="eastAsia" w:hAnsi="宋体" w:cs="宋体"/>
                <w:color w:val="auto"/>
                <w:sz w:val="21"/>
                <w:szCs w:val="21"/>
                <w:highlight w:val="none"/>
              </w:rPr>
              <w:t>（2）截止时点：提交投标文件（响应文件）截止时间前3年内；</w:t>
            </w:r>
          </w:p>
          <w:p>
            <w:pPr>
              <w:snapToGrid w:val="0"/>
              <w:spacing w:line="460" w:lineRule="exact"/>
              <w:ind w:left="170" w:leftChars="50"/>
              <w:rPr>
                <w:rFonts w:hint="eastAsia" w:hAnsi="宋体" w:cs="宋体"/>
                <w:color w:val="auto"/>
                <w:sz w:val="21"/>
                <w:szCs w:val="21"/>
                <w:highlight w:val="none"/>
              </w:rPr>
            </w:pPr>
            <w:r>
              <w:rPr>
                <w:rFonts w:hint="eastAsia" w:hAnsi="宋体" w:cs="宋体"/>
                <w:color w:val="auto"/>
                <w:sz w:val="21"/>
                <w:szCs w:val="21"/>
                <w:highlight w:val="none"/>
              </w:rPr>
              <w:t>（3）查询记录和证据的留存：信用信息查询记录和证据以网页截图等方式留存。</w:t>
            </w:r>
          </w:p>
          <w:p>
            <w:pPr>
              <w:snapToGrid w:val="0"/>
              <w:spacing w:line="460" w:lineRule="exact"/>
              <w:ind w:left="170" w:leftChars="50"/>
              <w:rPr>
                <w:rFonts w:hint="eastAsia" w:hAnsi="宋体" w:cs="宋体"/>
                <w:color w:val="auto"/>
                <w:sz w:val="21"/>
                <w:szCs w:val="21"/>
                <w:highlight w:val="none"/>
              </w:rPr>
            </w:pPr>
            <w:r>
              <w:rPr>
                <w:rFonts w:hint="eastAsia" w:hAnsi="宋体" w:cs="宋体"/>
                <w:color w:val="auto"/>
                <w:sz w:val="21"/>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500" w:lineRule="exact"/>
              <w:rPr>
                <w:rFonts w:hint="eastAsia" w:hAnsi="宋体" w:cs="Arial"/>
                <w:color w:val="auto"/>
                <w:sz w:val="21"/>
                <w:szCs w:val="21"/>
                <w:highlight w:val="none"/>
              </w:rPr>
            </w:pPr>
            <w:r>
              <w:rPr>
                <w:rFonts w:hint="eastAsia" w:hAnsi="宋体" w:cs="宋体"/>
                <w:color w:val="auto"/>
                <w:sz w:val="21"/>
                <w:szCs w:val="21"/>
                <w:highlight w:val="none"/>
              </w:rPr>
              <w:t>（5）联合体成员任意一方存在不良信用记录的，视同联合体存在不良信用记录。（注：本项目不接受联合体投标）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hAnsi="宋体" w:cs="Arial"/>
                <w:color w:val="auto"/>
                <w:sz w:val="21"/>
                <w:szCs w:val="21"/>
                <w:highlight w:val="none"/>
              </w:rPr>
            </w:pPr>
            <w:r>
              <w:rPr>
                <w:rFonts w:hint="eastAsia" w:hAnsi="宋体" w:cs="Arial"/>
                <w:color w:val="auto"/>
                <w:sz w:val="21"/>
                <w:szCs w:val="21"/>
                <w:highlight w:val="none"/>
              </w:rPr>
              <w:t>6</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hint="eastAsia" w:hAnsi="宋体" w:cs="Arial"/>
                <w:color w:val="auto"/>
                <w:sz w:val="21"/>
                <w:szCs w:val="21"/>
                <w:highlight w:val="none"/>
              </w:rPr>
            </w:pPr>
            <w:r>
              <w:rPr>
                <w:rFonts w:hint="eastAsia" w:hAnsi="宋体" w:cs="宋体"/>
                <w:snapToGrid w:val="0"/>
                <w:color w:val="auto"/>
                <w:sz w:val="21"/>
                <w:szCs w:val="21"/>
                <w:highlight w:val="none"/>
              </w:rPr>
              <w:t>本项目对应的中小企业划分标准所属行业</w:t>
            </w:r>
          </w:p>
        </w:tc>
        <w:tc>
          <w:tcPr>
            <w:tcW w:w="6444"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color w:val="auto"/>
                <w:highlight w:val="none"/>
              </w:rPr>
            </w:pPr>
            <w:r>
              <w:rPr>
                <w:rFonts w:hint="eastAsia" w:hAnsi="宋体" w:cs="宋体"/>
                <w:color w:val="auto"/>
                <w:sz w:val="21"/>
                <w:szCs w:val="21"/>
                <w:highlight w:val="none"/>
              </w:rPr>
              <w:t>根据《关于印发中小企业划型标准规定的通知》（工信部联企业〔2011〕300号），</w:t>
            </w:r>
            <w:r>
              <w:rPr>
                <w:rFonts w:hint="eastAsia" w:hAnsi="宋体" w:cs="Arial"/>
                <w:color w:val="auto"/>
                <w:sz w:val="21"/>
                <w:szCs w:val="21"/>
                <w:highlight w:val="none"/>
              </w:rPr>
              <w:t>本项目采购标的对应的中小企业划分标准所属行业为“软件和信息技术服务业”</w:t>
            </w:r>
            <w:r>
              <w:rPr>
                <w:rFonts w:hint="eastAsia"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hAnsi="宋体" w:cs="Arial"/>
                <w:color w:val="auto"/>
                <w:sz w:val="21"/>
                <w:szCs w:val="21"/>
                <w:highlight w:val="none"/>
              </w:rPr>
            </w:pPr>
            <w:r>
              <w:rPr>
                <w:rFonts w:hint="eastAsia" w:hAnsi="宋体" w:cs="Arial"/>
                <w:color w:val="auto"/>
                <w:sz w:val="21"/>
                <w:szCs w:val="21"/>
                <w:highlight w:val="none"/>
              </w:rPr>
              <w:t>7</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hint="eastAsia" w:hAnsi="宋体" w:cs="Arial"/>
                <w:color w:val="auto"/>
                <w:sz w:val="21"/>
                <w:szCs w:val="21"/>
                <w:highlight w:val="none"/>
              </w:rPr>
            </w:pPr>
            <w:r>
              <w:rPr>
                <w:rFonts w:hint="eastAsia" w:hAnsi="宋体" w:cs="宋体"/>
                <w:snapToGrid w:val="0"/>
                <w:color w:val="auto"/>
                <w:sz w:val="21"/>
                <w:szCs w:val="21"/>
                <w:highlight w:val="none"/>
              </w:rPr>
              <w:t>节能产品</w:t>
            </w:r>
          </w:p>
        </w:tc>
        <w:tc>
          <w:tcPr>
            <w:tcW w:w="64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sym w:font="Wingdings 2" w:char="00A3"/>
            </w:r>
            <w:r>
              <w:rPr>
                <w:rFonts w:hint="eastAsia" w:hAnsi="宋体" w:cs="宋体"/>
                <w:color w:val="auto"/>
                <w:sz w:val="21"/>
                <w:szCs w:val="21"/>
                <w:highlight w:val="none"/>
              </w:rPr>
              <w:t xml:space="preserve"> 强制采购节能产品</w:t>
            </w:r>
          </w:p>
          <w:p>
            <w:pPr>
              <w:pStyle w:val="145"/>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 优先采购节能产品</w:t>
            </w:r>
          </w:p>
          <w:p>
            <w:pPr>
              <w:snapToGrid w:val="0"/>
              <w:spacing w:line="500" w:lineRule="exact"/>
              <w:rPr>
                <w:color w:val="auto"/>
                <w:highlight w:val="none"/>
              </w:rPr>
            </w:pPr>
            <w:r>
              <w:rPr>
                <w:rFonts w:hint="eastAsia" w:hAnsi="宋体" w:cs="宋体"/>
                <w:color w:val="auto"/>
                <w:kern w:val="2"/>
                <w:sz w:val="21"/>
                <w:szCs w:val="21"/>
                <w:highlight w:val="none"/>
              </w:rPr>
              <w:sym w:font="Wingdings" w:char="00FE"/>
            </w:r>
            <w:r>
              <w:rPr>
                <w:rFonts w:hint="eastAsia" w:hAnsi="宋体" w:cs="宋体"/>
                <w:color w:val="auto"/>
                <w:kern w:val="2"/>
                <w:sz w:val="21"/>
                <w:szCs w:val="21"/>
                <w:highlight w:val="none"/>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hAnsi="宋体" w:cs="Arial"/>
                <w:color w:val="auto"/>
                <w:sz w:val="21"/>
                <w:szCs w:val="21"/>
                <w:highlight w:val="none"/>
              </w:rPr>
            </w:pPr>
            <w:r>
              <w:rPr>
                <w:rFonts w:hint="eastAsia" w:hAnsi="宋体" w:cs="Arial"/>
                <w:color w:val="auto"/>
                <w:sz w:val="21"/>
                <w:szCs w:val="21"/>
                <w:highlight w:val="none"/>
              </w:rPr>
              <w:t>8</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hint="eastAsia" w:hAnsi="宋体" w:cs="Arial"/>
                <w:color w:val="auto"/>
                <w:sz w:val="21"/>
                <w:szCs w:val="21"/>
                <w:highlight w:val="none"/>
              </w:rPr>
            </w:pPr>
            <w:r>
              <w:rPr>
                <w:rFonts w:hint="eastAsia" w:hAnsi="宋体" w:cs="宋体"/>
                <w:snapToGrid w:val="0"/>
                <w:color w:val="auto"/>
                <w:sz w:val="21"/>
                <w:szCs w:val="21"/>
                <w:highlight w:val="none"/>
              </w:rPr>
              <w:t>环境标志产品</w:t>
            </w:r>
          </w:p>
        </w:tc>
        <w:tc>
          <w:tcPr>
            <w:tcW w:w="6444" w:type="dxa"/>
            <w:tcBorders>
              <w:top w:val="single" w:color="auto" w:sz="4" w:space="0"/>
              <w:left w:val="single" w:color="auto" w:sz="4" w:space="0"/>
              <w:bottom w:val="single" w:color="auto" w:sz="4" w:space="0"/>
              <w:right w:val="single" w:color="auto" w:sz="4" w:space="0"/>
            </w:tcBorders>
            <w:noWrap w:val="0"/>
            <w:vAlign w:val="center"/>
          </w:tcPr>
          <w:p>
            <w:pPr>
              <w:pStyle w:val="145"/>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 优先采购环境标志产品</w:t>
            </w:r>
          </w:p>
          <w:p>
            <w:pPr>
              <w:snapToGrid w:val="0"/>
              <w:spacing w:line="500" w:lineRule="exact"/>
              <w:rPr>
                <w:color w:val="auto"/>
                <w:highlight w:val="none"/>
              </w:rPr>
            </w:pPr>
            <w:r>
              <w:rPr>
                <w:rFonts w:hint="eastAsia" w:hAnsi="宋体" w:cs="宋体"/>
                <w:color w:val="auto"/>
                <w:sz w:val="21"/>
                <w:szCs w:val="21"/>
                <w:highlight w:val="none"/>
              </w:rPr>
              <w:sym w:font="Wingdings" w:char="00FE"/>
            </w:r>
            <w:r>
              <w:rPr>
                <w:rFonts w:hint="eastAsia" w:hAnsi="宋体" w:cs="宋体"/>
                <w:color w:val="auto"/>
                <w:sz w:val="21"/>
                <w:szCs w:val="21"/>
                <w:highlight w:val="none"/>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hAnsi="宋体" w:cs="Arial"/>
                <w:color w:val="auto"/>
                <w:sz w:val="21"/>
                <w:szCs w:val="21"/>
                <w:highlight w:val="none"/>
              </w:rPr>
            </w:pPr>
            <w:r>
              <w:rPr>
                <w:rFonts w:hint="eastAsia" w:hAnsi="宋体" w:cs="Arial"/>
                <w:color w:val="auto"/>
                <w:sz w:val="21"/>
                <w:szCs w:val="21"/>
                <w:highlight w:val="none"/>
              </w:rPr>
              <w:t>4</w:t>
            </w:r>
          </w:p>
        </w:tc>
        <w:tc>
          <w:tcPr>
            <w:tcW w:w="88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textAlignment w:val="bottom"/>
              <w:rPr>
                <w:rFonts w:hint="eastAsia" w:hAnsi="宋体" w:cs="Arial"/>
                <w:b/>
                <w:color w:val="auto"/>
                <w:sz w:val="21"/>
                <w:szCs w:val="21"/>
                <w:highlight w:val="none"/>
              </w:rPr>
            </w:pPr>
            <w:r>
              <w:rPr>
                <w:rFonts w:hint="eastAsia" w:hAnsi="宋体" w:cs="Arial"/>
                <w:b/>
                <w:color w:val="auto"/>
                <w:sz w:val="21"/>
                <w:szCs w:val="21"/>
                <w:highlight w:val="none"/>
              </w:rPr>
              <w:t>磋商响应文件（投标文件）</w:t>
            </w:r>
            <w:r>
              <w:rPr>
                <w:rFonts w:hint="eastAsia" w:hAnsi="宋体" w:cs="宋体"/>
                <w:b/>
                <w:color w:val="auto"/>
                <w:sz w:val="21"/>
                <w:szCs w:val="21"/>
                <w:highlight w:val="none"/>
              </w:rPr>
              <w:t>的递交：</w:t>
            </w:r>
          </w:p>
          <w:p>
            <w:pPr>
              <w:snapToGrid w:val="0"/>
              <w:spacing w:line="460" w:lineRule="exact"/>
              <w:jc w:val="both"/>
              <w:textAlignment w:val="bottom"/>
              <w:rPr>
                <w:rFonts w:hint="eastAsia" w:hAnsi="宋体" w:cs="宋体"/>
                <w:bCs/>
                <w:color w:val="auto"/>
                <w:sz w:val="21"/>
                <w:szCs w:val="21"/>
                <w:highlight w:val="none"/>
              </w:rPr>
            </w:pPr>
            <w:r>
              <w:rPr>
                <w:rFonts w:hint="eastAsia" w:hAnsi="宋体" w:cs="宋体"/>
                <w:bCs/>
                <w:color w:val="auto"/>
                <w:sz w:val="21"/>
                <w:szCs w:val="21"/>
                <w:highlight w:val="none"/>
              </w:rPr>
              <w:t>本项目投标文件分</w:t>
            </w:r>
            <w:r>
              <w:rPr>
                <w:rFonts w:hint="eastAsia" w:hAnsi="宋体" w:cs="宋体"/>
                <w:b/>
                <w:color w:val="auto"/>
                <w:sz w:val="21"/>
                <w:szCs w:val="21"/>
                <w:highlight w:val="none"/>
              </w:rPr>
              <w:t>资格文件、商务技术文件</w:t>
            </w:r>
            <w:r>
              <w:rPr>
                <w:rFonts w:hint="eastAsia" w:hAnsi="宋体" w:cs="宋体"/>
                <w:b/>
                <w:bCs/>
                <w:color w:val="auto"/>
                <w:sz w:val="21"/>
                <w:szCs w:val="21"/>
                <w:highlight w:val="none"/>
              </w:rPr>
              <w:t>、</w:t>
            </w:r>
            <w:r>
              <w:rPr>
                <w:rFonts w:hint="eastAsia" w:hAnsi="宋体" w:cs="宋体"/>
                <w:b/>
                <w:color w:val="auto"/>
                <w:sz w:val="21"/>
                <w:szCs w:val="21"/>
                <w:highlight w:val="none"/>
              </w:rPr>
              <w:t>报价文件</w:t>
            </w:r>
            <w:r>
              <w:rPr>
                <w:rFonts w:hint="eastAsia" w:hAnsi="宋体" w:cs="宋体"/>
                <w:bCs/>
                <w:color w:val="auto"/>
                <w:sz w:val="21"/>
                <w:szCs w:val="21"/>
                <w:highlight w:val="none"/>
              </w:rPr>
              <w:t>三部分。</w:t>
            </w:r>
            <w:r>
              <w:rPr>
                <w:rFonts w:hint="eastAsia" w:hAnsi="宋体" w:cs="宋体"/>
                <w:bCs/>
                <w:color w:val="auto"/>
                <w:sz w:val="21"/>
                <w:szCs w:val="21"/>
                <w:highlight w:val="none"/>
                <w:lang w:eastAsia="zh-CN"/>
              </w:rPr>
              <w:t>响应供应商</w:t>
            </w:r>
            <w:r>
              <w:rPr>
                <w:rFonts w:hint="eastAsia" w:hAnsi="宋体" w:cs="宋体"/>
                <w:bCs/>
                <w:color w:val="auto"/>
                <w:sz w:val="21"/>
                <w:szCs w:val="21"/>
                <w:highlight w:val="none"/>
              </w:rPr>
              <w:t>应以以下方式递交投标文件：</w:t>
            </w:r>
          </w:p>
          <w:p>
            <w:pPr>
              <w:snapToGrid w:val="0"/>
              <w:spacing w:line="460" w:lineRule="exact"/>
              <w:jc w:val="both"/>
              <w:textAlignment w:val="bottom"/>
              <w:rPr>
                <w:rFonts w:hint="eastAsia" w:hAnsi="宋体" w:cs="宋体"/>
                <w:b/>
                <w:bCs/>
                <w:color w:val="auto"/>
                <w:sz w:val="21"/>
                <w:szCs w:val="21"/>
                <w:highlight w:val="none"/>
              </w:rPr>
            </w:pPr>
            <w:r>
              <w:rPr>
                <w:rFonts w:hint="eastAsia" w:hAnsi="宋体" w:cs="宋体"/>
                <w:b/>
                <w:bCs/>
                <w:color w:val="auto"/>
                <w:sz w:val="21"/>
                <w:szCs w:val="21"/>
                <w:highlight w:val="none"/>
              </w:rPr>
              <w:t>★1.本项目实行“网上</w:t>
            </w:r>
            <w:r>
              <w:rPr>
                <w:rFonts w:hint="eastAsia"/>
                <w:b/>
                <w:snapToGrid w:val="0"/>
                <w:color w:val="auto"/>
                <w:sz w:val="22"/>
                <w:highlight w:val="none"/>
              </w:rPr>
              <w:t>电子</w:t>
            </w:r>
            <w:r>
              <w:rPr>
                <w:rFonts w:hint="eastAsia" w:hAnsi="宋体" w:cs="宋体"/>
                <w:b/>
                <w:bCs/>
                <w:color w:val="auto"/>
                <w:sz w:val="21"/>
                <w:szCs w:val="21"/>
                <w:highlight w:val="none"/>
              </w:rPr>
              <w:t>投标、电子评标”，</w:t>
            </w:r>
            <w:r>
              <w:rPr>
                <w:rFonts w:hint="eastAsia" w:hAnsi="宋体" w:cs="宋体"/>
                <w:b/>
                <w:bCs/>
                <w:color w:val="auto"/>
                <w:sz w:val="21"/>
                <w:szCs w:val="21"/>
                <w:highlight w:val="none"/>
                <w:lang w:eastAsia="zh-CN"/>
              </w:rPr>
              <w:t>响应供应商</w:t>
            </w:r>
            <w:r>
              <w:rPr>
                <w:rFonts w:hint="eastAsia" w:hAnsi="宋体" w:cs="宋体"/>
                <w:b/>
                <w:bCs/>
                <w:color w:val="auto"/>
                <w:sz w:val="21"/>
                <w:szCs w:val="21"/>
                <w:highlight w:val="none"/>
              </w:rPr>
              <w:t>应于投标截止时间前在“政采云”（</w:t>
            </w:r>
            <w:r>
              <w:rPr>
                <w:rFonts w:hint="eastAsia" w:hAnsi="宋体" w:cs="宋体"/>
                <w:b/>
                <w:color w:val="auto"/>
                <w:sz w:val="21"/>
                <w:szCs w:val="21"/>
                <w:highlight w:val="none"/>
                <w:shd w:val="clear" w:color="auto" w:fill="FFFFFF"/>
              </w:rPr>
              <w:t xml:space="preserve"> 电子交易客户端</w:t>
            </w:r>
            <w:r>
              <w:rPr>
                <w:rFonts w:hint="eastAsia" w:hAnsi="宋体" w:cs="宋体"/>
                <w:b/>
                <w:bCs/>
                <w:color w:val="auto"/>
                <w:sz w:val="21"/>
                <w:szCs w:val="21"/>
                <w:highlight w:val="none"/>
              </w:rPr>
              <w:t>）上传输、递交电子版投标文件（包括资格文件、商务技术文件和报价文件）；</w:t>
            </w:r>
          </w:p>
          <w:p>
            <w:pPr>
              <w:snapToGrid w:val="0"/>
              <w:spacing w:line="460" w:lineRule="exact"/>
              <w:jc w:val="both"/>
              <w:textAlignment w:val="bottom"/>
              <w:rPr>
                <w:rFonts w:hint="eastAsia" w:hAnsi="宋体" w:cs="宋体"/>
                <w:bCs/>
                <w:color w:val="auto"/>
                <w:sz w:val="21"/>
                <w:szCs w:val="21"/>
                <w:highlight w:val="none"/>
              </w:rPr>
            </w:pPr>
            <w:r>
              <w:rPr>
                <w:rFonts w:hint="eastAsia" w:hAnsi="宋体" w:cs="宋体"/>
                <w:b/>
                <w:bCs/>
                <w:color w:val="auto"/>
                <w:sz w:val="21"/>
                <w:szCs w:val="21"/>
                <w:highlight w:val="none"/>
              </w:rPr>
              <w:t>2. 本招标文件所涉及的法定代表人或其授权代表签字或盖章的内容，如果投标单位没有法定代表人电子签章，涉及到法定代表人或其授权代表签字或盖章的内容，投标单位可以线下签字或盖章后扫描上传。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9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hAnsi="宋体" w:cs="Arial"/>
                <w:color w:val="auto"/>
                <w:sz w:val="21"/>
                <w:szCs w:val="21"/>
                <w:highlight w:val="none"/>
              </w:rPr>
            </w:pPr>
            <w:r>
              <w:rPr>
                <w:rFonts w:hint="eastAsia" w:hAnsi="宋体" w:cs="Arial"/>
                <w:color w:val="auto"/>
                <w:sz w:val="21"/>
                <w:szCs w:val="21"/>
                <w:highlight w:val="none"/>
              </w:rPr>
              <w:t>5</w:t>
            </w:r>
          </w:p>
        </w:tc>
        <w:tc>
          <w:tcPr>
            <w:tcW w:w="88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textAlignment w:val="bottom"/>
              <w:rPr>
                <w:rFonts w:hAnsi="宋体" w:cs="Arial"/>
                <w:color w:val="auto"/>
                <w:sz w:val="21"/>
                <w:szCs w:val="21"/>
                <w:highlight w:val="none"/>
              </w:rPr>
            </w:pPr>
            <w:r>
              <w:rPr>
                <w:rFonts w:hint="eastAsia" w:hAnsi="宋体" w:cs="Arial"/>
                <w:color w:val="auto"/>
                <w:sz w:val="21"/>
                <w:szCs w:val="21"/>
                <w:highlight w:val="none"/>
              </w:rPr>
              <w:t>磋商办法：综合评分法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hAnsi="宋体" w:cs="Arial"/>
                <w:color w:val="auto"/>
                <w:sz w:val="21"/>
                <w:szCs w:val="21"/>
                <w:highlight w:val="none"/>
              </w:rPr>
            </w:pPr>
            <w:r>
              <w:rPr>
                <w:rFonts w:hint="eastAsia" w:hAnsi="宋体" w:cs="Arial"/>
                <w:color w:val="auto"/>
                <w:sz w:val="21"/>
                <w:szCs w:val="21"/>
                <w:highlight w:val="none"/>
              </w:rPr>
              <w:t>6</w:t>
            </w:r>
          </w:p>
        </w:tc>
        <w:tc>
          <w:tcPr>
            <w:tcW w:w="88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rPr>
                <w:rFonts w:hAnsi="宋体" w:cs="Arial"/>
                <w:color w:val="auto"/>
                <w:sz w:val="21"/>
                <w:szCs w:val="21"/>
                <w:highlight w:val="none"/>
              </w:rPr>
            </w:pPr>
            <w:r>
              <w:rPr>
                <w:rFonts w:hint="eastAsia" w:hAnsi="宋体" w:cs="Arial"/>
                <w:color w:val="auto"/>
                <w:sz w:val="21"/>
                <w:szCs w:val="21"/>
                <w:highlight w:val="none"/>
              </w:rPr>
              <w:t>磋商结果公示：磋商结束后</w:t>
            </w:r>
            <w:r>
              <w:rPr>
                <w:rFonts w:hAnsi="宋体" w:cs="Arial"/>
                <w:color w:val="auto"/>
                <w:sz w:val="21"/>
                <w:szCs w:val="21"/>
                <w:highlight w:val="none"/>
              </w:rPr>
              <w:t>2</w:t>
            </w:r>
            <w:r>
              <w:rPr>
                <w:rFonts w:hint="eastAsia" w:hAnsi="宋体" w:cs="Arial"/>
                <w:color w:val="auto"/>
                <w:sz w:val="21"/>
                <w:szCs w:val="21"/>
                <w:highlight w:val="none"/>
              </w:rPr>
              <w:t>天内，磋商结果公示于浙江政府采购网</w:t>
            </w:r>
            <w:r>
              <w:rPr>
                <w:rFonts w:hAnsi="宋体" w:cs="Arial"/>
                <w:color w:val="auto"/>
                <w:sz w:val="21"/>
                <w:szCs w:val="21"/>
                <w:highlight w:val="none"/>
              </w:rPr>
              <w:t xml:space="preserve"> (</w:t>
            </w:r>
            <w:r>
              <w:rPr>
                <w:rFonts w:hAnsi="宋体" w:cs="Arial"/>
                <w:color w:val="auto"/>
                <w:sz w:val="21"/>
                <w:szCs w:val="21"/>
                <w:highlight w:val="none"/>
              </w:rPr>
              <w:fldChar w:fldCharType="begin"/>
            </w:r>
            <w:r>
              <w:rPr>
                <w:rFonts w:hAnsi="宋体" w:cs="Arial"/>
                <w:color w:val="auto"/>
                <w:sz w:val="21"/>
                <w:szCs w:val="21"/>
                <w:highlight w:val="none"/>
              </w:rPr>
              <w:instrText xml:space="preserve"> HYPERLINK "http://www.zjzfcg.gov.cn/" </w:instrText>
            </w:r>
            <w:r>
              <w:rPr>
                <w:rFonts w:hAnsi="宋体" w:cs="Arial"/>
                <w:color w:val="auto"/>
                <w:sz w:val="21"/>
                <w:szCs w:val="21"/>
                <w:highlight w:val="none"/>
              </w:rPr>
              <w:fldChar w:fldCharType="separate"/>
            </w:r>
            <w:r>
              <w:rPr>
                <w:rFonts w:hint="eastAsia" w:hAnsi="宋体" w:cs="Arial"/>
                <w:color w:val="auto"/>
                <w:sz w:val="21"/>
                <w:szCs w:val="21"/>
                <w:highlight w:val="none"/>
              </w:rPr>
              <w:t>http://zfcg.czt.zj.gov.cn/</w:t>
            </w:r>
            <w:r>
              <w:rPr>
                <w:rFonts w:hAnsi="宋体" w:cs="Arial"/>
                <w:color w:val="auto"/>
                <w:sz w:val="21"/>
                <w:szCs w:val="21"/>
                <w:highlight w:val="none"/>
              </w:rPr>
              <w:fldChar w:fldCharType="end"/>
            </w:r>
            <w:r>
              <w:rPr>
                <w:rFonts w:hAnsi="宋体" w:cs="Arial"/>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8"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Ansi="宋体" w:cs="Arial"/>
                <w:color w:val="auto"/>
                <w:sz w:val="21"/>
                <w:szCs w:val="21"/>
                <w:highlight w:val="none"/>
              </w:rPr>
            </w:pPr>
            <w:r>
              <w:rPr>
                <w:rFonts w:hint="eastAsia" w:hAnsi="宋体" w:cs="Arial"/>
                <w:color w:val="auto"/>
                <w:sz w:val="21"/>
                <w:szCs w:val="21"/>
                <w:highlight w:val="none"/>
              </w:rPr>
              <w:t>7</w:t>
            </w:r>
          </w:p>
        </w:tc>
        <w:tc>
          <w:tcPr>
            <w:tcW w:w="88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textAlignment w:val="bottom"/>
              <w:rPr>
                <w:rFonts w:hAnsi="宋体" w:cs="Arial"/>
                <w:color w:val="auto"/>
                <w:sz w:val="21"/>
                <w:szCs w:val="21"/>
                <w:highlight w:val="none"/>
              </w:rPr>
            </w:pPr>
            <w:r>
              <w:rPr>
                <w:rFonts w:hint="eastAsia" w:hAnsi="宋体" w:cs="Arial"/>
                <w:color w:val="auto"/>
                <w:sz w:val="21"/>
                <w:szCs w:val="21"/>
                <w:highlight w:val="none"/>
              </w:rPr>
              <w:t>签订合同时间：成交通知书发出后20日内。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hAnsi="宋体" w:cs="Arial"/>
                <w:color w:val="auto"/>
                <w:sz w:val="21"/>
                <w:szCs w:val="21"/>
                <w:highlight w:val="none"/>
              </w:rPr>
            </w:pPr>
            <w:r>
              <w:rPr>
                <w:rFonts w:hint="eastAsia" w:hAnsi="宋体" w:cs="Arial"/>
                <w:color w:val="auto"/>
                <w:sz w:val="21"/>
                <w:szCs w:val="21"/>
                <w:highlight w:val="none"/>
              </w:rPr>
              <w:t>8</w:t>
            </w:r>
          </w:p>
        </w:tc>
        <w:tc>
          <w:tcPr>
            <w:tcW w:w="88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rPr>
                <w:rFonts w:hAnsi="宋体" w:cs="Arial"/>
                <w:color w:val="auto"/>
                <w:sz w:val="21"/>
                <w:szCs w:val="21"/>
                <w:highlight w:val="none"/>
              </w:rPr>
            </w:pPr>
            <w:r>
              <w:rPr>
                <w:rFonts w:hint="eastAsia" w:hAnsi="宋体" w:cs="Arial"/>
                <w:color w:val="auto"/>
                <w:sz w:val="21"/>
                <w:szCs w:val="21"/>
                <w:highlight w:val="none"/>
              </w:rPr>
              <w:t>磋商响应文件有效期：90天。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1"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hAnsi="宋体" w:cs="Arial"/>
                <w:color w:val="auto"/>
                <w:sz w:val="21"/>
                <w:szCs w:val="21"/>
                <w:highlight w:val="none"/>
              </w:rPr>
            </w:pPr>
            <w:r>
              <w:rPr>
                <w:rFonts w:hint="eastAsia" w:hAnsi="宋体" w:cs="Arial"/>
                <w:color w:val="auto"/>
                <w:sz w:val="21"/>
                <w:szCs w:val="21"/>
                <w:highlight w:val="none"/>
              </w:rPr>
              <w:t>9</w:t>
            </w:r>
          </w:p>
        </w:tc>
        <w:tc>
          <w:tcPr>
            <w:tcW w:w="88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rPr>
                <w:rFonts w:hAnsi="宋体" w:cs="Arial"/>
                <w:color w:val="auto"/>
                <w:sz w:val="21"/>
                <w:szCs w:val="21"/>
                <w:highlight w:val="none"/>
              </w:rPr>
            </w:pPr>
            <w:r>
              <w:rPr>
                <w:rFonts w:hint="eastAsia" w:hAnsi="宋体" w:cs="Arial"/>
                <w:color w:val="auto"/>
                <w:sz w:val="21"/>
                <w:szCs w:val="21"/>
                <w:highlight w:val="none"/>
              </w:rPr>
              <w:t>解释：本磋商文件的解释权属于磋商采购单位。</w:t>
            </w:r>
          </w:p>
        </w:tc>
      </w:tr>
    </w:tbl>
    <w:p>
      <w:pPr>
        <w:autoSpaceDE/>
        <w:autoSpaceDN/>
        <w:adjustRightInd/>
        <w:spacing w:line="500" w:lineRule="exact"/>
        <w:ind w:firstLine="482" w:firstLineChars="200"/>
        <w:jc w:val="both"/>
        <w:textAlignment w:val="auto"/>
        <w:rPr>
          <w:rFonts w:hAnsi="宋体" w:cs="Arial"/>
          <w:b/>
          <w:color w:val="auto"/>
          <w:sz w:val="24"/>
          <w:szCs w:val="24"/>
          <w:highlight w:val="none"/>
        </w:rPr>
      </w:pPr>
      <w:bookmarkStart w:id="57" w:name="_Toc237176507"/>
      <w:bookmarkStart w:id="58" w:name="_Toc184785920"/>
      <w:bookmarkStart w:id="59" w:name="_Toc217289131"/>
      <w:r>
        <w:rPr>
          <w:rFonts w:hint="eastAsia" w:hAnsi="宋体" w:cs="Arial"/>
          <w:b/>
          <w:color w:val="auto"/>
          <w:sz w:val="24"/>
          <w:szCs w:val="24"/>
          <w:highlight w:val="none"/>
        </w:rPr>
        <w:t>一 .总  则</w:t>
      </w:r>
    </w:p>
    <w:p>
      <w:pPr>
        <w:autoSpaceDE/>
        <w:autoSpaceDN/>
        <w:adjustRightInd/>
        <w:spacing w:line="500" w:lineRule="exact"/>
        <w:ind w:firstLine="422" w:firstLineChars="200"/>
        <w:jc w:val="both"/>
        <w:textAlignment w:val="auto"/>
        <w:rPr>
          <w:rFonts w:hAnsi="宋体" w:cs="Arial"/>
          <w:b/>
          <w:color w:val="auto"/>
          <w:sz w:val="21"/>
          <w:szCs w:val="21"/>
          <w:highlight w:val="none"/>
        </w:rPr>
      </w:pPr>
      <w:r>
        <w:rPr>
          <w:rFonts w:hint="eastAsia" w:hAnsi="宋体" w:cs="Arial"/>
          <w:b/>
          <w:color w:val="auto"/>
          <w:sz w:val="21"/>
          <w:szCs w:val="21"/>
          <w:highlight w:val="none"/>
        </w:rPr>
        <w:t>（一）</w:t>
      </w:r>
      <w:r>
        <w:rPr>
          <w:rFonts w:hAnsi="宋体" w:cs="Arial"/>
          <w:b/>
          <w:color w:val="auto"/>
          <w:sz w:val="21"/>
          <w:szCs w:val="21"/>
          <w:highlight w:val="none"/>
        </w:rPr>
        <w:t>适用范围</w:t>
      </w:r>
    </w:p>
    <w:p>
      <w:pPr>
        <w:autoSpaceDE/>
        <w:autoSpaceDN/>
        <w:adjustRightInd/>
        <w:spacing w:line="44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本磋商文件适用于</w:t>
      </w:r>
      <w:r>
        <w:rPr>
          <w:rFonts w:hint="eastAsia" w:hAnsi="宋体" w:cs="宋体"/>
          <w:color w:val="auto"/>
          <w:sz w:val="21"/>
          <w:szCs w:val="21"/>
          <w:highlight w:val="none"/>
          <w:lang w:eastAsia="zh-CN"/>
        </w:rPr>
        <w:t>金华开发区社会治理微智治平台应用项目</w:t>
      </w:r>
      <w:r>
        <w:rPr>
          <w:rFonts w:hint="eastAsia" w:hAnsi="宋体" w:cs="Arial"/>
          <w:color w:val="auto"/>
          <w:sz w:val="21"/>
          <w:szCs w:val="21"/>
          <w:highlight w:val="none"/>
        </w:rPr>
        <w:t>的磋商、评定、验收、合同履约、付款等行为（法律、法规另有规定的，从其规定）。</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（二）定义</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rPr>
        <w:t>.磋商</w:t>
      </w:r>
      <w:r>
        <w:rPr>
          <w:rFonts w:hAnsi="宋体" w:cs="Arial"/>
          <w:color w:val="auto"/>
          <w:sz w:val="21"/>
          <w:szCs w:val="21"/>
          <w:highlight w:val="none"/>
        </w:rPr>
        <w:t>采购单位系指组织本次的代理机构和采购单位（“</w:t>
      </w:r>
      <w:r>
        <w:rPr>
          <w:rFonts w:hint="eastAsia" w:hAnsi="宋体" w:cs="Arial"/>
          <w:color w:val="auto"/>
          <w:sz w:val="21"/>
          <w:szCs w:val="21"/>
          <w:highlight w:val="none"/>
        </w:rPr>
        <w:t>采购</w:t>
      </w:r>
      <w:r>
        <w:rPr>
          <w:rFonts w:hAnsi="宋体" w:cs="Arial"/>
          <w:color w:val="auto"/>
          <w:sz w:val="21"/>
          <w:szCs w:val="21"/>
          <w:highlight w:val="none"/>
        </w:rPr>
        <w:t>人”）。</w:t>
      </w:r>
    </w:p>
    <w:p>
      <w:pPr>
        <w:autoSpaceDE/>
        <w:autoSpaceDN/>
        <w:adjustRightInd/>
        <w:spacing w:line="500" w:lineRule="exact"/>
        <w:ind w:left="422" w:leftChars="124"/>
        <w:jc w:val="both"/>
        <w:textAlignment w:val="auto"/>
        <w:rPr>
          <w:rFonts w:hint="eastAsia" w:hAnsi="宋体" w:cs="Arial"/>
          <w:color w:val="auto"/>
          <w:sz w:val="21"/>
          <w:szCs w:val="21"/>
          <w:highlight w:val="none"/>
        </w:rPr>
      </w:pPr>
      <w:r>
        <w:rPr>
          <w:rFonts w:hAnsi="宋体" w:cs="Arial"/>
          <w:color w:val="auto"/>
          <w:sz w:val="21"/>
          <w:szCs w:val="21"/>
          <w:highlight w:val="none"/>
        </w:rPr>
        <w:t>2</w:t>
      </w:r>
      <w:r>
        <w:rPr>
          <w:rFonts w:hint="eastAsia" w:hAnsi="宋体" w:cs="Arial"/>
          <w:color w:val="auto"/>
          <w:sz w:val="21"/>
          <w:szCs w:val="21"/>
          <w:highlight w:val="none"/>
        </w:rPr>
        <w:t>.“</w:t>
      </w:r>
      <w:r>
        <w:rPr>
          <w:rFonts w:hAnsi="宋体" w:cs="Arial"/>
          <w:color w:val="auto"/>
          <w:sz w:val="21"/>
          <w:szCs w:val="21"/>
          <w:highlight w:val="none"/>
        </w:rPr>
        <w:t>供应商”系指</w:t>
      </w:r>
      <w:r>
        <w:rPr>
          <w:rFonts w:hint="eastAsia" w:hAnsi="宋体" w:cs="Arial"/>
          <w:color w:val="auto"/>
          <w:sz w:val="21"/>
          <w:szCs w:val="21"/>
          <w:highlight w:val="none"/>
        </w:rPr>
        <w:t>响应采购人的采购需求并</w:t>
      </w:r>
      <w:r>
        <w:rPr>
          <w:rFonts w:hAnsi="宋体" w:cs="Arial"/>
          <w:color w:val="auto"/>
          <w:sz w:val="21"/>
          <w:szCs w:val="21"/>
          <w:highlight w:val="none"/>
        </w:rPr>
        <w:t>向</w:t>
      </w:r>
      <w:r>
        <w:rPr>
          <w:rFonts w:hint="eastAsia" w:hAnsi="宋体" w:cs="Arial"/>
          <w:color w:val="auto"/>
          <w:sz w:val="21"/>
          <w:szCs w:val="21"/>
          <w:highlight w:val="none"/>
        </w:rPr>
        <w:t>磋商采购单位</w:t>
      </w:r>
      <w:r>
        <w:rPr>
          <w:rFonts w:hAnsi="宋体" w:cs="Arial"/>
          <w:color w:val="auto"/>
          <w:sz w:val="21"/>
          <w:szCs w:val="21"/>
          <w:highlight w:val="none"/>
        </w:rPr>
        <w:t>提交磋商响应文件的单位或个人。</w:t>
      </w:r>
    </w:p>
    <w:p>
      <w:pPr>
        <w:autoSpaceDE/>
        <w:autoSpaceDN/>
        <w:adjustRightInd/>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3.“服务”系指</w:t>
      </w:r>
      <w:r>
        <w:rPr>
          <w:rFonts w:hint="eastAsia" w:hAnsi="宋体" w:cs="Arial"/>
          <w:color w:val="auto"/>
          <w:sz w:val="21"/>
          <w:szCs w:val="21"/>
          <w:highlight w:val="none"/>
        </w:rPr>
        <w:t>磋商</w:t>
      </w:r>
      <w:r>
        <w:rPr>
          <w:rFonts w:hint="eastAsia" w:hAnsi="宋体" w:cs="宋体"/>
          <w:color w:val="auto"/>
          <w:sz w:val="21"/>
          <w:szCs w:val="21"/>
          <w:highlight w:val="none"/>
        </w:rPr>
        <w:t>文件规定供应商须承担的系统开发</w:t>
      </w:r>
      <w:r>
        <w:rPr>
          <w:rFonts w:hint="eastAsia" w:hAnsi="宋体" w:cs="Arial"/>
          <w:color w:val="auto"/>
          <w:sz w:val="21"/>
          <w:highlight w:val="none"/>
        </w:rPr>
        <w:t>、配套服务等一切与中标项目有关的附随服务工作</w:t>
      </w:r>
      <w:r>
        <w:rPr>
          <w:rFonts w:hint="eastAsia" w:hAnsi="宋体" w:cs="宋体"/>
          <w:color w:val="auto"/>
          <w:sz w:val="21"/>
          <w:szCs w:val="21"/>
          <w:highlight w:val="none"/>
        </w:rPr>
        <w:t>。</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4.</w:t>
      </w:r>
      <w:r>
        <w:rPr>
          <w:rFonts w:hAnsi="宋体" w:cs="Arial"/>
          <w:color w:val="auto"/>
          <w:sz w:val="21"/>
          <w:szCs w:val="21"/>
          <w:highlight w:val="none"/>
        </w:rPr>
        <w:t>“项目”系指供应商按磋商文件规定向采购人</w:t>
      </w:r>
      <w:r>
        <w:rPr>
          <w:rFonts w:hint="eastAsia" w:hAnsi="宋体" w:cs="宋体"/>
          <w:color w:val="auto"/>
          <w:sz w:val="21"/>
          <w:szCs w:val="21"/>
          <w:highlight w:val="none"/>
        </w:rPr>
        <w:t>提供的</w:t>
      </w:r>
      <w:r>
        <w:rPr>
          <w:rFonts w:hAnsi="宋体" w:cs="Arial"/>
          <w:color w:val="auto"/>
          <w:sz w:val="21"/>
          <w:szCs w:val="21"/>
          <w:highlight w:val="none"/>
        </w:rPr>
        <w:t>服务。</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5.</w:t>
      </w:r>
      <w:r>
        <w:rPr>
          <w:rFonts w:hAnsi="宋体" w:cs="Arial"/>
          <w:color w:val="auto"/>
          <w:sz w:val="21"/>
          <w:szCs w:val="21"/>
          <w:highlight w:val="none"/>
        </w:rPr>
        <w:t>“书面形式”包括信函、传真、电报等。</w:t>
      </w:r>
    </w:p>
    <w:p>
      <w:pPr>
        <w:autoSpaceDE/>
        <w:autoSpaceDN/>
        <w:adjustRightInd/>
        <w:spacing w:line="500" w:lineRule="exact"/>
        <w:ind w:firstLine="420" w:firstLineChars="200"/>
        <w:jc w:val="both"/>
        <w:textAlignment w:val="auto"/>
        <w:rPr>
          <w:rFonts w:hAnsi="宋体" w:cs="Arial"/>
          <w:color w:val="auto"/>
          <w:szCs w:val="21"/>
          <w:highlight w:val="none"/>
        </w:rPr>
      </w:pPr>
      <w:r>
        <w:rPr>
          <w:rFonts w:hint="eastAsia" w:hAnsi="宋体" w:cs="Arial"/>
          <w:color w:val="auto"/>
          <w:sz w:val="21"/>
          <w:szCs w:val="21"/>
          <w:highlight w:val="none"/>
        </w:rPr>
        <w:t>6.“★”系指实质性要求指标。</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（三）采购方式</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本次</w:t>
      </w:r>
      <w:r>
        <w:rPr>
          <w:rFonts w:hint="eastAsia" w:hAnsi="宋体" w:cs="Arial"/>
          <w:color w:val="auto"/>
          <w:sz w:val="21"/>
          <w:szCs w:val="21"/>
          <w:highlight w:val="none"/>
        </w:rPr>
        <w:t>采购</w:t>
      </w:r>
      <w:r>
        <w:rPr>
          <w:rFonts w:hAnsi="宋体" w:cs="Arial"/>
          <w:color w:val="auto"/>
          <w:sz w:val="21"/>
          <w:szCs w:val="21"/>
          <w:highlight w:val="none"/>
        </w:rPr>
        <w:t>采用竞争性磋商方式进行。</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（四）磋商委托</w:t>
      </w:r>
    </w:p>
    <w:p>
      <w:pPr>
        <w:autoSpaceDE/>
        <w:autoSpaceDN/>
        <w:adjustRightInd/>
        <w:spacing w:line="500" w:lineRule="exact"/>
        <w:ind w:firstLine="525" w:firstLineChars="250"/>
        <w:jc w:val="both"/>
        <w:textAlignment w:val="auto"/>
        <w:rPr>
          <w:rFonts w:hAnsi="宋体" w:cs="Arial"/>
          <w:b/>
          <w:color w:val="auto"/>
          <w:sz w:val="21"/>
          <w:szCs w:val="21"/>
          <w:highlight w:val="none"/>
        </w:rPr>
      </w:pPr>
      <w:r>
        <w:rPr>
          <w:rFonts w:hAnsi="宋体" w:cs="Arial"/>
          <w:color w:val="auto"/>
          <w:sz w:val="21"/>
          <w:szCs w:val="21"/>
          <w:highlight w:val="none"/>
        </w:rPr>
        <w:t>供应商代表须携带</w:t>
      </w:r>
      <w:r>
        <w:rPr>
          <w:rFonts w:hint="eastAsia" w:hAnsi="宋体" w:cs="Arial"/>
          <w:color w:val="auto"/>
          <w:sz w:val="21"/>
          <w:szCs w:val="21"/>
          <w:highlight w:val="none"/>
        </w:rPr>
        <w:t>有效</w:t>
      </w:r>
      <w:r>
        <w:rPr>
          <w:rFonts w:hAnsi="宋体" w:cs="Arial"/>
          <w:color w:val="auto"/>
          <w:sz w:val="21"/>
          <w:szCs w:val="21"/>
          <w:highlight w:val="none"/>
        </w:rPr>
        <w:t>身份证</w:t>
      </w:r>
      <w:r>
        <w:rPr>
          <w:rFonts w:hint="eastAsia" w:hAnsi="宋体" w:cs="Arial"/>
          <w:color w:val="auto"/>
          <w:sz w:val="21"/>
          <w:szCs w:val="21"/>
          <w:highlight w:val="none"/>
        </w:rPr>
        <w:t>件</w:t>
      </w:r>
      <w:r>
        <w:rPr>
          <w:rFonts w:hAnsi="宋体" w:cs="Arial"/>
          <w:color w:val="auto"/>
          <w:sz w:val="21"/>
          <w:szCs w:val="21"/>
          <w:highlight w:val="none"/>
        </w:rPr>
        <w:t>。如供应商代表不是法定代表人</w:t>
      </w:r>
      <w:r>
        <w:rPr>
          <w:rFonts w:hint="eastAsia" w:hAnsi="宋体" w:cs="Arial"/>
          <w:color w:val="auto"/>
          <w:sz w:val="21"/>
          <w:szCs w:val="21"/>
          <w:highlight w:val="none"/>
        </w:rPr>
        <w:t>（或单位负责人）</w:t>
      </w:r>
      <w:r>
        <w:rPr>
          <w:rFonts w:hAnsi="宋体" w:cs="Arial"/>
          <w:color w:val="auto"/>
          <w:sz w:val="21"/>
          <w:szCs w:val="21"/>
          <w:highlight w:val="none"/>
        </w:rPr>
        <w:t>，须有法定代表人</w:t>
      </w:r>
      <w:r>
        <w:rPr>
          <w:rFonts w:hint="eastAsia" w:hAnsi="宋体" w:cs="Arial"/>
          <w:color w:val="auto"/>
          <w:sz w:val="21"/>
          <w:szCs w:val="21"/>
          <w:highlight w:val="none"/>
        </w:rPr>
        <w:t>（或单位负责人）</w:t>
      </w:r>
      <w:r>
        <w:rPr>
          <w:rFonts w:hAnsi="宋体" w:cs="Arial"/>
          <w:color w:val="auto"/>
          <w:sz w:val="21"/>
          <w:szCs w:val="21"/>
          <w:highlight w:val="none"/>
        </w:rPr>
        <w:t>出具的授权委托书（正本用原件，副本用复印件）。</w:t>
      </w:r>
    </w:p>
    <w:p>
      <w:pPr>
        <w:autoSpaceDE/>
        <w:autoSpaceDN/>
        <w:adjustRightInd/>
        <w:spacing w:line="460" w:lineRule="exact"/>
        <w:ind w:firstLine="316" w:firstLineChars="150"/>
        <w:jc w:val="both"/>
        <w:textAlignment w:val="auto"/>
        <w:rPr>
          <w:rFonts w:hint="eastAsia" w:hAnsi="宋体" w:cs="宋体"/>
          <w:b/>
          <w:color w:val="auto"/>
          <w:sz w:val="21"/>
          <w:szCs w:val="21"/>
          <w:highlight w:val="none"/>
        </w:rPr>
      </w:pPr>
      <w:r>
        <w:rPr>
          <w:rFonts w:hint="eastAsia" w:hAnsi="宋体" w:cs="宋体"/>
          <w:b/>
          <w:color w:val="auto"/>
          <w:sz w:val="21"/>
          <w:szCs w:val="21"/>
          <w:highlight w:val="none"/>
        </w:rPr>
        <w:t>（五）磋商费用</w:t>
      </w:r>
    </w:p>
    <w:p>
      <w:pPr>
        <w:autoSpaceDE/>
        <w:autoSpaceDN/>
        <w:adjustRightInd/>
        <w:spacing w:line="46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不论磋商结果如何，供应商均应自行承担所有与磋商有关的全部费用（磋商采购文件有相反规定除外）。</w:t>
      </w:r>
    </w:p>
    <w:p>
      <w:pPr>
        <w:autoSpaceDE/>
        <w:autoSpaceDN/>
        <w:adjustRightInd/>
        <w:spacing w:line="460" w:lineRule="exact"/>
        <w:ind w:firstLine="315" w:firstLineChars="150"/>
        <w:jc w:val="both"/>
        <w:textAlignment w:val="auto"/>
        <w:rPr>
          <w:rFonts w:hint="eastAsia" w:hAnsi="宋体" w:cs="宋体"/>
          <w:b/>
          <w:color w:val="auto"/>
          <w:sz w:val="21"/>
          <w:szCs w:val="21"/>
          <w:highlight w:val="none"/>
        </w:rPr>
      </w:pPr>
      <w:r>
        <w:rPr>
          <w:rFonts w:hint="eastAsia" w:hAnsi="宋体" w:cs="Arial"/>
          <w:color w:val="auto"/>
          <w:sz w:val="21"/>
          <w:szCs w:val="21"/>
          <w:highlight w:val="none"/>
        </w:rPr>
        <w:t>★</w:t>
      </w:r>
      <w:r>
        <w:rPr>
          <w:rFonts w:hint="eastAsia" w:hAnsi="宋体" w:cs="宋体"/>
          <w:b/>
          <w:color w:val="auto"/>
          <w:sz w:val="21"/>
          <w:szCs w:val="21"/>
          <w:highlight w:val="none"/>
        </w:rPr>
        <w:t>（六）联合体磋商</w:t>
      </w:r>
    </w:p>
    <w:p>
      <w:pPr>
        <w:autoSpaceDE/>
        <w:autoSpaceDN/>
        <w:adjustRightInd/>
        <w:spacing w:line="46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本项目不接受供应商以联合体形式参与竞争性磋商。</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（七）转包与分包</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rPr>
        <w:t>.</w:t>
      </w:r>
      <w:r>
        <w:rPr>
          <w:rFonts w:hAnsi="宋体" w:cs="Arial"/>
          <w:color w:val="auto"/>
          <w:sz w:val="21"/>
          <w:szCs w:val="21"/>
          <w:highlight w:val="none"/>
        </w:rPr>
        <w:t>本项目不允许转包。</w:t>
      </w:r>
    </w:p>
    <w:p>
      <w:pPr>
        <w:autoSpaceDE/>
        <w:autoSpaceDN/>
        <w:adjustRightInd/>
        <w:spacing w:line="500" w:lineRule="exact"/>
        <w:ind w:firstLine="420" w:firstLineChars="200"/>
        <w:jc w:val="both"/>
        <w:textAlignment w:val="auto"/>
        <w:rPr>
          <w:rFonts w:hint="eastAsia" w:hAnsi="宋体" w:cs="Arial"/>
          <w:color w:val="auto"/>
          <w:sz w:val="21"/>
          <w:szCs w:val="21"/>
          <w:highlight w:val="none"/>
        </w:rPr>
      </w:pPr>
      <w:r>
        <w:rPr>
          <w:rFonts w:hAnsi="宋体" w:cs="Arial"/>
          <w:color w:val="auto"/>
          <w:sz w:val="21"/>
          <w:szCs w:val="21"/>
          <w:highlight w:val="none"/>
        </w:rPr>
        <w:t>2</w:t>
      </w:r>
      <w:r>
        <w:rPr>
          <w:rFonts w:hint="eastAsia" w:hAnsi="宋体" w:cs="Arial"/>
          <w:color w:val="auto"/>
          <w:sz w:val="21"/>
          <w:szCs w:val="21"/>
          <w:highlight w:val="none"/>
        </w:rPr>
        <w:t>.未经采购人同意的，</w:t>
      </w:r>
      <w:r>
        <w:rPr>
          <w:rFonts w:hAnsi="宋体" w:cs="Arial"/>
          <w:color w:val="auto"/>
          <w:sz w:val="21"/>
          <w:szCs w:val="21"/>
          <w:highlight w:val="none"/>
        </w:rPr>
        <w:t>本项目不可以分包</w:t>
      </w:r>
      <w:r>
        <w:rPr>
          <w:rFonts w:hint="eastAsia" w:hAnsi="宋体" w:cs="Arial"/>
          <w:color w:val="auto"/>
          <w:sz w:val="21"/>
          <w:szCs w:val="21"/>
          <w:highlight w:val="none"/>
        </w:rPr>
        <w:t>。</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（八）特别说明：</w:t>
      </w:r>
    </w:p>
    <w:p>
      <w:pPr>
        <w:autoSpaceDE/>
        <w:autoSpaceDN/>
        <w:adjustRightInd/>
        <w:snapToGrid w:val="0"/>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1.多家供应商参加本项目竞争性磋商，如其中两家或两家以上供应商的法定代表人（或单位负责人）为同一人或相互之间存在投资关系且达到控股的，评审时，取其中通过资格审查后的报价最低一家为有效供应商；当报价相同时，则以技术最优一家为有效供应商；均相同时，由磋商小组集体决定。</w:t>
      </w:r>
    </w:p>
    <w:p>
      <w:pPr>
        <w:autoSpaceDE/>
        <w:autoSpaceDN/>
        <w:adjustRightInd/>
        <w:snapToGrid w:val="0"/>
        <w:spacing w:line="500" w:lineRule="exact"/>
        <w:ind w:firstLine="420" w:firstLineChars="200"/>
        <w:jc w:val="both"/>
        <w:textAlignment w:val="auto"/>
        <w:rPr>
          <w:rFonts w:hint="eastAsia" w:hAnsi="宋体" w:cs="宋体"/>
          <w:color w:val="auto"/>
          <w:sz w:val="21"/>
          <w:szCs w:val="21"/>
          <w:highlight w:val="none"/>
        </w:rPr>
      </w:pPr>
      <w:r>
        <w:rPr>
          <w:rFonts w:hAnsi="宋体" w:cs="宋体"/>
          <w:color w:val="auto"/>
          <w:sz w:val="21"/>
          <w:szCs w:val="21"/>
          <w:highlight w:val="none"/>
        </w:rPr>
        <w:t>2</w:t>
      </w:r>
      <w:r>
        <w:rPr>
          <w:rFonts w:hint="eastAsia" w:hAnsi="宋体" w:cs="宋体"/>
          <w:color w:val="auto"/>
          <w:sz w:val="21"/>
          <w:szCs w:val="21"/>
          <w:highlight w:val="none"/>
        </w:rPr>
        <w:t>.供应商磋商时所使用的资格、信誉、荣誉、业绩与企业认证必须为本单位所拥有。供应商磋商时所使用的采购项目实施人员必须为本单位员工。</w:t>
      </w:r>
    </w:p>
    <w:p>
      <w:pPr>
        <w:autoSpaceDE/>
        <w:autoSpaceDN/>
        <w:adjustRightInd/>
        <w:snapToGrid w:val="0"/>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3.供应商应仔细阅读磋商采购文件的所有内容，按照磋商采购文件的要求提交磋商响应文件。供应商必须对磋商响应文件所提供的全部资料的真实性承担法律责任，并无条件接受采购代理机构、采购人及政府采购监督管理部门等对其中任何资料进行核实的要求。</w:t>
      </w:r>
    </w:p>
    <w:p>
      <w:pPr>
        <w:autoSpaceDE/>
        <w:autoSpaceDN/>
        <w:adjustRightInd/>
        <w:snapToGrid w:val="0"/>
        <w:spacing w:line="500" w:lineRule="exact"/>
        <w:ind w:firstLine="422" w:firstLineChars="200"/>
        <w:jc w:val="both"/>
        <w:textAlignment w:val="auto"/>
        <w:rPr>
          <w:rFonts w:hint="eastAsia" w:hAnsi="宋体" w:cs="宋体"/>
          <w:b/>
          <w:color w:val="auto"/>
          <w:sz w:val="21"/>
          <w:szCs w:val="21"/>
          <w:highlight w:val="none"/>
        </w:rPr>
      </w:pPr>
      <w:r>
        <w:rPr>
          <w:rFonts w:hint="eastAsia" w:hAnsi="宋体" w:cs="宋体"/>
          <w:b/>
          <w:color w:val="auto"/>
          <w:sz w:val="21"/>
          <w:szCs w:val="21"/>
          <w:highlight w:val="none"/>
        </w:rPr>
        <w:t>4.“政采云”平台运营机构，以及与该机构有直接控股或者管理关系可能影响采购公正性的任何单位和个人，不得在该平台进行的政府采购项目电子交易中投标、响应政府采购项目。</w:t>
      </w:r>
    </w:p>
    <w:p>
      <w:pPr>
        <w:autoSpaceDE/>
        <w:autoSpaceDN/>
        <w:adjustRightInd/>
        <w:snapToGrid w:val="0"/>
        <w:spacing w:line="50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5.供应商在竞争性磋商活动中提供任何虚假材料,均为无效，并报监管部门查处；成交后发现的,成交供应商须依照《中华人民共和国消费者权益保护法》</w:t>
      </w:r>
      <w:r>
        <w:rPr>
          <w:rFonts w:hint="eastAsia" w:hAnsi="宋体" w:cs="宋体"/>
          <w:color w:val="auto"/>
          <w:sz w:val="21"/>
          <w:szCs w:val="21"/>
          <w:highlight w:val="none"/>
          <w:lang w:val="en-US" w:eastAsia="zh-CN"/>
        </w:rPr>
        <w:t>的</w:t>
      </w:r>
      <w:r>
        <w:rPr>
          <w:rFonts w:hint="eastAsia" w:hAnsi="宋体" w:cs="宋体"/>
          <w:color w:val="auto"/>
          <w:sz w:val="21"/>
          <w:szCs w:val="21"/>
          <w:highlight w:val="none"/>
        </w:rPr>
        <w:t>规定赔偿采购人，且民事赔偿并不免除违法供应商的行政与刑事责任。</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Ansi="宋体" w:cs="Arial"/>
          <w:b/>
          <w:color w:val="auto"/>
          <w:sz w:val="21"/>
          <w:szCs w:val="21"/>
          <w:highlight w:val="none"/>
        </w:rPr>
        <w:t>（九）质疑和投诉</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rPr>
        <w:t>.</w:t>
      </w:r>
      <w:r>
        <w:rPr>
          <w:rFonts w:hAnsi="宋体" w:cs="Arial"/>
          <w:color w:val="auto"/>
          <w:sz w:val="21"/>
          <w:szCs w:val="21"/>
          <w:highlight w:val="none"/>
        </w:rPr>
        <w:t>供应商认为磋商文件、过程</w:t>
      </w:r>
      <w:r>
        <w:rPr>
          <w:rFonts w:hint="eastAsia" w:hAnsi="宋体" w:cs="Arial"/>
          <w:color w:val="auto"/>
          <w:sz w:val="21"/>
          <w:szCs w:val="21"/>
          <w:highlight w:val="none"/>
        </w:rPr>
        <w:t>或</w:t>
      </w:r>
      <w:r>
        <w:rPr>
          <w:rFonts w:hAnsi="宋体" w:cs="Arial"/>
          <w:color w:val="auto"/>
          <w:sz w:val="21"/>
          <w:szCs w:val="21"/>
          <w:highlight w:val="none"/>
        </w:rPr>
        <w:t>成交结果使自己的合法权益受到损害的，应当在知道或者应知其权益受到损害之日起七个工作日内，以书面形式向</w:t>
      </w:r>
      <w:r>
        <w:rPr>
          <w:rFonts w:hint="eastAsia" w:hAnsi="宋体" w:cs="Arial"/>
          <w:color w:val="auto"/>
          <w:sz w:val="21"/>
          <w:szCs w:val="21"/>
          <w:highlight w:val="none"/>
        </w:rPr>
        <w:t>采购人</w:t>
      </w:r>
      <w:r>
        <w:rPr>
          <w:rFonts w:hAnsi="宋体" w:cs="Arial"/>
          <w:color w:val="auto"/>
          <w:sz w:val="21"/>
          <w:szCs w:val="21"/>
          <w:highlight w:val="none"/>
        </w:rPr>
        <w:t>、采购代理机构提出质疑。供应商对磋商采购单位的质疑答复不满意或者磋商采购单位未在规定时间内作出答复的，可以在答复期满后十五个工作日内向同级采购监管部门投诉。</w:t>
      </w:r>
    </w:p>
    <w:p>
      <w:pPr>
        <w:autoSpaceDE/>
        <w:autoSpaceDN/>
        <w:adjustRightInd/>
        <w:spacing w:line="500" w:lineRule="exact"/>
        <w:ind w:firstLine="420" w:firstLineChars="200"/>
        <w:jc w:val="both"/>
        <w:textAlignment w:val="auto"/>
        <w:rPr>
          <w:rFonts w:hAnsi="宋体" w:cs="Arial"/>
          <w:b/>
          <w:color w:val="auto"/>
          <w:sz w:val="24"/>
          <w:szCs w:val="24"/>
          <w:highlight w:val="none"/>
        </w:rPr>
      </w:pPr>
      <w:r>
        <w:rPr>
          <w:rFonts w:hAnsi="宋体" w:cs="Arial"/>
          <w:color w:val="auto"/>
          <w:sz w:val="21"/>
          <w:szCs w:val="21"/>
          <w:highlight w:val="none"/>
        </w:rPr>
        <w:t>2</w:t>
      </w:r>
      <w:r>
        <w:rPr>
          <w:rFonts w:hint="eastAsia" w:hAnsi="宋体" w:cs="Arial"/>
          <w:color w:val="auto"/>
          <w:sz w:val="21"/>
          <w:szCs w:val="21"/>
          <w:highlight w:val="none"/>
        </w:rPr>
        <w:t>.</w:t>
      </w:r>
      <w:r>
        <w:rPr>
          <w:rFonts w:hAnsi="宋体" w:cs="Arial"/>
          <w:color w:val="auto"/>
          <w:sz w:val="21"/>
          <w:szCs w:val="21"/>
          <w:highlight w:val="none"/>
        </w:rPr>
        <w:t>质疑、投诉应当</w:t>
      </w:r>
      <w:r>
        <w:rPr>
          <w:rFonts w:hint="eastAsia" w:hAnsi="宋体" w:cs="宋体"/>
          <w:color w:val="auto"/>
          <w:sz w:val="21"/>
          <w:szCs w:val="21"/>
          <w:highlight w:val="none"/>
        </w:rPr>
        <w:t>符合中华人民共和国财政部令第94号《政府采购质疑和投诉办法》和财库[2014]214号《财政部关于印发&lt;政府采购竞争性磋商采购人式管理暂行办法&gt;的通知》的规定，并</w:t>
      </w:r>
      <w:r>
        <w:rPr>
          <w:rFonts w:hint="eastAsia" w:hAnsi="宋体" w:cs="Arial"/>
          <w:color w:val="auto"/>
          <w:sz w:val="21"/>
          <w:szCs w:val="21"/>
          <w:highlight w:val="none"/>
        </w:rPr>
        <w:t>分别</w:t>
      </w:r>
      <w:r>
        <w:rPr>
          <w:rFonts w:hAnsi="宋体" w:cs="Arial"/>
          <w:color w:val="auto"/>
          <w:sz w:val="21"/>
          <w:szCs w:val="21"/>
          <w:highlight w:val="none"/>
        </w:rPr>
        <w:t>采用</w:t>
      </w:r>
      <w:r>
        <w:rPr>
          <w:rFonts w:hint="eastAsia" w:hAnsi="宋体" w:cs="Arial"/>
          <w:color w:val="auto"/>
          <w:sz w:val="21"/>
          <w:szCs w:val="21"/>
          <w:highlight w:val="none"/>
        </w:rPr>
        <w:t>财政部发布的《政府采购供应商质疑函范本》和《政府采购供应商投诉书范本》等</w:t>
      </w:r>
      <w:r>
        <w:rPr>
          <w:rFonts w:hAnsi="宋体" w:cs="Arial"/>
          <w:color w:val="auto"/>
          <w:sz w:val="21"/>
          <w:szCs w:val="21"/>
          <w:highlight w:val="none"/>
        </w:rPr>
        <w:t>书面形式，质疑书、投诉书均应明确阐述磋商文件、过程</w:t>
      </w:r>
      <w:r>
        <w:rPr>
          <w:rFonts w:hint="eastAsia" w:hAnsi="宋体" w:cs="Arial"/>
          <w:color w:val="auto"/>
          <w:sz w:val="21"/>
          <w:szCs w:val="21"/>
          <w:highlight w:val="none"/>
        </w:rPr>
        <w:t>或</w:t>
      </w:r>
      <w:r>
        <w:rPr>
          <w:rFonts w:hAnsi="宋体" w:cs="Arial"/>
          <w:color w:val="auto"/>
          <w:sz w:val="21"/>
          <w:szCs w:val="21"/>
          <w:highlight w:val="none"/>
        </w:rPr>
        <w:t>成交结果中使自己合法权益受到损害的实质性内容，提供相关事实、依据和证据及其来源或线索，便于有关单位调查、答复和处理</w:t>
      </w:r>
      <w:r>
        <w:rPr>
          <w:rFonts w:hint="eastAsia" w:hAnsi="宋体" w:cs="Arial"/>
          <w:color w:val="auto"/>
          <w:sz w:val="21"/>
          <w:szCs w:val="21"/>
          <w:highlight w:val="none"/>
        </w:rPr>
        <w:t>。</w:t>
      </w:r>
    </w:p>
    <w:p>
      <w:pPr>
        <w:autoSpaceDE/>
        <w:autoSpaceDN/>
        <w:adjustRightInd/>
        <w:spacing w:line="460" w:lineRule="exact"/>
        <w:ind w:firstLine="482" w:firstLineChars="200"/>
        <w:jc w:val="both"/>
        <w:textAlignment w:val="auto"/>
        <w:rPr>
          <w:rFonts w:hAnsi="宋体" w:cs="Arial"/>
          <w:b/>
          <w:color w:val="auto"/>
          <w:sz w:val="24"/>
          <w:szCs w:val="24"/>
          <w:highlight w:val="none"/>
        </w:rPr>
      </w:pPr>
      <w:r>
        <w:rPr>
          <w:rFonts w:hAnsi="宋体" w:cs="Arial"/>
          <w:b/>
          <w:color w:val="auto"/>
          <w:sz w:val="24"/>
          <w:szCs w:val="24"/>
          <w:highlight w:val="none"/>
        </w:rPr>
        <w:t>二</w:t>
      </w:r>
      <w:r>
        <w:rPr>
          <w:rFonts w:hint="eastAsia" w:hAnsi="宋体" w:cs="Arial"/>
          <w:b/>
          <w:color w:val="auto"/>
          <w:sz w:val="24"/>
          <w:szCs w:val="24"/>
          <w:highlight w:val="none"/>
        </w:rPr>
        <w:t>．</w:t>
      </w:r>
      <w:r>
        <w:rPr>
          <w:rFonts w:hAnsi="宋体" w:cs="Arial"/>
          <w:b/>
          <w:color w:val="auto"/>
          <w:sz w:val="24"/>
          <w:szCs w:val="24"/>
          <w:highlight w:val="none"/>
        </w:rPr>
        <w:t>磋商文件</w:t>
      </w:r>
    </w:p>
    <w:p>
      <w:pPr>
        <w:pStyle w:val="101"/>
        <w:numPr>
          <w:ilvl w:val="0"/>
          <w:numId w:val="3"/>
        </w:numPr>
        <w:spacing w:line="460" w:lineRule="exact"/>
        <w:ind w:firstLineChars="0"/>
        <w:rPr>
          <w:rFonts w:hAnsi="宋体" w:cs="Arial"/>
          <w:b/>
          <w:color w:val="auto"/>
          <w:szCs w:val="21"/>
          <w:highlight w:val="none"/>
        </w:rPr>
      </w:pPr>
      <w:r>
        <w:rPr>
          <w:rFonts w:hint="eastAsia" w:hAnsi="宋体" w:cs="Arial"/>
          <w:b/>
          <w:color w:val="auto"/>
          <w:szCs w:val="21"/>
          <w:highlight w:val="none"/>
        </w:rPr>
        <w:t>磋商文件的构成。本磋商文件由以下部份组成：</w:t>
      </w:r>
    </w:p>
    <w:p>
      <w:pPr>
        <w:pStyle w:val="85"/>
        <w:spacing w:line="500" w:lineRule="exact"/>
        <w:rPr>
          <w:rFonts w:ascii="宋体" w:hAnsi="宋体"/>
          <w:color w:val="auto"/>
          <w:sz w:val="21"/>
          <w:szCs w:val="21"/>
          <w:highlight w:val="none"/>
        </w:rPr>
      </w:pPr>
      <w:r>
        <w:rPr>
          <w:rFonts w:hint="eastAsia" w:ascii="宋体" w:hAnsi="宋体"/>
          <w:color w:val="auto"/>
          <w:sz w:val="21"/>
          <w:szCs w:val="21"/>
          <w:highlight w:val="none"/>
        </w:rPr>
        <w:t>1.竞争性磋商公告</w:t>
      </w:r>
    </w:p>
    <w:p>
      <w:pPr>
        <w:pStyle w:val="85"/>
        <w:spacing w:line="500" w:lineRule="exact"/>
        <w:rPr>
          <w:rFonts w:ascii="宋体" w:hAnsi="宋体"/>
          <w:color w:val="auto"/>
          <w:sz w:val="21"/>
          <w:szCs w:val="21"/>
          <w:highlight w:val="none"/>
        </w:rPr>
      </w:pPr>
      <w:r>
        <w:rPr>
          <w:rFonts w:hint="eastAsia" w:ascii="宋体" w:hAnsi="宋体"/>
          <w:color w:val="auto"/>
          <w:sz w:val="21"/>
          <w:szCs w:val="21"/>
          <w:highlight w:val="none"/>
        </w:rPr>
        <w:t>2.采购需求</w:t>
      </w:r>
    </w:p>
    <w:p>
      <w:pPr>
        <w:pStyle w:val="85"/>
        <w:spacing w:line="500" w:lineRule="exact"/>
        <w:rPr>
          <w:rFonts w:ascii="宋体" w:hAnsi="宋体"/>
          <w:color w:val="auto"/>
          <w:sz w:val="21"/>
          <w:szCs w:val="21"/>
          <w:highlight w:val="none"/>
        </w:rPr>
      </w:pPr>
      <w:r>
        <w:rPr>
          <w:rFonts w:hint="eastAsia" w:ascii="宋体" w:hAnsi="宋体"/>
          <w:color w:val="auto"/>
          <w:sz w:val="21"/>
          <w:szCs w:val="21"/>
          <w:highlight w:val="none"/>
        </w:rPr>
        <w:t>3.供应商须知</w:t>
      </w:r>
    </w:p>
    <w:p>
      <w:pPr>
        <w:pStyle w:val="85"/>
        <w:spacing w:line="500" w:lineRule="exact"/>
        <w:rPr>
          <w:rFonts w:ascii="宋体" w:hAnsi="宋体"/>
          <w:color w:val="auto"/>
          <w:sz w:val="21"/>
          <w:szCs w:val="21"/>
          <w:highlight w:val="none"/>
        </w:rPr>
      </w:pPr>
      <w:r>
        <w:rPr>
          <w:rFonts w:hint="eastAsia" w:ascii="宋体" w:hAnsi="宋体"/>
          <w:color w:val="auto"/>
          <w:sz w:val="21"/>
          <w:szCs w:val="21"/>
          <w:highlight w:val="none"/>
        </w:rPr>
        <w:t>4.磋商办法及评分标准</w:t>
      </w:r>
    </w:p>
    <w:p>
      <w:pPr>
        <w:pStyle w:val="85"/>
        <w:spacing w:line="500" w:lineRule="exact"/>
        <w:rPr>
          <w:rFonts w:ascii="宋体" w:hAnsi="宋体"/>
          <w:color w:val="auto"/>
          <w:sz w:val="21"/>
          <w:szCs w:val="21"/>
          <w:highlight w:val="none"/>
        </w:rPr>
      </w:pPr>
      <w:r>
        <w:rPr>
          <w:rFonts w:hint="eastAsia" w:ascii="宋体" w:hAnsi="宋体"/>
          <w:color w:val="auto"/>
          <w:sz w:val="21"/>
          <w:szCs w:val="21"/>
          <w:highlight w:val="none"/>
        </w:rPr>
        <w:t>5.合同主要条款</w:t>
      </w:r>
    </w:p>
    <w:p>
      <w:pPr>
        <w:pStyle w:val="85"/>
        <w:spacing w:line="500" w:lineRule="exact"/>
        <w:rPr>
          <w:rFonts w:ascii="宋体" w:hAnsi="宋体"/>
          <w:color w:val="auto"/>
          <w:sz w:val="21"/>
          <w:szCs w:val="21"/>
          <w:highlight w:val="none"/>
        </w:rPr>
      </w:pPr>
      <w:r>
        <w:rPr>
          <w:rFonts w:hint="eastAsia" w:ascii="宋体" w:hAnsi="宋体"/>
          <w:color w:val="auto"/>
          <w:sz w:val="21"/>
          <w:szCs w:val="21"/>
          <w:highlight w:val="none"/>
        </w:rPr>
        <w:t>6.应提交的响应文件格式范例</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7</w:t>
      </w:r>
      <w:r>
        <w:rPr>
          <w:rFonts w:hint="eastAsia" w:hAnsi="宋体"/>
          <w:color w:val="auto"/>
          <w:sz w:val="21"/>
          <w:szCs w:val="21"/>
          <w:highlight w:val="none"/>
        </w:rPr>
        <w:t>.</w:t>
      </w:r>
      <w:r>
        <w:rPr>
          <w:rFonts w:hint="eastAsia" w:hAnsi="宋体" w:cs="Arial"/>
          <w:color w:val="auto"/>
          <w:sz w:val="21"/>
          <w:szCs w:val="21"/>
          <w:highlight w:val="none"/>
        </w:rPr>
        <w:t>本项目</w:t>
      </w:r>
      <w:r>
        <w:rPr>
          <w:rFonts w:hAnsi="宋体" w:cs="Arial"/>
          <w:color w:val="auto"/>
          <w:sz w:val="21"/>
          <w:szCs w:val="21"/>
          <w:highlight w:val="none"/>
        </w:rPr>
        <w:t>磋商文件</w:t>
      </w:r>
      <w:r>
        <w:rPr>
          <w:rFonts w:hint="eastAsia" w:hAnsi="宋体" w:cs="Arial"/>
          <w:color w:val="auto"/>
          <w:sz w:val="21"/>
          <w:szCs w:val="21"/>
          <w:highlight w:val="none"/>
        </w:rPr>
        <w:t>的</w:t>
      </w:r>
      <w:r>
        <w:rPr>
          <w:rFonts w:hAnsi="宋体" w:cs="Arial"/>
          <w:color w:val="auto"/>
          <w:sz w:val="21"/>
          <w:szCs w:val="21"/>
          <w:highlight w:val="none"/>
        </w:rPr>
        <w:t>澄清、答复、修改、补充的内容</w:t>
      </w:r>
      <w:r>
        <w:rPr>
          <w:rFonts w:hint="eastAsia" w:hAnsi="宋体" w:cs="Arial"/>
          <w:color w:val="auto"/>
          <w:sz w:val="21"/>
          <w:szCs w:val="21"/>
          <w:highlight w:val="none"/>
        </w:rPr>
        <w:t>（如有）</w:t>
      </w:r>
    </w:p>
    <w:p>
      <w:pPr>
        <w:autoSpaceDE/>
        <w:autoSpaceDN/>
        <w:adjustRightInd/>
        <w:spacing w:line="500" w:lineRule="exact"/>
        <w:ind w:firstLine="211" w:firstLineChars="100"/>
        <w:jc w:val="both"/>
        <w:textAlignment w:val="auto"/>
        <w:rPr>
          <w:rFonts w:hAnsi="宋体" w:cs="Arial"/>
          <w:b/>
          <w:color w:val="auto"/>
          <w:sz w:val="21"/>
          <w:szCs w:val="21"/>
          <w:highlight w:val="none"/>
        </w:rPr>
      </w:pPr>
      <w:r>
        <w:rPr>
          <w:rFonts w:hint="eastAsia" w:hAnsi="宋体" w:cs="Arial"/>
          <w:b/>
          <w:color w:val="auto"/>
          <w:sz w:val="21"/>
          <w:szCs w:val="21"/>
          <w:highlight w:val="none"/>
        </w:rPr>
        <w:t>（二）响应供应商的风险</w:t>
      </w:r>
    </w:p>
    <w:p>
      <w:pPr>
        <w:autoSpaceDE/>
        <w:autoSpaceDN/>
        <w:adjustRightInd/>
        <w:spacing w:line="500" w:lineRule="exact"/>
        <w:ind w:firstLine="420" w:firstLineChars="200"/>
        <w:textAlignment w:val="auto"/>
        <w:rPr>
          <w:rFonts w:hAnsi="宋体" w:cs="Arial"/>
          <w:color w:val="auto"/>
          <w:sz w:val="21"/>
          <w:szCs w:val="21"/>
          <w:highlight w:val="none"/>
        </w:rPr>
      </w:pPr>
      <w:r>
        <w:rPr>
          <w:rFonts w:hint="eastAsia" w:hAnsi="宋体" w:cs="Arial"/>
          <w:color w:val="auto"/>
          <w:sz w:val="21"/>
          <w:szCs w:val="21"/>
          <w:highlight w:val="none"/>
        </w:rPr>
        <w:t>1.供应商没有按照磋商文件要求提供全部资料，或者供应商没有对磋商文件在各方面作出实质性响应是供应商的风险，并可能导致其投标被拒绝。</w:t>
      </w:r>
    </w:p>
    <w:p>
      <w:pPr>
        <w:pStyle w:val="42"/>
        <w:spacing w:after="0" w:line="500" w:lineRule="exact"/>
        <w:ind w:left="0" w:leftChars="0" w:firstLineChars="200"/>
        <w:jc w:val="left"/>
        <w:rPr>
          <w:rFonts w:ascii="宋体" w:hAnsi="宋体" w:cs="Arial"/>
          <w:color w:val="auto"/>
          <w:kern w:val="0"/>
          <w:highlight w:val="none"/>
        </w:rPr>
      </w:pPr>
      <w:r>
        <w:rPr>
          <w:rFonts w:hint="eastAsia" w:ascii="宋体" w:hAnsi="宋体" w:cs="Arial"/>
          <w:color w:val="auto"/>
          <w:kern w:val="0"/>
          <w:highlight w:val="none"/>
        </w:rPr>
        <w:t>2.采购人、采购代理机构不保证所有已完成报名的供应商都符合资格要求。</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（三）磋商文件的澄清与修改</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rPr>
        <w:t>.</w:t>
      </w:r>
      <w:r>
        <w:rPr>
          <w:rFonts w:hAnsi="宋体" w:cs="Arial"/>
          <w:color w:val="auto"/>
          <w:sz w:val="21"/>
          <w:szCs w:val="21"/>
          <w:highlight w:val="none"/>
        </w:rPr>
        <w:t>供应商应认真阅读本磋商文件，发现其中有误或有不合理要求的，供应商必须在</w:t>
      </w:r>
      <w:r>
        <w:rPr>
          <w:rFonts w:hint="eastAsia" w:hAnsi="宋体" w:cs="Arial"/>
          <w:b/>
          <w:bCs/>
          <w:color w:val="auto"/>
          <w:sz w:val="21"/>
          <w:szCs w:val="21"/>
          <w:highlight w:val="none"/>
        </w:rPr>
        <w:t>竞争性</w:t>
      </w:r>
      <w:r>
        <w:rPr>
          <w:rFonts w:hint="eastAsia" w:hAnsi="宋体" w:cs="Arial"/>
          <w:b/>
          <w:color w:val="auto"/>
          <w:sz w:val="21"/>
          <w:szCs w:val="21"/>
          <w:highlight w:val="none"/>
        </w:rPr>
        <w:t>磋商截止时间5日前</w:t>
      </w:r>
      <w:r>
        <w:rPr>
          <w:rFonts w:hAnsi="宋体" w:cs="Arial"/>
          <w:b/>
          <w:color w:val="auto"/>
          <w:sz w:val="21"/>
          <w:szCs w:val="21"/>
          <w:highlight w:val="none"/>
        </w:rPr>
        <w:t>以书面形式要求磋商采购单位澄清。</w:t>
      </w:r>
      <w:r>
        <w:rPr>
          <w:rFonts w:hAnsi="宋体" w:cs="Arial"/>
          <w:color w:val="auto"/>
          <w:sz w:val="21"/>
          <w:szCs w:val="21"/>
          <w:highlight w:val="none"/>
        </w:rPr>
        <w:t>采购代理机构对已发出的磋商文件进行必要澄清、答复、修改或补充的，应当在磋商文件要求提交磋商响应文件截止时间</w:t>
      </w:r>
      <w:r>
        <w:rPr>
          <w:rFonts w:hint="eastAsia" w:hAnsi="宋体" w:cs="Arial"/>
          <w:color w:val="auto"/>
          <w:sz w:val="21"/>
          <w:szCs w:val="21"/>
          <w:highlight w:val="none"/>
        </w:rPr>
        <w:t>5</w:t>
      </w:r>
      <w:r>
        <w:rPr>
          <w:rFonts w:hAnsi="宋体" w:cs="Arial"/>
          <w:color w:val="auto"/>
          <w:sz w:val="21"/>
          <w:szCs w:val="21"/>
          <w:highlight w:val="none"/>
        </w:rPr>
        <w:t>日前，在财政部门指定的政府采购信息发布媒体上发布更正公告，并以书面形式通知所有磋商文件收受人。</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2</w:t>
      </w:r>
      <w:r>
        <w:rPr>
          <w:rFonts w:hint="eastAsia" w:hAnsi="宋体" w:cs="Arial"/>
          <w:color w:val="auto"/>
          <w:sz w:val="21"/>
          <w:szCs w:val="21"/>
          <w:highlight w:val="none"/>
        </w:rPr>
        <w:t>.</w:t>
      </w:r>
      <w:r>
        <w:rPr>
          <w:rFonts w:hAnsi="宋体" w:cs="Arial"/>
          <w:color w:val="auto"/>
          <w:sz w:val="21"/>
          <w:szCs w:val="21"/>
          <w:highlight w:val="none"/>
        </w:rPr>
        <w:t>采购代理机构必须以书面形式答复供应商要求澄清的问题，并将不包含问题来源的答复书面通知所有购买磋商文件的供应商；除书面答复以外的其他澄清方式及澄清内容均无效。</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3.</w:t>
      </w:r>
      <w:r>
        <w:rPr>
          <w:rFonts w:hAnsi="宋体" w:cs="Arial"/>
          <w:color w:val="auto"/>
          <w:sz w:val="21"/>
          <w:szCs w:val="21"/>
          <w:highlight w:val="none"/>
        </w:rPr>
        <w:t>磋商文件澄清、答复、修改、补充的内容为磋商文件的组成部分。当磋商文件与磋商文件的答复、澄清、修改、补充通知就同一内容的表述不一致时，以最后发出的书面文件为准。</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4.</w:t>
      </w:r>
      <w:r>
        <w:rPr>
          <w:rFonts w:hAnsi="宋体" w:cs="Arial"/>
          <w:color w:val="auto"/>
          <w:sz w:val="21"/>
          <w:szCs w:val="21"/>
          <w:highlight w:val="none"/>
        </w:rPr>
        <w:t>磋商文件的澄清、答复、修改或补充都应该通过本代理机构以法定形式发布，采购人非通过本机构，不得擅自澄清、答复、修改或补充磋商文件。</w:t>
      </w:r>
    </w:p>
    <w:p>
      <w:pPr>
        <w:autoSpaceDE/>
        <w:autoSpaceDN/>
        <w:adjustRightInd/>
        <w:spacing w:line="480" w:lineRule="exact"/>
        <w:ind w:firstLine="482" w:firstLineChars="200"/>
        <w:jc w:val="both"/>
        <w:textAlignment w:val="auto"/>
        <w:rPr>
          <w:rFonts w:hAnsi="宋体" w:cs="Arial"/>
          <w:b/>
          <w:color w:val="auto"/>
          <w:sz w:val="24"/>
          <w:szCs w:val="24"/>
          <w:highlight w:val="none"/>
        </w:rPr>
      </w:pPr>
      <w:r>
        <w:rPr>
          <w:rFonts w:hAnsi="宋体" w:cs="Arial"/>
          <w:b/>
          <w:color w:val="auto"/>
          <w:sz w:val="24"/>
          <w:szCs w:val="24"/>
          <w:highlight w:val="none"/>
        </w:rPr>
        <w:t>三</w:t>
      </w:r>
      <w:r>
        <w:rPr>
          <w:rFonts w:hint="eastAsia" w:hAnsi="宋体" w:cs="Arial"/>
          <w:b/>
          <w:color w:val="auto"/>
          <w:sz w:val="24"/>
          <w:szCs w:val="24"/>
          <w:highlight w:val="none"/>
        </w:rPr>
        <w:t>．</w:t>
      </w:r>
      <w:r>
        <w:rPr>
          <w:rFonts w:hAnsi="宋体" w:cs="Arial"/>
          <w:b/>
          <w:color w:val="auto"/>
          <w:sz w:val="24"/>
          <w:szCs w:val="24"/>
          <w:highlight w:val="none"/>
        </w:rPr>
        <w:t>磋商响应文件的编制</w:t>
      </w:r>
    </w:p>
    <w:p>
      <w:pPr>
        <w:snapToGrid w:val="0"/>
        <w:spacing w:line="500" w:lineRule="exact"/>
        <w:ind w:firstLine="422" w:firstLineChars="200"/>
        <w:outlineLvl w:val="0"/>
        <w:rPr>
          <w:rFonts w:hint="eastAsia" w:hAnsi="宋体" w:cs="宋体"/>
          <w:b/>
          <w:color w:val="auto"/>
          <w:sz w:val="21"/>
          <w:szCs w:val="21"/>
          <w:highlight w:val="none"/>
        </w:rPr>
      </w:pPr>
      <w:r>
        <w:rPr>
          <w:rFonts w:hint="eastAsia" w:hAnsi="宋体" w:cs="宋体"/>
          <w:b/>
          <w:color w:val="auto"/>
          <w:sz w:val="21"/>
          <w:szCs w:val="21"/>
          <w:highlight w:val="none"/>
        </w:rPr>
        <w:t>（一）</w:t>
      </w:r>
      <w:r>
        <w:rPr>
          <w:rFonts w:hAnsi="宋体" w:cs="宋体"/>
          <w:b/>
          <w:color w:val="auto"/>
          <w:sz w:val="21"/>
          <w:szCs w:val="21"/>
          <w:highlight w:val="none"/>
        </w:rPr>
        <w:t>磋商响应文件</w:t>
      </w:r>
      <w:r>
        <w:rPr>
          <w:rFonts w:hint="eastAsia" w:hAnsi="宋体" w:cs="宋体"/>
          <w:b/>
          <w:color w:val="auto"/>
          <w:sz w:val="21"/>
          <w:szCs w:val="21"/>
          <w:highlight w:val="none"/>
        </w:rPr>
        <w:t>的形式</w:t>
      </w:r>
    </w:p>
    <w:p>
      <w:pPr>
        <w:snapToGrid w:val="0"/>
        <w:spacing w:line="500" w:lineRule="exact"/>
        <w:ind w:firstLine="422" w:firstLineChars="200"/>
        <w:outlineLvl w:val="0"/>
        <w:rPr>
          <w:rFonts w:hint="eastAsia" w:hAnsi="宋体" w:cs="宋体"/>
          <w:b/>
          <w:color w:val="auto"/>
          <w:sz w:val="21"/>
          <w:szCs w:val="21"/>
          <w:highlight w:val="none"/>
        </w:rPr>
      </w:pPr>
      <w:r>
        <w:rPr>
          <w:rFonts w:hint="eastAsia" w:hAnsi="宋体" w:cs="宋体"/>
          <w:b/>
          <w:color w:val="auto"/>
          <w:sz w:val="21"/>
          <w:szCs w:val="21"/>
          <w:highlight w:val="none"/>
        </w:rPr>
        <w:t>1.</w:t>
      </w:r>
      <w:r>
        <w:rPr>
          <w:rFonts w:hAnsi="宋体" w:cs="Arial"/>
          <w:b/>
          <w:color w:val="auto"/>
          <w:sz w:val="24"/>
          <w:szCs w:val="24"/>
          <w:highlight w:val="none"/>
        </w:rPr>
        <w:t xml:space="preserve"> </w:t>
      </w:r>
      <w:r>
        <w:rPr>
          <w:rFonts w:hAnsi="宋体" w:cs="宋体"/>
          <w:b/>
          <w:color w:val="auto"/>
          <w:sz w:val="21"/>
          <w:szCs w:val="21"/>
          <w:highlight w:val="none"/>
        </w:rPr>
        <w:t>磋商响应文件</w:t>
      </w:r>
      <w:r>
        <w:rPr>
          <w:rFonts w:hint="eastAsia" w:hAnsi="宋体" w:cs="宋体"/>
          <w:b/>
          <w:color w:val="auto"/>
          <w:sz w:val="21"/>
          <w:szCs w:val="21"/>
          <w:highlight w:val="none"/>
        </w:rPr>
        <w:t>为电子投标文件。</w:t>
      </w:r>
    </w:p>
    <w:p>
      <w:pPr>
        <w:snapToGrid w:val="0"/>
        <w:spacing w:line="500" w:lineRule="exact"/>
        <w:ind w:firstLine="422" w:firstLineChars="200"/>
        <w:outlineLvl w:val="0"/>
        <w:rPr>
          <w:rFonts w:hint="eastAsia" w:hAnsi="宋体" w:cs="宋体"/>
          <w:b/>
          <w:color w:val="auto"/>
          <w:sz w:val="21"/>
          <w:szCs w:val="21"/>
          <w:highlight w:val="none"/>
        </w:rPr>
      </w:pPr>
      <w:r>
        <w:rPr>
          <w:rFonts w:hint="eastAsia" w:hAnsi="宋体" w:cs="宋体"/>
          <w:b/>
          <w:color w:val="auto"/>
          <w:sz w:val="21"/>
          <w:szCs w:val="21"/>
          <w:highlight w:val="none"/>
        </w:rPr>
        <w:t>1.1电子投标文件：电子投标文件按政采云平台供应商项目采购-电子交易操作指南（</w:t>
      </w:r>
      <w:r>
        <w:rPr>
          <w:rFonts w:cs="宋体"/>
          <w:color w:val="auto"/>
          <w:sz w:val="21"/>
          <w:szCs w:val="21"/>
          <w:highlight w:val="none"/>
          <w:shd w:val="clear" w:color="auto" w:fill="FFFFFF"/>
        </w:rPr>
        <w:t>https://edu.zcygov.cn/luban/e-biding?utm=a0004.2ef5001f.0001.0109.da8b35e0da8611e98d8937b7ef8a3544</w:t>
      </w:r>
      <w:r>
        <w:rPr>
          <w:rFonts w:hint="eastAsia" w:hAnsi="宋体" w:cs="宋体"/>
          <w:b/>
          <w:color w:val="auto"/>
          <w:sz w:val="21"/>
          <w:szCs w:val="21"/>
          <w:highlight w:val="none"/>
        </w:rPr>
        <w:t>）及本采购文件要求制作、加密并递交；</w:t>
      </w:r>
    </w:p>
    <w:p>
      <w:pPr>
        <w:snapToGrid w:val="0"/>
        <w:spacing w:line="500" w:lineRule="exact"/>
        <w:ind w:firstLine="422" w:firstLineChars="200"/>
        <w:outlineLvl w:val="0"/>
        <w:rPr>
          <w:rFonts w:hint="eastAsia" w:hAnsi="宋体" w:cs="宋体"/>
          <w:b/>
          <w:color w:val="auto"/>
          <w:sz w:val="21"/>
          <w:szCs w:val="21"/>
          <w:highlight w:val="none"/>
        </w:rPr>
      </w:pPr>
      <w:r>
        <w:rPr>
          <w:rFonts w:hint="eastAsia" w:hAnsi="宋体" w:cs="宋体"/>
          <w:b/>
          <w:color w:val="auto"/>
          <w:sz w:val="21"/>
          <w:szCs w:val="21"/>
          <w:highlight w:val="none"/>
        </w:rPr>
        <w:t>（二）投标文件的组成</w:t>
      </w:r>
    </w:p>
    <w:p>
      <w:pPr>
        <w:snapToGrid w:val="0"/>
        <w:spacing w:line="500" w:lineRule="exact"/>
        <w:ind w:firstLine="422" w:firstLineChars="200"/>
        <w:outlineLvl w:val="0"/>
        <w:rPr>
          <w:rFonts w:hint="eastAsia" w:hAnsi="宋体" w:cs="宋体"/>
          <w:b/>
          <w:color w:val="auto"/>
          <w:sz w:val="21"/>
          <w:szCs w:val="21"/>
          <w:highlight w:val="none"/>
        </w:rPr>
      </w:pPr>
      <w:r>
        <w:rPr>
          <w:rFonts w:hAnsi="宋体" w:cs="宋体"/>
          <w:b/>
          <w:color w:val="auto"/>
          <w:sz w:val="21"/>
          <w:szCs w:val="21"/>
          <w:highlight w:val="none"/>
        </w:rPr>
        <w:t>磋商响应文件</w:t>
      </w:r>
      <w:r>
        <w:rPr>
          <w:rFonts w:hint="eastAsia" w:hAnsi="宋体" w:cs="宋体"/>
          <w:b/>
          <w:color w:val="auto"/>
          <w:sz w:val="21"/>
          <w:szCs w:val="21"/>
          <w:highlight w:val="none"/>
        </w:rPr>
        <w:t>（电子投标文件）由资格文件、商务技术</w:t>
      </w:r>
      <w:r>
        <w:rPr>
          <w:rFonts w:hint="eastAsia" w:hAnsi="宋体" w:cs="Arial"/>
          <w:b/>
          <w:color w:val="auto"/>
          <w:sz w:val="21"/>
          <w:szCs w:val="21"/>
          <w:highlight w:val="none"/>
        </w:rPr>
        <w:t>响应文件</w:t>
      </w:r>
      <w:r>
        <w:rPr>
          <w:rFonts w:hint="eastAsia" w:hAnsi="宋体" w:cs="宋体"/>
          <w:b/>
          <w:color w:val="auto"/>
          <w:sz w:val="21"/>
          <w:szCs w:val="21"/>
          <w:highlight w:val="none"/>
        </w:rPr>
        <w:t>和</w:t>
      </w:r>
      <w:r>
        <w:rPr>
          <w:rFonts w:hint="eastAsia" w:hAnsi="宋体" w:cs="Arial"/>
          <w:b/>
          <w:color w:val="auto"/>
          <w:sz w:val="21"/>
          <w:szCs w:val="21"/>
          <w:highlight w:val="none"/>
        </w:rPr>
        <w:t>价格响应文件</w:t>
      </w:r>
      <w:r>
        <w:rPr>
          <w:rFonts w:hint="eastAsia" w:hAnsi="宋体" w:cs="宋体"/>
          <w:b/>
          <w:color w:val="auto"/>
          <w:sz w:val="21"/>
          <w:szCs w:val="21"/>
          <w:highlight w:val="none"/>
        </w:rPr>
        <w:t>三部份组成。</w:t>
      </w:r>
    </w:p>
    <w:p>
      <w:pPr>
        <w:snapToGrid w:val="0"/>
        <w:spacing w:line="500" w:lineRule="exact"/>
        <w:ind w:firstLine="422" w:firstLineChars="200"/>
        <w:outlineLvl w:val="0"/>
        <w:rPr>
          <w:rFonts w:hint="eastAsia" w:hAnsi="宋体" w:cs="宋体"/>
          <w:b/>
          <w:color w:val="auto"/>
          <w:sz w:val="21"/>
          <w:szCs w:val="21"/>
          <w:highlight w:val="none"/>
        </w:rPr>
      </w:pPr>
      <w:r>
        <w:rPr>
          <w:rFonts w:hint="eastAsia" w:hAnsi="宋体" w:cs="宋体"/>
          <w:b/>
          <w:color w:val="auto"/>
          <w:sz w:val="21"/>
          <w:szCs w:val="21"/>
          <w:highlight w:val="none"/>
        </w:rPr>
        <w:t>电子投标文件中所须加盖公章部分均采用CA签章。</w:t>
      </w:r>
    </w:p>
    <w:p>
      <w:pPr>
        <w:snapToGrid w:val="0"/>
        <w:spacing w:line="500" w:lineRule="exact"/>
        <w:ind w:firstLine="422" w:firstLineChars="200"/>
        <w:outlineLvl w:val="0"/>
        <w:rPr>
          <w:rFonts w:hint="eastAsia" w:hAnsi="宋体" w:cs="宋体"/>
          <w:color w:val="auto"/>
          <w:sz w:val="21"/>
          <w:szCs w:val="21"/>
          <w:highlight w:val="none"/>
        </w:rPr>
      </w:pPr>
      <w:r>
        <w:rPr>
          <w:rFonts w:hint="eastAsia" w:hAnsi="宋体" w:cs="宋体"/>
          <w:b/>
          <w:color w:val="auto"/>
          <w:sz w:val="21"/>
          <w:szCs w:val="21"/>
          <w:highlight w:val="none"/>
        </w:rPr>
        <w:t>注：本项目投标价格的信息只允许出现在“</w:t>
      </w:r>
      <w:r>
        <w:rPr>
          <w:rFonts w:hint="eastAsia" w:hAnsi="宋体" w:cs="Arial"/>
          <w:b/>
          <w:color w:val="auto"/>
          <w:sz w:val="21"/>
          <w:szCs w:val="21"/>
          <w:highlight w:val="none"/>
        </w:rPr>
        <w:t>价格响应文件</w:t>
      </w:r>
      <w:r>
        <w:rPr>
          <w:rFonts w:hint="eastAsia" w:hAnsi="宋体" w:cs="宋体"/>
          <w:b/>
          <w:color w:val="auto"/>
          <w:sz w:val="21"/>
          <w:szCs w:val="21"/>
          <w:highlight w:val="none"/>
        </w:rPr>
        <w:t>”中，不得出现在资格文件、商务技术</w:t>
      </w:r>
      <w:r>
        <w:rPr>
          <w:rFonts w:hint="eastAsia" w:hAnsi="宋体" w:cs="Arial"/>
          <w:b/>
          <w:color w:val="auto"/>
          <w:sz w:val="21"/>
          <w:szCs w:val="21"/>
          <w:highlight w:val="none"/>
        </w:rPr>
        <w:t>响应文件</w:t>
      </w:r>
      <w:r>
        <w:rPr>
          <w:rFonts w:hint="eastAsia" w:hAnsi="宋体" w:cs="宋体"/>
          <w:b/>
          <w:color w:val="auto"/>
          <w:sz w:val="21"/>
          <w:szCs w:val="21"/>
          <w:highlight w:val="none"/>
        </w:rPr>
        <w:t>中。</w:t>
      </w:r>
    </w:p>
    <w:p>
      <w:pPr>
        <w:snapToGrid w:val="0"/>
        <w:spacing w:line="460" w:lineRule="atLeast"/>
        <w:ind w:firstLine="422" w:firstLineChars="200"/>
        <w:textAlignment w:val="bottom"/>
        <w:rPr>
          <w:rFonts w:hint="eastAsia" w:hAnsi="宋体" w:cs="宋体"/>
          <w:b/>
          <w:color w:val="auto"/>
          <w:sz w:val="21"/>
          <w:szCs w:val="21"/>
          <w:highlight w:val="none"/>
        </w:rPr>
      </w:pPr>
      <w:r>
        <w:rPr>
          <w:rFonts w:hint="eastAsia" w:hAnsi="宋体" w:cs="宋体"/>
          <w:b/>
          <w:color w:val="auto"/>
          <w:sz w:val="21"/>
          <w:szCs w:val="21"/>
          <w:highlight w:val="none"/>
        </w:rPr>
        <w:t>1.资格文件部分</w:t>
      </w:r>
    </w:p>
    <w:p>
      <w:pPr>
        <w:autoSpaceDE/>
        <w:autoSpaceDN/>
        <w:adjustRightInd/>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（1）有效期内的营业执照副本</w:t>
      </w:r>
      <w:r>
        <w:rPr>
          <w:rFonts w:hint="eastAsia" w:hAnsi="宋体"/>
          <w:color w:val="auto"/>
          <w:sz w:val="21"/>
          <w:szCs w:val="21"/>
          <w:highlight w:val="none"/>
        </w:rPr>
        <w:t>扫描件或</w:t>
      </w:r>
      <w:r>
        <w:rPr>
          <w:rFonts w:hint="eastAsia" w:hAnsi="宋体" w:cs="宋体"/>
          <w:color w:val="auto"/>
          <w:sz w:val="21"/>
          <w:szCs w:val="21"/>
          <w:highlight w:val="none"/>
        </w:rPr>
        <w:t>复印件；</w:t>
      </w:r>
    </w:p>
    <w:p>
      <w:pPr>
        <w:autoSpaceDE/>
        <w:autoSpaceDN/>
        <w:adjustRightInd/>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（2）</w:t>
      </w:r>
      <w:r>
        <w:rPr>
          <w:rFonts w:hint="eastAsia" w:hAnsi="宋体" w:cs="宋体"/>
          <w:color w:val="auto"/>
          <w:sz w:val="21"/>
          <w:highlight w:val="none"/>
        </w:rPr>
        <w:t>法定代表人授权委托书</w:t>
      </w:r>
      <w:r>
        <w:rPr>
          <w:rFonts w:hint="eastAsia" w:hAnsi="宋体" w:cs="宋体"/>
          <w:color w:val="auto"/>
          <w:sz w:val="21"/>
          <w:szCs w:val="21"/>
          <w:highlight w:val="none"/>
        </w:rPr>
        <w:t>（格式见附件）；</w:t>
      </w:r>
    </w:p>
    <w:p>
      <w:pPr>
        <w:widowControl/>
        <w:autoSpaceDE/>
        <w:autoSpaceDN/>
        <w:adjustRightInd/>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（3）符合参加政府采购活动应当具备的一般条件的承诺函</w:t>
      </w:r>
      <w:r>
        <w:rPr>
          <w:rFonts w:hint="eastAsia" w:hAnsi="宋体" w:cs="宋体"/>
          <w:color w:val="auto"/>
          <w:sz w:val="21"/>
          <w:szCs w:val="21"/>
          <w:highlight w:val="none"/>
        </w:rPr>
        <w:t>（格式见附件）；</w:t>
      </w:r>
    </w:p>
    <w:p>
      <w:pPr>
        <w:widowControl/>
        <w:autoSpaceDE/>
        <w:autoSpaceDN/>
        <w:adjustRightInd/>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（4）落实政府采购政策需满足的资格要求</w:t>
      </w:r>
      <w:r>
        <w:rPr>
          <w:rFonts w:hint="eastAsia" w:hAnsi="宋体" w:cs="宋体"/>
          <w:color w:val="auto"/>
          <w:sz w:val="21"/>
          <w:szCs w:val="21"/>
          <w:highlight w:val="none"/>
        </w:rPr>
        <w:t>（格式见附件）；</w:t>
      </w:r>
    </w:p>
    <w:p>
      <w:pPr>
        <w:autoSpaceDE/>
        <w:autoSpaceDN/>
        <w:adjustRightInd/>
        <w:spacing w:line="460" w:lineRule="exact"/>
        <w:ind w:firstLine="422" w:firstLineChars="200"/>
        <w:jc w:val="both"/>
        <w:textAlignment w:val="auto"/>
        <w:rPr>
          <w:rFonts w:hAnsi="宋体" w:cs="Arial"/>
          <w:b/>
          <w:color w:val="auto"/>
          <w:sz w:val="21"/>
          <w:szCs w:val="21"/>
          <w:highlight w:val="none"/>
        </w:rPr>
      </w:pPr>
      <w:r>
        <w:rPr>
          <w:rFonts w:hint="eastAsia" w:hAnsi="宋体" w:cs="Arial"/>
          <w:b/>
          <w:color w:val="auto"/>
          <w:sz w:val="21"/>
          <w:szCs w:val="21"/>
          <w:highlight w:val="none"/>
        </w:rPr>
        <w:t>2.</w:t>
      </w:r>
      <w:r>
        <w:rPr>
          <w:rFonts w:hint="eastAsia" w:hAnsi="宋体" w:cs="宋体"/>
          <w:b/>
          <w:bCs/>
          <w:color w:val="auto"/>
          <w:sz w:val="21"/>
          <w:szCs w:val="21"/>
          <w:highlight w:val="none"/>
        </w:rPr>
        <w:t>商务技术文件</w:t>
      </w:r>
    </w:p>
    <w:p>
      <w:pPr>
        <w:autoSpaceDE/>
        <w:autoSpaceDN/>
        <w:adjustRightInd/>
        <w:spacing w:line="500" w:lineRule="exact"/>
        <w:ind w:firstLine="420" w:firstLineChars="200"/>
        <w:jc w:val="both"/>
        <w:textAlignment w:val="auto"/>
        <w:rPr>
          <w:rFonts w:hint="eastAsia" w:hAnsi="宋体"/>
          <w:color w:val="auto"/>
          <w:sz w:val="21"/>
          <w:szCs w:val="21"/>
          <w:highlight w:val="none"/>
        </w:rPr>
      </w:pPr>
      <w:bookmarkStart w:id="60" w:name="_Hlk8768887"/>
      <w:r>
        <w:rPr>
          <w:rFonts w:hint="eastAsia" w:hAnsi="宋体"/>
          <w:color w:val="auto"/>
          <w:sz w:val="21"/>
          <w:szCs w:val="21"/>
          <w:highlight w:val="none"/>
        </w:rPr>
        <w:t>（1）供应商技术商务标自评得分汇总表；（格式内容参照技术商务评分表，格式见附件）</w:t>
      </w:r>
    </w:p>
    <w:p>
      <w:pPr>
        <w:autoSpaceDE/>
        <w:autoSpaceDN/>
        <w:adjustRightInd/>
        <w:spacing w:line="500" w:lineRule="exact"/>
        <w:ind w:firstLine="420" w:firstLineChars="200"/>
        <w:jc w:val="both"/>
        <w:textAlignment w:val="auto"/>
        <w:rPr>
          <w:rFonts w:hint="eastAsia" w:hAnsi="宋体"/>
          <w:color w:val="auto"/>
          <w:sz w:val="21"/>
          <w:szCs w:val="21"/>
          <w:highlight w:val="none"/>
        </w:rPr>
      </w:pPr>
      <w:r>
        <w:rPr>
          <w:rFonts w:hint="eastAsia" w:hAnsi="宋体"/>
          <w:color w:val="auto"/>
          <w:sz w:val="21"/>
          <w:szCs w:val="21"/>
          <w:highlight w:val="none"/>
        </w:rPr>
        <w:t>（2）供应商情况表；（格式见附件）</w:t>
      </w:r>
    </w:p>
    <w:p>
      <w:pPr>
        <w:autoSpaceDE/>
        <w:autoSpaceDN/>
        <w:adjustRightInd/>
        <w:spacing w:line="500" w:lineRule="exact"/>
        <w:ind w:firstLine="420" w:firstLineChars="200"/>
        <w:jc w:val="both"/>
        <w:textAlignment w:val="auto"/>
        <w:rPr>
          <w:rFonts w:hint="eastAsia" w:hAnsi="宋体"/>
          <w:color w:val="auto"/>
          <w:sz w:val="21"/>
          <w:szCs w:val="21"/>
          <w:highlight w:val="none"/>
        </w:rPr>
      </w:pPr>
      <w:r>
        <w:rPr>
          <w:rFonts w:hint="eastAsia" w:hAnsi="宋体"/>
          <w:color w:val="auto"/>
          <w:sz w:val="21"/>
          <w:szCs w:val="21"/>
          <w:highlight w:val="none"/>
        </w:rPr>
        <w:t>（3）企业荣誉证书复印件加盖单位公章；</w:t>
      </w:r>
    </w:p>
    <w:p>
      <w:pPr>
        <w:autoSpaceDE/>
        <w:autoSpaceDN/>
        <w:adjustRightInd/>
        <w:spacing w:line="500" w:lineRule="exact"/>
        <w:ind w:firstLine="420" w:firstLineChars="200"/>
        <w:jc w:val="both"/>
        <w:textAlignment w:val="auto"/>
        <w:rPr>
          <w:rFonts w:hint="eastAsia" w:hAnsi="宋体"/>
          <w:color w:val="auto"/>
          <w:sz w:val="21"/>
          <w:szCs w:val="21"/>
          <w:highlight w:val="none"/>
        </w:rPr>
      </w:pPr>
      <w:r>
        <w:rPr>
          <w:rFonts w:hint="eastAsia" w:hAnsi="宋体"/>
          <w:color w:val="auto"/>
          <w:sz w:val="21"/>
          <w:szCs w:val="21"/>
          <w:highlight w:val="none"/>
        </w:rPr>
        <w:t>（4）同类项目业绩情况一览表（复印件加盖有效公章）；（格式见附件）</w:t>
      </w:r>
    </w:p>
    <w:p>
      <w:pPr>
        <w:autoSpaceDE/>
        <w:autoSpaceDN/>
        <w:adjustRightInd/>
        <w:spacing w:line="500" w:lineRule="exact"/>
        <w:ind w:firstLine="420" w:firstLineChars="200"/>
        <w:jc w:val="both"/>
        <w:textAlignment w:val="auto"/>
        <w:rPr>
          <w:rFonts w:hint="eastAsia" w:hAnsi="宋体"/>
          <w:color w:val="auto"/>
          <w:sz w:val="21"/>
          <w:szCs w:val="21"/>
          <w:highlight w:val="none"/>
        </w:rPr>
      </w:pPr>
      <w:r>
        <w:rPr>
          <w:rFonts w:hint="eastAsia" w:hAnsi="宋体"/>
          <w:color w:val="auto"/>
          <w:sz w:val="21"/>
          <w:szCs w:val="21"/>
          <w:highlight w:val="none"/>
        </w:rPr>
        <w:t>（5）投入到本项目的项目负责人、其他人员的情况汇总表</w:t>
      </w:r>
      <w:r>
        <w:rPr>
          <w:rFonts w:hint="eastAsia" w:hAnsi="宋体" w:cs="宋体"/>
          <w:bCs/>
          <w:color w:val="auto"/>
          <w:sz w:val="21"/>
          <w:szCs w:val="21"/>
          <w:highlight w:val="none"/>
        </w:rPr>
        <w:t>及同在本项目中的分工及职责：</w:t>
      </w:r>
    </w:p>
    <w:p>
      <w:pPr>
        <w:autoSpaceDE/>
        <w:autoSpaceDN/>
        <w:adjustRightInd/>
        <w:spacing w:line="500" w:lineRule="exact"/>
        <w:ind w:firstLine="420" w:firstLineChars="200"/>
        <w:jc w:val="both"/>
        <w:textAlignment w:val="auto"/>
        <w:rPr>
          <w:rFonts w:hint="eastAsia" w:hAnsi="宋体"/>
          <w:color w:val="auto"/>
          <w:sz w:val="21"/>
          <w:szCs w:val="21"/>
          <w:highlight w:val="none"/>
        </w:rPr>
      </w:pPr>
      <w:r>
        <w:rPr>
          <w:rFonts w:hint="eastAsia" w:hAnsi="宋体"/>
          <w:color w:val="auto"/>
          <w:sz w:val="21"/>
          <w:szCs w:val="21"/>
          <w:highlight w:val="none"/>
        </w:rPr>
        <w:t>①拟投入本项目的服务团队人员表；（格式见附件）</w:t>
      </w:r>
    </w:p>
    <w:p>
      <w:pPr>
        <w:autoSpaceDE/>
        <w:autoSpaceDN/>
        <w:adjustRightInd/>
        <w:spacing w:line="500" w:lineRule="exact"/>
        <w:ind w:firstLine="420" w:firstLineChars="200"/>
        <w:jc w:val="both"/>
        <w:textAlignment w:val="auto"/>
        <w:rPr>
          <w:rFonts w:hint="eastAsia" w:hAnsi="宋体"/>
          <w:color w:val="auto"/>
          <w:sz w:val="21"/>
          <w:szCs w:val="21"/>
          <w:highlight w:val="none"/>
        </w:rPr>
      </w:pPr>
      <w:r>
        <w:rPr>
          <w:rFonts w:hint="eastAsia" w:hAnsi="宋体"/>
          <w:color w:val="auto"/>
          <w:sz w:val="21"/>
          <w:szCs w:val="21"/>
          <w:highlight w:val="none"/>
        </w:rPr>
        <w:t>②拟投入本项目的服务团队负责人情况表；（格式见附件）</w:t>
      </w:r>
    </w:p>
    <w:p>
      <w:pPr>
        <w:autoSpaceDE/>
        <w:autoSpaceDN/>
        <w:adjustRightInd/>
        <w:spacing w:line="500" w:lineRule="exact"/>
        <w:ind w:firstLine="420" w:firstLineChars="200"/>
        <w:jc w:val="both"/>
        <w:textAlignment w:val="auto"/>
        <w:rPr>
          <w:rFonts w:hint="eastAsia" w:hAnsi="宋体"/>
          <w:color w:val="auto"/>
          <w:sz w:val="21"/>
          <w:szCs w:val="21"/>
          <w:highlight w:val="none"/>
        </w:rPr>
      </w:pPr>
      <w:r>
        <w:rPr>
          <w:rFonts w:hint="eastAsia" w:hAnsi="宋体"/>
          <w:color w:val="auto"/>
          <w:sz w:val="21"/>
          <w:szCs w:val="21"/>
          <w:highlight w:val="none"/>
        </w:rPr>
        <w:t>（6）项目设备投入一览表；（格式自拟）</w:t>
      </w:r>
    </w:p>
    <w:p>
      <w:pPr>
        <w:autoSpaceDE/>
        <w:autoSpaceDN/>
        <w:adjustRightInd/>
        <w:spacing w:line="500" w:lineRule="exact"/>
        <w:ind w:firstLine="420" w:firstLineChars="200"/>
        <w:jc w:val="both"/>
        <w:textAlignment w:val="auto"/>
        <w:rPr>
          <w:rFonts w:hint="eastAsia" w:hAnsi="宋体"/>
          <w:color w:val="auto"/>
          <w:sz w:val="21"/>
          <w:szCs w:val="21"/>
          <w:highlight w:val="none"/>
        </w:rPr>
      </w:pPr>
      <w:r>
        <w:rPr>
          <w:rFonts w:hint="eastAsia" w:hAnsi="宋体"/>
          <w:color w:val="auto"/>
          <w:sz w:val="21"/>
          <w:szCs w:val="21"/>
          <w:highlight w:val="none"/>
        </w:rPr>
        <w:t>（7）服务要求、商务条款偏离表；（格式见附件）</w:t>
      </w:r>
    </w:p>
    <w:p>
      <w:pPr>
        <w:autoSpaceDE/>
        <w:autoSpaceDN/>
        <w:adjustRightInd/>
        <w:spacing w:line="500" w:lineRule="exact"/>
        <w:ind w:firstLine="420" w:firstLineChars="200"/>
        <w:jc w:val="both"/>
        <w:textAlignment w:val="auto"/>
        <w:rPr>
          <w:rFonts w:hint="eastAsia" w:hAnsi="宋体" w:cs="宋体"/>
          <w:bCs/>
          <w:color w:val="auto"/>
          <w:sz w:val="21"/>
          <w:szCs w:val="21"/>
          <w:highlight w:val="none"/>
        </w:rPr>
      </w:pPr>
      <w:r>
        <w:rPr>
          <w:rFonts w:hint="eastAsia" w:hAnsi="宋体"/>
          <w:color w:val="auto"/>
          <w:sz w:val="21"/>
          <w:szCs w:val="21"/>
          <w:highlight w:val="none"/>
        </w:rPr>
        <w:t>（8）</w:t>
      </w:r>
      <w:r>
        <w:rPr>
          <w:rFonts w:hint="eastAsia" w:hAnsi="宋体" w:cs="宋体"/>
          <w:bCs/>
          <w:color w:val="auto"/>
          <w:sz w:val="21"/>
          <w:szCs w:val="21"/>
          <w:highlight w:val="none"/>
        </w:rPr>
        <w:t>针对本项目的详细服务方案（包括但不限于以下各项，格式自拟）：</w:t>
      </w:r>
    </w:p>
    <w:p>
      <w:pPr>
        <w:autoSpaceDE/>
        <w:autoSpaceDN/>
        <w:adjustRightInd/>
        <w:spacing w:line="500" w:lineRule="exact"/>
        <w:ind w:firstLine="420" w:firstLineChars="200"/>
        <w:jc w:val="both"/>
        <w:textAlignment w:val="auto"/>
        <w:rPr>
          <w:rFonts w:hint="eastAsia" w:hAnsi="宋体" w:cs="宋体"/>
          <w:bCs/>
          <w:color w:val="auto"/>
          <w:sz w:val="21"/>
          <w:szCs w:val="21"/>
          <w:highlight w:val="none"/>
        </w:rPr>
      </w:pPr>
      <w:r>
        <w:rPr>
          <w:rFonts w:hint="eastAsia" w:hAnsi="宋体" w:cs="宋体"/>
          <w:bCs/>
          <w:color w:val="auto"/>
          <w:sz w:val="21"/>
          <w:szCs w:val="21"/>
          <w:highlight w:val="none"/>
        </w:rPr>
        <w:t>①对本项目的需求理解，重点难点的分析等；</w:t>
      </w:r>
    </w:p>
    <w:p>
      <w:pPr>
        <w:autoSpaceDE/>
        <w:autoSpaceDN/>
        <w:adjustRightInd/>
        <w:spacing w:line="500" w:lineRule="exact"/>
        <w:ind w:firstLine="420" w:firstLineChars="200"/>
        <w:jc w:val="both"/>
        <w:textAlignment w:val="auto"/>
        <w:rPr>
          <w:rFonts w:hint="eastAsia" w:hAnsi="宋体" w:cs="宋体"/>
          <w:bCs/>
          <w:color w:val="auto"/>
          <w:sz w:val="21"/>
          <w:szCs w:val="21"/>
          <w:highlight w:val="none"/>
        </w:rPr>
      </w:pPr>
      <w:r>
        <w:rPr>
          <w:rFonts w:hint="eastAsia" w:hAnsi="宋体" w:cs="宋体"/>
          <w:bCs/>
          <w:color w:val="auto"/>
          <w:sz w:val="21"/>
          <w:szCs w:val="21"/>
          <w:highlight w:val="none"/>
        </w:rPr>
        <w:t>②对本项目现状的熟悉程度，总体技术设计方案的合理性等；</w:t>
      </w:r>
    </w:p>
    <w:p>
      <w:pPr>
        <w:autoSpaceDE/>
        <w:autoSpaceDN/>
        <w:adjustRightInd/>
        <w:spacing w:line="500" w:lineRule="exact"/>
        <w:ind w:firstLine="420" w:firstLineChars="200"/>
        <w:jc w:val="both"/>
        <w:textAlignment w:val="auto"/>
        <w:rPr>
          <w:rFonts w:hint="eastAsia" w:hAnsi="宋体" w:cs="宋体"/>
          <w:bCs/>
          <w:color w:val="auto"/>
          <w:sz w:val="21"/>
          <w:szCs w:val="21"/>
          <w:highlight w:val="none"/>
        </w:rPr>
      </w:pPr>
      <w:r>
        <w:rPr>
          <w:rFonts w:hint="eastAsia" w:hAnsi="宋体" w:cs="宋体"/>
          <w:bCs/>
          <w:color w:val="auto"/>
          <w:sz w:val="21"/>
          <w:szCs w:val="21"/>
          <w:highlight w:val="none"/>
        </w:rPr>
        <w:t>③项目整体进度计划安排；</w:t>
      </w:r>
    </w:p>
    <w:p>
      <w:pPr>
        <w:autoSpaceDE/>
        <w:autoSpaceDN/>
        <w:adjustRightInd/>
        <w:spacing w:line="500" w:lineRule="exact"/>
        <w:ind w:firstLine="420" w:firstLineChars="200"/>
        <w:jc w:val="both"/>
        <w:textAlignment w:val="auto"/>
        <w:rPr>
          <w:rFonts w:hint="eastAsia" w:hAnsi="宋体" w:cs="宋体"/>
          <w:bCs/>
          <w:color w:val="auto"/>
          <w:sz w:val="21"/>
          <w:szCs w:val="21"/>
          <w:highlight w:val="none"/>
        </w:rPr>
      </w:pPr>
      <w:r>
        <w:rPr>
          <w:rFonts w:hint="eastAsia" w:hAnsi="宋体" w:cs="宋体"/>
          <w:bCs/>
          <w:color w:val="auto"/>
          <w:sz w:val="21"/>
          <w:szCs w:val="21"/>
          <w:highlight w:val="none"/>
        </w:rPr>
        <w:t>④质量保证措施；</w:t>
      </w:r>
    </w:p>
    <w:p>
      <w:pPr>
        <w:autoSpaceDE/>
        <w:autoSpaceDN/>
        <w:adjustRightInd/>
        <w:spacing w:line="46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（9</w:t>
      </w:r>
      <w:r>
        <w:rPr>
          <w:rFonts w:hAnsi="宋体" w:cs="Arial"/>
          <w:color w:val="auto"/>
          <w:sz w:val="21"/>
          <w:szCs w:val="21"/>
          <w:highlight w:val="none"/>
        </w:rPr>
        <w:t>）售后服务的内容和措施</w:t>
      </w:r>
      <w:r>
        <w:rPr>
          <w:rFonts w:hint="eastAsia" w:hAnsi="宋体" w:cs="Arial"/>
          <w:color w:val="auto"/>
          <w:sz w:val="21"/>
          <w:szCs w:val="21"/>
          <w:highlight w:val="none"/>
        </w:rPr>
        <w:t>；</w:t>
      </w:r>
    </w:p>
    <w:p>
      <w:pPr>
        <w:autoSpaceDE/>
        <w:autoSpaceDN/>
        <w:adjustRightInd/>
        <w:spacing w:line="500" w:lineRule="exact"/>
        <w:ind w:firstLine="420" w:firstLineChars="200"/>
        <w:jc w:val="both"/>
        <w:textAlignment w:val="auto"/>
        <w:rPr>
          <w:rFonts w:hint="eastAsia" w:hAnsi="宋体" w:cs="宋体"/>
          <w:bCs/>
          <w:color w:val="auto"/>
          <w:sz w:val="21"/>
          <w:szCs w:val="21"/>
          <w:highlight w:val="none"/>
        </w:rPr>
      </w:pPr>
      <w:r>
        <w:rPr>
          <w:rFonts w:hint="eastAsia" w:hAnsi="宋体" w:cs="宋体"/>
          <w:bCs/>
          <w:color w:val="auto"/>
          <w:sz w:val="21"/>
          <w:szCs w:val="21"/>
          <w:highlight w:val="none"/>
        </w:rPr>
        <w:t>（10）评分规则中涉及的所需提供的内容；</w:t>
      </w:r>
    </w:p>
    <w:p>
      <w:pPr>
        <w:autoSpaceDE/>
        <w:autoSpaceDN/>
        <w:adjustRightInd/>
        <w:spacing w:line="500" w:lineRule="exact"/>
        <w:ind w:firstLine="420" w:firstLineChars="200"/>
        <w:jc w:val="both"/>
        <w:textAlignment w:val="auto"/>
        <w:rPr>
          <w:rFonts w:hAnsi="宋体" w:cs="宋体"/>
          <w:bCs/>
          <w:color w:val="auto"/>
          <w:sz w:val="21"/>
          <w:szCs w:val="21"/>
          <w:highlight w:val="none"/>
        </w:rPr>
      </w:pPr>
      <w:r>
        <w:rPr>
          <w:rFonts w:hint="eastAsia" w:hAnsi="宋体" w:cs="宋体"/>
          <w:bCs/>
          <w:color w:val="auto"/>
          <w:sz w:val="21"/>
          <w:szCs w:val="21"/>
          <w:highlight w:val="none"/>
        </w:rPr>
        <w:t>（11）其他供应商认为有必要提供的资料。</w:t>
      </w:r>
    </w:p>
    <w:bookmarkEnd w:id="60"/>
    <w:p>
      <w:pPr>
        <w:autoSpaceDE/>
        <w:autoSpaceDN/>
        <w:adjustRightInd/>
        <w:spacing w:line="460" w:lineRule="exact"/>
        <w:ind w:firstLine="422" w:firstLineChars="200"/>
        <w:jc w:val="both"/>
        <w:textAlignment w:val="auto"/>
        <w:rPr>
          <w:rFonts w:hAnsi="宋体" w:cs="宋体"/>
          <w:b/>
          <w:color w:val="auto"/>
          <w:sz w:val="21"/>
          <w:szCs w:val="21"/>
          <w:highlight w:val="none"/>
        </w:rPr>
      </w:pPr>
      <w:r>
        <w:rPr>
          <w:rFonts w:hint="eastAsia" w:hAnsi="宋体" w:cs="宋体"/>
          <w:b/>
          <w:color w:val="auto"/>
          <w:sz w:val="21"/>
          <w:szCs w:val="21"/>
          <w:highlight w:val="none"/>
        </w:rPr>
        <w:t>（★商务技术</w:t>
      </w:r>
      <w:r>
        <w:rPr>
          <w:rFonts w:hint="eastAsia" w:hAnsi="宋体" w:cs="Arial"/>
          <w:b/>
          <w:color w:val="auto"/>
          <w:sz w:val="21"/>
          <w:szCs w:val="21"/>
          <w:highlight w:val="none"/>
        </w:rPr>
        <w:t>响应文件</w:t>
      </w:r>
      <w:r>
        <w:rPr>
          <w:rFonts w:hint="eastAsia" w:hAnsi="宋体" w:cs="宋体"/>
          <w:b/>
          <w:color w:val="auto"/>
          <w:sz w:val="21"/>
          <w:szCs w:val="21"/>
          <w:highlight w:val="none"/>
        </w:rPr>
        <w:t>中不能出现报价内容）</w:t>
      </w:r>
    </w:p>
    <w:p>
      <w:pPr>
        <w:autoSpaceDE/>
        <w:autoSpaceDN/>
        <w:adjustRightInd/>
        <w:spacing w:line="500" w:lineRule="exact"/>
        <w:ind w:firstLine="422" w:firstLineChars="200"/>
        <w:jc w:val="both"/>
        <w:textAlignment w:val="auto"/>
        <w:rPr>
          <w:rFonts w:hint="eastAsia" w:hAnsi="宋体" w:cs="Arial"/>
          <w:b/>
          <w:color w:val="auto"/>
          <w:sz w:val="21"/>
          <w:szCs w:val="21"/>
          <w:highlight w:val="none"/>
        </w:rPr>
      </w:pPr>
      <w:r>
        <w:rPr>
          <w:rFonts w:hint="eastAsia" w:hAnsi="宋体" w:cs="Arial"/>
          <w:b/>
          <w:bCs/>
          <w:color w:val="auto"/>
          <w:sz w:val="21"/>
          <w:szCs w:val="21"/>
          <w:highlight w:val="none"/>
        </w:rPr>
        <w:t>提供演示视频，演示视频</w:t>
      </w:r>
      <w:r>
        <w:rPr>
          <w:rFonts w:hint="eastAsia" w:hAnsi="宋体" w:cs="Arial"/>
          <w:b/>
          <w:bCs/>
          <w:color w:val="auto"/>
          <w:sz w:val="21"/>
          <w:szCs w:val="21"/>
          <w:highlight w:val="none"/>
          <w:lang w:eastAsia="zh-CN"/>
        </w:rPr>
        <w:t>（</w:t>
      </w:r>
      <w:r>
        <w:rPr>
          <w:rFonts w:hint="eastAsia" w:hAnsi="宋体" w:cs="Arial"/>
          <w:b/>
          <w:bCs/>
          <w:color w:val="auto"/>
          <w:sz w:val="21"/>
          <w:szCs w:val="21"/>
          <w:highlight w:val="none"/>
          <w:lang w:val="en-US" w:eastAsia="zh-CN"/>
        </w:rPr>
        <w:t>通用格式</w:t>
      </w:r>
      <w:r>
        <w:rPr>
          <w:rFonts w:hint="eastAsia" w:hAnsi="宋体" w:cs="Arial"/>
          <w:b/>
          <w:bCs/>
          <w:color w:val="auto"/>
          <w:sz w:val="21"/>
          <w:szCs w:val="21"/>
          <w:highlight w:val="none"/>
          <w:lang w:eastAsia="zh-CN"/>
        </w:rPr>
        <w:t>）</w:t>
      </w:r>
      <w:r>
        <w:rPr>
          <w:rFonts w:hint="eastAsia" w:hAnsi="宋体" w:cs="Arial"/>
          <w:b/>
          <w:bCs/>
          <w:color w:val="auto"/>
          <w:sz w:val="21"/>
          <w:szCs w:val="21"/>
          <w:highlight w:val="none"/>
        </w:rPr>
        <w:t>通过U盘或者光盘存储，开标截止前一天单独密封邮寄至金华市天盈财务咨询有限公司或者开标截止前送至开标现场。</w:t>
      </w:r>
    </w:p>
    <w:p>
      <w:pPr>
        <w:autoSpaceDE/>
        <w:autoSpaceDN/>
        <w:adjustRightInd/>
        <w:spacing w:line="500" w:lineRule="exact"/>
        <w:ind w:firstLine="422" w:firstLineChars="200"/>
        <w:jc w:val="both"/>
        <w:textAlignment w:val="auto"/>
        <w:rPr>
          <w:rFonts w:hAnsi="宋体" w:cs="Arial"/>
          <w:b/>
          <w:color w:val="auto"/>
          <w:sz w:val="21"/>
          <w:szCs w:val="21"/>
          <w:highlight w:val="none"/>
        </w:rPr>
      </w:pPr>
      <w:r>
        <w:rPr>
          <w:rFonts w:hint="eastAsia" w:hAnsi="宋体" w:cs="Arial"/>
          <w:b/>
          <w:color w:val="auto"/>
          <w:sz w:val="21"/>
          <w:szCs w:val="21"/>
          <w:highlight w:val="none"/>
        </w:rPr>
        <w:t>3.价格响应文件部分</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（1）磋商响应函（格式见附件）；</w:t>
      </w:r>
    </w:p>
    <w:p>
      <w:pPr>
        <w:autoSpaceDE/>
        <w:autoSpaceDN/>
        <w:snapToGrid w:val="0"/>
        <w:spacing w:line="480" w:lineRule="exact"/>
        <w:ind w:firstLine="420" w:firstLineChars="200"/>
        <w:jc w:val="both"/>
        <w:textAlignment w:val="auto"/>
        <w:rPr>
          <w:rFonts w:hint="eastAsia" w:hAnsi="宋体" w:cs="Arial"/>
          <w:color w:val="auto"/>
          <w:sz w:val="21"/>
          <w:szCs w:val="21"/>
          <w:highlight w:val="none"/>
        </w:rPr>
      </w:pPr>
      <w:r>
        <w:rPr>
          <w:rFonts w:hint="eastAsia" w:hAnsi="宋体" w:cs="Arial"/>
          <w:color w:val="auto"/>
          <w:sz w:val="21"/>
          <w:szCs w:val="21"/>
          <w:highlight w:val="none"/>
        </w:rPr>
        <w:t>（2）</w:t>
      </w:r>
      <w:r>
        <w:rPr>
          <w:rFonts w:hint="eastAsia" w:hAnsi="宋体" w:cs="宋体"/>
          <w:color w:val="000000"/>
          <w:sz w:val="21"/>
          <w:szCs w:val="21"/>
        </w:rPr>
        <w:t>开标（报价）一览表（格式见附件）</w:t>
      </w:r>
      <w:r>
        <w:rPr>
          <w:rFonts w:hint="eastAsia" w:hAnsi="宋体" w:cs="Arial"/>
          <w:color w:val="auto"/>
          <w:sz w:val="21"/>
          <w:szCs w:val="21"/>
          <w:highlight w:val="none"/>
        </w:rPr>
        <w:t>；</w:t>
      </w:r>
    </w:p>
    <w:p>
      <w:pPr>
        <w:spacing w:line="500" w:lineRule="exact"/>
        <w:ind w:firstLine="420" w:firstLineChars="200"/>
        <w:rPr>
          <w:rFonts w:hint="eastAsia"/>
          <w:color w:val="auto"/>
          <w:highlight w:val="none"/>
        </w:rPr>
      </w:pPr>
      <w:r>
        <w:rPr>
          <w:rFonts w:hint="eastAsia" w:hAnsi="宋体" w:cs="Arial"/>
          <w:color w:val="auto"/>
          <w:sz w:val="21"/>
          <w:szCs w:val="21"/>
          <w:highlight w:val="none"/>
        </w:rPr>
        <w:t>（</w:t>
      </w:r>
      <w:r>
        <w:rPr>
          <w:rFonts w:hint="eastAsia" w:hAnsi="宋体" w:cs="Arial"/>
          <w:color w:val="auto"/>
          <w:sz w:val="21"/>
          <w:szCs w:val="21"/>
          <w:highlight w:val="none"/>
          <w:lang w:val="en-US" w:eastAsia="zh-CN"/>
        </w:rPr>
        <w:t>3</w:t>
      </w:r>
      <w:r>
        <w:rPr>
          <w:rFonts w:hint="eastAsia" w:hAnsi="宋体" w:cs="Arial"/>
          <w:color w:val="auto"/>
          <w:sz w:val="21"/>
          <w:szCs w:val="21"/>
          <w:highlight w:val="none"/>
        </w:rPr>
        <w:t>）报价明细表（格式见附件）；</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w:t>
      </w:r>
      <w:r>
        <w:rPr>
          <w:rFonts w:hint="eastAsia" w:hAnsi="宋体" w:cs="Arial"/>
          <w:color w:val="auto"/>
          <w:sz w:val="21"/>
          <w:szCs w:val="21"/>
          <w:highlight w:val="none"/>
          <w:lang w:val="en-US" w:eastAsia="zh-CN"/>
        </w:rPr>
        <w:t>4</w:t>
      </w:r>
      <w:r>
        <w:rPr>
          <w:rFonts w:hint="eastAsia" w:hAnsi="宋体" w:cs="Arial"/>
          <w:color w:val="auto"/>
          <w:sz w:val="21"/>
          <w:szCs w:val="21"/>
          <w:highlight w:val="none"/>
        </w:rPr>
        <w:t>）供应商针对报价需要说明的其他文件和说明（格式自拟）；</w:t>
      </w:r>
    </w:p>
    <w:p>
      <w:pPr>
        <w:autoSpaceDE/>
        <w:autoSpaceDN/>
        <w:adjustRightInd/>
        <w:spacing w:line="500" w:lineRule="exact"/>
        <w:ind w:firstLine="420" w:firstLineChars="200"/>
        <w:jc w:val="both"/>
        <w:textAlignment w:val="auto"/>
        <w:rPr>
          <w:rFonts w:hint="eastAsia" w:hAnsi="宋体" w:cs="Arial"/>
          <w:color w:val="auto"/>
          <w:sz w:val="21"/>
          <w:szCs w:val="21"/>
          <w:highlight w:val="none"/>
        </w:rPr>
      </w:pPr>
      <w:r>
        <w:rPr>
          <w:rFonts w:hint="eastAsia" w:hAnsi="宋体" w:cs="Arial"/>
          <w:color w:val="auto"/>
          <w:sz w:val="21"/>
          <w:szCs w:val="21"/>
          <w:highlight w:val="none"/>
        </w:rPr>
        <w:t>备注：供应商必须按后附表规定的格式完整、清晰、正确的填写，磋商报价一览表中不得填报有选择性的报价方案。</w:t>
      </w:r>
    </w:p>
    <w:p>
      <w:pPr>
        <w:autoSpaceDE/>
        <w:autoSpaceDN/>
        <w:adjustRightInd/>
        <w:spacing w:line="500" w:lineRule="exact"/>
        <w:ind w:firstLine="422" w:firstLineChars="200"/>
        <w:jc w:val="both"/>
        <w:textAlignment w:val="auto"/>
        <w:rPr>
          <w:rFonts w:hAnsi="宋体" w:cs="Arial"/>
          <w:b/>
          <w:color w:val="auto"/>
          <w:sz w:val="21"/>
          <w:szCs w:val="21"/>
          <w:highlight w:val="none"/>
        </w:rPr>
      </w:pPr>
      <w:r>
        <w:rPr>
          <w:rFonts w:hint="eastAsia" w:hAnsi="宋体" w:cs="Arial"/>
          <w:b/>
          <w:color w:val="auto"/>
          <w:sz w:val="21"/>
          <w:szCs w:val="21"/>
          <w:highlight w:val="none"/>
        </w:rPr>
        <w:t>（二）磋商响应文件的语言及计量</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rPr>
        <w:t>.</w:t>
      </w:r>
      <w:r>
        <w:rPr>
          <w:rFonts w:hAnsi="宋体" w:cs="Arial"/>
          <w:color w:val="auto"/>
          <w:sz w:val="21"/>
          <w:szCs w:val="21"/>
          <w:highlight w:val="none"/>
        </w:rPr>
        <w:t>磋商响应文件以及</w:t>
      </w:r>
      <w:r>
        <w:rPr>
          <w:rFonts w:hint="eastAsia" w:hAnsi="宋体" w:cs="Arial"/>
          <w:color w:val="auto"/>
          <w:sz w:val="21"/>
          <w:szCs w:val="21"/>
          <w:highlight w:val="none"/>
        </w:rPr>
        <w:t>供应商</w:t>
      </w:r>
      <w:r>
        <w:rPr>
          <w:rFonts w:hAnsi="宋体" w:cs="Arial"/>
          <w:color w:val="auto"/>
          <w:sz w:val="21"/>
          <w:szCs w:val="21"/>
          <w:highlight w:val="none"/>
        </w:rPr>
        <w:t>就有关</w:t>
      </w:r>
      <w:r>
        <w:rPr>
          <w:rFonts w:hint="eastAsia" w:hAnsi="宋体" w:cs="Arial"/>
          <w:color w:val="auto"/>
          <w:sz w:val="21"/>
          <w:szCs w:val="21"/>
          <w:highlight w:val="none"/>
        </w:rPr>
        <w:t>竞争性磋商</w:t>
      </w:r>
      <w:r>
        <w:rPr>
          <w:rFonts w:hAnsi="宋体" w:cs="Arial"/>
          <w:color w:val="auto"/>
          <w:sz w:val="21"/>
          <w:szCs w:val="21"/>
          <w:highlight w:val="none"/>
        </w:rPr>
        <w:t>事宜的所有来往函电，均应以中文汉语书写。除签名、盖章、专用名称等特殊情形外，以中文汉语以外的文字表述的磋商响应文件视同未提供。</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2</w:t>
      </w:r>
      <w:r>
        <w:rPr>
          <w:rFonts w:hint="eastAsia" w:hAnsi="宋体" w:cs="Arial"/>
          <w:color w:val="auto"/>
          <w:sz w:val="21"/>
          <w:szCs w:val="21"/>
          <w:highlight w:val="none"/>
        </w:rPr>
        <w:t>.</w:t>
      </w:r>
      <w:r>
        <w:rPr>
          <w:rFonts w:hAnsi="宋体" w:cs="Arial"/>
          <w:color w:val="auto"/>
          <w:sz w:val="21"/>
          <w:szCs w:val="21"/>
          <w:highlight w:val="none"/>
        </w:rPr>
        <w:t>计量单位</w:t>
      </w:r>
      <w:r>
        <w:rPr>
          <w:rFonts w:hint="eastAsia" w:hAnsi="宋体" w:cs="Arial"/>
          <w:color w:val="auto"/>
          <w:sz w:val="21"/>
          <w:szCs w:val="21"/>
          <w:highlight w:val="none"/>
        </w:rPr>
        <w:t>：</w:t>
      </w:r>
      <w:r>
        <w:rPr>
          <w:rFonts w:hAnsi="宋体" w:cs="Arial"/>
          <w:color w:val="auto"/>
          <w:sz w:val="21"/>
          <w:szCs w:val="21"/>
          <w:highlight w:val="none"/>
        </w:rPr>
        <w:t>磋商文件已有明确规定的，使用磋商文件规定的计量单位；磋商文件没有规定的，应采用中华人民共和国法定计量单位（货币单位：人民币元），否则视同未响应。</w:t>
      </w:r>
    </w:p>
    <w:p>
      <w:pPr>
        <w:autoSpaceDE/>
        <w:autoSpaceDN/>
        <w:adjustRightInd/>
        <w:spacing w:line="500" w:lineRule="exact"/>
        <w:ind w:firstLine="422" w:firstLineChars="200"/>
        <w:jc w:val="both"/>
        <w:textAlignment w:val="auto"/>
        <w:rPr>
          <w:rFonts w:hAnsi="宋体" w:cs="Arial"/>
          <w:b/>
          <w:color w:val="auto"/>
          <w:sz w:val="21"/>
          <w:szCs w:val="21"/>
          <w:highlight w:val="none"/>
        </w:rPr>
      </w:pPr>
      <w:r>
        <w:rPr>
          <w:rFonts w:hint="eastAsia" w:hAnsi="宋体" w:cs="Arial"/>
          <w:b/>
          <w:color w:val="auto"/>
          <w:sz w:val="21"/>
          <w:szCs w:val="21"/>
          <w:highlight w:val="none"/>
        </w:rPr>
        <w:t>（三）磋商报价</w:t>
      </w:r>
    </w:p>
    <w:p>
      <w:pPr>
        <w:autoSpaceDE/>
        <w:autoSpaceDN/>
        <w:adjustRightInd/>
        <w:spacing w:line="46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（1）</w:t>
      </w:r>
      <w:r>
        <w:rPr>
          <w:rFonts w:hAnsi="宋体" w:cs="Arial"/>
          <w:color w:val="auto"/>
          <w:sz w:val="21"/>
          <w:szCs w:val="21"/>
          <w:highlight w:val="none"/>
        </w:rPr>
        <w:t>磋商报价应按</w:t>
      </w:r>
      <w:r>
        <w:rPr>
          <w:rFonts w:hint="eastAsia" w:hAnsi="宋体" w:cs="Arial"/>
          <w:color w:val="auto"/>
          <w:sz w:val="21"/>
          <w:szCs w:val="21"/>
          <w:highlight w:val="none"/>
        </w:rPr>
        <w:t>采购</w:t>
      </w:r>
      <w:r>
        <w:rPr>
          <w:rFonts w:hAnsi="宋体" w:cs="Arial"/>
          <w:color w:val="auto"/>
          <w:sz w:val="21"/>
          <w:szCs w:val="21"/>
          <w:highlight w:val="none"/>
        </w:rPr>
        <w:t>文件中相关附表格式填写。</w:t>
      </w:r>
    </w:p>
    <w:p>
      <w:pPr>
        <w:autoSpaceDE/>
        <w:autoSpaceDN/>
        <w:adjustRightInd/>
        <w:spacing w:line="500" w:lineRule="exact"/>
        <w:ind w:firstLine="420" w:firstLineChars="200"/>
        <w:jc w:val="both"/>
        <w:textAlignment w:val="auto"/>
        <w:rPr>
          <w:color w:val="auto"/>
          <w:highlight w:val="none"/>
        </w:rPr>
      </w:pPr>
      <w:r>
        <w:rPr>
          <w:rFonts w:hint="eastAsia" w:hAnsi="宋体" w:cs="Arial"/>
          <w:color w:val="auto"/>
          <w:sz w:val="21"/>
          <w:szCs w:val="21"/>
          <w:highlight w:val="none"/>
        </w:rPr>
        <w:t>（2）磋商</w:t>
      </w:r>
      <w:r>
        <w:rPr>
          <w:rFonts w:hAnsi="宋体" w:cs="Arial"/>
          <w:color w:val="auto"/>
          <w:sz w:val="21"/>
          <w:szCs w:val="21"/>
          <w:highlight w:val="none"/>
        </w:rPr>
        <w:t>报价</w:t>
      </w:r>
      <w:r>
        <w:rPr>
          <w:rFonts w:hint="eastAsia" w:hAnsi="宋体" w:cs="Arial"/>
          <w:color w:val="auto"/>
          <w:sz w:val="21"/>
          <w:szCs w:val="21"/>
          <w:highlight w:val="none"/>
        </w:rPr>
        <w:t>：</w:t>
      </w:r>
      <w:r>
        <w:rPr>
          <w:rFonts w:hint="eastAsia" w:hAnsi="宋体" w:cs="宋体"/>
          <w:b/>
          <w:color w:val="auto"/>
          <w:sz w:val="21"/>
          <w:szCs w:val="21"/>
          <w:highlight w:val="none"/>
        </w:rPr>
        <w:t>本项目设有最高限价，供应商的磋商报价不得超过最高限价，高于最高限价作为无效报价处理。</w:t>
      </w:r>
    </w:p>
    <w:p>
      <w:pPr>
        <w:widowControl/>
        <w:autoSpaceDE/>
        <w:autoSpaceDN/>
        <w:adjustRightInd/>
        <w:spacing w:line="46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★（3）</w:t>
      </w:r>
      <w:r>
        <w:rPr>
          <w:rFonts w:hAnsi="宋体" w:cs="Arial"/>
          <w:color w:val="auto"/>
          <w:sz w:val="21"/>
          <w:szCs w:val="21"/>
          <w:highlight w:val="none"/>
        </w:rPr>
        <w:t>磋商报价</w:t>
      </w:r>
      <w:r>
        <w:rPr>
          <w:rFonts w:hint="eastAsia" w:hAnsi="宋体" w:cs="Arial"/>
          <w:b/>
          <w:color w:val="auto"/>
          <w:sz w:val="21"/>
          <w:szCs w:val="21"/>
          <w:highlight w:val="none"/>
        </w:rPr>
        <w:t>系指</w:t>
      </w:r>
      <w:r>
        <w:rPr>
          <w:rFonts w:hAnsi="宋体" w:cs="Arial"/>
          <w:b/>
          <w:color w:val="auto"/>
          <w:sz w:val="21"/>
          <w:szCs w:val="21"/>
          <w:highlight w:val="none"/>
        </w:rPr>
        <w:t>磋商文件所确定</w:t>
      </w:r>
      <w:r>
        <w:rPr>
          <w:rFonts w:hint="eastAsia" w:hAnsi="宋体" w:cs="Arial"/>
          <w:b/>
          <w:color w:val="auto"/>
          <w:sz w:val="21"/>
          <w:szCs w:val="21"/>
          <w:highlight w:val="none"/>
        </w:rPr>
        <w:t>采购</w:t>
      </w:r>
      <w:r>
        <w:rPr>
          <w:rFonts w:hAnsi="宋体" w:cs="Arial"/>
          <w:b/>
          <w:color w:val="auto"/>
          <w:sz w:val="21"/>
          <w:szCs w:val="21"/>
          <w:highlight w:val="none"/>
        </w:rPr>
        <w:t>范围内全部工作内容的价格表现，应包括</w:t>
      </w:r>
      <w:r>
        <w:rPr>
          <w:rFonts w:hint="eastAsia" w:hAnsi="宋体"/>
          <w:b/>
          <w:bCs/>
          <w:color w:val="auto"/>
          <w:sz w:val="21"/>
          <w:highlight w:val="none"/>
        </w:rPr>
        <w:t>项目实施人员费用、软件开发、安装、调试、测试、技术交底、技术培训、售后服务、验收、培训、采购代理服务费、保修及其他配套服务等一切税金和费用</w:t>
      </w:r>
      <w:r>
        <w:rPr>
          <w:rFonts w:hint="eastAsia" w:hAnsi="宋体" w:cs="宋体"/>
          <w:b/>
          <w:bCs/>
          <w:color w:val="auto"/>
          <w:sz w:val="21"/>
          <w:szCs w:val="21"/>
          <w:highlight w:val="none"/>
        </w:rPr>
        <w:t>。</w:t>
      </w:r>
      <w:r>
        <w:rPr>
          <w:rFonts w:hint="eastAsia" w:hAnsi="宋体" w:cs="Arial"/>
          <w:b/>
          <w:bCs/>
          <w:color w:val="auto"/>
          <w:sz w:val="21"/>
          <w:szCs w:val="21"/>
          <w:highlight w:val="none"/>
        </w:rPr>
        <w:t>在磋商过程中，磋商小组可与供应商进行多轮磋商；供应商应按磋商小组要求</w:t>
      </w:r>
      <w:r>
        <w:rPr>
          <w:rFonts w:hint="eastAsia" w:hAnsi="宋体" w:cs="Arial"/>
          <w:b/>
          <w:bCs/>
          <w:color w:val="auto"/>
          <w:sz w:val="21"/>
          <w:szCs w:val="21"/>
          <w:highlight w:val="none"/>
          <w:shd w:val="clear" w:color="auto" w:fill="FFFFFF"/>
        </w:rPr>
        <w:t>在规定时间内进行最终报价</w:t>
      </w:r>
      <w:r>
        <w:rPr>
          <w:rFonts w:hint="eastAsia" w:hAnsi="宋体" w:cs="Arial"/>
          <w:b/>
          <w:bCs/>
          <w:color w:val="auto"/>
          <w:sz w:val="21"/>
          <w:szCs w:val="21"/>
          <w:highlight w:val="none"/>
        </w:rPr>
        <w:t>，被认可并接受的最终报价是履行合同的价格。</w:t>
      </w:r>
      <w:r>
        <w:rPr>
          <w:rFonts w:hint="eastAsia" w:hAnsi="宋体" w:cs="Arial"/>
          <w:b/>
          <w:color w:val="auto"/>
          <w:sz w:val="21"/>
          <w:szCs w:val="21"/>
          <w:highlight w:val="none"/>
        </w:rPr>
        <w:t>供应商</w:t>
      </w:r>
      <w:r>
        <w:rPr>
          <w:rFonts w:hAnsi="宋体" w:cs="Arial"/>
          <w:b/>
          <w:color w:val="auto"/>
          <w:sz w:val="21"/>
          <w:szCs w:val="21"/>
          <w:highlight w:val="none"/>
        </w:rPr>
        <w:t>须充分考虑实际服务内容和需求，针对自身实际情况，核算所需的成本及合理的利润，自行报价</w:t>
      </w:r>
      <w:r>
        <w:rPr>
          <w:rFonts w:hint="eastAsia" w:hAnsi="宋体" w:cs="Arial"/>
          <w:b/>
          <w:color w:val="auto"/>
          <w:sz w:val="21"/>
          <w:szCs w:val="21"/>
          <w:highlight w:val="none"/>
        </w:rPr>
        <w:t>，</w:t>
      </w:r>
      <w:r>
        <w:rPr>
          <w:rFonts w:hAnsi="宋体" w:cs="Arial"/>
          <w:b/>
          <w:color w:val="auto"/>
          <w:sz w:val="21"/>
          <w:szCs w:val="21"/>
          <w:highlight w:val="none"/>
        </w:rPr>
        <w:t>结算时由供应商开具正式发票。</w:t>
      </w:r>
    </w:p>
    <w:p>
      <w:pPr>
        <w:autoSpaceDE/>
        <w:autoSpaceDN/>
        <w:adjustRightInd/>
        <w:spacing w:line="46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（4）</w:t>
      </w:r>
      <w:r>
        <w:rPr>
          <w:rFonts w:hAnsi="宋体" w:cs="Arial"/>
          <w:color w:val="auto"/>
          <w:sz w:val="21"/>
          <w:szCs w:val="21"/>
          <w:highlight w:val="none"/>
        </w:rPr>
        <w:t>磋商响应文件只允许有一个</w:t>
      </w:r>
      <w:r>
        <w:rPr>
          <w:rFonts w:hint="eastAsia" w:hAnsi="宋体" w:cs="Arial"/>
          <w:color w:val="auto"/>
          <w:sz w:val="21"/>
          <w:szCs w:val="21"/>
          <w:highlight w:val="none"/>
        </w:rPr>
        <w:t>首次磋商</w:t>
      </w:r>
      <w:r>
        <w:rPr>
          <w:rFonts w:hAnsi="宋体" w:cs="Arial"/>
          <w:color w:val="auto"/>
          <w:sz w:val="21"/>
          <w:szCs w:val="21"/>
          <w:highlight w:val="none"/>
        </w:rPr>
        <w:t>报价，有选择的</w:t>
      </w:r>
      <w:r>
        <w:rPr>
          <w:rFonts w:hint="eastAsia" w:hAnsi="宋体" w:cs="Arial"/>
          <w:color w:val="auto"/>
          <w:sz w:val="21"/>
          <w:szCs w:val="21"/>
          <w:highlight w:val="none"/>
        </w:rPr>
        <w:t>或有条件的</w:t>
      </w:r>
      <w:r>
        <w:rPr>
          <w:rFonts w:hAnsi="宋体" w:cs="Arial"/>
          <w:color w:val="auto"/>
          <w:sz w:val="21"/>
          <w:szCs w:val="21"/>
          <w:highlight w:val="none"/>
        </w:rPr>
        <w:t>报价将不予接受。</w:t>
      </w:r>
    </w:p>
    <w:p>
      <w:pPr>
        <w:autoSpaceDE/>
        <w:autoSpaceDN/>
        <w:adjustRightInd/>
        <w:snapToGrid w:val="0"/>
        <w:spacing w:line="500" w:lineRule="exact"/>
        <w:ind w:firstLine="422" w:firstLineChars="200"/>
        <w:textAlignment w:val="auto"/>
        <w:rPr>
          <w:rFonts w:hAnsi="宋体" w:cs="Arial"/>
          <w:b/>
          <w:color w:val="auto"/>
          <w:sz w:val="21"/>
          <w:szCs w:val="21"/>
          <w:highlight w:val="none"/>
        </w:rPr>
      </w:pPr>
      <w:r>
        <w:rPr>
          <w:rFonts w:hint="eastAsia" w:hAnsi="宋体" w:cs="Arial"/>
          <w:b/>
          <w:color w:val="auto"/>
          <w:sz w:val="21"/>
          <w:szCs w:val="21"/>
          <w:highlight w:val="none"/>
        </w:rPr>
        <w:t>（四）磋商响应文件的有效期</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rPr>
        <w:t>.</w:t>
      </w:r>
      <w:r>
        <w:rPr>
          <w:rFonts w:hAnsi="宋体" w:cs="Arial"/>
          <w:color w:val="auto"/>
          <w:sz w:val="21"/>
          <w:szCs w:val="21"/>
          <w:highlight w:val="none"/>
        </w:rPr>
        <w:t>自</w:t>
      </w:r>
      <w:r>
        <w:rPr>
          <w:rFonts w:hint="eastAsia" w:hAnsi="宋体" w:cs="Arial"/>
          <w:color w:val="auto"/>
          <w:sz w:val="21"/>
          <w:szCs w:val="21"/>
          <w:highlight w:val="none"/>
        </w:rPr>
        <w:t>递交响应文件</w:t>
      </w:r>
      <w:r>
        <w:rPr>
          <w:rFonts w:hAnsi="宋体" w:cs="Arial"/>
          <w:color w:val="auto"/>
          <w:sz w:val="21"/>
          <w:szCs w:val="21"/>
          <w:highlight w:val="none"/>
        </w:rPr>
        <w:t>截止日起</w:t>
      </w:r>
      <w:r>
        <w:rPr>
          <w:rFonts w:hint="eastAsia" w:hAnsi="宋体" w:cs="Arial"/>
          <w:color w:val="auto"/>
          <w:sz w:val="21"/>
          <w:szCs w:val="21"/>
          <w:highlight w:val="none"/>
        </w:rPr>
        <w:t>90</w:t>
      </w:r>
      <w:r>
        <w:rPr>
          <w:rFonts w:hAnsi="宋体" w:cs="Arial"/>
          <w:color w:val="auto"/>
          <w:sz w:val="21"/>
          <w:szCs w:val="21"/>
          <w:highlight w:val="none"/>
        </w:rPr>
        <w:t>天磋商响应文件应保持有效。有效期</w:t>
      </w:r>
      <w:r>
        <w:rPr>
          <w:rFonts w:hint="eastAsia" w:hAnsi="宋体" w:cs="Arial"/>
          <w:color w:val="auto"/>
          <w:sz w:val="21"/>
          <w:szCs w:val="21"/>
          <w:highlight w:val="none"/>
        </w:rPr>
        <w:t>不足</w:t>
      </w:r>
      <w:r>
        <w:rPr>
          <w:rFonts w:hAnsi="宋体" w:cs="Arial"/>
          <w:color w:val="auto"/>
          <w:sz w:val="21"/>
          <w:szCs w:val="21"/>
          <w:highlight w:val="none"/>
        </w:rPr>
        <w:t>的磋商响应文件将被拒绝。</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2</w:t>
      </w:r>
      <w:r>
        <w:rPr>
          <w:rFonts w:hint="eastAsia" w:hAnsi="宋体" w:cs="Arial"/>
          <w:color w:val="auto"/>
          <w:sz w:val="21"/>
          <w:szCs w:val="21"/>
          <w:highlight w:val="none"/>
        </w:rPr>
        <w:t>.</w:t>
      </w:r>
      <w:r>
        <w:rPr>
          <w:rFonts w:hAnsi="宋体" w:cs="Arial"/>
          <w:color w:val="auto"/>
          <w:sz w:val="21"/>
          <w:szCs w:val="21"/>
          <w:highlight w:val="none"/>
        </w:rPr>
        <w:t>在特殊情况下，采购人可与供应商协商延长磋商响应文件的有效期，这种要求和答复均以书面形式进行。</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3</w:t>
      </w:r>
      <w:r>
        <w:rPr>
          <w:rFonts w:hint="eastAsia" w:hAnsi="宋体" w:cs="Arial"/>
          <w:color w:val="auto"/>
          <w:sz w:val="21"/>
          <w:szCs w:val="21"/>
          <w:highlight w:val="none"/>
        </w:rPr>
        <w:t>.</w:t>
      </w:r>
      <w:r>
        <w:rPr>
          <w:rFonts w:hAnsi="宋体" w:cs="Arial"/>
          <w:color w:val="auto"/>
          <w:sz w:val="21"/>
          <w:szCs w:val="21"/>
          <w:highlight w:val="none"/>
        </w:rPr>
        <w:t>供应商可拒绝接受延期要求</w:t>
      </w:r>
      <w:r>
        <w:rPr>
          <w:rFonts w:hint="eastAsia" w:hAnsi="宋体" w:cs="Arial"/>
          <w:color w:val="auto"/>
          <w:sz w:val="21"/>
          <w:szCs w:val="21"/>
          <w:highlight w:val="none"/>
        </w:rPr>
        <w:t>。</w:t>
      </w:r>
      <w:r>
        <w:rPr>
          <w:rFonts w:hAnsi="宋体" w:cs="Arial"/>
          <w:color w:val="auto"/>
          <w:sz w:val="21"/>
          <w:szCs w:val="21"/>
          <w:highlight w:val="none"/>
        </w:rPr>
        <w:t>同意延长有效期的，不能</w:t>
      </w:r>
      <w:r>
        <w:rPr>
          <w:rFonts w:hint="eastAsia" w:hAnsi="宋体" w:cs="Arial"/>
          <w:color w:val="auto"/>
          <w:sz w:val="21"/>
          <w:szCs w:val="21"/>
          <w:highlight w:val="none"/>
        </w:rPr>
        <w:t>以此为由</w:t>
      </w:r>
      <w:r>
        <w:rPr>
          <w:rFonts w:hAnsi="宋体" w:cs="Arial"/>
          <w:color w:val="auto"/>
          <w:sz w:val="21"/>
          <w:szCs w:val="21"/>
          <w:highlight w:val="none"/>
        </w:rPr>
        <w:t xml:space="preserve">修改磋商响应文件。 </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4</w:t>
      </w:r>
      <w:r>
        <w:rPr>
          <w:rFonts w:hint="eastAsia" w:hAnsi="宋体" w:cs="Arial"/>
          <w:color w:val="auto"/>
          <w:sz w:val="21"/>
          <w:szCs w:val="21"/>
          <w:highlight w:val="none"/>
        </w:rPr>
        <w:t>.</w:t>
      </w:r>
      <w:r>
        <w:rPr>
          <w:rFonts w:hAnsi="宋体" w:cs="Arial"/>
          <w:color w:val="auto"/>
          <w:sz w:val="21"/>
          <w:szCs w:val="21"/>
          <w:highlight w:val="none"/>
        </w:rPr>
        <w:t>成交供应商的磋商响应文件自</w:t>
      </w:r>
      <w:r>
        <w:rPr>
          <w:rFonts w:hint="eastAsia" w:hAnsi="宋体" w:cs="Arial"/>
          <w:color w:val="auto"/>
          <w:sz w:val="21"/>
          <w:szCs w:val="21"/>
          <w:highlight w:val="none"/>
        </w:rPr>
        <w:t>磋商</w:t>
      </w:r>
      <w:r>
        <w:rPr>
          <w:rFonts w:hAnsi="宋体" w:cs="Arial"/>
          <w:color w:val="auto"/>
          <w:sz w:val="21"/>
          <w:szCs w:val="21"/>
          <w:highlight w:val="none"/>
        </w:rPr>
        <w:t>之日起至合同履行完毕止均应保持有效。</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（五）磋商响应文件的签署和份数</w:t>
      </w:r>
    </w:p>
    <w:p>
      <w:pPr>
        <w:widowControl/>
        <w:snapToGrid w:val="0"/>
        <w:spacing w:line="460" w:lineRule="exact"/>
        <w:ind w:firstLine="420"/>
        <w:rPr>
          <w:rFonts w:hint="eastAsia" w:hAnsi="宋体" w:cs="宋体"/>
          <w:color w:val="auto"/>
          <w:sz w:val="21"/>
          <w:highlight w:val="none"/>
        </w:rPr>
      </w:pPr>
      <w:r>
        <w:rPr>
          <w:rFonts w:hint="eastAsia" w:hAnsi="宋体" w:cs="宋体"/>
          <w:color w:val="auto"/>
          <w:sz w:val="21"/>
          <w:szCs w:val="24"/>
          <w:highlight w:val="none"/>
        </w:rPr>
        <w:t>1.</w:t>
      </w:r>
      <w:r>
        <w:rPr>
          <w:rFonts w:hint="eastAsia" w:hAnsi="宋体" w:cs="宋体"/>
          <w:color w:val="auto"/>
          <w:sz w:val="21"/>
          <w:highlight w:val="none"/>
        </w:rPr>
        <w:t>电子</w:t>
      </w:r>
      <w:r>
        <w:rPr>
          <w:rFonts w:hint="eastAsia" w:hAnsi="宋体" w:cs="Arial"/>
          <w:color w:val="auto"/>
          <w:sz w:val="21"/>
          <w:szCs w:val="21"/>
          <w:highlight w:val="none"/>
        </w:rPr>
        <w:t>磋商响应文件（投标文件）</w:t>
      </w:r>
      <w:r>
        <w:rPr>
          <w:rFonts w:hint="eastAsia" w:hAnsi="宋体" w:cs="宋体"/>
          <w:color w:val="auto"/>
          <w:sz w:val="21"/>
          <w:highlight w:val="none"/>
        </w:rPr>
        <w:t>部分：</w:t>
      </w:r>
    </w:p>
    <w:p>
      <w:pPr>
        <w:widowControl/>
        <w:snapToGrid w:val="0"/>
        <w:spacing w:line="460" w:lineRule="exact"/>
        <w:ind w:firstLine="420"/>
        <w:rPr>
          <w:rFonts w:hAnsi="宋体" w:cs="宋体"/>
          <w:color w:val="auto"/>
          <w:sz w:val="21"/>
          <w:highlight w:val="none"/>
        </w:rPr>
      </w:pPr>
      <w:r>
        <w:rPr>
          <w:rFonts w:hint="eastAsia" w:hAnsi="宋体" w:cs="宋体"/>
          <w:color w:val="auto"/>
          <w:sz w:val="21"/>
          <w:highlight w:val="none"/>
        </w:rPr>
        <w:t>供应商应根据“政采云供应商项目采购-电子交易操作指南”及本采购文件规定的格式和顺序编制电子投标文件并进行关联定位。</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（六）磋商响应文件（投标文件）的包装、递交、修改和撤回</w:t>
      </w:r>
    </w:p>
    <w:p>
      <w:pPr>
        <w:widowControl/>
        <w:autoSpaceDE/>
        <w:autoSpaceDN/>
        <w:adjustRightInd/>
        <w:snapToGrid w:val="0"/>
        <w:spacing w:line="460" w:lineRule="exact"/>
        <w:ind w:firstLine="420"/>
        <w:jc w:val="both"/>
        <w:textAlignment w:val="auto"/>
        <w:rPr>
          <w:rFonts w:hint="eastAsia" w:hAnsi="宋体" w:cs="宋体"/>
          <w:b/>
          <w:bCs/>
          <w:color w:val="auto"/>
          <w:sz w:val="21"/>
          <w:szCs w:val="21"/>
          <w:highlight w:val="none"/>
        </w:rPr>
      </w:pPr>
      <w:r>
        <w:rPr>
          <w:rFonts w:hint="eastAsia" w:hAnsi="宋体" w:cs="宋体"/>
          <w:b/>
          <w:bCs/>
          <w:color w:val="auto"/>
          <w:sz w:val="21"/>
          <w:szCs w:val="21"/>
          <w:highlight w:val="none"/>
        </w:rPr>
        <w:t>1．供应商应当在投标截止时间前在“政采云”（</w:t>
      </w:r>
      <w:r>
        <w:rPr>
          <w:rFonts w:hint="eastAsia" w:hAnsi="宋体" w:cs="宋体"/>
          <w:color w:val="auto"/>
          <w:sz w:val="21"/>
          <w:szCs w:val="21"/>
          <w:highlight w:val="none"/>
          <w:shd w:val="clear" w:color="auto" w:fill="FFFFFF"/>
        </w:rPr>
        <w:t xml:space="preserve"> 电子交易客户端</w:t>
      </w:r>
      <w:r>
        <w:rPr>
          <w:rFonts w:hint="eastAsia" w:hAnsi="宋体" w:cs="宋体"/>
          <w:b/>
          <w:bCs/>
          <w:color w:val="auto"/>
          <w:sz w:val="21"/>
          <w:szCs w:val="21"/>
          <w:highlight w:val="none"/>
        </w:rPr>
        <w:t>）上自行上传加密的电子投标文件。</w:t>
      </w:r>
    </w:p>
    <w:p>
      <w:pPr>
        <w:autoSpaceDE/>
        <w:autoSpaceDN/>
        <w:adjustRightInd/>
        <w:spacing w:line="46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★2. 供应商未在“政采云”（</w:t>
      </w:r>
      <w:r>
        <w:rPr>
          <w:rFonts w:hint="eastAsia" w:hAnsi="宋体" w:cs="宋体"/>
          <w:color w:val="auto"/>
          <w:sz w:val="21"/>
          <w:szCs w:val="21"/>
          <w:highlight w:val="none"/>
          <w:shd w:val="clear" w:color="auto" w:fill="FFFFFF"/>
        </w:rPr>
        <w:t xml:space="preserve"> 电子交易客户端</w:t>
      </w:r>
      <w:r>
        <w:rPr>
          <w:rFonts w:hint="eastAsia" w:hAnsi="宋体" w:cs="宋体"/>
          <w:color w:val="auto"/>
          <w:sz w:val="21"/>
          <w:szCs w:val="21"/>
          <w:highlight w:val="none"/>
        </w:rPr>
        <w:t>）上自行上传加密的电子投标文件的，投标无效。</w:t>
      </w:r>
    </w:p>
    <w:p>
      <w:pPr>
        <w:autoSpaceDE/>
        <w:autoSpaceDN/>
        <w:adjustRightInd/>
        <w:spacing w:line="500" w:lineRule="exact"/>
        <w:ind w:firstLine="422" w:firstLineChars="200"/>
        <w:jc w:val="both"/>
        <w:textAlignment w:val="auto"/>
        <w:rPr>
          <w:rFonts w:hAnsi="宋体" w:cs="Arial"/>
          <w:color w:val="auto"/>
          <w:sz w:val="21"/>
          <w:szCs w:val="21"/>
          <w:highlight w:val="none"/>
        </w:rPr>
      </w:pPr>
      <w:r>
        <w:rPr>
          <w:rFonts w:hint="eastAsia" w:hAnsi="宋体" w:cs="宋体"/>
          <w:b/>
          <w:bCs/>
          <w:color w:val="auto"/>
          <w:sz w:val="21"/>
          <w:szCs w:val="21"/>
          <w:highlight w:val="none"/>
        </w:rPr>
        <w:t>3. 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r>
        <w:rPr>
          <w:rFonts w:hint="eastAsia" w:hAnsi="宋体" w:cs="宋体"/>
          <w:color w:val="auto"/>
          <w:sz w:val="21"/>
          <w:szCs w:val="21"/>
          <w:highlight w:val="none"/>
        </w:rPr>
        <w:br w:type="textWrapping"/>
      </w:r>
      <w:r>
        <w:rPr>
          <w:rFonts w:hint="eastAsia" w:hAnsi="宋体" w:cs="宋体"/>
          <w:color w:val="auto"/>
          <w:sz w:val="21"/>
          <w:szCs w:val="21"/>
          <w:highlight w:val="none"/>
        </w:rPr>
        <w:t xml:space="preserve">    4.截止开标时间，政采云（</w:t>
      </w:r>
      <w:r>
        <w:rPr>
          <w:rFonts w:hint="eastAsia" w:hAnsi="宋体" w:cs="宋体"/>
          <w:color w:val="auto"/>
          <w:sz w:val="21"/>
          <w:szCs w:val="21"/>
          <w:highlight w:val="none"/>
          <w:shd w:val="clear" w:color="auto" w:fill="FFFFFF"/>
        </w:rPr>
        <w:t>电子交易客户端</w:t>
      </w:r>
      <w:r>
        <w:rPr>
          <w:rFonts w:hint="eastAsia" w:hAnsi="宋体" w:cs="宋体"/>
          <w:color w:val="auto"/>
          <w:sz w:val="21"/>
          <w:szCs w:val="21"/>
          <w:highlight w:val="none"/>
        </w:rPr>
        <w:t>）自动提取所有投标文件，</w:t>
      </w:r>
      <w:r>
        <w:rPr>
          <w:rFonts w:hint="eastAsia" w:hAnsi="宋体" w:cs="宋体"/>
          <w:color w:val="auto"/>
          <w:sz w:val="21"/>
          <w:szCs w:val="21"/>
          <w:highlight w:val="none"/>
          <w:lang w:eastAsia="zh-CN"/>
        </w:rPr>
        <w:t>响应供应商</w:t>
      </w:r>
      <w:r>
        <w:rPr>
          <w:rFonts w:hint="eastAsia" w:hAnsi="宋体" w:cs="宋体"/>
          <w:color w:val="auto"/>
          <w:sz w:val="21"/>
          <w:szCs w:val="21"/>
          <w:highlight w:val="none"/>
        </w:rPr>
        <w:t>须在解密时限内完成解密，解密时限由财政部门设置，</w:t>
      </w:r>
      <w:r>
        <w:rPr>
          <w:rFonts w:hint="eastAsia" w:hAnsi="宋体" w:cs="宋体"/>
          <w:color w:val="auto"/>
          <w:sz w:val="21"/>
          <w:szCs w:val="21"/>
          <w:highlight w:val="none"/>
          <w:lang w:eastAsia="zh-CN"/>
        </w:rPr>
        <w:t>响应供应商</w:t>
      </w:r>
      <w:r>
        <w:rPr>
          <w:rFonts w:hint="eastAsia" w:hAnsi="宋体" w:cs="宋体"/>
          <w:color w:val="auto"/>
          <w:sz w:val="21"/>
          <w:szCs w:val="21"/>
          <w:highlight w:val="none"/>
        </w:rPr>
        <w:t>在规定的时间内都已解密完成，则系统自动结束解密，采购代理机构开启投标文件；</w:t>
      </w:r>
      <w:r>
        <w:rPr>
          <w:rFonts w:hint="eastAsia" w:hAnsi="宋体" w:cs="宋体"/>
          <w:color w:val="auto"/>
          <w:sz w:val="21"/>
          <w:szCs w:val="21"/>
          <w:highlight w:val="none"/>
          <w:lang w:eastAsia="zh-CN"/>
        </w:rPr>
        <w:t>响应供应商</w:t>
      </w:r>
      <w:r>
        <w:rPr>
          <w:rFonts w:hint="eastAsia" w:hAnsi="宋体" w:cs="宋体"/>
          <w:color w:val="auto"/>
          <w:sz w:val="21"/>
          <w:szCs w:val="21"/>
          <w:highlight w:val="none"/>
        </w:rPr>
        <w:t>超过解密时限的，系统默认自动放弃。</w:t>
      </w:r>
    </w:p>
    <w:p>
      <w:pPr>
        <w:autoSpaceDE/>
        <w:autoSpaceDN/>
        <w:adjustRightInd/>
        <w:spacing w:line="500" w:lineRule="exact"/>
        <w:ind w:firstLine="211" w:firstLineChars="100"/>
        <w:jc w:val="both"/>
        <w:textAlignment w:val="auto"/>
        <w:rPr>
          <w:rFonts w:hAnsi="宋体" w:cs="Arial"/>
          <w:b/>
          <w:color w:val="auto"/>
          <w:sz w:val="21"/>
          <w:szCs w:val="21"/>
          <w:highlight w:val="none"/>
        </w:rPr>
      </w:pPr>
      <w:r>
        <w:rPr>
          <w:rFonts w:hint="eastAsia" w:hAnsi="宋体" w:cs="Arial"/>
          <w:b/>
          <w:color w:val="auto"/>
          <w:sz w:val="21"/>
          <w:szCs w:val="21"/>
          <w:highlight w:val="none"/>
        </w:rPr>
        <w:t>（七）</w:t>
      </w:r>
      <w:r>
        <w:rPr>
          <w:rFonts w:hint="eastAsia" w:hAnsi="宋体" w:cs="宋体"/>
          <w:b/>
          <w:color w:val="auto"/>
          <w:sz w:val="21"/>
          <w:szCs w:val="21"/>
          <w:highlight w:val="none"/>
        </w:rPr>
        <w:t>磋商响应文件无效的情形</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实质上没有响应磋商采购文件要求的磋商响应文件将被视为无效。供应商不得通过修正或撤消不合要求的偏离或保留从而使其磋商响应文件成为实质上响应，但经磋商小组认定属于供应商疏忽、笔误所造成的差错，应当允许其在磋商结束之前进行修改或者补正（可以是复印件、传真件等，原件必须加盖单位公章）。修改或者补正磋商响应文件必须以书面形式进行，并应在成交结果公告之前查核原件。限期内不补正或经补正后仍不符合磋商文件要求的，应认定其无效。供应商修改、补正磋商响应文件后，不影响磋商小组对其磋商响应文件所作的评价和评分结果。</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rPr>
        <w:t>.</w:t>
      </w:r>
      <w:r>
        <w:rPr>
          <w:rFonts w:hAnsi="宋体" w:cs="Arial"/>
          <w:color w:val="auto"/>
          <w:sz w:val="21"/>
          <w:szCs w:val="21"/>
          <w:highlight w:val="none"/>
        </w:rPr>
        <w:t>在符合性审查和商务评审时，如发现下列情形之一的，磋商响应文件将被视为无效：</w:t>
      </w:r>
    </w:p>
    <w:p>
      <w:pPr>
        <w:autoSpaceDE/>
        <w:autoSpaceDN/>
        <w:adjustRightInd/>
        <w:spacing w:line="500" w:lineRule="exact"/>
        <w:ind w:firstLine="315" w:firstLineChars="150"/>
        <w:jc w:val="both"/>
        <w:textAlignment w:val="auto"/>
        <w:rPr>
          <w:rFonts w:hAnsi="宋体" w:cs="Arial"/>
          <w:color w:val="auto"/>
          <w:sz w:val="21"/>
          <w:szCs w:val="21"/>
          <w:highlight w:val="none"/>
        </w:rPr>
      </w:pPr>
      <w:r>
        <w:rPr>
          <w:rFonts w:hint="eastAsia" w:hAnsi="宋体" w:cs="Arial"/>
          <w:color w:val="auto"/>
          <w:sz w:val="21"/>
          <w:szCs w:val="21"/>
          <w:highlight w:val="none"/>
        </w:rPr>
        <w:t>（1</w:t>
      </w:r>
      <w:r>
        <w:rPr>
          <w:rFonts w:hAnsi="宋体" w:cs="Arial"/>
          <w:color w:val="auto"/>
          <w:sz w:val="21"/>
          <w:szCs w:val="21"/>
          <w:highlight w:val="none"/>
        </w:rPr>
        <w:t>）资格证明文件不全的，或者不符合磋商文件标明的资格要求的</w:t>
      </w:r>
      <w:r>
        <w:rPr>
          <w:rFonts w:hint="eastAsia" w:hAnsi="宋体" w:cs="Arial"/>
          <w:color w:val="auto"/>
          <w:sz w:val="21"/>
          <w:szCs w:val="21"/>
          <w:highlight w:val="none"/>
        </w:rPr>
        <w:t>；</w:t>
      </w:r>
    </w:p>
    <w:p>
      <w:pPr>
        <w:autoSpaceDE/>
        <w:autoSpaceDN/>
        <w:adjustRightInd/>
        <w:spacing w:line="500" w:lineRule="exact"/>
        <w:ind w:firstLine="315" w:firstLineChars="150"/>
        <w:jc w:val="both"/>
        <w:textAlignment w:val="auto"/>
        <w:rPr>
          <w:rFonts w:hAnsi="宋体" w:cs="Arial"/>
          <w:color w:val="auto"/>
          <w:sz w:val="21"/>
          <w:szCs w:val="21"/>
          <w:highlight w:val="none"/>
        </w:rPr>
      </w:pPr>
      <w:r>
        <w:rPr>
          <w:rFonts w:hint="eastAsia" w:hAnsi="宋体" w:cs="Arial"/>
          <w:color w:val="auto"/>
          <w:sz w:val="21"/>
          <w:szCs w:val="21"/>
          <w:highlight w:val="none"/>
        </w:rPr>
        <w:t>（2</w:t>
      </w:r>
      <w:r>
        <w:rPr>
          <w:rFonts w:hAnsi="宋体" w:cs="Arial"/>
          <w:color w:val="auto"/>
          <w:sz w:val="21"/>
          <w:szCs w:val="21"/>
          <w:highlight w:val="none"/>
        </w:rPr>
        <w:t>）磋商响应文件无法定代表人</w:t>
      </w:r>
      <w:r>
        <w:rPr>
          <w:rFonts w:hint="eastAsia" w:hAnsi="宋体" w:cs="Arial"/>
          <w:color w:val="auto"/>
          <w:sz w:val="21"/>
          <w:szCs w:val="21"/>
          <w:highlight w:val="none"/>
        </w:rPr>
        <w:t>（或单位负责人）</w:t>
      </w:r>
      <w:r>
        <w:rPr>
          <w:rFonts w:hAnsi="宋体" w:cs="Arial"/>
          <w:color w:val="auto"/>
          <w:sz w:val="21"/>
          <w:szCs w:val="21"/>
          <w:highlight w:val="none"/>
        </w:rPr>
        <w:t>或</w:t>
      </w:r>
      <w:r>
        <w:rPr>
          <w:rFonts w:hint="eastAsia" w:hAnsi="宋体" w:cs="Arial"/>
          <w:color w:val="auto"/>
          <w:sz w:val="21"/>
          <w:szCs w:val="21"/>
          <w:highlight w:val="none"/>
        </w:rPr>
        <w:t>其</w:t>
      </w:r>
      <w:r>
        <w:rPr>
          <w:rFonts w:hAnsi="宋体" w:cs="Arial"/>
          <w:color w:val="auto"/>
          <w:sz w:val="21"/>
          <w:szCs w:val="21"/>
          <w:highlight w:val="none"/>
        </w:rPr>
        <w:t>授权委托人签字,或未</w:t>
      </w:r>
      <w:r>
        <w:rPr>
          <w:rFonts w:hint="eastAsia" w:hAnsi="宋体" w:cs="Arial"/>
          <w:color w:val="auto"/>
          <w:sz w:val="21"/>
          <w:szCs w:val="21"/>
          <w:highlight w:val="none"/>
        </w:rPr>
        <w:t>提供法定代表人授权委托书、投标声明书或者填写项目不齐全的；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（3</w:t>
      </w:r>
      <w:r>
        <w:rPr>
          <w:rFonts w:hAnsi="宋体" w:cs="Arial"/>
          <w:color w:val="auto"/>
          <w:sz w:val="21"/>
          <w:szCs w:val="21"/>
          <w:highlight w:val="none"/>
        </w:rPr>
        <w:t>）</w:t>
      </w:r>
      <w:r>
        <w:rPr>
          <w:rFonts w:hint="eastAsia" w:hAnsi="宋体" w:cs="Arial"/>
          <w:color w:val="auto"/>
          <w:sz w:val="21"/>
          <w:szCs w:val="21"/>
          <w:highlight w:val="none"/>
        </w:rPr>
        <w:t>投标代表人未能出具身份证明或与法定代表人（或单位负责人）授权委托人身份不符的；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w:t>
      </w:r>
      <w:r>
        <w:rPr>
          <w:rFonts w:hint="eastAsia" w:hAnsi="宋体" w:cs="Arial"/>
          <w:color w:val="auto"/>
          <w:sz w:val="21"/>
          <w:szCs w:val="21"/>
          <w:highlight w:val="none"/>
        </w:rPr>
        <w:t>4</w:t>
      </w:r>
      <w:r>
        <w:rPr>
          <w:rFonts w:hAnsi="宋体" w:cs="Arial"/>
          <w:color w:val="auto"/>
          <w:sz w:val="21"/>
          <w:szCs w:val="21"/>
          <w:highlight w:val="none"/>
        </w:rPr>
        <w:t>）磋商响应文件格式不规范、项目不齐全或者内容虚假的；</w:t>
      </w:r>
    </w:p>
    <w:p>
      <w:pPr>
        <w:autoSpaceDE/>
        <w:autoSpaceDN/>
        <w:adjustRightInd/>
        <w:spacing w:line="500" w:lineRule="exact"/>
        <w:ind w:firstLine="420" w:firstLineChars="200"/>
        <w:jc w:val="both"/>
        <w:textAlignment w:val="auto"/>
        <w:rPr>
          <w:rFonts w:hint="eastAsia" w:hAnsi="宋体" w:cs="Arial"/>
          <w:color w:val="auto"/>
          <w:sz w:val="21"/>
          <w:szCs w:val="21"/>
          <w:highlight w:val="none"/>
        </w:rPr>
      </w:pPr>
      <w:r>
        <w:rPr>
          <w:rFonts w:hAnsi="宋体" w:cs="Arial"/>
          <w:color w:val="auto"/>
          <w:sz w:val="21"/>
          <w:szCs w:val="21"/>
          <w:highlight w:val="none"/>
        </w:rPr>
        <w:t>（</w:t>
      </w:r>
      <w:r>
        <w:rPr>
          <w:rFonts w:hint="eastAsia" w:hAnsi="宋体" w:cs="Arial"/>
          <w:color w:val="auto"/>
          <w:sz w:val="21"/>
          <w:szCs w:val="21"/>
          <w:highlight w:val="none"/>
        </w:rPr>
        <w:t>5</w:t>
      </w:r>
      <w:r>
        <w:rPr>
          <w:rFonts w:hAnsi="宋体" w:cs="Arial"/>
          <w:color w:val="auto"/>
          <w:sz w:val="21"/>
          <w:szCs w:val="21"/>
          <w:highlight w:val="none"/>
        </w:rPr>
        <w:t>）磋商响应文件的实质性内容未使用中文表述、意思表述不明确、前后矛盾或者使用计量单位不符合磋商文件要求的（经磋商小组认定</w:t>
      </w:r>
      <w:r>
        <w:rPr>
          <w:rFonts w:hint="eastAsia" w:hAnsi="宋体" w:cs="Arial"/>
          <w:color w:val="auto"/>
          <w:sz w:val="21"/>
          <w:szCs w:val="21"/>
          <w:highlight w:val="none"/>
        </w:rPr>
        <w:t>并</w:t>
      </w:r>
      <w:r>
        <w:rPr>
          <w:rFonts w:hAnsi="宋体" w:cs="Arial"/>
          <w:color w:val="auto"/>
          <w:sz w:val="21"/>
          <w:szCs w:val="21"/>
          <w:highlight w:val="none"/>
        </w:rPr>
        <w:t>允许其当场更正的笔误除外）</w:t>
      </w:r>
      <w:r>
        <w:rPr>
          <w:rFonts w:hint="eastAsia" w:hAnsi="宋体" w:cs="Arial"/>
          <w:color w:val="auto"/>
          <w:sz w:val="21"/>
          <w:szCs w:val="21"/>
          <w:highlight w:val="none"/>
        </w:rPr>
        <w:t>；</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宋体"/>
          <w:color w:val="auto"/>
          <w:sz w:val="21"/>
          <w:highlight w:val="none"/>
        </w:rPr>
        <w:t>（6）电子</w:t>
      </w:r>
      <w:r>
        <w:rPr>
          <w:rFonts w:hAnsi="宋体" w:cs="Arial"/>
          <w:color w:val="auto"/>
          <w:sz w:val="21"/>
          <w:szCs w:val="21"/>
          <w:highlight w:val="none"/>
        </w:rPr>
        <w:t>磋商响应文件</w:t>
      </w:r>
      <w:r>
        <w:rPr>
          <w:rFonts w:hint="eastAsia" w:hAnsi="宋体" w:cs="宋体"/>
          <w:color w:val="auto"/>
          <w:sz w:val="21"/>
          <w:highlight w:val="none"/>
        </w:rPr>
        <w:t>解密失败的；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w:t>
      </w:r>
      <w:r>
        <w:rPr>
          <w:rFonts w:hint="eastAsia" w:hAnsi="宋体" w:cs="Arial"/>
          <w:color w:val="auto"/>
          <w:sz w:val="21"/>
          <w:szCs w:val="21"/>
          <w:highlight w:val="none"/>
        </w:rPr>
        <w:t>7</w:t>
      </w:r>
      <w:r>
        <w:rPr>
          <w:rFonts w:hAnsi="宋体" w:cs="Arial"/>
          <w:color w:val="auto"/>
          <w:sz w:val="21"/>
          <w:szCs w:val="21"/>
          <w:highlight w:val="none"/>
        </w:rPr>
        <w:t>）</w:t>
      </w:r>
      <w:r>
        <w:rPr>
          <w:rFonts w:hint="eastAsia" w:hAnsi="宋体" w:cs="Arial"/>
          <w:color w:val="auto"/>
          <w:sz w:val="21"/>
          <w:szCs w:val="21"/>
          <w:highlight w:val="none"/>
        </w:rPr>
        <w:t>未实质性</w:t>
      </w:r>
      <w:r>
        <w:rPr>
          <w:rFonts w:hAnsi="宋体" w:cs="Arial"/>
          <w:color w:val="auto"/>
          <w:sz w:val="21"/>
          <w:szCs w:val="21"/>
          <w:highlight w:val="none"/>
        </w:rPr>
        <w:t>响应磋商文件要求或者磋商响应文件不能接受的附加条件的</w:t>
      </w:r>
      <w:r>
        <w:rPr>
          <w:rFonts w:hint="eastAsia" w:hAnsi="宋体" w:cs="Arial"/>
          <w:color w:val="auto"/>
          <w:sz w:val="21"/>
          <w:szCs w:val="21"/>
          <w:highlight w:val="none"/>
        </w:rPr>
        <w:t>。</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2</w:t>
      </w:r>
      <w:r>
        <w:rPr>
          <w:rFonts w:hint="eastAsia" w:hAnsi="宋体" w:cs="Arial"/>
          <w:color w:val="auto"/>
          <w:sz w:val="21"/>
          <w:szCs w:val="21"/>
          <w:highlight w:val="none"/>
        </w:rPr>
        <w:t>.</w:t>
      </w:r>
      <w:r>
        <w:rPr>
          <w:rFonts w:hAnsi="宋体" w:cs="Arial"/>
          <w:color w:val="auto"/>
          <w:sz w:val="21"/>
          <w:szCs w:val="21"/>
          <w:highlight w:val="none"/>
        </w:rPr>
        <w:t>在技术评审时，如发现下列情形之一的，磋商响应文件将被视为无效：</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（1）不符合法律、法规和磋商文件中规定的其他实质性要求的（磋商小组一致认定）的；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（2）未提供或未如实提供投标货物的技术参数，或者</w:t>
      </w:r>
      <w:r>
        <w:rPr>
          <w:rFonts w:hint="eastAsia" w:hAnsi="宋体" w:cs="Arial"/>
          <w:color w:val="auto"/>
          <w:sz w:val="21"/>
          <w:szCs w:val="21"/>
          <w:highlight w:val="none"/>
        </w:rPr>
        <w:t>磋商响应文件</w:t>
      </w:r>
      <w:r>
        <w:rPr>
          <w:rFonts w:hAnsi="宋体" w:cs="Arial"/>
          <w:color w:val="auto"/>
          <w:sz w:val="21"/>
          <w:szCs w:val="21"/>
          <w:highlight w:val="none"/>
        </w:rPr>
        <w:t>标明的响应或偏离与事实不符或虚假投标的；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w:t>
      </w:r>
      <w:r>
        <w:rPr>
          <w:rFonts w:hint="eastAsia" w:hAnsi="宋体" w:cs="Arial"/>
          <w:color w:val="auto"/>
          <w:sz w:val="21"/>
          <w:szCs w:val="21"/>
          <w:highlight w:val="none"/>
        </w:rPr>
        <w:t>3</w:t>
      </w:r>
      <w:r>
        <w:rPr>
          <w:rFonts w:hAnsi="宋体" w:cs="Arial"/>
          <w:color w:val="auto"/>
          <w:sz w:val="21"/>
          <w:szCs w:val="21"/>
          <w:highlight w:val="none"/>
        </w:rPr>
        <w:t>）</w:t>
      </w:r>
      <w:r>
        <w:rPr>
          <w:rFonts w:hint="eastAsia" w:hAnsi="宋体" w:cs="Arial"/>
          <w:color w:val="auto"/>
          <w:sz w:val="21"/>
          <w:szCs w:val="21"/>
          <w:highlight w:val="none"/>
        </w:rPr>
        <w:t>磋商</w:t>
      </w:r>
      <w:r>
        <w:rPr>
          <w:rFonts w:hAnsi="宋体" w:cs="Arial"/>
          <w:color w:val="auto"/>
          <w:sz w:val="21"/>
          <w:szCs w:val="21"/>
          <w:highlight w:val="none"/>
        </w:rPr>
        <w:t>过程中实质性变动采购需求中的技术、服务要求以及合同草案，未经</w:t>
      </w:r>
      <w:r>
        <w:rPr>
          <w:rFonts w:hint="eastAsia" w:hAnsi="宋体" w:cs="Arial"/>
          <w:color w:val="auto"/>
          <w:sz w:val="21"/>
          <w:szCs w:val="21"/>
          <w:highlight w:val="none"/>
        </w:rPr>
        <w:t>采购人</w:t>
      </w:r>
      <w:r>
        <w:rPr>
          <w:rFonts w:hAnsi="宋体" w:cs="Arial"/>
          <w:color w:val="auto"/>
          <w:sz w:val="21"/>
          <w:szCs w:val="21"/>
          <w:highlight w:val="none"/>
        </w:rPr>
        <w:t>代表确认或未按要求重新提交响应文件的；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w:t>
      </w:r>
      <w:r>
        <w:rPr>
          <w:rFonts w:hint="eastAsia" w:hAnsi="宋体" w:cs="Arial"/>
          <w:color w:val="auto"/>
          <w:sz w:val="21"/>
          <w:szCs w:val="21"/>
          <w:highlight w:val="none"/>
        </w:rPr>
        <w:t>4</w:t>
      </w:r>
      <w:r>
        <w:rPr>
          <w:rFonts w:hAnsi="宋体" w:cs="Arial"/>
          <w:color w:val="auto"/>
          <w:sz w:val="21"/>
          <w:szCs w:val="21"/>
          <w:highlight w:val="none"/>
        </w:rPr>
        <w:t>）</w:t>
      </w:r>
      <w:r>
        <w:rPr>
          <w:rFonts w:hint="eastAsia" w:hAnsi="宋体" w:cs="宋体"/>
          <w:color w:val="auto"/>
          <w:sz w:val="21"/>
          <w:szCs w:val="21"/>
          <w:highlight w:val="none"/>
        </w:rPr>
        <w:t>明显不符合采购文件要求的服务要求、产品质量标准，或者与采购文件中标“★”的技术要求发生未经磋商认可的实质性偏离或磋商小组的实质性变动内容未经采购人代表确认的。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w:t>
      </w:r>
      <w:r>
        <w:rPr>
          <w:rFonts w:hint="eastAsia" w:hAnsi="宋体" w:cs="Arial"/>
          <w:color w:val="auto"/>
          <w:sz w:val="21"/>
          <w:szCs w:val="21"/>
          <w:highlight w:val="none"/>
        </w:rPr>
        <w:t>5</w:t>
      </w:r>
      <w:r>
        <w:rPr>
          <w:rFonts w:hAnsi="宋体" w:cs="Arial"/>
          <w:color w:val="auto"/>
          <w:sz w:val="21"/>
          <w:szCs w:val="21"/>
          <w:highlight w:val="none"/>
        </w:rPr>
        <w:t>）技术方案不明确，存在一个或一个以上备选（替代）投标方案的</w:t>
      </w:r>
      <w:r>
        <w:rPr>
          <w:rFonts w:hint="eastAsia" w:hAnsi="宋体" w:cs="Arial"/>
          <w:color w:val="auto"/>
          <w:sz w:val="21"/>
          <w:szCs w:val="21"/>
          <w:highlight w:val="none"/>
        </w:rPr>
        <w:t>；</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（6）与其他参加本次供应商的磋商响应文件（技术文件）的文字表述内容相同连续20行以上或者差错相同2处以上的。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（7）提供不真实材料的；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（8）法律、法规、规章等规定的其他情形。</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3</w:t>
      </w:r>
      <w:r>
        <w:rPr>
          <w:rFonts w:hint="eastAsia" w:hAnsi="宋体" w:cs="Arial"/>
          <w:color w:val="auto"/>
          <w:sz w:val="21"/>
          <w:szCs w:val="21"/>
          <w:highlight w:val="none"/>
        </w:rPr>
        <w:t>.</w:t>
      </w:r>
      <w:r>
        <w:rPr>
          <w:rFonts w:hAnsi="宋体" w:cs="Arial"/>
          <w:color w:val="auto"/>
          <w:sz w:val="21"/>
          <w:szCs w:val="21"/>
          <w:highlight w:val="none"/>
        </w:rPr>
        <w:t>在报价评审时，如发现下列情形之一的，磋商响应文件将被视为无效：</w:t>
      </w:r>
    </w:p>
    <w:p>
      <w:pPr>
        <w:autoSpaceDE/>
        <w:autoSpaceDN/>
        <w:adjustRightInd/>
        <w:spacing w:line="480" w:lineRule="exact"/>
        <w:ind w:firstLine="315" w:firstLineChars="150"/>
        <w:jc w:val="both"/>
        <w:textAlignment w:val="auto"/>
        <w:rPr>
          <w:rFonts w:hint="eastAsia" w:hAnsi="宋体" w:cs="宋体"/>
          <w:color w:val="auto"/>
          <w:sz w:val="21"/>
          <w:szCs w:val="21"/>
          <w:highlight w:val="none"/>
        </w:rPr>
      </w:pPr>
      <w:r>
        <w:rPr>
          <w:rFonts w:hint="eastAsia" w:hAnsi="宋体" w:cs="宋体"/>
          <w:color w:val="auto"/>
          <w:sz w:val="21"/>
          <w:szCs w:val="21"/>
          <w:highlight w:val="none"/>
        </w:rPr>
        <w:t>（1）未采用人民币报价或者未按照磋商采购文件标明的报价方式报价的；</w:t>
      </w:r>
    </w:p>
    <w:p>
      <w:pPr>
        <w:autoSpaceDE/>
        <w:autoSpaceDN/>
        <w:adjustRightInd/>
        <w:spacing w:line="480" w:lineRule="exact"/>
        <w:ind w:firstLine="315" w:firstLineChars="150"/>
        <w:jc w:val="both"/>
        <w:textAlignment w:val="auto"/>
        <w:rPr>
          <w:rFonts w:hint="eastAsia" w:hAnsi="宋体" w:cs="宋体"/>
          <w:color w:val="auto"/>
          <w:sz w:val="21"/>
          <w:szCs w:val="21"/>
          <w:highlight w:val="none"/>
        </w:rPr>
      </w:pPr>
      <w:r>
        <w:rPr>
          <w:rFonts w:hint="eastAsia" w:hAnsi="宋体" w:cs="宋体"/>
          <w:color w:val="auto"/>
          <w:sz w:val="21"/>
          <w:szCs w:val="21"/>
          <w:highlight w:val="none"/>
        </w:rPr>
        <w:t>（2）报价超出最高限价，采购人不能支付的；</w:t>
      </w:r>
    </w:p>
    <w:p>
      <w:pPr>
        <w:autoSpaceDE/>
        <w:autoSpaceDN/>
        <w:adjustRightInd/>
        <w:spacing w:line="480" w:lineRule="exact"/>
        <w:ind w:firstLine="315" w:firstLineChars="150"/>
        <w:jc w:val="both"/>
        <w:textAlignment w:val="auto"/>
        <w:rPr>
          <w:rFonts w:hAnsi="宋体" w:cs="Arial"/>
          <w:color w:val="auto"/>
          <w:sz w:val="21"/>
          <w:szCs w:val="21"/>
          <w:highlight w:val="none"/>
        </w:rPr>
      </w:pPr>
      <w:r>
        <w:rPr>
          <w:rFonts w:hint="eastAsia" w:hAnsi="宋体" w:cs="宋体"/>
          <w:color w:val="auto"/>
          <w:sz w:val="21"/>
          <w:szCs w:val="21"/>
          <w:highlight w:val="none"/>
        </w:rPr>
        <w:t>（3）报价明显低于其他通过符合性审查供应商的报价，供应商不能证明其报价合理性的，磋商小组将其作为无效报价处理的。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4</w:t>
      </w:r>
      <w:r>
        <w:rPr>
          <w:rFonts w:hint="eastAsia" w:hAnsi="宋体" w:cs="Arial"/>
          <w:color w:val="auto"/>
          <w:sz w:val="21"/>
          <w:szCs w:val="21"/>
          <w:highlight w:val="none"/>
        </w:rPr>
        <w:t>.</w:t>
      </w:r>
      <w:r>
        <w:rPr>
          <w:rFonts w:hAnsi="宋体" w:cs="Arial"/>
          <w:color w:val="auto"/>
          <w:sz w:val="21"/>
          <w:szCs w:val="21"/>
          <w:highlight w:val="none"/>
        </w:rPr>
        <w:t>被拒绝的磋商响应文件为无效</w:t>
      </w:r>
      <w:r>
        <w:rPr>
          <w:rFonts w:hint="eastAsia" w:hAnsi="宋体" w:cs="Arial"/>
          <w:color w:val="auto"/>
          <w:sz w:val="21"/>
          <w:szCs w:val="21"/>
          <w:highlight w:val="none"/>
        </w:rPr>
        <w:t>磋商响应文件</w:t>
      </w:r>
      <w:r>
        <w:rPr>
          <w:rFonts w:hAnsi="宋体" w:cs="Arial"/>
          <w:color w:val="auto"/>
          <w:sz w:val="21"/>
          <w:szCs w:val="21"/>
          <w:highlight w:val="none"/>
        </w:rPr>
        <w:t>。</w:t>
      </w:r>
    </w:p>
    <w:p>
      <w:pPr>
        <w:autoSpaceDE/>
        <w:autoSpaceDN/>
        <w:adjustRightInd/>
        <w:spacing w:line="500" w:lineRule="exact"/>
        <w:ind w:firstLine="482" w:firstLineChars="200"/>
        <w:jc w:val="both"/>
        <w:textAlignment w:val="auto"/>
        <w:rPr>
          <w:rFonts w:hAnsi="宋体" w:cs="Arial"/>
          <w:b/>
          <w:color w:val="auto"/>
          <w:sz w:val="24"/>
          <w:szCs w:val="24"/>
          <w:highlight w:val="none"/>
        </w:rPr>
      </w:pPr>
      <w:r>
        <w:rPr>
          <w:rFonts w:hint="eastAsia" w:hAnsi="宋体" w:cs="Arial"/>
          <w:b/>
          <w:color w:val="auto"/>
          <w:sz w:val="24"/>
          <w:szCs w:val="24"/>
          <w:highlight w:val="none"/>
        </w:rPr>
        <w:t>四、磋商程序</w:t>
      </w:r>
    </w:p>
    <w:p>
      <w:pPr>
        <w:autoSpaceDE/>
        <w:autoSpaceDN/>
        <w:adjustRightInd/>
        <w:spacing w:line="500" w:lineRule="exact"/>
        <w:ind w:firstLine="315" w:firstLineChars="150"/>
        <w:jc w:val="both"/>
        <w:textAlignment w:val="auto"/>
        <w:rPr>
          <w:rFonts w:hAnsi="宋体" w:cs="Arial"/>
          <w:color w:val="auto"/>
          <w:sz w:val="21"/>
          <w:szCs w:val="21"/>
          <w:highlight w:val="none"/>
        </w:rPr>
      </w:pPr>
      <w:r>
        <w:rPr>
          <w:rFonts w:hAnsi="宋体" w:cs="Arial"/>
          <w:color w:val="auto"/>
          <w:sz w:val="21"/>
          <w:szCs w:val="21"/>
          <w:highlight w:val="none"/>
        </w:rPr>
        <w:t>（一）</w:t>
      </w:r>
      <w:r>
        <w:rPr>
          <w:rFonts w:hint="eastAsia" w:hAnsi="宋体" w:cs="Arial"/>
          <w:color w:val="auto"/>
          <w:sz w:val="21"/>
          <w:szCs w:val="21"/>
          <w:highlight w:val="none"/>
        </w:rPr>
        <w:t>磋商</w:t>
      </w:r>
      <w:r>
        <w:rPr>
          <w:rFonts w:hAnsi="宋体" w:cs="Arial"/>
          <w:color w:val="auto"/>
          <w:sz w:val="21"/>
          <w:szCs w:val="21"/>
          <w:highlight w:val="none"/>
        </w:rPr>
        <w:t>准备</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采购代理机构将在规定的时间和地点进行</w:t>
      </w:r>
      <w:r>
        <w:rPr>
          <w:rFonts w:hint="eastAsia" w:hAnsi="宋体" w:cs="Arial"/>
          <w:color w:val="auto"/>
          <w:sz w:val="21"/>
          <w:szCs w:val="21"/>
          <w:highlight w:val="none"/>
        </w:rPr>
        <w:t>竞争性磋商</w:t>
      </w:r>
      <w:r>
        <w:rPr>
          <w:rFonts w:hAnsi="宋体" w:cs="Arial"/>
          <w:color w:val="auto"/>
          <w:sz w:val="21"/>
          <w:szCs w:val="21"/>
          <w:highlight w:val="none"/>
        </w:rPr>
        <w:t>，供应商的法定代表人</w:t>
      </w:r>
      <w:r>
        <w:rPr>
          <w:rFonts w:hint="eastAsia" w:hAnsi="宋体" w:cs="Arial"/>
          <w:color w:val="auto"/>
          <w:sz w:val="21"/>
          <w:szCs w:val="21"/>
          <w:highlight w:val="none"/>
        </w:rPr>
        <w:t>（或单位负责人）</w:t>
      </w:r>
      <w:r>
        <w:rPr>
          <w:rFonts w:hAnsi="宋体" w:cs="Arial"/>
          <w:color w:val="auto"/>
          <w:sz w:val="21"/>
          <w:szCs w:val="21"/>
          <w:highlight w:val="none"/>
        </w:rPr>
        <w:t>或其授权代表应参加</w:t>
      </w:r>
      <w:r>
        <w:rPr>
          <w:rFonts w:hint="eastAsia" w:hAnsi="宋体" w:cs="Arial"/>
          <w:color w:val="auto"/>
          <w:sz w:val="21"/>
          <w:szCs w:val="21"/>
          <w:highlight w:val="none"/>
        </w:rPr>
        <w:t>磋商会议</w:t>
      </w:r>
      <w:r>
        <w:rPr>
          <w:rFonts w:hAnsi="宋体" w:cs="Arial"/>
          <w:color w:val="auto"/>
          <w:sz w:val="21"/>
          <w:szCs w:val="21"/>
          <w:highlight w:val="none"/>
        </w:rPr>
        <w:t>并签到。供应商的法定代表人</w:t>
      </w:r>
      <w:r>
        <w:rPr>
          <w:rFonts w:hint="eastAsia" w:hAnsi="宋体" w:cs="Arial"/>
          <w:color w:val="auto"/>
          <w:sz w:val="21"/>
          <w:szCs w:val="21"/>
          <w:highlight w:val="none"/>
        </w:rPr>
        <w:t>（或单位负责人）</w:t>
      </w:r>
      <w:r>
        <w:rPr>
          <w:rFonts w:hAnsi="宋体" w:cs="Arial"/>
          <w:color w:val="auto"/>
          <w:sz w:val="21"/>
          <w:szCs w:val="21"/>
          <w:highlight w:val="none"/>
        </w:rPr>
        <w:t>或其授权代表未按时签到的，视同放弃</w:t>
      </w:r>
      <w:r>
        <w:rPr>
          <w:rFonts w:hint="eastAsia" w:hAnsi="宋体" w:cs="Arial"/>
          <w:color w:val="auto"/>
          <w:sz w:val="21"/>
          <w:szCs w:val="21"/>
          <w:highlight w:val="none"/>
        </w:rPr>
        <w:t>磋商</w:t>
      </w:r>
      <w:r>
        <w:rPr>
          <w:rFonts w:hAnsi="宋体" w:cs="Arial"/>
          <w:color w:val="auto"/>
          <w:sz w:val="21"/>
          <w:szCs w:val="21"/>
          <w:highlight w:val="none"/>
        </w:rPr>
        <w:t>监督权利、认可</w:t>
      </w:r>
      <w:r>
        <w:rPr>
          <w:rFonts w:hint="eastAsia" w:hAnsi="宋体" w:cs="Arial"/>
          <w:color w:val="auto"/>
          <w:sz w:val="21"/>
          <w:szCs w:val="21"/>
          <w:highlight w:val="none"/>
        </w:rPr>
        <w:t>磋商</w:t>
      </w:r>
      <w:r>
        <w:rPr>
          <w:rFonts w:hAnsi="宋体" w:cs="Arial"/>
          <w:color w:val="auto"/>
          <w:sz w:val="21"/>
          <w:szCs w:val="21"/>
          <w:highlight w:val="none"/>
        </w:rPr>
        <w:t>结果。</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 xml:space="preserve">（二） </w:t>
      </w:r>
      <w:r>
        <w:rPr>
          <w:rFonts w:hint="eastAsia" w:hAnsi="宋体" w:cs="Arial"/>
          <w:color w:val="auto"/>
          <w:sz w:val="21"/>
          <w:szCs w:val="21"/>
          <w:highlight w:val="none"/>
        </w:rPr>
        <w:t>磋商</w:t>
      </w:r>
      <w:r>
        <w:rPr>
          <w:rFonts w:hAnsi="宋体" w:cs="Arial"/>
          <w:color w:val="auto"/>
          <w:sz w:val="21"/>
          <w:szCs w:val="21"/>
          <w:highlight w:val="none"/>
        </w:rPr>
        <w:t>程序：</w:t>
      </w:r>
    </w:p>
    <w:p>
      <w:pPr>
        <w:autoSpaceDE/>
        <w:autoSpaceDN/>
        <w:adjustRightInd/>
        <w:spacing w:line="500" w:lineRule="exact"/>
        <w:ind w:firstLine="525" w:firstLineChars="250"/>
        <w:jc w:val="both"/>
        <w:textAlignment w:val="auto"/>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rPr>
        <w:t>.磋商会议</w:t>
      </w:r>
      <w:r>
        <w:rPr>
          <w:rFonts w:hAnsi="宋体" w:cs="Arial"/>
          <w:color w:val="auto"/>
          <w:sz w:val="21"/>
          <w:szCs w:val="21"/>
          <w:highlight w:val="none"/>
        </w:rPr>
        <w:t>由采购代理机构主持，主持人宣布</w:t>
      </w:r>
      <w:r>
        <w:rPr>
          <w:rFonts w:hint="eastAsia" w:hAnsi="宋体" w:cs="Arial"/>
          <w:color w:val="auto"/>
          <w:sz w:val="21"/>
          <w:szCs w:val="21"/>
          <w:highlight w:val="none"/>
        </w:rPr>
        <w:t>磋商</w:t>
      </w:r>
      <w:r>
        <w:rPr>
          <w:rFonts w:hAnsi="宋体" w:cs="Arial"/>
          <w:color w:val="auto"/>
          <w:sz w:val="21"/>
          <w:szCs w:val="21"/>
          <w:highlight w:val="none"/>
        </w:rPr>
        <w:t>会议开始；</w:t>
      </w:r>
    </w:p>
    <w:p>
      <w:pPr>
        <w:autoSpaceDE/>
        <w:autoSpaceDN/>
        <w:adjustRightInd/>
        <w:spacing w:line="500" w:lineRule="exact"/>
        <w:ind w:firstLine="525" w:firstLineChars="250"/>
        <w:jc w:val="both"/>
        <w:textAlignment w:val="auto"/>
        <w:rPr>
          <w:rFonts w:hint="eastAsia" w:hAnsi="宋体" w:cs="宋体"/>
          <w:color w:val="auto"/>
          <w:sz w:val="21"/>
          <w:szCs w:val="21"/>
          <w:highlight w:val="none"/>
        </w:rPr>
      </w:pPr>
      <w:r>
        <w:rPr>
          <w:rFonts w:hint="eastAsia" w:hAnsi="宋体" w:cs="宋体"/>
          <w:color w:val="auto"/>
          <w:sz w:val="21"/>
          <w:szCs w:val="21"/>
          <w:highlight w:val="none"/>
        </w:rPr>
        <w:t>2.在开标后投标供应商登录“政采云”平台，用“项目采购-开标评标”功能进行解密（</w:t>
      </w:r>
      <w:r>
        <w:rPr>
          <w:rFonts w:hAnsi="宋体" w:cs="Arial"/>
          <w:color w:val="auto"/>
          <w:sz w:val="21"/>
          <w:szCs w:val="21"/>
          <w:highlight w:val="none"/>
        </w:rPr>
        <w:t>磋商响应文件</w:t>
      </w:r>
      <w:r>
        <w:rPr>
          <w:rFonts w:hint="eastAsia" w:hAnsi="宋体" w:cs="宋体"/>
          <w:color w:val="auto"/>
          <w:sz w:val="21"/>
          <w:szCs w:val="21"/>
          <w:highlight w:val="none"/>
        </w:rPr>
        <w:t>）投标文件。若投标供应商在规定时间内无法解密或解密失败的，视为投标文件撤回。</w:t>
      </w:r>
    </w:p>
    <w:p>
      <w:pPr>
        <w:autoSpaceDE/>
        <w:autoSpaceDN/>
        <w:adjustRightInd/>
        <w:spacing w:line="500" w:lineRule="exact"/>
        <w:ind w:firstLine="525" w:firstLineChars="250"/>
        <w:jc w:val="both"/>
        <w:textAlignment w:val="auto"/>
        <w:rPr>
          <w:rFonts w:hint="eastAsia" w:hAnsi="宋体" w:cs="宋体"/>
          <w:color w:val="auto"/>
          <w:sz w:val="21"/>
          <w:szCs w:val="21"/>
          <w:highlight w:val="none"/>
        </w:rPr>
      </w:pPr>
      <w:r>
        <w:rPr>
          <w:rFonts w:hint="eastAsia" w:hAnsi="宋体" w:cs="宋体"/>
          <w:color w:val="auto"/>
          <w:sz w:val="21"/>
          <w:szCs w:val="21"/>
          <w:highlight w:val="none"/>
        </w:rPr>
        <w:t>3.采购人或采购代理机构先对供应商的资格进行审查，如磋商小组对响应文件有疑问，对供应商进行在线询标，供应商须在澄清截止时间前上传澄清函，若在澄清截止时间前未进行有效澄清的，逾期将不再接受澄清。资格审查不合格的</w:t>
      </w:r>
      <w:r>
        <w:rPr>
          <w:rFonts w:hint="eastAsia" w:hAnsi="宋体" w:cs="宋体"/>
          <w:color w:val="auto"/>
          <w:sz w:val="21"/>
          <w:szCs w:val="21"/>
          <w:highlight w:val="none"/>
          <w:lang w:eastAsia="zh-CN"/>
        </w:rPr>
        <w:t>响应供应商</w:t>
      </w:r>
      <w:r>
        <w:rPr>
          <w:rFonts w:hint="eastAsia" w:hAnsi="宋体" w:cs="宋体"/>
          <w:color w:val="auto"/>
          <w:sz w:val="21"/>
          <w:szCs w:val="21"/>
          <w:highlight w:val="none"/>
        </w:rPr>
        <w:t>不再进入</w:t>
      </w:r>
      <w:r>
        <w:rPr>
          <w:rFonts w:hint="eastAsia" w:hAnsi="宋体" w:cs="宋体"/>
          <w:b/>
          <w:color w:val="auto"/>
          <w:sz w:val="21"/>
          <w:szCs w:val="21"/>
          <w:highlight w:val="none"/>
        </w:rPr>
        <w:t>商务技术</w:t>
      </w:r>
      <w:r>
        <w:rPr>
          <w:rFonts w:hint="eastAsia" w:hAnsi="宋体" w:cs="Arial"/>
          <w:b/>
          <w:color w:val="auto"/>
          <w:sz w:val="21"/>
          <w:szCs w:val="21"/>
          <w:highlight w:val="none"/>
        </w:rPr>
        <w:t>响应文件</w:t>
      </w:r>
      <w:r>
        <w:rPr>
          <w:rFonts w:hint="eastAsia" w:hAnsi="宋体" w:cs="宋体"/>
          <w:b/>
          <w:color w:val="auto"/>
          <w:sz w:val="21"/>
          <w:szCs w:val="21"/>
          <w:highlight w:val="none"/>
        </w:rPr>
        <w:t>和</w:t>
      </w:r>
      <w:r>
        <w:rPr>
          <w:rFonts w:hint="eastAsia" w:hAnsi="宋体" w:cs="Arial"/>
          <w:b/>
          <w:color w:val="auto"/>
          <w:sz w:val="21"/>
          <w:szCs w:val="21"/>
          <w:highlight w:val="none"/>
        </w:rPr>
        <w:t>价格响应文件</w:t>
      </w:r>
      <w:r>
        <w:rPr>
          <w:rFonts w:hint="eastAsia" w:hAnsi="宋体" w:cs="宋体"/>
          <w:color w:val="auto"/>
          <w:sz w:val="21"/>
          <w:szCs w:val="21"/>
          <w:highlight w:val="none"/>
        </w:rPr>
        <w:t>的评审。</w:t>
      </w:r>
    </w:p>
    <w:p>
      <w:pPr>
        <w:autoSpaceDE/>
        <w:autoSpaceDN/>
        <w:adjustRightInd/>
        <w:spacing w:line="500" w:lineRule="exact"/>
        <w:ind w:firstLine="525" w:firstLineChars="250"/>
        <w:jc w:val="both"/>
        <w:textAlignment w:val="auto"/>
        <w:rPr>
          <w:rFonts w:hint="eastAsia" w:hAnsi="宋体" w:cs="宋体"/>
          <w:color w:val="auto"/>
          <w:sz w:val="21"/>
          <w:szCs w:val="21"/>
          <w:highlight w:val="none"/>
        </w:rPr>
      </w:pPr>
      <w:r>
        <w:rPr>
          <w:rFonts w:hint="eastAsia" w:hAnsi="宋体" w:cs="宋体"/>
          <w:color w:val="auto"/>
          <w:sz w:val="21"/>
          <w:szCs w:val="21"/>
          <w:highlight w:val="none"/>
        </w:rPr>
        <w:t>4. 磋商小组先对商务技术文件进行评审，如对投标文件有疑问，对</w:t>
      </w:r>
      <w:r>
        <w:rPr>
          <w:rFonts w:hint="eastAsia" w:hAnsi="宋体" w:cs="宋体"/>
          <w:color w:val="auto"/>
          <w:sz w:val="21"/>
          <w:szCs w:val="21"/>
          <w:highlight w:val="none"/>
          <w:lang w:eastAsia="zh-CN"/>
        </w:rPr>
        <w:t>响应供应商</w:t>
      </w:r>
      <w:r>
        <w:rPr>
          <w:rFonts w:hint="eastAsia" w:hAnsi="宋体" w:cs="宋体"/>
          <w:color w:val="auto"/>
          <w:sz w:val="21"/>
          <w:szCs w:val="21"/>
          <w:highlight w:val="none"/>
        </w:rPr>
        <w:t>进行在线询标，</w:t>
      </w:r>
      <w:r>
        <w:rPr>
          <w:rFonts w:hint="eastAsia" w:hAnsi="宋体" w:cs="宋体"/>
          <w:color w:val="auto"/>
          <w:sz w:val="21"/>
          <w:szCs w:val="21"/>
          <w:highlight w:val="none"/>
          <w:lang w:eastAsia="zh-CN"/>
        </w:rPr>
        <w:t>响应供应商</w:t>
      </w:r>
      <w:r>
        <w:rPr>
          <w:rFonts w:hint="eastAsia" w:hAnsi="宋体" w:cs="宋体"/>
          <w:color w:val="auto"/>
          <w:sz w:val="21"/>
          <w:szCs w:val="21"/>
          <w:highlight w:val="none"/>
        </w:rPr>
        <w:t>须在发起的澄清截止时间前上传澄清函，若在发起的澄清截止时间前未进行有效澄清的，逾期将不再接受澄清。商务技术文件不合格的</w:t>
      </w:r>
      <w:r>
        <w:rPr>
          <w:rFonts w:hint="eastAsia" w:hAnsi="宋体" w:cs="宋体"/>
          <w:color w:val="auto"/>
          <w:sz w:val="21"/>
          <w:szCs w:val="21"/>
          <w:highlight w:val="none"/>
          <w:lang w:eastAsia="zh-CN"/>
        </w:rPr>
        <w:t>响应供应商</w:t>
      </w:r>
      <w:r>
        <w:rPr>
          <w:rFonts w:hint="eastAsia" w:hAnsi="宋体" w:cs="宋体"/>
          <w:color w:val="auto"/>
          <w:sz w:val="21"/>
          <w:szCs w:val="21"/>
          <w:highlight w:val="none"/>
        </w:rPr>
        <w:t>不再进入报价文件评审。</w:t>
      </w:r>
    </w:p>
    <w:p>
      <w:pPr>
        <w:autoSpaceDE/>
        <w:autoSpaceDN/>
        <w:adjustRightInd/>
        <w:spacing w:line="500" w:lineRule="exact"/>
        <w:ind w:firstLine="527" w:firstLineChars="250"/>
        <w:jc w:val="both"/>
        <w:textAlignment w:val="auto"/>
        <w:rPr>
          <w:rFonts w:hint="eastAsia" w:hAnsi="宋体" w:cs="宋体"/>
          <w:color w:val="auto"/>
          <w:sz w:val="21"/>
          <w:szCs w:val="21"/>
          <w:highlight w:val="none"/>
        </w:rPr>
      </w:pPr>
      <w:r>
        <w:rPr>
          <w:rFonts w:hint="eastAsia" w:hAnsi="宋体" w:cs="宋体"/>
          <w:b/>
          <w:color w:val="auto"/>
          <w:sz w:val="21"/>
          <w:szCs w:val="21"/>
          <w:highlight w:val="none"/>
        </w:rPr>
        <w:t>5. 商务技术文件</w:t>
      </w:r>
      <w:r>
        <w:rPr>
          <w:rFonts w:hAnsi="宋体" w:cs="宋体"/>
          <w:b/>
          <w:color w:val="auto"/>
          <w:sz w:val="21"/>
          <w:szCs w:val="21"/>
          <w:highlight w:val="none"/>
        </w:rPr>
        <w:t>评分结束后，</w:t>
      </w:r>
      <w:r>
        <w:rPr>
          <w:rFonts w:hint="eastAsia" w:hAnsi="宋体" w:cs="宋体"/>
          <w:b/>
          <w:color w:val="auto"/>
          <w:sz w:val="21"/>
          <w:szCs w:val="21"/>
          <w:highlight w:val="none"/>
        </w:rPr>
        <w:t>然后在线开启</w:t>
      </w:r>
      <w:r>
        <w:rPr>
          <w:rFonts w:hint="eastAsia" w:hAnsi="宋体" w:cs="Arial"/>
          <w:b/>
          <w:color w:val="auto"/>
          <w:sz w:val="21"/>
          <w:szCs w:val="21"/>
          <w:highlight w:val="none"/>
        </w:rPr>
        <w:t>价格响应文件</w:t>
      </w:r>
      <w:r>
        <w:rPr>
          <w:rFonts w:hint="eastAsia" w:hAnsi="宋体" w:cs="宋体"/>
          <w:b/>
          <w:color w:val="auto"/>
          <w:sz w:val="21"/>
          <w:szCs w:val="21"/>
          <w:highlight w:val="none"/>
        </w:rPr>
        <w:t>，进行价格磋商，要求供应商提交最后报价。</w:t>
      </w:r>
    </w:p>
    <w:p>
      <w:pPr>
        <w:autoSpaceDE/>
        <w:autoSpaceDN/>
        <w:adjustRightInd/>
        <w:spacing w:line="500" w:lineRule="exact"/>
        <w:ind w:firstLine="525" w:firstLineChars="250"/>
        <w:jc w:val="both"/>
        <w:textAlignment w:val="auto"/>
        <w:rPr>
          <w:rFonts w:hint="eastAsia" w:hAnsi="宋体" w:cs="宋体"/>
          <w:color w:val="auto"/>
          <w:sz w:val="21"/>
          <w:szCs w:val="21"/>
          <w:highlight w:val="none"/>
        </w:rPr>
      </w:pPr>
      <w:r>
        <w:rPr>
          <w:rFonts w:hint="eastAsia" w:hAnsi="宋体" w:cs="宋体"/>
          <w:color w:val="auto"/>
          <w:sz w:val="21"/>
          <w:szCs w:val="21"/>
          <w:highlight w:val="none"/>
        </w:rPr>
        <w:t>6.资信商务技术文件评审结果在线公布后，在线开启</w:t>
      </w:r>
      <w:r>
        <w:rPr>
          <w:rFonts w:hint="eastAsia" w:hAnsi="宋体" w:cs="宋体"/>
          <w:b/>
          <w:color w:val="auto"/>
          <w:sz w:val="21"/>
          <w:szCs w:val="21"/>
          <w:highlight w:val="none"/>
        </w:rPr>
        <w:t>最后报价</w:t>
      </w:r>
      <w:r>
        <w:rPr>
          <w:rFonts w:hint="eastAsia" w:hAnsi="宋体" w:cs="宋体"/>
          <w:color w:val="auto"/>
          <w:sz w:val="21"/>
          <w:szCs w:val="21"/>
          <w:highlight w:val="none"/>
        </w:rPr>
        <w:t>，并由评标委员会进行报价评审。</w:t>
      </w:r>
    </w:p>
    <w:p>
      <w:pPr>
        <w:autoSpaceDE/>
        <w:autoSpaceDN/>
        <w:adjustRightInd/>
        <w:spacing w:line="500" w:lineRule="exact"/>
        <w:ind w:firstLine="525" w:firstLineChars="250"/>
        <w:jc w:val="both"/>
        <w:textAlignment w:val="auto"/>
        <w:rPr>
          <w:rFonts w:hint="eastAsia" w:hAnsi="宋体" w:cs="宋体"/>
          <w:color w:val="auto"/>
          <w:sz w:val="21"/>
          <w:szCs w:val="21"/>
          <w:highlight w:val="none"/>
        </w:rPr>
      </w:pPr>
      <w:r>
        <w:rPr>
          <w:rFonts w:hint="eastAsia" w:hAnsi="宋体" w:cs="宋体"/>
          <w:color w:val="auto"/>
          <w:sz w:val="21"/>
          <w:szCs w:val="21"/>
          <w:highlight w:val="none"/>
        </w:rPr>
        <w:t>7. 综合评审结果在线公布各供应商得分汇总，并在线提交（宣布）中标候选人。</w:t>
      </w:r>
    </w:p>
    <w:p>
      <w:pPr>
        <w:autoSpaceDE/>
        <w:autoSpaceDN/>
        <w:adjustRightInd/>
        <w:spacing w:line="500" w:lineRule="exact"/>
        <w:ind w:firstLine="525" w:firstLineChars="250"/>
        <w:jc w:val="both"/>
        <w:textAlignment w:val="auto"/>
        <w:rPr>
          <w:rFonts w:hint="eastAsia" w:hAnsi="宋体" w:cs="宋体"/>
          <w:color w:val="auto"/>
          <w:sz w:val="21"/>
          <w:szCs w:val="21"/>
          <w:highlight w:val="none"/>
        </w:rPr>
      </w:pPr>
      <w:r>
        <w:rPr>
          <w:rFonts w:hint="eastAsia" w:hAnsi="宋体" w:cs="宋体"/>
          <w:color w:val="auto"/>
          <w:sz w:val="21"/>
          <w:szCs w:val="21"/>
          <w:highlight w:val="none"/>
        </w:rPr>
        <w:t>8.</w:t>
      </w:r>
      <w:r>
        <w:rPr>
          <w:rFonts w:hAnsi="宋体"/>
          <w:color w:val="auto"/>
          <w:sz w:val="22"/>
          <w:szCs w:val="22"/>
          <w:highlight w:val="none"/>
        </w:rPr>
        <w:t xml:space="preserve"> 评审结束后，代理机构宣布开标结束，并公布采购结果</w:t>
      </w:r>
      <w:r>
        <w:rPr>
          <w:rFonts w:hint="eastAsia" w:hAnsi="宋体" w:cs="宋体"/>
          <w:color w:val="auto"/>
          <w:sz w:val="21"/>
          <w:szCs w:val="21"/>
          <w:highlight w:val="none"/>
        </w:rPr>
        <w:t>。</w:t>
      </w:r>
    </w:p>
    <w:p>
      <w:pPr>
        <w:autoSpaceDE/>
        <w:autoSpaceDN/>
        <w:adjustRightInd/>
        <w:spacing w:line="500" w:lineRule="exact"/>
        <w:ind w:firstLine="527" w:firstLineChars="250"/>
        <w:jc w:val="both"/>
        <w:textAlignment w:val="auto"/>
        <w:rPr>
          <w:rFonts w:hAnsi="宋体" w:cs="宋体"/>
          <w:b/>
          <w:color w:val="auto"/>
          <w:sz w:val="21"/>
          <w:szCs w:val="21"/>
          <w:highlight w:val="none"/>
        </w:rPr>
      </w:pPr>
      <w:r>
        <w:rPr>
          <w:rFonts w:hint="eastAsia" w:hAnsi="宋体" w:cs="宋体"/>
          <w:b/>
          <w:color w:val="auto"/>
          <w:sz w:val="21"/>
          <w:szCs w:val="21"/>
          <w:highlight w:val="none"/>
        </w:rPr>
        <w:t>注：政采云公司如对电子化开标及评审程序有调整的，按调整后的程序操作。</w:t>
      </w:r>
    </w:p>
    <w:p>
      <w:pPr>
        <w:autoSpaceDE/>
        <w:autoSpaceDN/>
        <w:adjustRightInd/>
        <w:spacing w:line="500" w:lineRule="exact"/>
        <w:ind w:firstLine="422" w:firstLineChars="200"/>
        <w:jc w:val="both"/>
        <w:textAlignment w:val="auto"/>
        <w:rPr>
          <w:rFonts w:hAnsi="宋体" w:cs="Arial"/>
          <w:b/>
          <w:color w:val="auto"/>
          <w:sz w:val="21"/>
          <w:szCs w:val="21"/>
          <w:highlight w:val="none"/>
        </w:rPr>
      </w:pPr>
      <w:r>
        <w:rPr>
          <w:rFonts w:hint="eastAsia" w:hAnsi="宋体" w:cs="Arial"/>
          <w:b/>
          <w:color w:val="auto"/>
          <w:sz w:val="21"/>
          <w:szCs w:val="21"/>
          <w:highlight w:val="none"/>
        </w:rPr>
        <w:t>五、</w:t>
      </w:r>
      <w:r>
        <w:rPr>
          <w:rFonts w:hint="eastAsia" w:hAnsi="宋体"/>
          <w:b/>
          <w:color w:val="auto"/>
          <w:sz w:val="21"/>
          <w:szCs w:val="21"/>
          <w:highlight w:val="none"/>
        </w:rPr>
        <w:t>磋商</w:t>
      </w:r>
    </w:p>
    <w:p>
      <w:pPr>
        <w:autoSpaceDE/>
        <w:autoSpaceDN/>
        <w:adjustRightInd/>
        <w:spacing w:line="500" w:lineRule="exact"/>
        <w:ind w:firstLine="422" w:firstLineChars="200"/>
        <w:textAlignment w:val="auto"/>
        <w:rPr>
          <w:rFonts w:hAnsi="宋体" w:cs="Arial"/>
          <w:b/>
          <w:color w:val="auto"/>
          <w:sz w:val="21"/>
          <w:szCs w:val="21"/>
          <w:highlight w:val="none"/>
        </w:rPr>
      </w:pPr>
      <w:r>
        <w:rPr>
          <w:rFonts w:hAnsi="宋体" w:cs="Arial"/>
          <w:b/>
          <w:color w:val="auto"/>
          <w:sz w:val="21"/>
          <w:szCs w:val="21"/>
          <w:highlight w:val="none"/>
        </w:rPr>
        <w:t>（一）组建</w:t>
      </w:r>
      <w:r>
        <w:rPr>
          <w:rFonts w:hint="eastAsia" w:hAnsi="宋体" w:cs="Arial"/>
          <w:b/>
          <w:color w:val="auto"/>
          <w:sz w:val="21"/>
          <w:szCs w:val="21"/>
          <w:highlight w:val="none"/>
        </w:rPr>
        <w:t>磋商</w:t>
      </w:r>
      <w:r>
        <w:rPr>
          <w:rFonts w:hAnsi="宋体" w:cs="Arial"/>
          <w:b/>
          <w:color w:val="auto"/>
          <w:sz w:val="21"/>
          <w:szCs w:val="21"/>
          <w:highlight w:val="none"/>
        </w:rPr>
        <w:t>小组</w:t>
      </w:r>
    </w:p>
    <w:p>
      <w:pPr>
        <w:autoSpaceDE/>
        <w:autoSpaceDN/>
        <w:adjustRightInd/>
        <w:spacing w:line="500" w:lineRule="exact"/>
        <w:ind w:firstLine="420" w:firstLineChars="200"/>
        <w:textAlignment w:val="auto"/>
        <w:rPr>
          <w:rFonts w:hAnsi="宋体" w:cs="Arial"/>
          <w:color w:val="auto"/>
          <w:sz w:val="21"/>
          <w:szCs w:val="21"/>
          <w:highlight w:val="none"/>
        </w:rPr>
      </w:pPr>
      <w:r>
        <w:rPr>
          <w:rFonts w:hint="eastAsia" w:hAnsi="宋体" w:cs="Arial"/>
          <w:color w:val="auto"/>
          <w:sz w:val="21"/>
          <w:szCs w:val="21"/>
          <w:highlight w:val="none"/>
        </w:rPr>
        <w:t>采购人</w:t>
      </w:r>
      <w:r>
        <w:rPr>
          <w:rFonts w:hAnsi="宋体" w:cs="Arial"/>
          <w:color w:val="auto"/>
          <w:sz w:val="21"/>
          <w:szCs w:val="21"/>
          <w:highlight w:val="none"/>
        </w:rPr>
        <w:t>和</w:t>
      </w:r>
      <w:r>
        <w:rPr>
          <w:rFonts w:hint="eastAsia" w:hAnsi="宋体" w:cs="Arial"/>
          <w:color w:val="auto"/>
          <w:sz w:val="21"/>
          <w:szCs w:val="21"/>
          <w:highlight w:val="none"/>
        </w:rPr>
        <w:t>采购代理机构</w:t>
      </w:r>
      <w:r>
        <w:rPr>
          <w:rFonts w:hAnsi="宋体" w:cs="Arial"/>
          <w:color w:val="auto"/>
          <w:sz w:val="21"/>
          <w:szCs w:val="21"/>
          <w:highlight w:val="none"/>
        </w:rPr>
        <w:t>将根据本项目的特点依法组建磋商小组，磋商小组由</w:t>
      </w:r>
      <w:r>
        <w:rPr>
          <w:rFonts w:hint="eastAsia" w:hAnsi="宋体" w:cs="Arial"/>
          <w:color w:val="auto"/>
          <w:sz w:val="21"/>
          <w:szCs w:val="21"/>
          <w:highlight w:val="none"/>
        </w:rPr>
        <w:t>采购人</w:t>
      </w:r>
      <w:r>
        <w:rPr>
          <w:rFonts w:hAnsi="宋体" w:cs="Arial"/>
          <w:color w:val="auto"/>
          <w:sz w:val="21"/>
          <w:szCs w:val="21"/>
          <w:highlight w:val="none"/>
        </w:rPr>
        <w:t>和有关技术、经济等方面三名</w:t>
      </w:r>
      <w:r>
        <w:rPr>
          <w:rFonts w:hint="eastAsia" w:hAnsi="宋体" w:cs="Arial"/>
          <w:color w:val="auto"/>
          <w:sz w:val="21"/>
          <w:szCs w:val="21"/>
          <w:highlight w:val="none"/>
        </w:rPr>
        <w:t>或</w:t>
      </w:r>
      <w:r>
        <w:rPr>
          <w:rFonts w:hAnsi="宋体" w:cs="Arial"/>
          <w:color w:val="auto"/>
          <w:sz w:val="21"/>
          <w:szCs w:val="21"/>
          <w:highlight w:val="none"/>
        </w:rPr>
        <w:t>以上单数的专家组成，其中技术、经济等方面的专家不少于成员总数的三分之二。专家统一在</w:t>
      </w:r>
      <w:r>
        <w:rPr>
          <w:rFonts w:hint="eastAsia" w:hAnsi="宋体" w:cs="Arial"/>
          <w:color w:val="auto"/>
          <w:sz w:val="21"/>
          <w:szCs w:val="21"/>
          <w:highlight w:val="none"/>
        </w:rPr>
        <w:t>浙江省政府采购专家管理系统（</w:t>
      </w:r>
      <w:r>
        <w:rPr>
          <w:rFonts w:hAnsi="宋体" w:cs="Arial"/>
          <w:color w:val="auto"/>
          <w:sz w:val="21"/>
          <w:szCs w:val="21"/>
          <w:highlight w:val="none"/>
        </w:rPr>
        <w:t>政</w:t>
      </w:r>
      <w:r>
        <w:rPr>
          <w:rFonts w:hint="eastAsia" w:hAnsi="宋体" w:cs="Arial"/>
          <w:color w:val="auto"/>
          <w:sz w:val="21"/>
          <w:szCs w:val="21"/>
          <w:highlight w:val="none"/>
        </w:rPr>
        <w:t>采云）的</w:t>
      </w:r>
      <w:r>
        <w:rPr>
          <w:rFonts w:hAnsi="宋体" w:cs="Arial"/>
          <w:color w:val="auto"/>
          <w:sz w:val="21"/>
          <w:szCs w:val="21"/>
          <w:highlight w:val="none"/>
        </w:rPr>
        <w:t>专家库中随</w:t>
      </w:r>
      <w:r>
        <w:rPr>
          <w:rFonts w:hint="eastAsia" w:hAnsi="宋体" w:cs="Arial"/>
          <w:color w:val="auto"/>
          <w:sz w:val="21"/>
          <w:szCs w:val="21"/>
          <w:highlight w:val="none"/>
        </w:rPr>
        <w:t>机</w:t>
      </w:r>
      <w:r>
        <w:rPr>
          <w:rFonts w:hAnsi="宋体" w:cs="Arial"/>
          <w:color w:val="auto"/>
          <w:sz w:val="21"/>
          <w:szCs w:val="21"/>
          <w:highlight w:val="none"/>
        </w:rPr>
        <w:t>抽取。</w:t>
      </w:r>
    </w:p>
    <w:p>
      <w:pPr>
        <w:autoSpaceDE/>
        <w:autoSpaceDN/>
        <w:adjustRightInd/>
        <w:spacing w:line="500" w:lineRule="exact"/>
        <w:ind w:firstLine="422" w:firstLineChars="200"/>
        <w:textAlignment w:val="auto"/>
        <w:rPr>
          <w:rFonts w:hAnsi="宋体" w:cs="Arial"/>
          <w:b/>
          <w:color w:val="auto"/>
          <w:sz w:val="21"/>
          <w:szCs w:val="21"/>
          <w:highlight w:val="none"/>
        </w:rPr>
      </w:pPr>
      <w:r>
        <w:rPr>
          <w:rFonts w:hAnsi="宋体" w:cs="Arial"/>
          <w:b/>
          <w:color w:val="auto"/>
          <w:sz w:val="21"/>
          <w:szCs w:val="21"/>
          <w:highlight w:val="none"/>
        </w:rPr>
        <w:t>（二）磋商的方式</w:t>
      </w:r>
    </w:p>
    <w:p>
      <w:pPr>
        <w:autoSpaceDE/>
        <w:autoSpaceDN/>
        <w:adjustRightInd/>
        <w:spacing w:line="500" w:lineRule="exact"/>
        <w:ind w:firstLine="420" w:firstLineChars="200"/>
        <w:textAlignment w:val="auto"/>
        <w:rPr>
          <w:rFonts w:hAnsi="宋体" w:cs="Arial"/>
          <w:color w:val="auto"/>
          <w:sz w:val="21"/>
          <w:szCs w:val="21"/>
          <w:highlight w:val="none"/>
        </w:rPr>
      </w:pPr>
      <w:r>
        <w:rPr>
          <w:rFonts w:hAnsi="宋体" w:cs="Arial"/>
          <w:color w:val="auto"/>
          <w:sz w:val="21"/>
          <w:szCs w:val="21"/>
          <w:highlight w:val="none"/>
        </w:rPr>
        <w:t>本项目采用不公开方式磋商，磋商的依据为磋商文件和磋商响应文件。</w:t>
      </w:r>
    </w:p>
    <w:p>
      <w:pPr>
        <w:pStyle w:val="104"/>
        <w:adjustRightInd w:val="0"/>
        <w:snapToGrid w:val="0"/>
        <w:spacing w:before="0" w:line="500" w:lineRule="exact"/>
        <w:ind w:firstLine="422"/>
        <w:jc w:val="left"/>
        <w:rPr>
          <w:rFonts w:ascii="宋体" w:hAnsi="宋体" w:eastAsia="宋体"/>
          <w:b/>
          <w:color w:val="auto"/>
          <w:sz w:val="21"/>
          <w:szCs w:val="21"/>
          <w:highlight w:val="none"/>
        </w:rPr>
      </w:pPr>
      <w:r>
        <w:rPr>
          <w:rFonts w:hint="eastAsia" w:ascii="宋体" w:hAnsi="宋体" w:eastAsia="宋体"/>
          <w:b/>
          <w:color w:val="auto"/>
          <w:sz w:val="21"/>
          <w:szCs w:val="21"/>
          <w:highlight w:val="none"/>
        </w:rPr>
        <w:t>（三）磋商响应文件鉴定</w:t>
      </w:r>
    </w:p>
    <w:p>
      <w:pPr>
        <w:pStyle w:val="104"/>
        <w:adjustRightInd w:val="0"/>
        <w:snapToGrid w:val="0"/>
        <w:spacing w:before="0" w:line="500" w:lineRule="exact"/>
        <w:ind w:firstLine="420"/>
        <w:jc w:val="left"/>
        <w:rPr>
          <w:rFonts w:ascii="宋体" w:hAnsi="宋体" w:eastAsia="宋体"/>
          <w:color w:val="auto"/>
          <w:sz w:val="21"/>
          <w:szCs w:val="21"/>
          <w:highlight w:val="none"/>
        </w:rPr>
      </w:pPr>
      <w:r>
        <w:rPr>
          <w:rFonts w:hint="eastAsia" w:ascii="宋体" w:hAnsi="宋体" w:eastAsia="宋体"/>
          <w:color w:val="auto"/>
          <w:sz w:val="21"/>
          <w:szCs w:val="21"/>
          <w:highlight w:val="none"/>
        </w:rPr>
        <w:t>1.在磋商前，磋商小组对每份</w:t>
      </w:r>
      <w:r>
        <w:rPr>
          <w:rFonts w:hint="eastAsia" w:ascii="宋体" w:hAnsi="宋体" w:eastAsia="宋体"/>
          <w:color w:val="auto"/>
          <w:sz w:val="21"/>
          <w:szCs w:val="21"/>
          <w:highlight w:val="none"/>
          <w:lang w:val="zh-CN"/>
        </w:rPr>
        <w:t>磋商响应文件</w:t>
      </w:r>
      <w:r>
        <w:rPr>
          <w:rFonts w:hint="eastAsia" w:ascii="宋体" w:hAnsi="宋体" w:eastAsia="宋体"/>
          <w:color w:val="auto"/>
          <w:sz w:val="21"/>
          <w:szCs w:val="21"/>
          <w:highlight w:val="none"/>
        </w:rPr>
        <w:t>进行符合性等方面的预审，如</w:t>
      </w:r>
      <w:r>
        <w:rPr>
          <w:rFonts w:hint="eastAsia" w:ascii="宋体" w:hAnsi="宋体" w:eastAsia="宋体"/>
          <w:color w:val="auto"/>
          <w:sz w:val="21"/>
          <w:szCs w:val="21"/>
          <w:highlight w:val="none"/>
          <w:lang w:val="zh-CN"/>
        </w:rPr>
        <w:t>磋商响应文件</w:t>
      </w:r>
      <w:r>
        <w:rPr>
          <w:rFonts w:hint="eastAsia" w:ascii="宋体" w:hAnsi="宋体" w:eastAsia="宋体"/>
          <w:color w:val="auto"/>
          <w:sz w:val="21"/>
          <w:szCs w:val="21"/>
          <w:highlight w:val="none"/>
        </w:rPr>
        <w:t>被确认为无效，采购代理机构将及时通知该供应商。</w:t>
      </w:r>
    </w:p>
    <w:p>
      <w:pPr>
        <w:pStyle w:val="104"/>
        <w:adjustRightInd w:val="0"/>
        <w:snapToGrid w:val="0"/>
        <w:spacing w:before="0" w:line="500" w:lineRule="exact"/>
        <w:ind w:firstLine="420"/>
        <w:jc w:val="left"/>
        <w:rPr>
          <w:rFonts w:ascii="宋体" w:hAnsi="宋体" w:eastAsia="宋体"/>
          <w:color w:val="auto"/>
          <w:sz w:val="21"/>
          <w:szCs w:val="21"/>
          <w:highlight w:val="none"/>
        </w:rPr>
      </w:pPr>
      <w:r>
        <w:rPr>
          <w:rFonts w:hint="eastAsia" w:ascii="宋体" w:hAnsi="宋体" w:eastAsia="宋体"/>
          <w:color w:val="auto"/>
          <w:sz w:val="21"/>
          <w:szCs w:val="21"/>
          <w:highlight w:val="none"/>
        </w:rPr>
        <w:t>2.就本条款而言，实质上响应要求的</w:t>
      </w:r>
      <w:r>
        <w:rPr>
          <w:rFonts w:hint="eastAsia" w:ascii="宋体" w:hAnsi="宋体" w:eastAsia="宋体"/>
          <w:color w:val="auto"/>
          <w:sz w:val="21"/>
          <w:szCs w:val="21"/>
          <w:highlight w:val="none"/>
          <w:lang w:val="zh-CN"/>
        </w:rPr>
        <w:t>磋商响应文件</w:t>
      </w:r>
      <w:r>
        <w:rPr>
          <w:rFonts w:hint="eastAsia" w:ascii="宋体" w:hAnsi="宋体" w:eastAsia="宋体"/>
          <w:color w:val="auto"/>
          <w:sz w:val="21"/>
          <w:szCs w:val="21"/>
          <w:highlight w:val="none"/>
        </w:rPr>
        <w:t>，应该与文件的规定主要要求、条件、条款和规范相符，无显著差异或保留。</w:t>
      </w:r>
    </w:p>
    <w:p>
      <w:pPr>
        <w:pStyle w:val="104"/>
        <w:adjustRightInd w:val="0"/>
        <w:snapToGrid w:val="0"/>
        <w:spacing w:before="0" w:line="500" w:lineRule="exact"/>
        <w:ind w:firstLine="420"/>
        <w:jc w:val="left"/>
        <w:rPr>
          <w:rFonts w:ascii="宋体" w:hAnsi="宋体" w:eastAsia="宋体"/>
          <w:color w:val="auto"/>
          <w:sz w:val="21"/>
          <w:szCs w:val="21"/>
          <w:highlight w:val="none"/>
        </w:rPr>
      </w:pPr>
      <w:r>
        <w:rPr>
          <w:rFonts w:hint="eastAsia" w:ascii="宋体" w:hAnsi="宋体" w:eastAsia="宋体"/>
          <w:color w:val="auto"/>
          <w:sz w:val="21"/>
          <w:szCs w:val="21"/>
          <w:highlight w:val="none"/>
        </w:rPr>
        <w:t>3.如果</w:t>
      </w:r>
      <w:r>
        <w:rPr>
          <w:rFonts w:hint="eastAsia" w:ascii="宋体" w:hAnsi="宋体" w:eastAsia="宋体"/>
          <w:color w:val="auto"/>
          <w:sz w:val="21"/>
          <w:szCs w:val="21"/>
          <w:highlight w:val="none"/>
          <w:lang w:val="zh-CN"/>
        </w:rPr>
        <w:t>磋商响应文件</w:t>
      </w:r>
      <w:r>
        <w:rPr>
          <w:rFonts w:hint="eastAsia" w:ascii="宋体" w:hAnsi="宋体" w:eastAsia="宋体"/>
          <w:color w:val="auto"/>
          <w:sz w:val="21"/>
          <w:szCs w:val="21"/>
          <w:highlight w:val="none"/>
        </w:rPr>
        <w:t>实质上不响应磋商文件的要求，不允许通过修正或撤消不符合要求的差异或保留，使之成为具有响应性的磋商。</w:t>
      </w:r>
    </w:p>
    <w:p>
      <w:pPr>
        <w:pStyle w:val="104"/>
        <w:adjustRightInd w:val="0"/>
        <w:snapToGrid w:val="0"/>
        <w:spacing w:before="0" w:line="460" w:lineRule="exact"/>
        <w:ind w:firstLine="420"/>
        <w:jc w:val="left"/>
        <w:rPr>
          <w:rFonts w:ascii="宋体" w:hAnsi="宋体" w:eastAsia="宋体"/>
          <w:color w:val="auto"/>
          <w:sz w:val="21"/>
          <w:szCs w:val="21"/>
          <w:highlight w:val="none"/>
        </w:rPr>
      </w:pPr>
      <w:r>
        <w:rPr>
          <w:rFonts w:hint="eastAsia" w:ascii="宋体" w:hAnsi="宋体" w:eastAsia="宋体"/>
          <w:color w:val="auto"/>
          <w:sz w:val="21"/>
          <w:szCs w:val="21"/>
          <w:highlight w:val="none"/>
        </w:rPr>
        <w:t>4.磋商响应文件中磋商报价一览表内容与磋商响应文件中相应内容不一致的，以磋商报价一览表为准；</w:t>
      </w:r>
      <w:r>
        <w:rPr>
          <w:rFonts w:hint="eastAsia" w:ascii="宋体" w:hAnsi="宋体" w:eastAsia="宋体"/>
          <w:color w:val="auto"/>
          <w:sz w:val="21"/>
          <w:szCs w:val="21"/>
          <w:highlight w:val="none"/>
          <w:lang w:val="zh-CN"/>
        </w:rPr>
        <w:t>磋商响应文件</w:t>
      </w:r>
      <w:r>
        <w:rPr>
          <w:rFonts w:hint="eastAsia" w:ascii="宋体" w:hAnsi="宋体" w:eastAsia="宋体"/>
          <w:color w:val="auto"/>
          <w:sz w:val="21"/>
          <w:szCs w:val="21"/>
          <w:highlight w:val="none"/>
        </w:rPr>
        <w:t>的大写金额和小写金额不一致的，以大写金额为准；总价金额与按单价汇总金额不一致的，以单价金额计算结果为准；单价金额小数点或者百分比有明显错位的，以磋商报价一览表的总价为准，并修改单价；对不同文字文本</w:t>
      </w:r>
      <w:r>
        <w:rPr>
          <w:rFonts w:hint="eastAsia" w:ascii="宋体" w:hAnsi="宋体" w:eastAsia="宋体"/>
          <w:color w:val="auto"/>
          <w:sz w:val="21"/>
          <w:szCs w:val="21"/>
          <w:highlight w:val="none"/>
          <w:lang w:val="zh-CN"/>
        </w:rPr>
        <w:t>磋商响应文件</w:t>
      </w:r>
      <w:r>
        <w:rPr>
          <w:rFonts w:hint="eastAsia" w:ascii="宋体" w:hAnsi="宋体" w:eastAsia="宋体"/>
          <w:color w:val="auto"/>
          <w:sz w:val="21"/>
          <w:szCs w:val="21"/>
          <w:highlight w:val="none"/>
        </w:rPr>
        <w:t>的解释发生异议的，以中文文本为准。同时出现两种以上不一致的，按照前款规定的顺序修正。修正后的报价经响应人确认后产生约束力，供应商不确认的，其投标无效。</w:t>
      </w:r>
    </w:p>
    <w:p>
      <w:pPr>
        <w:pStyle w:val="24"/>
        <w:snapToGrid w:val="0"/>
        <w:spacing w:line="500" w:lineRule="exact"/>
        <w:ind w:firstLine="422" w:firstLineChars="200"/>
        <w:rPr>
          <w:rFonts w:hAnsi="宋体"/>
          <w:b/>
          <w:color w:val="auto"/>
          <w:sz w:val="21"/>
          <w:highlight w:val="none"/>
        </w:rPr>
      </w:pPr>
      <w:r>
        <w:rPr>
          <w:rFonts w:hint="eastAsia" w:hAnsi="宋体"/>
          <w:b/>
          <w:color w:val="auto"/>
          <w:sz w:val="21"/>
          <w:highlight w:val="none"/>
        </w:rPr>
        <w:t>（四）磋商原则</w:t>
      </w:r>
    </w:p>
    <w:p>
      <w:pPr>
        <w:pStyle w:val="24"/>
        <w:snapToGrid w:val="0"/>
        <w:spacing w:line="500" w:lineRule="exact"/>
        <w:ind w:firstLine="420" w:firstLineChars="200"/>
        <w:rPr>
          <w:rFonts w:hAnsi="宋体"/>
          <w:color w:val="auto"/>
          <w:sz w:val="21"/>
          <w:highlight w:val="none"/>
        </w:rPr>
      </w:pPr>
      <w:r>
        <w:rPr>
          <w:rFonts w:hint="eastAsia" w:hAnsi="宋体"/>
          <w:color w:val="auto"/>
          <w:sz w:val="21"/>
          <w:highlight w:val="none"/>
        </w:rPr>
        <w:t>1.竞争优选。</w:t>
      </w:r>
    </w:p>
    <w:p>
      <w:pPr>
        <w:snapToGrid w:val="0"/>
        <w:spacing w:line="500" w:lineRule="exact"/>
        <w:ind w:firstLine="420" w:firstLineChars="200"/>
        <w:rPr>
          <w:rFonts w:hAnsi="宋体"/>
          <w:color w:val="auto"/>
          <w:sz w:val="21"/>
          <w:szCs w:val="21"/>
          <w:highlight w:val="none"/>
          <w:lang w:val="zh-CN"/>
        </w:rPr>
      </w:pPr>
      <w:r>
        <w:rPr>
          <w:rFonts w:hint="eastAsia" w:hAnsi="宋体"/>
          <w:color w:val="auto"/>
          <w:sz w:val="21"/>
          <w:szCs w:val="21"/>
          <w:highlight w:val="none"/>
          <w:lang w:val="zh-CN"/>
        </w:rPr>
        <w:t>2</w:t>
      </w:r>
      <w:r>
        <w:rPr>
          <w:rFonts w:hint="eastAsia" w:hAnsi="宋体"/>
          <w:color w:val="auto"/>
          <w:sz w:val="21"/>
          <w:szCs w:val="21"/>
          <w:highlight w:val="none"/>
        </w:rPr>
        <w:t>.</w:t>
      </w:r>
      <w:r>
        <w:rPr>
          <w:rFonts w:hint="eastAsia" w:hAnsi="宋体"/>
          <w:color w:val="auto"/>
          <w:sz w:val="21"/>
          <w:szCs w:val="21"/>
          <w:highlight w:val="none"/>
          <w:lang w:val="zh-CN"/>
        </w:rPr>
        <w:t>坚持公开、公平、公正、科学合理的原则。</w:t>
      </w:r>
    </w:p>
    <w:p>
      <w:pPr>
        <w:snapToGrid w:val="0"/>
        <w:spacing w:line="500" w:lineRule="exact"/>
        <w:ind w:firstLine="420" w:firstLineChars="200"/>
        <w:rPr>
          <w:rFonts w:hAnsi="宋体"/>
          <w:color w:val="auto"/>
          <w:sz w:val="21"/>
          <w:szCs w:val="21"/>
          <w:highlight w:val="none"/>
          <w:lang w:val="zh-CN"/>
        </w:rPr>
      </w:pPr>
      <w:r>
        <w:rPr>
          <w:rFonts w:hint="eastAsia" w:hAnsi="宋体"/>
          <w:color w:val="auto"/>
          <w:sz w:val="21"/>
          <w:szCs w:val="21"/>
          <w:highlight w:val="none"/>
          <w:lang w:val="zh-CN"/>
        </w:rPr>
        <w:t>3</w:t>
      </w:r>
      <w:r>
        <w:rPr>
          <w:rFonts w:hint="eastAsia" w:hAnsi="宋体"/>
          <w:color w:val="auto"/>
          <w:sz w:val="21"/>
          <w:szCs w:val="21"/>
          <w:highlight w:val="none"/>
        </w:rPr>
        <w:t>.</w:t>
      </w:r>
      <w:r>
        <w:rPr>
          <w:rFonts w:hint="eastAsia" w:hAnsi="宋体"/>
          <w:color w:val="auto"/>
          <w:sz w:val="21"/>
          <w:szCs w:val="21"/>
          <w:highlight w:val="none"/>
          <w:lang w:val="zh-CN"/>
        </w:rPr>
        <w:t>价格合理，方案、产品先进可行。</w:t>
      </w:r>
    </w:p>
    <w:p>
      <w:pPr>
        <w:snapToGrid w:val="0"/>
        <w:spacing w:line="500" w:lineRule="exact"/>
        <w:ind w:firstLine="420" w:firstLineChars="200"/>
        <w:rPr>
          <w:rFonts w:hAnsi="宋体"/>
          <w:color w:val="auto"/>
          <w:sz w:val="21"/>
          <w:szCs w:val="21"/>
          <w:highlight w:val="none"/>
          <w:lang w:val="zh-CN"/>
        </w:rPr>
      </w:pPr>
      <w:r>
        <w:rPr>
          <w:rFonts w:hint="eastAsia" w:hAnsi="宋体"/>
          <w:color w:val="auto"/>
          <w:sz w:val="21"/>
          <w:szCs w:val="21"/>
          <w:highlight w:val="none"/>
          <w:lang w:val="zh-CN"/>
        </w:rPr>
        <w:t>4</w:t>
      </w:r>
      <w:r>
        <w:rPr>
          <w:rFonts w:hint="eastAsia" w:hAnsi="宋体"/>
          <w:color w:val="auto"/>
          <w:sz w:val="21"/>
          <w:szCs w:val="21"/>
          <w:highlight w:val="none"/>
        </w:rPr>
        <w:t>.</w:t>
      </w:r>
      <w:r>
        <w:rPr>
          <w:rFonts w:hint="eastAsia" w:hAnsi="宋体"/>
          <w:color w:val="auto"/>
          <w:sz w:val="21"/>
          <w:szCs w:val="21"/>
          <w:highlight w:val="none"/>
          <w:lang w:val="zh-CN"/>
        </w:rPr>
        <w:t>反对不正当竞争。</w:t>
      </w:r>
    </w:p>
    <w:p>
      <w:pPr>
        <w:snapToGrid w:val="0"/>
        <w:spacing w:line="500" w:lineRule="exact"/>
        <w:ind w:firstLine="420" w:firstLineChars="200"/>
        <w:rPr>
          <w:rFonts w:hAnsi="宋体"/>
          <w:color w:val="auto"/>
          <w:sz w:val="21"/>
          <w:szCs w:val="21"/>
          <w:highlight w:val="none"/>
          <w:lang w:val="zh-CN"/>
        </w:rPr>
      </w:pPr>
      <w:r>
        <w:rPr>
          <w:rFonts w:hint="eastAsia" w:hAnsi="宋体"/>
          <w:color w:val="auto"/>
          <w:sz w:val="21"/>
          <w:szCs w:val="21"/>
          <w:highlight w:val="none"/>
          <w:lang w:val="zh-CN"/>
        </w:rPr>
        <w:t>5</w:t>
      </w:r>
      <w:r>
        <w:rPr>
          <w:rFonts w:hint="eastAsia" w:hAnsi="宋体"/>
          <w:color w:val="auto"/>
          <w:sz w:val="21"/>
          <w:szCs w:val="21"/>
          <w:highlight w:val="none"/>
        </w:rPr>
        <w:t>.</w:t>
      </w:r>
      <w:r>
        <w:rPr>
          <w:rFonts w:hint="eastAsia" w:hAnsi="宋体"/>
          <w:color w:val="auto"/>
          <w:sz w:val="21"/>
          <w:szCs w:val="21"/>
          <w:highlight w:val="none"/>
          <w:lang w:val="zh-CN"/>
        </w:rPr>
        <w:t>磋商小组将遵循评审原则的前提下，对供应商提供的服务、磋商价格、履约能力等进行分析。</w:t>
      </w:r>
    </w:p>
    <w:p>
      <w:pPr>
        <w:pStyle w:val="24"/>
        <w:snapToGrid w:val="0"/>
        <w:spacing w:line="500" w:lineRule="exact"/>
        <w:ind w:firstLine="420" w:firstLineChars="200"/>
        <w:rPr>
          <w:rFonts w:hAnsi="宋体"/>
          <w:color w:val="auto"/>
          <w:sz w:val="21"/>
          <w:highlight w:val="none"/>
          <w:lang w:val="zh-CN"/>
        </w:rPr>
      </w:pPr>
      <w:r>
        <w:rPr>
          <w:rFonts w:hint="eastAsia" w:hAnsi="宋体"/>
          <w:color w:val="auto"/>
          <w:sz w:val="21"/>
          <w:highlight w:val="none"/>
          <w:lang w:val="zh-CN"/>
        </w:rPr>
        <w:t>6</w:t>
      </w:r>
      <w:r>
        <w:rPr>
          <w:rFonts w:hint="eastAsia" w:hAnsi="宋体"/>
          <w:color w:val="auto"/>
          <w:sz w:val="21"/>
          <w:highlight w:val="none"/>
        </w:rPr>
        <w:t>.</w:t>
      </w:r>
      <w:r>
        <w:rPr>
          <w:rFonts w:hint="eastAsia" w:hAnsi="宋体"/>
          <w:color w:val="auto"/>
          <w:sz w:val="21"/>
          <w:highlight w:val="none"/>
          <w:lang w:val="zh-CN"/>
        </w:rPr>
        <w:t>客观、公正对待所有供应商，对所有磋商评价，均采用相同的程序和标准。</w:t>
      </w:r>
    </w:p>
    <w:p>
      <w:pPr>
        <w:pStyle w:val="24"/>
        <w:snapToGrid w:val="0"/>
        <w:spacing w:line="500" w:lineRule="exact"/>
        <w:ind w:firstLine="420" w:firstLineChars="200"/>
        <w:rPr>
          <w:rFonts w:hAnsi="宋体"/>
          <w:color w:val="auto"/>
          <w:sz w:val="21"/>
          <w:highlight w:val="none"/>
          <w:lang w:val="zh-CN"/>
        </w:rPr>
      </w:pPr>
      <w:bookmarkStart w:id="61" w:name="_Toc31509"/>
      <w:bookmarkStart w:id="62" w:name="_Toc12327"/>
      <w:r>
        <w:rPr>
          <w:rFonts w:hint="eastAsia" w:hAnsi="宋体"/>
          <w:color w:val="auto"/>
          <w:sz w:val="21"/>
          <w:highlight w:val="none"/>
          <w:lang w:val="zh-CN"/>
        </w:rPr>
        <w:t>7</w:t>
      </w:r>
      <w:r>
        <w:rPr>
          <w:rFonts w:hint="eastAsia" w:hAnsi="宋体"/>
          <w:color w:val="auto"/>
          <w:sz w:val="21"/>
          <w:highlight w:val="none"/>
        </w:rPr>
        <w:t>.</w:t>
      </w:r>
      <w:r>
        <w:rPr>
          <w:rFonts w:hint="eastAsia" w:hAnsi="宋体"/>
          <w:color w:val="auto"/>
          <w:sz w:val="21"/>
          <w:highlight w:val="none"/>
          <w:lang w:val="zh-CN"/>
        </w:rPr>
        <w:t>在磋商响应期间，供应商不得向磋商小组成员询问磋商情况，不得进行旨在影响磋商结果的活动。</w:t>
      </w:r>
      <w:bookmarkEnd w:id="61"/>
      <w:bookmarkEnd w:id="62"/>
    </w:p>
    <w:p>
      <w:pPr>
        <w:pStyle w:val="24"/>
        <w:snapToGrid w:val="0"/>
        <w:spacing w:line="500" w:lineRule="exact"/>
        <w:ind w:firstLine="420" w:firstLineChars="200"/>
        <w:rPr>
          <w:rFonts w:hAnsi="宋体"/>
          <w:color w:val="auto"/>
          <w:sz w:val="21"/>
          <w:highlight w:val="none"/>
          <w:lang w:val="zh-CN"/>
        </w:rPr>
      </w:pPr>
      <w:bookmarkStart w:id="63" w:name="_Toc3525"/>
      <w:bookmarkStart w:id="64" w:name="_Toc22482"/>
      <w:r>
        <w:rPr>
          <w:rFonts w:hint="eastAsia" w:hAnsi="宋体"/>
          <w:color w:val="auto"/>
          <w:sz w:val="21"/>
          <w:highlight w:val="none"/>
          <w:lang w:val="zh-CN"/>
        </w:rPr>
        <w:t>8</w:t>
      </w:r>
      <w:r>
        <w:rPr>
          <w:rFonts w:hint="eastAsia" w:hAnsi="宋体"/>
          <w:color w:val="auto"/>
          <w:sz w:val="21"/>
          <w:highlight w:val="none"/>
        </w:rPr>
        <w:t>.</w:t>
      </w:r>
      <w:r>
        <w:rPr>
          <w:rFonts w:hint="eastAsia" w:hAnsi="宋体"/>
          <w:color w:val="auto"/>
          <w:sz w:val="21"/>
          <w:highlight w:val="none"/>
          <w:lang w:val="zh-CN"/>
        </w:rPr>
        <w:t>在磋商过程中，磋商小组成员不得与供应商私下交换意见，在竞争性磋商工作结束后，凡与磋商情况有接触的人不得将磋商情况扩散出磋商小组成员之外。</w:t>
      </w:r>
      <w:bookmarkEnd w:id="63"/>
      <w:bookmarkEnd w:id="64"/>
    </w:p>
    <w:p>
      <w:pPr>
        <w:pStyle w:val="24"/>
        <w:snapToGrid w:val="0"/>
        <w:spacing w:line="500" w:lineRule="exact"/>
        <w:ind w:firstLine="420" w:firstLineChars="200"/>
        <w:rPr>
          <w:rFonts w:hAnsi="宋体"/>
          <w:color w:val="auto"/>
          <w:sz w:val="21"/>
          <w:highlight w:val="none"/>
          <w:lang w:val="zh-CN"/>
        </w:rPr>
      </w:pPr>
      <w:bookmarkStart w:id="65" w:name="_Toc12142"/>
      <w:bookmarkStart w:id="66" w:name="_Toc16282"/>
      <w:r>
        <w:rPr>
          <w:rFonts w:hint="eastAsia" w:hAnsi="宋体"/>
          <w:color w:val="auto"/>
          <w:sz w:val="21"/>
          <w:highlight w:val="none"/>
          <w:lang w:val="zh-CN"/>
        </w:rPr>
        <w:t>9</w:t>
      </w:r>
      <w:r>
        <w:rPr>
          <w:rFonts w:hint="eastAsia" w:hAnsi="宋体"/>
          <w:color w:val="auto"/>
          <w:sz w:val="21"/>
          <w:highlight w:val="none"/>
        </w:rPr>
        <w:t>.</w:t>
      </w:r>
      <w:r>
        <w:rPr>
          <w:rFonts w:hint="eastAsia" w:hAnsi="宋体"/>
          <w:color w:val="auto"/>
          <w:sz w:val="21"/>
          <w:highlight w:val="none"/>
          <w:lang w:val="zh-CN"/>
        </w:rPr>
        <w:t>采购人不向未成交人解释未成交原因，不退还磋商响应文件。</w:t>
      </w:r>
      <w:bookmarkEnd w:id="65"/>
      <w:bookmarkEnd w:id="66"/>
    </w:p>
    <w:p>
      <w:pPr>
        <w:pStyle w:val="24"/>
        <w:snapToGrid w:val="0"/>
        <w:spacing w:line="500" w:lineRule="exact"/>
        <w:ind w:firstLine="422" w:firstLineChars="200"/>
        <w:rPr>
          <w:rFonts w:hAnsi="宋体"/>
          <w:b/>
          <w:color w:val="auto"/>
          <w:sz w:val="21"/>
          <w:highlight w:val="none"/>
          <w:lang w:val="zh-CN"/>
        </w:rPr>
      </w:pPr>
      <w:bookmarkStart w:id="67" w:name="_Toc998"/>
      <w:r>
        <w:rPr>
          <w:rFonts w:hint="eastAsia" w:hAnsi="宋体"/>
          <w:b/>
          <w:color w:val="auto"/>
          <w:sz w:val="21"/>
          <w:highlight w:val="none"/>
        </w:rPr>
        <w:t>（五）</w:t>
      </w:r>
      <w:bookmarkEnd w:id="67"/>
      <w:r>
        <w:rPr>
          <w:rFonts w:hint="eastAsia" w:hAnsi="宋体"/>
          <w:b/>
          <w:color w:val="auto"/>
          <w:sz w:val="21"/>
          <w:highlight w:val="none"/>
          <w:lang w:val="zh-CN"/>
        </w:rPr>
        <w:t>磋商</w:t>
      </w:r>
      <w:r>
        <w:rPr>
          <w:rFonts w:hint="eastAsia" w:hAnsi="宋体"/>
          <w:b/>
          <w:color w:val="auto"/>
          <w:sz w:val="21"/>
          <w:highlight w:val="none"/>
        </w:rPr>
        <w:t>工作流程</w:t>
      </w:r>
    </w:p>
    <w:p>
      <w:pPr>
        <w:tabs>
          <w:tab w:val="left" w:pos="0"/>
        </w:tabs>
        <w:spacing w:line="500" w:lineRule="exact"/>
        <w:ind w:firstLine="420" w:firstLineChars="200"/>
        <w:rPr>
          <w:rFonts w:hAnsi="宋体"/>
          <w:color w:val="auto"/>
          <w:sz w:val="21"/>
          <w:szCs w:val="21"/>
          <w:highlight w:val="none"/>
          <w:lang w:val="zh-CN"/>
        </w:rPr>
      </w:pPr>
      <w:r>
        <w:rPr>
          <w:rFonts w:hint="eastAsia" w:hAnsi="宋体"/>
          <w:color w:val="auto"/>
          <w:sz w:val="21"/>
          <w:szCs w:val="21"/>
          <w:highlight w:val="none"/>
          <w:lang w:val="zh-CN"/>
        </w:rPr>
        <w:t>1</w:t>
      </w:r>
      <w:r>
        <w:rPr>
          <w:rFonts w:hint="eastAsia" w:hAnsi="宋体"/>
          <w:color w:val="auto"/>
          <w:sz w:val="21"/>
          <w:szCs w:val="21"/>
          <w:highlight w:val="none"/>
        </w:rPr>
        <w:t>.</w:t>
      </w:r>
      <w:r>
        <w:rPr>
          <w:rFonts w:hint="eastAsia" w:hAnsi="宋体"/>
          <w:color w:val="auto"/>
          <w:sz w:val="21"/>
          <w:szCs w:val="21"/>
          <w:highlight w:val="none"/>
          <w:lang w:val="zh-CN"/>
        </w:rPr>
        <w:t>根据公开、公平、公正、诚信科学的原则，组织竞争性磋商采购。</w:t>
      </w:r>
    </w:p>
    <w:p>
      <w:pPr>
        <w:tabs>
          <w:tab w:val="left" w:pos="0"/>
        </w:tabs>
        <w:spacing w:line="500" w:lineRule="exact"/>
        <w:ind w:firstLine="420" w:firstLineChars="200"/>
        <w:rPr>
          <w:rFonts w:hAnsi="宋体"/>
          <w:color w:val="auto"/>
          <w:sz w:val="21"/>
          <w:szCs w:val="21"/>
          <w:highlight w:val="none"/>
          <w:lang w:val="zh-CN"/>
        </w:rPr>
      </w:pPr>
      <w:r>
        <w:rPr>
          <w:rFonts w:hint="eastAsia" w:hAnsi="宋体"/>
          <w:color w:val="auto"/>
          <w:sz w:val="21"/>
          <w:szCs w:val="21"/>
          <w:highlight w:val="none"/>
          <w:lang w:val="zh-CN"/>
        </w:rPr>
        <w:t>2</w:t>
      </w:r>
      <w:r>
        <w:rPr>
          <w:rFonts w:hint="eastAsia" w:hAnsi="宋体"/>
          <w:color w:val="auto"/>
          <w:sz w:val="21"/>
          <w:szCs w:val="21"/>
          <w:highlight w:val="none"/>
        </w:rPr>
        <w:t>.</w:t>
      </w:r>
      <w:r>
        <w:rPr>
          <w:rFonts w:hint="eastAsia" w:hAnsi="宋体"/>
          <w:color w:val="auto"/>
          <w:sz w:val="21"/>
          <w:szCs w:val="21"/>
          <w:highlight w:val="none"/>
          <w:lang w:val="zh-CN"/>
        </w:rPr>
        <w:t>具体工作流程：</w:t>
      </w:r>
    </w:p>
    <w:p>
      <w:pPr>
        <w:tabs>
          <w:tab w:val="left" w:pos="0"/>
        </w:tabs>
        <w:spacing w:line="500" w:lineRule="exact"/>
        <w:ind w:firstLine="420" w:firstLineChars="200"/>
        <w:rPr>
          <w:rFonts w:hAnsi="宋体"/>
          <w:color w:val="auto"/>
          <w:sz w:val="21"/>
          <w:szCs w:val="21"/>
          <w:highlight w:val="none"/>
        </w:rPr>
      </w:pPr>
      <w:r>
        <w:rPr>
          <w:rFonts w:hint="eastAsia" w:hAnsi="宋体"/>
          <w:color w:val="auto"/>
          <w:sz w:val="21"/>
          <w:szCs w:val="21"/>
          <w:highlight w:val="none"/>
        </w:rPr>
        <w:t>（1）磋商小组所有成员应当集中与单一供应商分别进行磋商，并给予所有参加磋商的供应商平等的磋商机会。</w:t>
      </w:r>
    </w:p>
    <w:p>
      <w:pPr>
        <w:tabs>
          <w:tab w:val="left" w:pos="0"/>
        </w:tabs>
        <w:spacing w:line="500" w:lineRule="exact"/>
        <w:ind w:firstLine="420" w:firstLineChars="200"/>
        <w:rPr>
          <w:rFonts w:hAnsi="宋体"/>
          <w:color w:val="auto"/>
          <w:sz w:val="21"/>
          <w:szCs w:val="21"/>
          <w:highlight w:val="none"/>
        </w:rPr>
      </w:pPr>
      <w:r>
        <w:rPr>
          <w:rFonts w:hint="eastAsia" w:hAnsi="宋体"/>
          <w:color w:val="auto"/>
          <w:sz w:val="21"/>
          <w:szCs w:val="21"/>
          <w:highlight w:val="none"/>
        </w:rPr>
        <w:t>（2）在磋商过程中，磋商小组可以根据磋商文件和磋商情况实质性变动采购需求中的技术、服务要求以及合同草案条款。实质性变动的内容，须经采购人代表确认。</w:t>
      </w:r>
    </w:p>
    <w:p>
      <w:pPr>
        <w:snapToGrid w:val="0"/>
        <w:spacing w:line="500" w:lineRule="exact"/>
        <w:ind w:firstLine="420" w:firstLineChars="200"/>
        <w:rPr>
          <w:rFonts w:hAnsi="宋体"/>
          <w:color w:val="auto"/>
          <w:sz w:val="21"/>
          <w:szCs w:val="21"/>
          <w:highlight w:val="none"/>
        </w:rPr>
      </w:pPr>
      <w:r>
        <w:rPr>
          <w:rFonts w:hint="eastAsia" w:hAnsi="宋体"/>
          <w:color w:val="auto"/>
          <w:sz w:val="21"/>
          <w:szCs w:val="21"/>
          <w:highlight w:val="none"/>
        </w:rPr>
        <w:t>（3）磋商文件作出的实质性变动是磋商文件的有效组成部分，磋商小组应当及时以书面形式同时通知所有参加磋商的供应商。</w:t>
      </w:r>
    </w:p>
    <w:p>
      <w:pPr>
        <w:snapToGrid w:val="0"/>
        <w:spacing w:line="500" w:lineRule="exact"/>
        <w:ind w:firstLine="420" w:firstLineChars="200"/>
        <w:rPr>
          <w:rFonts w:hAnsi="宋体"/>
          <w:color w:val="auto"/>
          <w:sz w:val="21"/>
          <w:szCs w:val="21"/>
          <w:highlight w:val="none"/>
        </w:rPr>
      </w:pPr>
      <w:r>
        <w:rPr>
          <w:rFonts w:hint="eastAsia" w:hAnsi="宋体"/>
          <w:color w:val="auto"/>
          <w:sz w:val="21"/>
          <w:szCs w:val="21"/>
          <w:highlight w:val="none"/>
        </w:rPr>
        <w:t>（4）供应商应当按照磋商文件的变动情况和磋商小组的要求重新提交响应文件，并由其法定代表人或授权代表签字或者加盖公章。由授权代表签字的，应当附法定代表人授权书。</w:t>
      </w:r>
    </w:p>
    <w:p>
      <w:pPr>
        <w:snapToGrid w:val="0"/>
        <w:spacing w:line="500" w:lineRule="exact"/>
        <w:ind w:firstLine="422" w:firstLineChars="200"/>
        <w:rPr>
          <w:rFonts w:hAnsi="宋体"/>
          <w:b/>
          <w:color w:val="auto"/>
          <w:sz w:val="21"/>
          <w:szCs w:val="21"/>
          <w:highlight w:val="none"/>
        </w:rPr>
      </w:pPr>
      <w:r>
        <w:rPr>
          <w:rFonts w:hint="eastAsia" w:hAnsi="宋体"/>
          <w:b/>
          <w:color w:val="auto"/>
          <w:sz w:val="21"/>
          <w:szCs w:val="21"/>
          <w:highlight w:val="none"/>
        </w:rPr>
        <w:t>（六）最后报价</w:t>
      </w:r>
    </w:p>
    <w:p>
      <w:pPr>
        <w:snapToGrid w:val="0"/>
        <w:spacing w:line="500" w:lineRule="exact"/>
        <w:ind w:firstLine="420" w:firstLineChars="200"/>
        <w:rPr>
          <w:rFonts w:hAnsi="宋体"/>
          <w:color w:val="auto"/>
          <w:sz w:val="21"/>
          <w:szCs w:val="21"/>
          <w:highlight w:val="none"/>
        </w:rPr>
      </w:pPr>
      <w:r>
        <w:rPr>
          <w:rFonts w:hint="eastAsia" w:hAnsi="宋体"/>
          <w:color w:val="auto"/>
          <w:sz w:val="21"/>
          <w:szCs w:val="21"/>
          <w:highlight w:val="none"/>
        </w:rPr>
        <w:t>1.磋商结束后，磋商小组应当要求所有实质性响应的供应商在规定时间内提交最后报价。</w:t>
      </w:r>
    </w:p>
    <w:p>
      <w:pPr>
        <w:snapToGrid w:val="0"/>
        <w:spacing w:line="500" w:lineRule="exact"/>
        <w:ind w:firstLine="420" w:firstLineChars="200"/>
        <w:rPr>
          <w:rFonts w:hAnsi="宋体"/>
          <w:color w:val="auto"/>
          <w:sz w:val="21"/>
          <w:szCs w:val="21"/>
          <w:highlight w:val="none"/>
        </w:rPr>
      </w:pPr>
      <w:r>
        <w:rPr>
          <w:rFonts w:hint="eastAsia" w:hAnsi="宋体"/>
          <w:color w:val="auto"/>
          <w:sz w:val="21"/>
          <w:szCs w:val="21"/>
          <w:highlight w:val="none"/>
        </w:rPr>
        <w:t>2.最后报价是磋商响应文件的有效组成部分。</w:t>
      </w:r>
    </w:p>
    <w:p>
      <w:pPr>
        <w:snapToGrid w:val="0"/>
        <w:spacing w:line="500" w:lineRule="exact"/>
        <w:ind w:firstLine="420" w:firstLineChars="200"/>
        <w:rPr>
          <w:rFonts w:hAnsi="宋体"/>
          <w:color w:val="auto"/>
          <w:sz w:val="21"/>
          <w:szCs w:val="21"/>
          <w:highlight w:val="none"/>
        </w:rPr>
      </w:pPr>
      <w:r>
        <w:rPr>
          <w:rFonts w:hint="eastAsia" w:hAnsi="宋体"/>
          <w:color w:val="auto"/>
          <w:sz w:val="21"/>
          <w:szCs w:val="21"/>
          <w:highlight w:val="none"/>
        </w:rPr>
        <w:t>3.已提交磋商响应文件的供应商，在提交最后报价之前，若因磋商文件实质性变动导致供应商无法满足采购需求的，允许供应商退出磋商。</w:t>
      </w:r>
    </w:p>
    <w:p>
      <w:pPr>
        <w:pStyle w:val="24"/>
        <w:snapToGrid w:val="0"/>
        <w:spacing w:line="500" w:lineRule="exact"/>
        <w:ind w:firstLine="420" w:firstLineChars="200"/>
        <w:rPr>
          <w:rFonts w:hAnsi="宋体"/>
          <w:bCs/>
          <w:color w:val="auto"/>
          <w:sz w:val="21"/>
          <w:highlight w:val="none"/>
        </w:rPr>
      </w:pPr>
      <w:r>
        <w:rPr>
          <w:rFonts w:hint="eastAsia" w:hAnsi="宋体"/>
          <w:color w:val="auto"/>
          <w:sz w:val="21"/>
          <w:highlight w:val="none"/>
        </w:rPr>
        <w:t>4.</w:t>
      </w:r>
      <w:r>
        <w:rPr>
          <w:rFonts w:hint="eastAsia" w:hAnsi="宋体" w:cs="宋体"/>
          <w:color w:val="auto"/>
          <w:sz w:val="21"/>
          <w:highlight w:val="none"/>
        </w:rPr>
        <w:t xml:space="preserve"> 资信商务技术文件评审结果在线公布后，</w:t>
      </w:r>
      <w:r>
        <w:rPr>
          <w:rFonts w:hint="eastAsia" w:hAnsi="宋体" w:cs="Times New Roman"/>
          <w:color w:val="auto"/>
          <w:sz w:val="21"/>
          <w:highlight w:val="none"/>
        </w:rPr>
        <w:t>采</w:t>
      </w:r>
      <w:r>
        <w:rPr>
          <w:rFonts w:hint="eastAsia" w:hAnsi="宋体"/>
          <w:color w:val="auto"/>
          <w:sz w:val="21"/>
          <w:highlight w:val="none"/>
        </w:rPr>
        <w:t>购代理机构</w:t>
      </w:r>
      <w:r>
        <w:rPr>
          <w:rFonts w:hint="eastAsia" w:hAnsi="宋体"/>
          <w:bCs/>
          <w:color w:val="auto"/>
          <w:sz w:val="21"/>
          <w:highlight w:val="none"/>
        </w:rPr>
        <w:t>将</w:t>
      </w:r>
      <w:r>
        <w:rPr>
          <w:rFonts w:hint="eastAsia" w:hAnsi="宋体" w:cs="宋体"/>
          <w:color w:val="auto"/>
          <w:sz w:val="21"/>
          <w:highlight w:val="none"/>
        </w:rPr>
        <w:t>在线开启</w:t>
      </w:r>
      <w:r>
        <w:rPr>
          <w:rFonts w:hint="eastAsia" w:hAnsi="宋体" w:cs="宋体"/>
          <w:b/>
          <w:color w:val="auto"/>
          <w:sz w:val="21"/>
          <w:highlight w:val="none"/>
        </w:rPr>
        <w:t>最后报价</w:t>
      </w:r>
      <w:r>
        <w:rPr>
          <w:rFonts w:hint="eastAsia" w:hAnsi="宋体"/>
          <w:bCs/>
          <w:color w:val="auto"/>
          <w:sz w:val="21"/>
          <w:highlight w:val="none"/>
        </w:rPr>
        <w:t>。</w:t>
      </w:r>
    </w:p>
    <w:p>
      <w:pPr>
        <w:tabs>
          <w:tab w:val="left" w:pos="0"/>
        </w:tabs>
        <w:spacing w:line="500" w:lineRule="exact"/>
        <w:ind w:firstLine="422" w:firstLineChars="200"/>
        <w:rPr>
          <w:rFonts w:hAnsi="宋体" w:cs="Arial"/>
          <w:b/>
          <w:bCs/>
          <w:color w:val="auto"/>
          <w:sz w:val="21"/>
          <w:szCs w:val="21"/>
          <w:highlight w:val="none"/>
        </w:rPr>
      </w:pPr>
      <w:r>
        <w:rPr>
          <w:rFonts w:hAnsi="宋体" w:cs="Arial"/>
          <w:b/>
          <w:bCs/>
          <w:color w:val="auto"/>
          <w:sz w:val="21"/>
          <w:szCs w:val="21"/>
          <w:highlight w:val="none"/>
        </w:rPr>
        <w:t>（七） 磋商办法</w:t>
      </w:r>
    </w:p>
    <w:p>
      <w:pPr>
        <w:tabs>
          <w:tab w:val="left" w:pos="0"/>
        </w:tabs>
        <w:spacing w:line="500" w:lineRule="exact"/>
        <w:ind w:firstLine="420" w:firstLineChars="200"/>
        <w:rPr>
          <w:rFonts w:hAnsi="宋体"/>
          <w:color w:val="auto"/>
          <w:sz w:val="21"/>
          <w:szCs w:val="21"/>
          <w:highlight w:val="none"/>
          <w:lang w:val="zh-CN"/>
        </w:rPr>
      </w:pPr>
      <w:r>
        <w:rPr>
          <w:rFonts w:hAnsi="宋体" w:cs="Arial"/>
          <w:color w:val="auto"/>
          <w:sz w:val="21"/>
          <w:szCs w:val="21"/>
          <w:highlight w:val="none"/>
        </w:rPr>
        <w:t>具体磋商内容及评分标准等详见《第四</w:t>
      </w:r>
      <w:r>
        <w:rPr>
          <w:rFonts w:hint="eastAsia" w:hAnsi="宋体" w:cs="Arial"/>
          <w:color w:val="auto"/>
          <w:sz w:val="21"/>
          <w:szCs w:val="21"/>
          <w:highlight w:val="none"/>
        </w:rPr>
        <w:t>部分</w:t>
      </w:r>
      <w:r>
        <w:rPr>
          <w:rFonts w:hAnsi="宋体" w:cs="Arial"/>
          <w:color w:val="auto"/>
          <w:sz w:val="21"/>
          <w:szCs w:val="21"/>
          <w:highlight w:val="none"/>
        </w:rPr>
        <w:t>：磋商办法及评分标准》。</w:t>
      </w:r>
    </w:p>
    <w:p>
      <w:pPr>
        <w:snapToGrid w:val="0"/>
        <w:spacing w:line="500" w:lineRule="exact"/>
        <w:ind w:firstLine="422" w:firstLineChars="200"/>
        <w:rPr>
          <w:rFonts w:hAnsi="宋体"/>
          <w:b/>
          <w:color w:val="auto"/>
          <w:sz w:val="21"/>
          <w:szCs w:val="21"/>
          <w:highlight w:val="none"/>
        </w:rPr>
      </w:pPr>
      <w:r>
        <w:rPr>
          <w:rFonts w:hint="eastAsia" w:hAnsi="宋体"/>
          <w:b/>
          <w:color w:val="auto"/>
          <w:sz w:val="21"/>
          <w:szCs w:val="21"/>
          <w:highlight w:val="none"/>
        </w:rPr>
        <w:t>（八）磋商过程的监控</w:t>
      </w:r>
    </w:p>
    <w:p>
      <w:pPr>
        <w:autoSpaceDE/>
        <w:autoSpaceDN/>
        <w:adjustRightInd/>
        <w:spacing w:line="500" w:lineRule="exact"/>
        <w:ind w:firstLine="420" w:firstLineChars="200"/>
        <w:textAlignment w:val="auto"/>
        <w:rPr>
          <w:rFonts w:hint="eastAsia" w:hAnsi="宋体" w:cs="Arial"/>
          <w:color w:val="auto"/>
          <w:sz w:val="21"/>
          <w:szCs w:val="21"/>
          <w:highlight w:val="none"/>
        </w:rPr>
      </w:pPr>
      <w:r>
        <w:rPr>
          <w:rFonts w:hAnsi="宋体" w:cs="Arial"/>
          <w:color w:val="auto"/>
          <w:sz w:val="21"/>
          <w:szCs w:val="21"/>
          <w:highlight w:val="none"/>
        </w:rPr>
        <w:t>本项目磋商过程实行全程录音、录像监控，供应商在磋商过程中所进行的</w:t>
      </w:r>
      <w:r>
        <w:rPr>
          <w:rFonts w:hint="eastAsia" w:hAnsi="宋体" w:cs="Arial"/>
          <w:color w:val="auto"/>
          <w:sz w:val="21"/>
          <w:szCs w:val="21"/>
          <w:highlight w:val="none"/>
        </w:rPr>
        <w:t>试</w:t>
      </w:r>
      <w:r>
        <w:rPr>
          <w:rFonts w:hAnsi="宋体" w:cs="Arial"/>
          <w:color w:val="auto"/>
          <w:sz w:val="21"/>
          <w:szCs w:val="21"/>
          <w:highlight w:val="none"/>
        </w:rPr>
        <w:t>图影响磋商结果的不公正活动，可能导致其投标被拒绝。</w:t>
      </w:r>
    </w:p>
    <w:p>
      <w:pPr>
        <w:autoSpaceDE/>
        <w:autoSpaceDN/>
        <w:adjustRightInd/>
        <w:spacing w:line="500" w:lineRule="exact"/>
        <w:ind w:firstLine="422" w:firstLineChars="200"/>
        <w:jc w:val="both"/>
        <w:textAlignment w:val="auto"/>
        <w:rPr>
          <w:rFonts w:hint="eastAsia" w:hAnsi="宋体" w:cs="宋体"/>
          <w:b/>
          <w:bCs/>
          <w:color w:val="auto"/>
          <w:sz w:val="21"/>
          <w:szCs w:val="21"/>
          <w:highlight w:val="none"/>
        </w:rPr>
      </w:pPr>
      <w:r>
        <w:rPr>
          <w:rFonts w:hint="eastAsia" w:hAnsi="宋体" w:cs="宋体"/>
          <w:b/>
          <w:bCs/>
          <w:color w:val="auto"/>
          <w:sz w:val="21"/>
          <w:szCs w:val="21"/>
          <w:highlight w:val="none"/>
        </w:rPr>
        <w:t>（九）中止电子交易活动的情形</w:t>
      </w:r>
    </w:p>
    <w:p>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磋商过程中出现以下情形，导致电子交易平台无法正常运行，或者无法保证电子交易的公平、公正和安全时，中止电子交易活动：</w:t>
      </w:r>
    </w:p>
    <w:p>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1.电子交易平台发生故障而无法登录访问的；</w:t>
      </w:r>
    </w:p>
    <w:p>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2.电子交易平台应用或数据库出现错误，不能进行正常操作的；</w:t>
      </w:r>
    </w:p>
    <w:p>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3.电子交易平台发现严重安全漏洞，有潜在泄密危险的；</w:t>
      </w:r>
    </w:p>
    <w:p>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4.病毒发作导致不能进行正常操作的；</w:t>
      </w:r>
    </w:p>
    <w:p>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5.其他无法保证电子交易的公平、公正和安全的情况。</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宋体"/>
          <w:color w:val="auto"/>
          <w:sz w:val="21"/>
          <w:szCs w:val="21"/>
          <w:highlight w:val="none"/>
        </w:rPr>
        <w:t>出现前款规定情形，不影响采购公平、公正性的，采购组织机构可以待上述情形消除后继续组织电子交易活动，也可以决定某些环节以纸质形式进行评审；影响或可能影响采购公平、公正性的，应当重新采购。</w:t>
      </w:r>
    </w:p>
    <w:p>
      <w:pPr>
        <w:autoSpaceDE/>
        <w:autoSpaceDN/>
        <w:adjustRightInd/>
        <w:spacing w:line="500" w:lineRule="exact"/>
        <w:ind w:firstLine="422" w:firstLineChars="200"/>
        <w:textAlignment w:val="auto"/>
        <w:rPr>
          <w:rFonts w:hAnsi="宋体"/>
          <w:b/>
          <w:color w:val="auto"/>
          <w:sz w:val="21"/>
          <w:szCs w:val="21"/>
          <w:highlight w:val="none"/>
        </w:rPr>
      </w:pPr>
      <w:r>
        <w:rPr>
          <w:rFonts w:hint="eastAsia" w:hAnsi="宋体" w:cs="Arial"/>
          <w:b/>
          <w:color w:val="auto"/>
          <w:sz w:val="21"/>
          <w:szCs w:val="21"/>
          <w:highlight w:val="none"/>
        </w:rPr>
        <w:t>六．确定成交人</w:t>
      </w:r>
    </w:p>
    <w:p>
      <w:pPr>
        <w:snapToGrid w:val="0"/>
        <w:spacing w:line="500" w:lineRule="exact"/>
        <w:ind w:firstLine="417" w:firstLineChars="199"/>
        <w:rPr>
          <w:rFonts w:hAnsi="宋体"/>
          <w:color w:val="auto"/>
          <w:sz w:val="21"/>
          <w:szCs w:val="21"/>
          <w:highlight w:val="none"/>
        </w:rPr>
      </w:pPr>
      <w:r>
        <w:rPr>
          <w:rFonts w:hint="eastAsia" w:hAnsi="宋体"/>
          <w:color w:val="auto"/>
          <w:sz w:val="21"/>
          <w:szCs w:val="21"/>
          <w:highlight w:val="none"/>
        </w:rPr>
        <w:t>1.磋商小组将根据磋商文件和有关规定，履行评标工作职责，以评标办法为标准，全面衡量各供应商对磋商文件的响应情况。对实质上响应磋商文件的供应商，以打分的方法，排出推荐成交的供应商的先后顺序，并按顺序提出授标建议。评标结果报经采购人同意，最终确定成交人。</w:t>
      </w:r>
    </w:p>
    <w:p>
      <w:pPr>
        <w:snapToGrid w:val="0"/>
        <w:spacing w:line="500" w:lineRule="exact"/>
        <w:ind w:firstLine="411" w:firstLineChars="196"/>
        <w:rPr>
          <w:rFonts w:hAnsi="宋体"/>
          <w:b/>
          <w:color w:val="auto"/>
          <w:sz w:val="21"/>
          <w:szCs w:val="21"/>
          <w:highlight w:val="none"/>
        </w:rPr>
      </w:pPr>
      <w:r>
        <w:rPr>
          <w:rFonts w:hint="eastAsia" w:hAnsi="宋体"/>
          <w:color w:val="auto"/>
          <w:sz w:val="21"/>
          <w:szCs w:val="21"/>
          <w:highlight w:val="none"/>
        </w:rPr>
        <w:t>2.采购人应当根据磋商小组推荐的顺序确定成交人，不得在磋商小组推荐的成交候选人以外确定成交人。</w:t>
      </w:r>
    </w:p>
    <w:p>
      <w:pPr>
        <w:autoSpaceDE/>
        <w:autoSpaceDN/>
        <w:adjustRightInd/>
        <w:spacing w:line="500" w:lineRule="exact"/>
        <w:ind w:firstLine="420" w:firstLineChars="200"/>
        <w:textAlignment w:val="auto"/>
        <w:rPr>
          <w:rFonts w:hAnsi="宋体" w:cs="Arial"/>
          <w:color w:val="auto"/>
          <w:sz w:val="21"/>
          <w:szCs w:val="21"/>
          <w:highlight w:val="none"/>
        </w:rPr>
      </w:pPr>
      <w:r>
        <w:rPr>
          <w:rFonts w:hint="eastAsia" w:hAnsi="宋体" w:cs="Arial"/>
          <w:color w:val="auto"/>
          <w:sz w:val="21"/>
          <w:szCs w:val="21"/>
          <w:highlight w:val="none"/>
        </w:rPr>
        <w:t>3.</w:t>
      </w:r>
      <w:r>
        <w:rPr>
          <w:rFonts w:hAnsi="宋体" w:cs="Arial"/>
          <w:color w:val="auto"/>
          <w:sz w:val="21"/>
          <w:szCs w:val="21"/>
          <w:highlight w:val="none"/>
        </w:rPr>
        <w:t>采购代理机构在磋商结束后2个工作日内将磋商报告交采购人确认。</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4.</w:t>
      </w:r>
      <w:r>
        <w:rPr>
          <w:rFonts w:hAnsi="宋体" w:cs="Arial"/>
          <w:color w:val="auto"/>
          <w:sz w:val="21"/>
          <w:szCs w:val="21"/>
          <w:highlight w:val="none"/>
        </w:rPr>
        <w:t>供应商对磋商结果无异议的，采购人应在收到磋商报告后5个工作日内对磋商结果进行确认。如有供应商对磋商结果提出质疑的，采购人可在质疑处理完毕后确定成交供应商。</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5.磋商结果公示期：1个工作日。</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6.磋商结果公示的同时采购代理机构以书面形式发出《成交通知书》。</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七、合同授予</w:t>
      </w:r>
    </w:p>
    <w:bookmarkEnd w:id="57"/>
    <w:bookmarkEnd w:id="58"/>
    <w:bookmarkEnd w:id="59"/>
    <w:p>
      <w:pPr>
        <w:snapToGrid w:val="0"/>
        <w:spacing w:line="500" w:lineRule="exact"/>
        <w:ind w:firstLine="413" w:firstLineChars="196"/>
        <w:rPr>
          <w:rFonts w:hint="eastAsia" w:hAnsi="宋体"/>
          <w:b/>
          <w:color w:val="auto"/>
          <w:sz w:val="21"/>
          <w:szCs w:val="21"/>
          <w:highlight w:val="none"/>
        </w:rPr>
      </w:pPr>
      <w:bookmarkStart w:id="68" w:name="_Toc519072690"/>
      <w:bookmarkStart w:id="69" w:name="_Toc354841320"/>
      <w:bookmarkStart w:id="70" w:name="_Toc264211076"/>
      <w:bookmarkStart w:id="71" w:name="_Toc237193456"/>
      <w:bookmarkStart w:id="72" w:name="_Toc265065988"/>
      <w:bookmarkStart w:id="73" w:name="_Toc295910882"/>
      <w:bookmarkStart w:id="74" w:name="_Toc237340112"/>
      <w:bookmarkStart w:id="75" w:name="_Toc295737634"/>
      <w:bookmarkStart w:id="76" w:name="_Toc237414013"/>
      <w:bookmarkStart w:id="77" w:name="_Toc256977544"/>
      <w:bookmarkStart w:id="78" w:name="_Toc237413918"/>
      <w:bookmarkStart w:id="79" w:name="_Toc296074345"/>
      <w:bookmarkStart w:id="80" w:name="_Toc237189785"/>
      <w:r>
        <w:rPr>
          <w:rFonts w:hint="eastAsia" w:hAnsi="宋体"/>
          <w:b/>
          <w:color w:val="auto"/>
          <w:sz w:val="21"/>
          <w:szCs w:val="21"/>
          <w:highlight w:val="none"/>
        </w:rPr>
        <w:t>1. 合同的签订</w:t>
      </w:r>
    </w:p>
    <w:p>
      <w:pPr>
        <w:snapToGrid w:val="0"/>
        <w:spacing w:line="500" w:lineRule="exact"/>
        <w:ind w:firstLine="411" w:firstLineChars="196"/>
        <w:rPr>
          <w:rFonts w:hint="eastAsia" w:hAnsi="宋体"/>
          <w:color w:val="auto"/>
          <w:sz w:val="21"/>
          <w:szCs w:val="21"/>
          <w:highlight w:val="none"/>
        </w:rPr>
      </w:pPr>
      <w:r>
        <w:rPr>
          <w:rFonts w:hint="eastAsia" w:hAnsi="宋体"/>
          <w:color w:val="auto"/>
          <w:sz w:val="21"/>
          <w:szCs w:val="21"/>
          <w:highlight w:val="none"/>
        </w:rPr>
        <w:t>1.1除不可抗力等特殊情况外，采购人原则上应当在中标通知书发出之日起20日内，与成交人按照采购文件确定的事项签订政府采购合同，并在签订之日起2个工作日内将政府采购合同在浙江政府采购网上公告。</w:t>
      </w:r>
    </w:p>
    <w:p>
      <w:pPr>
        <w:snapToGrid w:val="0"/>
        <w:spacing w:line="500" w:lineRule="exact"/>
        <w:ind w:firstLine="411" w:firstLineChars="196"/>
        <w:rPr>
          <w:rFonts w:hAnsi="宋体"/>
          <w:color w:val="auto"/>
          <w:sz w:val="21"/>
          <w:szCs w:val="21"/>
          <w:highlight w:val="none"/>
        </w:rPr>
      </w:pPr>
      <w:r>
        <w:rPr>
          <w:rFonts w:hAnsi="宋体"/>
          <w:color w:val="auto"/>
          <w:sz w:val="21"/>
          <w:szCs w:val="21"/>
          <w:highlight w:val="none"/>
        </w:rPr>
        <w:t>1.2成交人按规定的日期、时间、地点，由法定代表人或其授权代表与采购人代表签订合同。如成交人为联合体的，由联合体成员各方法定代表人或其授权代表与采购人代表签订合同。</w:t>
      </w:r>
    </w:p>
    <w:p>
      <w:pPr>
        <w:snapToGrid w:val="0"/>
        <w:spacing w:line="500" w:lineRule="exact"/>
        <w:ind w:firstLine="411" w:firstLineChars="196"/>
        <w:rPr>
          <w:rFonts w:hAnsi="宋体"/>
          <w:color w:val="auto"/>
          <w:sz w:val="21"/>
          <w:szCs w:val="21"/>
          <w:highlight w:val="none"/>
        </w:rPr>
      </w:pPr>
      <w:r>
        <w:rPr>
          <w:rFonts w:hAnsi="宋体"/>
          <w:color w:val="auto"/>
          <w:sz w:val="21"/>
          <w:szCs w:val="21"/>
          <w:highlight w:val="none"/>
        </w:rPr>
        <w:t>1.3如签订合同并生效后，供应商无故拒绝或延期，除按照合同条款处理外，列入不良行为记录一次，并给予通报。</w:t>
      </w:r>
    </w:p>
    <w:p>
      <w:pPr>
        <w:snapToGrid w:val="0"/>
        <w:spacing w:line="500" w:lineRule="exact"/>
        <w:ind w:firstLine="411" w:firstLineChars="196"/>
        <w:rPr>
          <w:rFonts w:hAnsi="宋体"/>
          <w:color w:val="auto"/>
          <w:sz w:val="21"/>
          <w:szCs w:val="21"/>
          <w:highlight w:val="none"/>
        </w:rPr>
      </w:pPr>
      <w:r>
        <w:rPr>
          <w:rFonts w:hAnsi="宋体"/>
          <w:color w:val="auto"/>
          <w:sz w:val="21"/>
          <w:szCs w:val="21"/>
          <w:highlight w:val="none"/>
        </w:rPr>
        <w:t>1.4成交人拒绝与采购人签订合同的，采购人可以按照评审报告推荐的中标或者成交候选人名单排序，确定下一候选人为成交人，也可以重新开展政府采购活动。</w:t>
      </w:r>
    </w:p>
    <w:p>
      <w:pPr>
        <w:snapToGrid w:val="0"/>
        <w:spacing w:line="500" w:lineRule="exact"/>
        <w:ind w:firstLine="411" w:firstLineChars="196"/>
        <w:rPr>
          <w:rFonts w:hAnsi="宋体"/>
          <w:color w:val="auto"/>
          <w:sz w:val="21"/>
          <w:szCs w:val="21"/>
          <w:highlight w:val="none"/>
        </w:rPr>
      </w:pPr>
      <w:r>
        <w:rPr>
          <w:rFonts w:hAnsi="宋体"/>
          <w:color w:val="auto"/>
          <w:sz w:val="21"/>
          <w:szCs w:val="21"/>
          <w:highlight w:val="none"/>
        </w:rPr>
        <w:t>1.5采购合同由采购人与成交人根据采购文件、磋商响应文件等内容通过政府采购电子交易平台在线签订，自动备案。</w:t>
      </w:r>
    </w:p>
    <w:p>
      <w:pPr>
        <w:snapToGrid w:val="0"/>
        <w:spacing w:line="500" w:lineRule="exact"/>
        <w:ind w:firstLine="411" w:firstLineChars="196"/>
        <w:rPr>
          <w:rFonts w:hAnsi="宋体"/>
          <w:color w:val="auto"/>
          <w:sz w:val="21"/>
          <w:szCs w:val="21"/>
          <w:highlight w:val="none"/>
        </w:rPr>
      </w:pPr>
      <w:r>
        <w:rPr>
          <w:rFonts w:hAnsi="宋体"/>
          <w:color w:val="auto"/>
          <w:sz w:val="21"/>
          <w:szCs w:val="21"/>
          <w:highlight w:val="none"/>
        </w:rPr>
        <w:t>1.6政府采购货物和服务项目不得收取质量保证金。政府采购工程以及与工程建设有关的货物、服务，采用招标方式采购的，按国家和省有关规定执行。</w:t>
      </w:r>
    </w:p>
    <w:p>
      <w:pPr>
        <w:snapToGrid w:val="0"/>
        <w:spacing w:line="500" w:lineRule="exact"/>
        <w:ind w:firstLine="413" w:firstLineChars="196"/>
        <w:rPr>
          <w:rFonts w:hint="eastAsia" w:hAnsi="宋体"/>
          <w:b/>
          <w:color w:val="auto"/>
          <w:sz w:val="21"/>
          <w:szCs w:val="21"/>
          <w:highlight w:val="none"/>
        </w:rPr>
      </w:pPr>
      <w:r>
        <w:rPr>
          <w:rFonts w:hint="eastAsia" w:hAnsi="宋体"/>
          <w:b/>
          <w:color w:val="auto"/>
          <w:sz w:val="21"/>
          <w:szCs w:val="21"/>
          <w:highlight w:val="none"/>
        </w:rPr>
        <w:t>2. 履约保证金</w:t>
      </w:r>
    </w:p>
    <w:p>
      <w:pPr>
        <w:snapToGrid w:val="0"/>
        <w:spacing w:line="500" w:lineRule="exact"/>
        <w:ind w:firstLine="411" w:firstLineChars="196"/>
        <w:rPr>
          <w:rFonts w:hint="eastAsia"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w:t>
      </w:r>
      <w:r>
        <w:rPr>
          <w:rFonts w:hint="eastAsia" w:hAnsi="宋体"/>
          <w:color w:val="auto"/>
          <w:sz w:val="21"/>
          <w:szCs w:val="21"/>
          <w:highlight w:val="none"/>
        </w:rPr>
        <w:t>1</w:t>
      </w:r>
      <w:r>
        <w:rPr>
          <w:rFonts w:hAnsi="宋体"/>
          <w:color w:val="auto"/>
          <w:sz w:val="21"/>
          <w:szCs w:val="21"/>
          <w:highlight w:val="none"/>
        </w:rPr>
        <w:t xml:space="preserve"> </w:t>
      </w:r>
      <w:r>
        <w:rPr>
          <w:rFonts w:hint="eastAsia" w:hAnsi="宋体"/>
          <w:color w:val="auto"/>
          <w:sz w:val="21"/>
          <w:szCs w:val="21"/>
          <w:highlight w:val="none"/>
        </w:rPr>
        <w:t>拟签订的合同文本要求成交人提交履约保证金的，供应商应当以支票、汇票、本票或者金融机构、担保机构出具的保函等非现金形式提交。履约保证金的数额不得超过政府采购合同金额的1</w:t>
      </w:r>
      <w:r>
        <w:rPr>
          <w:rFonts w:hAnsi="宋体"/>
          <w:color w:val="auto"/>
          <w:sz w:val="21"/>
          <w:szCs w:val="21"/>
          <w:highlight w:val="none"/>
        </w:rPr>
        <w:t>%。</w:t>
      </w:r>
      <w:r>
        <w:rPr>
          <w:rFonts w:hint="eastAsia" w:hAnsi="宋体"/>
          <w:color w:val="auto"/>
          <w:sz w:val="21"/>
          <w:szCs w:val="21"/>
          <w:highlight w:val="none"/>
        </w:rPr>
        <w:t>鼓励和支持供应商以履约保函形式提供履约保证金。</w:t>
      </w:r>
    </w:p>
    <w:p>
      <w:pPr>
        <w:snapToGrid w:val="0"/>
        <w:spacing w:line="500" w:lineRule="exact"/>
        <w:ind w:firstLine="411" w:firstLineChars="196"/>
        <w:rPr>
          <w:rFonts w:hint="eastAsia" w:hAnsi="宋体"/>
          <w:color w:val="auto"/>
          <w:sz w:val="21"/>
          <w:szCs w:val="21"/>
          <w:highlight w:val="none"/>
        </w:rPr>
      </w:pPr>
      <w:r>
        <w:rPr>
          <w:rFonts w:hint="eastAsia" w:hAnsi="宋体"/>
          <w:color w:val="auto"/>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500" w:lineRule="exact"/>
        <w:ind w:firstLine="413" w:firstLineChars="196"/>
        <w:rPr>
          <w:rFonts w:hint="eastAsia" w:hAnsi="宋体"/>
          <w:b/>
          <w:color w:val="auto"/>
          <w:sz w:val="21"/>
          <w:szCs w:val="21"/>
          <w:highlight w:val="none"/>
        </w:rPr>
      </w:pPr>
      <w:r>
        <w:rPr>
          <w:rFonts w:hint="eastAsia" w:hAnsi="宋体"/>
          <w:b/>
          <w:color w:val="auto"/>
          <w:sz w:val="21"/>
          <w:szCs w:val="21"/>
          <w:highlight w:val="none"/>
        </w:rPr>
        <w:t>3. 预付款</w:t>
      </w:r>
    </w:p>
    <w:p>
      <w:pPr>
        <w:snapToGrid w:val="0"/>
        <w:spacing w:line="500" w:lineRule="exact"/>
        <w:ind w:firstLine="411" w:firstLineChars="196"/>
        <w:rPr>
          <w:rFonts w:hint="eastAsia" w:hAnsi="宋体"/>
          <w:color w:val="auto"/>
          <w:sz w:val="21"/>
          <w:szCs w:val="21"/>
          <w:highlight w:val="none"/>
        </w:rPr>
      </w:pPr>
      <w:r>
        <w:rPr>
          <w:rFonts w:hint="eastAsia" w:hAnsi="宋体"/>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pPr>
        <w:snapToGrid w:val="0"/>
        <w:spacing w:line="500" w:lineRule="exact"/>
        <w:ind w:firstLine="413" w:firstLineChars="196"/>
        <w:rPr>
          <w:rFonts w:hint="eastAsia" w:hAnsi="宋体"/>
          <w:b/>
          <w:color w:val="auto"/>
          <w:sz w:val="21"/>
          <w:szCs w:val="21"/>
          <w:highlight w:val="none"/>
        </w:rPr>
      </w:pPr>
      <w:r>
        <w:rPr>
          <w:rFonts w:hint="eastAsia" w:hAnsi="宋体"/>
          <w:b/>
          <w:color w:val="auto"/>
          <w:sz w:val="21"/>
          <w:szCs w:val="21"/>
          <w:highlight w:val="none"/>
        </w:rPr>
        <w:t>4.资金支付</w:t>
      </w:r>
    </w:p>
    <w:p>
      <w:pPr>
        <w:snapToGrid w:val="0"/>
        <w:spacing w:line="500" w:lineRule="exact"/>
        <w:ind w:firstLine="411" w:firstLineChars="196"/>
        <w:rPr>
          <w:rFonts w:hint="eastAsia" w:hAnsi="宋体"/>
          <w:color w:val="auto"/>
          <w:sz w:val="21"/>
          <w:szCs w:val="21"/>
          <w:highlight w:val="none"/>
        </w:rPr>
      </w:pPr>
      <w:r>
        <w:rPr>
          <w:rFonts w:hint="eastAsia" w:hAnsi="宋体"/>
          <w:color w:val="auto"/>
          <w:sz w:val="21"/>
          <w:szCs w:val="21"/>
          <w:highlight w:val="none"/>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pPr>
        <w:snapToGrid w:val="0"/>
        <w:spacing w:line="500" w:lineRule="exact"/>
        <w:ind w:firstLine="413" w:firstLineChars="196"/>
        <w:rPr>
          <w:rFonts w:hint="eastAsia" w:hAnsi="宋体"/>
          <w:b/>
          <w:color w:val="auto"/>
          <w:sz w:val="21"/>
          <w:szCs w:val="21"/>
          <w:highlight w:val="none"/>
        </w:rPr>
      </w:pPr>
      <w:bookmarkStart w:id="81" w:name="_Toc97649962"/>
      <w:r>
        <w:rPr>
          <w:rFonts w:hint="eastAsia" w:hAnsi="宋体"/>
          <w:b/>
          <w:color w:val="auto"/>
          <w:sz w:val="21"/>
          <w:szCs w:val="21"/>
          <w:highlight w:val="none"/>
        </w:rPr>
        <w:t>八、项目验收</w:t>
      </w:r>
      <w:bookmarkEnd w:id="81"/>
    </w:p>
    <w:p>
      <w:pPr>
        <w:snapToGrid w:val="0"/>
        <w:spacing w:line="500" w:lineRule="exact"/>
        <w:ind w:firstLine="411" w:firstLineChars="196"/>
        <w:rPr>
          <w:rFonts w:hint="eastAsia" w:hAnsi="宋体"/>
          <w:color w:val="auto"/>
          <w:sz w:val="21"/>
          <w:szCs w:val="21"/>
          <w:highlight w:val="none"/>
        </w:rPr>
      </w:pPr>
      <w:r>
        <w:rPr>
          <w:rFonts w:hint="eastAsia" w:hAnsi="宋体"/>
          <w:color w:val="auto"/>
          <w:sz w:val="21"/>
          <w:szCs w:val="21"/>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napToGrid w:val="0"/>
        <w:spacing w:line="500" w:lineRule="exact"/>
        <w:ind w:firstLine="411" w:firstLineChars="196"/>
        <w:rPr>
          <w:rFonts w:hint="eastAsia" w:hAnsi="宋体"/>
          <w:color w:val="auto"/>
          <w:sz w:val="21"/>
          <w:szCs w:val="21"/>
          <w:highlight w:val="none"/>
        </w:rPr>
      </w:pPr>
      <w:r>
        <w:rPr>
          <w:rFonts w:hint="eastAsia" w:hAnsi="宋体"/>
          <w:color w:val="auto"/>
          <w:sz w:val="21"/>
          <w:szCs w:val="21"/>
          <w:highlight w:val="none"/>
        </w:rPr>
        <w:t>2.采购人可以邀请参加本项目的其他供应商或者第三方机构参与验收。参与验收的供应商或者第三方机构的意见作为验收书的参考资料一并存档。</w:t>
      </w:r>
    </w:p>
    <w:p>
      <w:pPr>
        <w:snapToGrid w:val="0"/>
        <w:spacing w:line="500" w:lineRule="exact"/>
        <w:ind w:firstLine="411" w:firstLineChars="196"/>
        <w:rPr>
          <w:rFonts w:hint="eastAsia" w:hAnsi="宋体"/>
          <w:color w:val="auto"/>
          <w:sz w:val="21"/>
          <w:szCs w:val="21"/>
          <w:highlight w:val="none"/>
        </w:rPr>
      </w:pPr>
      <w:r>
        <w:rPr>
          <w:rFonts w:hint="eastAsia" w:hAnsi="宋体"/>
          <w:color w:val="auto"/>
          <w:sz w:val="21"/>
          <w:szCs w:val="21"/>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napToGrid w:val="0"/>
        <w:spacing w:line="500" w:lineRule="exact"/>
        <w:ind w:firstLine="411" w:firstLineChars="196"/>
        <w:rPr>
          <w:rFonts w:hint="eastAsia" w:hAnsi="宋体"/>
          <w:color w:val="auto"/>
          <w:sz w:val="21"/>
          <w:szCs w:val="21"/>
          <w:highlight w:val="none"/>
        </w:rPr>
      </w:pPr>
      <w:r>
        <w:rPr>
          <w:rFonts w:hint="eastAsia" w:hAnsi="宋体"/>
          <w:color w:val="auto"/>
          <w:sz w:val="21"/>
          <w:szCs w:val="21"/>
          <w:highlight w:val="none"/>
        </w:rPr>
        <w:t>4.采购人原则上应当在履约验收之日起2个工作日内，将履约验收结果在浙江政府采购网上公告。</w:t>
      </w:r>
    </w:p>
    <w:p>
      <w:pPr>
        <w:snapToGrid w:val="0"/>
        <w:spacing w:line="500" w:lineRule="exact"/>
        <w:ind w:firstLine="411" w:firstLineChars="196"/>
        <w:rPr>
          <w:rFonts w:hint="eastAsia" w:hAnsi="宋体"/>
          <w:color w:val="auto"/>
          <w:sz w:val="21"/>
          <w:szCs w:val="21"/>
          <w:highlight w:val="none"/>
        </w:rPr>
      </w:pPr>
      <w:r>
        <w:rPr>
          <w:rFonts w:hint="eastAsia" w:hAnsi="宋体"/>
          <w:color w:val="auto"/>
          <w:sz w:val="21"/>
          <w:szCs w:val="21"/>
          <w:highlight w:val="none"/>
        </w:rPr>
        <w:t>5.验收合格的项目，采购人将根据采购合同的约定及时向供应商支付采购资金、退还履约保证金。</w:t>
      </w:r>
    </w:p>
    <w:p>
      <w:pPr>
        <w:snapToGrid w:val="0"/>
        <w:spacing w:line="500" w:lineRule="exact"/>
        <w:ind w:firstLine="411" w:firstLineChars="196"/>
        <w:rPr>
          <w:rFonts w:hint="eastAsia" w:hAnsi="宋体"/>
          <w:color w:val="auto"/>
          <w:sz w:val="21"/>
          <w:szCs w:val="21"/>
          <w:highlight w:val="none"/>
        </w:rPr>
      </w:pPr>
      <w:r>
        <w:rPr>
          <w:rFonts w:hint="eastAsia" w:hAnsi="宋体"/>
          <w:color w:val="auto"/>
          <w:sz w:val="21"/>
          <w:szCs w:val="21"/>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500" w:lineRule="exact"/>
        <w:ind w:firstLine="413" w:firstLineChars="196"/>
        <w:rPr>
          <w:rFonts w:hint="eastAsia" w:hAnsi="宋体"/>
          <w:b/>
          <w:color w:val="auto"/>
          <w:sz w:val="21"/>
          <w:szCs w:val="21"/>
          <w:highlight w:val="none"/>
        </w:rPr>
      </w:pPr>
      <w:r>
        <w:rPr>
          <w:rFonts w:hint="eastAsia" w:hAnsi="宋体"/>
          <w:b/>
          <w:color w:val="auto"/>
          <w:sz w:val="21"/>
          <w:szCs w:val="21"/>
          <w:highlight w:val="none"/>
        </w:rPr>
        <w:t>九、电子投标特别提醒</w:t>
      </w:r>
    </w:p>
    <w:p>
      <w:pPr>
        <w:snapToGrid w:val="0"/>
        <w:spacing w:line="500" w:lineRule="exact"/>
        <w:ind w:firstLine="411" w:firstLineChars="196"/>
        <w:rPr>
          <w:rFonts w:hint="eastAsia" w:hAnsi="宋体"/>
          <w:color w:val="auto"/>
          <w:sz w:val="21"/>
          <w:szCs w:val="21"/>
          <w:highlight w:val="none"/>
        </w:rPr>
      </w:pPr>
      <w:r>
        <w:rPr>
          <w:rFonts w:hint="eastAsia" w:hAnsi="宋体"/>
          <w:color w:val="auto"/>
          <w:sz w:val="21"/>
          <w:szCs w:val="21"/>
          <w:highlight w:val="none"/>
        </w:rPr>
        <w:t>1.请所有供应商在政采云系统准时参加线上开标活动,并且要求法定代表人或授权委托人全程在线。</w:t>
      </w:r>
    </w:p>
    <w:p>
      <w:pPr>
        <w:snapToGrid w:val="0"/>
        <w:spacing w:line="500" w:lineRule="exact"/>
        <w:ind w:firstLine="411" w:firstLineChars="196"/>
        <w:rPr>
          <w:rFonts w:hint="eastAsia" w:hAnsi="宋体"/>
          <w:color w:val="auto"/>
          <w:sz w:val="21"/>
          <w:szCs w:val="21"/>
          <w:highlight w:val="none"/>
        </w:rPr>
      </w:pPr>
      <w:r>
        <w:rPr>
          <w:rFonts w:hint="eastAsia" w:hAnsi="宋体"/>
          <w:color w:val="auto"/>
          <w:sz w:val="21"/>
          <w:szCs w:val="21"/>
          <w:highlight w:val="none"/>
        </w:rPr>
        <w:t>2.投标截止时间后，代理机构将线上开启解密，供应商需及时用CA锁在线解密，解密时间一般为半小时（解密时限由财政部门设置），逾期解密，供应商自行承担风险。</w:t>
      </w:r>
    </w:p>
    <w:p>
      <w:pPr>
        <w:snapToGrid w:val="0"/>
        <w:spacing w:line="500" w:lineRule="exact"/>
        <w:ind w:firstLine="411" w:firstLineChars="196"/>
        <w:rPr>
          <w:rFonts w:hint="eastAsia" w:hAnsi="宋体"/>
          <w:color w:val="auto"/>
          <w:sz w:val="21"/>
          <w:szCs w:val="21"/>
          <w:highlight w:val="none"/>
        </w:rPr>
      </w:pPr>
      <w:r>
        <w:rPr>
          <w:rFonts w:hint="eastAsia" w:hAnsi="宋体"/>
          <w:color w:val="auto"/>
          <w:sz w:val="21"/>
          <w:szCs w:val="21"/>
          <w:highlight w:val="none"/>
        </w:rPr>
        <w:t>3.解密响应文件的CA锁必须跟制作响应文件的CA锁为同一个，否则将导致解密失败。</w:t>
      </w:r>
    </w:p>
    <w:p>
      <w:pPr>
        <w:snapToGrid w:val="0"/>
        <w:spacing w:line="500" w:lineRule="exact"/>
        <w:ind w:firstLine="411" w:firstLineChars="196"/>
        <w:rPr>
          <w:rFonts w:hint="eastAsia" w:hAnsi="宋体"/>
          <w:color w:val="auto"/>
          <w:sz w:val="21"/>
          <w:szCs w:val="21"/>
          <w:highlight w:val="none"/>
        </w:rPr>
      </w:pPr>
      <w:r>
        <w:rPr>
          <w:rFonts w:hint="eastAsia" w:hAnsi="宋体"/>
          <w:color w:val="auto"/>
          <w:sz w:val="21"/>
          <w:szCs w:val="21"/>
          <w:highlight w:val="none"/>
        </w:rPr>
        <w:t>4.请务必确保投标文件制作客户端为最新版本，旧版本可能导致投标文件解密失败。</w:t>
      </w:r>
    </w:p>
    <w:p>
      <w:pPr>
        <w:snapToGrid w:val="0"/>
        <w:spacing w:line="500" w:lineRule="exact"/>
        <w:ind w:firstLine="411" w:firstLineChars="196"/>
        <w:rPr>
          <w:rFonts w:hint="eastAsia" w:hAnsi="宋体"/>
          <w:color w:val="auto"/>
          <w:sz w:val="21"/>
          <w:szCs w:val="21"/>
          <w:highlight w:val="none"/>
        </w:rPr>
      </w:pPr>
    </w:p>
    <w:p>
      <w:pPr>
        <w:autoSpaceDE/>
        <w:autoSpaceDN/>
        <w:adjustRightInd/>
        <w:spacing w:line="500" w:lineRule="exact"/>
        <w:ind w:firstLine="600" w:firstLineChars="200"/>
        <w:jc w:val="both"/>
        <w:textAlignment w:val="auto"/>
        <w:rPr>
          <w:rFonts w:hint="eastAsia" w:ascii="黑体" w:hAnsi="宋体" w:eastAsia="黑体"/>
          <w:color w:val="auto"/>
          <w:sz w:val="30"/>
          <w:szCs w:val="30"/>
          <w:highlight w:val="none"/>
        </w:rPr>
      </w:pPr>
      <w:r>
        <w:rPr>
          <w:rFonts w:hint="eastAsia" w:ascii="黑体" w:hAnsi="宋体" w:eastAsia="黑体"/>
          <w:color w:val="auto"/>
          <w:sz w:val="30"/>
          <w:szCs w:val="30"/>
          <w:highlight w:val="none"/>
        </w:rPr>
        <w:br w:type="page"/>
      </w:r>
    </w:p>
    <w:p>
      <w:pPr>
        <w:pStyle w:val="2"/>
        <w:spacing w:line="480" w:lineRule="exact"/>
        <w:jc w:val="center"/>
        <w:rPr>
          <w:rFonts w:hint="eastAsia" w:hAnsi="宋体" w:cs="Arial"/>
          <w:color w:val="auto"/>
          <w:sz w:val="21"/>
          <w:szCs w:val="21"/>
          <w:highlight w:val="none"/>
        </w:rPr>
      </w:pPr>
      <w:r>
        <w:rPr>
          <w:rFonts w:hint="eastAsia" w:ascii="黑体" w:hAnsi="宋体" w:eastAsia="黑体"/>
          <w:color w:val="auto"/>
          <w:sz w:val="30"/>
          <w:szCs w:val="30"/>
          <w:highlight w:val="none"/>
        </w:rPr>
        <w:t>第四部分   磋商办法及评分标准</w:t>
      </w:r>
      <w:bookmarkEnd w:id="68"/>
      <w:bookmarkEnd w:id="69"/>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为公正、公平、科学地选择成交供应商，根据《中华人民共和国政府采购法》等有关法律法规的规定，并结合本项目的实际，制定本办法。</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本办法适用本项目的磋商。</w:t>
      </w:r>
    </w:p>
    <w:p>
      <w:pPr>
        <w:autoSpaceDE/>
        <w:autoSpaceDN/>
        <w:adjustRightInd/>
        <w:spacing w:line="500" w:lineRule="exact"/>
        <w:ind w:firstLine="422" w:firstLineChars="200"/>
        <w:jc w:val="both"/>
        <w:textAlignment w:val="auto"/>
        <w:rPr>
          <w:rFonts w:hAnsi="宋体" w:cs="Arial"/>
          <w:b/>
          <w:color w:val="auto"/>
          <w:sz w:val="21"/>
          <w:szCs w:val="21"/>
          <w:highlight w:val="none"/>
        </w:rPr>
      </w:pPr>
      <w:r>
        <w:rPr>
          <w:rFonts w:hint="eastAsia" w:hAnsi="宋体" w:cs="Arial"/>
          <w:b/>
          <w:color w:val="auto"/>
          <w:sz w:val="21"/>
          <w:szCs w:val="21"/>
          <w:highlight w:val="none"/>
        </w:rPr>
        <w:t>一、磋商内容及标准</w:t>
      </w:r>
    </w:p>
    <w:p>
      <w:pPr>
        <w:autoSpaceDE/>
        <w:autoSpaceDN/>
        <w:adjustRightInd/>
        <w:spacing w:line="500" w:lineRule="exact"/>
        <w:ind w:firstLine="422" w:firstLineChars="200"/>
        <w:jc w:val="both"/>
        <w:textAlignment w:val="auto"/>
        <w:rPr>
          <w:rFonts w:hAnsi="宋体" w:cs="Arial"/>
          <w:color w:val="auto"/>
          <w:sz w:val="21"/>
          <w:szCs w:val="21"/>
          <w:highlight w:val="none"/>
        </w:rPr>
      </w:pPr>
      <w:r>
        <w:rPr>
          <w:rFonts w:hint="eastAsia" w:hAnsi="宋体" w:cs="Arial"/>
          <w:b/>
          <w:color w:val="auto"/>
          <w:sz w:val="21"/>
          <w:szCs w:val="21"/>
          <w:highlight w:val="none"/>
        </w:rPr>
        <w:t>1.本次磋商采用综合评分法</w:t>
      </w:r>
      <w:r>
        <w:rPr>
          <w:rFonts w:hint="eastAsia" w:hAnsi="宋体" w:cs="Arial"/>
          <w:color w:val="auto"/>
          <w:sz w:val="21"/>
          <w:szCs w:val="21"/>
          <w:highlight w:val="none"/>
        </w:rPr>
        <w:t>，总分为100分，其中</w:t>
      </w:r>
      <w:r>
        <w:rPr>
          <w:rFonts w:hint="eastAsia" w:hAnsi="宋体" w:cs="Arial"/>
          <w:b/>
          <w:color w:val="auto"/>
          <w:sz w:val="21"/>
          <w:szCs w:val="21"/>
          <w:highlight w:val="none"/>
        </w:rPr>
        <w:t>价格分（磋商报价得分）</w:t>
      </w:r>
      <w:r>
        <w:rPr>
          <w:rFonts w:hint="eastAsia" w:hAnsi="宋体" w:cs="Arial"/>
          <w:color w:val="auto"/>
          <w:sz w:val="21"/>
          <w:szCs w:val="21"/>
          <w:highlight w:val="none"/>
        </w:rPr>
        <w:t>10分，</w:t>
      </w:r>
      <w:r>
        <w:rPr>
          <w:rFonts w:hint="eastAsia" w:hAnsi="宋体" w:cs="Arial"/>
          <w:b/>
          <w:color w:val="auto"/>
          <w:sz w:val="21"/>
          <w:szCs w:val="21"/>
          <w:highlight w:val="none"/>
        </w:rPr>
        <w:t>技术商务</w:t>
      </w:r>
      <w:r>
        <w:rPr>
          <w:rFonts w:hint="eastAsia" w:hAnsi="宋体" w:cs="Arial"/>
          <w:color w:val="auto"/>
          <w:sz w:val="21"/>
          <w:szCs w:val="21"/>
          <w:highlight w:val="none"/>
        </w:rPr>
        <w:t>90分二部分。合格供应商的磋商得分为各项目汇总得分，成交候选资格按磋商得分由高到低顺序排列；得分相同的</w:t>
      </w:r>
      <w:r>
        <w:rPr>
          <w:rFonts w:hint="eastAsia" w:hAnsi="宋体" w:cs="宋体"/>
          <w:color w:val="auto"/>
          <w:sz w:val="21"/>
          <w:szCs w:val="21"/>
          <w:highlight w:val="none"/>
        </w:rPr>
        <w:t>，按磋商最终报价由低到高顺序排列；得分及报价均相同的，</w:t>
      </w:r>
      <w:r>
        <w:rPr>
          <w:rFonts w:hint="eastAsia" w:hAnsi="宋体" w:cs="Arial"/>
          <w:color w:val="auto"/>
          <w:sz w:val="21"/>
          <w:szCs w:val="21"/>
          <w:highlight w:val="none"/>
        </w:rPr>
        <w:t>按技术得分由高到低顺序排列</w:t>
      </w:r>
      <w:r>
        <w:rPr>
          <w:rFonts w:hint="eastAsia" w:hAnsi="宋体" w:cs="宋体"/>
          <w:color w:val="auto"/>
          <w:sz w:val="21"/>
          <w:szCs w:val="21"/>
          <w:highlight w:val="none"/>
        </w:rPr>
        <w:t>。</w:t>
      </w:r>
      <w:r>
        <w:rPr>
          <w:rFonts w:hint="eastAsia" w:hAnsi="宋体" w:cs="Arial"/>
          <w:color w:val="auto"/>
          <w:sz w:val="21"/>
          <w:szCs w:val="21"/>
          <w:highlight w:val="none"/>
        </w:rPr>
        <w:t>排名第一的供应商为成交候选人，排名第二的供应商为候补成交候选人……其他供应商成交候选资格依此类推。评分过程中采用四舍五入法，并保留小数2位。</w:t>
      </w:r>
    </w:p>
    <w:p>
      <w:pPr>
        <w:autoSpaceDE/>
        <w:autoSpaceDN/>
        <w:adjustRightInd/>
        <w:spacing w:line="500" w:lineRule="exact"/>
        <w:ind w:firstLine="420" w:firstLineChars="200"/>
        <w:jc w:val="both"/>
        <w:textAlignment w:val="auto"/>
        <w:rPr>
          <w:rFonts w:hAnsi="宋体" w:cs="Arial"/>
          <w:b/>
          <w:color w:val="auto"/>
          <w:sz w:val="21"/>
          <w:szCs w:val="21"/>
          <w:highlight w:val="none"/>
        </w:rPr>
      </w:pPr>
      <w:r>
        <w:rPr>
          <w:rFonts w:hint="eastAsia" w:hAnsi="宋体" w:cs="Arial"/>
          <w:color w:val="auto"/>
          <w:sz w:val="21"/>
          <w:szCs w:val="21"/>
          <w:highlight w:val="none"/>
        </w:rPr>
        <w:t>供应商磋商综合得分=价格分+技术商务分</w:t>
      </w:r>
    </w:p>
    <w:p>
      <w:pPr>
        <w:autoSpaceDE/>
        <w:autoSpaceDN/>
        <w:adjustRightInd/>
        <w:spacing w:line="500" w:lineRule="exact"/>
        <w:ind w:firstLine="422" w:firstLineChars="200"/>
        <w:jc w:val="both"/>
        <w:textAlignment w:val="auto"/>
        <w:rPr>
          <w:rFonts w:hAnsi="宋体"/>
          <w:b/>
          <w:color w:val="auto"/>
          <w:sz w:val="21"/>
          <w:szCs w:val="21"/>
          <w:highlight w:val="none"/>
        </w:rPr>
      </w:pPr>
      <w:r>
        <w:rPr>
          <w:rFonts w:hint="eastAsia" w:hAnsi="宋体"/>
          <w:b/>
          <w:color w:val="auto"/>
          <w:sz w:val="21"/>
          <w:szCs w:val="21"/>
          <w:highlight w:val="none"/>
        </w:rPr>
        <w:t>技术商务分=（磋商小组所有成员评分合计数）/（磋商小组组成人员数）。</w:t>
      </w:r>
    </w:p>
    <w:p>
      <w:pPr>
        <w:autoSpaceDE/>
        <w:autoSpaceDN/>
        <w:adjustRightInd/>
        <w:spacing w:line="500" w:lineRule="exact"/>
        <w:ind w:firstLine="422" w:firstLineChars="200"/>
        <w:jc w:val="both"/>
        <w:textAlignment w:val="auto"/>
        <w:rPr>
          <w:rFonts w:hAnsi="宋体" w:cs="Arial"/>
          <w:color w:val="auto"/>
          <w:sz w:val="21"/>
          <w:szCs w:val="21"/>
          <w:highlight w:val="none"/>
        </w:rPr>
      </w:pPr>
      <w:r>
        <w:rPr>
          <w:rFonts w:hint="eastAsia" w:hAnsi="宋体"/>
          <w:b/>
          <w:color w:val="auto"/>
          <w:sz w:val="21"/>
          <w:szCs w:val="21"/>
          <w:highlight w:val="none"/>
        </w:rPr>
        <w:t>价格分:</w:t>
      </w:r>
      <w:r>
        <w:rPr>
          <w:rFonts w:hint="eastAsia" w:hAnsi="宋体" w:cs="Arial"/>
          <w:color w:val="auto"/>
          <w:sz w:val="21"/>
          <w:szCs w:val="21"/>
          <w:highlight w:val="none"/>
        </w:rPr>
        <w:t>价格分采用低价优先法计算，即满足磋商文件（磋商文件）要求，以最终评审价格的最低价者为磋商基准价，其他供应商的价格分按照下列公式计算：</w:t>
      </w:r>
    </w:p>
    <w:p>
      <w:pPr>
        <w:autoSpaceDE/>
        <w:autoSpaceDN/>
        <w:adjustRightInd/>
        <w:spacing w:line="500" w:lineRule="exact"/>
        <w:ind w:firstLine="422" w:firstLineChars="200"/>
        <w:jc w:val="both"/>
        <w:textAlignment w:val="auto"/>
        <w:rPr>
          <w:rFonts w:hint="eastAsia" w:hAnsi="宋体"/>
          <w:b/>
          <w:color w:val="auto"/>
          <w:sz w:val="21"/>
          <w:szCs w:val="21"/>
          <w:highlight w:val="none"/>
        </w:rPr>
      </w:pPr>
      <w:r>
        <w:rPr>
          <w:rFonts w:hint="eastAsia" w:hAnsi="宋体"/>
          <w:b/>
          <w:color w:val="auto"/>
          <w:sz w:val="21"/>
          <w:szCs w:val="21"/>
          <w:highlight w:val="none"/>
        </w:rPr>
        <w:t xml:space="preserve"> 磋商报价得分</w:t>
      </w:r>
      <w:r>
        <w:rPr>
          <w:rFonts w:hAnsi="宋体"/>
          <w:b/>
          <w:color w:val="auto"/>
          <w:sz w:val="21"/>
          <w:szCs w:val="21"/>
          <w:highlight w:val="none"/>
        </w:rPr>
        <w:t>=</w:t>
      </w:r>
      <w:r>
        <w:rPr>
          <w:rFonts w:hint="eastAsia" w:hAnsi="宋体"/>
          <w:b/>
          <w:color w:val="auto"/>
          <w:sz w:val="21"/>
          <w:szCs w:val="21"/>
          <w:highlight w:val="none"/>
        </w:rPr>
        <w:t>（磋商基准价</w:t>
      </w:r>
      <w:r>
        <w:rPr>
          <w:rFonts w:hAnsi="宋体"/>
          <w:b/>
          <w:color w:val="auto"/>
          <w:sz w:val="21"/>
          <w:szCs w:val="21"/>
          <w:highlight w:val="none"/>
        </w:rPr>
        <w:t>/</w:t>
      </w:r>
      <w:r>
        <w:rPr>
          <w:rFonts w:hint="eastAsia" w:hAnsi="宋体"/>
          <w:b/>
          <w:color w:val="auto"/>
          <w:sz w:val="21"/>
          <w:szCs w:val="21"/>
          <w:highlight w:val="none"/>
        </w:rPr>
        <w:t>最后磋商评审价格）×10%×</w:t>
      </w:r>
      <w:r>
        <w:rPr>
          <w:rFonts w:hAnsi="宋体"/>
          <w:b/>
          <w:color w:val="auto"/>
          <w:sz w:val="21"/>
          <w:szCs w:val="21"/>
          <w:highlight w:val="none"/>
        </w:rPr>
        <w:t>100</w:t>
      </w:r>
    </w:p>
    <w:p>
      <w:pPr>
        <w:autoSpaceDE/>
        <w:autoSpaceDN/>
        <w:adjustRightInd/>
        <w:spacing w:line="500" w:lineRule="exact"/>
        <w:ind w:firstLine="420" w:firstLineChars="200"/>
        <w:jc w:val="both"/>
        <w:rPr>
          <w:rFonts w:hint="eastAsia" w:hAnsi="宋体" w:cs="宋体"/>
          <w:b/>
          <w:color w:val="auto"/>
          <w:sz w:val="21"/>
          <w:szCs w:val="21"/>
          <w:highlight w:val="none"/>
        </w:rPr>
      </w:pPr>
      <w:r>
        <w:rPr>
          <w:rFonts w:hint="eastAsia" w:hAnsi="宋体" w:cs="Arial"/>
          <w:color w:val="auto"/>
          <w:sz w:val="21"/>
          <w:szCs w:val="21"/>
          <w:highlight w:val="none"/>
        </w:rPr>
        <w:t>2.</w:t>
      </w:r>
      <w:r>
        <w:rPr>
          <w:rFonts w:hint="eastAsia" w:hAnsi="宋体" w:cs="宋体"/>
          <w:b/>
          <w:color w:val="auto"/>
          <w:sz w:val="21"/>
          <w:szCs w:val="21"/>
          <w:highlight w:val="none"/>
        </w:rPr>
        <w:t>本项目为专门面向中小企业采购的项目，不再执行价格评审优惠的扶持政策。</w:t>
      </w:r>
    </w:p>
    <w:p>
      <w:pPr>
        <w:autoSpaceDE/>
        <w:autoSpaceDN/>
        <w:adjustRightInd/>
        <w:spacing w:line="500" w:lineRule="exact"/>
        <w:ind w:firstLine="413" w:firstLineChars="196"/>
        <w:textAlignment w:val="auto"/>
        <w:rPr>
          <w:rFonts w:hint="eastAsia" w:hAnsi="宋体" w:cs="Arial"/>
          <w:b/>
          <w:color w:val="auto"/>
          <w:sz w:val="21"/>
          <w:szCs w:val="21"/>
          <w:highlight w:val="none"/>
        </w:rPr>
      </w:pPr>
      <w:r>
        <w:rPr>
          <w:rFonts w:hint="eastAsia" w:hAnsi="宋体" w:cs="Arial"/>
          <w:b/>
          <w:color w:val="auto"/>
          <w:sz w:val="21"/>
          <w:szCs w:val="21"/>
          <w:highlight w:val="none"/>
        </w:rPr>
        <w:t>3.供应商的最终磋商报价超过采购人设定的最高限价，其价格响应文件作无效处理。</w:t>
      </w:r>
    </w:p>
    <w:p>
      <w:pPr>
        <w:pStyle w:val="39"/>
        <w:adjustRightInd w:val="0"/>
        <w:snapToGrid w:val="0"/>
        <w:spacing w:beforeAutospacing="0" w:afterAutospacing="0" w:line="500" w:lineRule="exact"/>
        <w:ind w:firstLine="422" w:firstLineChars="200"/>
        <w:rPr>
          <w:rFonts w:hint="eastAsia" w:cs="仿宋_GB2312"/>
          <w:b/>
          <w:bCs/>
          <w:color w:val="auto"/>
          <w:sz w:val="21"/>
          <w:szCs w:val="21"/>
          <w:highlight w:val="none"/>
          <w:lang w:bidi="ar"/>
        </w:rPr>
      </w:pPr>
      <w:r>
        <w:rPr>
          <w:rFonts w:hint="eastAsia" w:cs="宋体"/>
          <w:b/>
          <w:color w:val="auto"/>
          <w:sz w:val="21"/>
          <w:szCs w:val="21"/>
          <w:highlight w:val="none"/>
        </w:rPr>
        <w:t>二、评审纪律和要求</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1.评审专家必须公平、公正评审，遵纪守法，客观、廉洁地履行职责。</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2.评审专家在评审开始前，应关闭并上交随身携带的各种通信工具。</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3.评审专家在评审过程中，未经许可不得中途离开评审现场，不得迟到早退。</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4.评审专家和工作人员不得透露评审过程中的讨论情况和评审结果。</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5.评审时，评审专家须按招标文件规定的程序、条件和标准，对</w:t>
      </w:r>
      <w:r>
        <w:rPr>
          <w:rFonts w:hint="eastAsia" w:hAnsi="宋体" w:cs="宋体"/>
          <w:color w:val="auto"/>
          <w:sz w:val="21"/>
          <w:szCs w:val="21"/>
          <w:highlight w:val="none"/>
          <w:lang w:eastAsia="zh-CN"/>
        </w:rPr>
        <w:t>响应供应商</w:t>
      </w:r>
      <w:r>
        <w:rPr>
          <w:rFonts w:hint="eastAsia" w:hAnsi="宋体" w:cs="宋体"/>
          <w:color w:val="auto"/>
          <w:sz w:val="21"/>
          <w:szCs w:val="21"/>
          <w:highlight w:val="none"/>
        </w:rPr>
        <w:t>投标文件的合规性、完整性和有效性进行审查、比较和评估，其中对</w:t>
      </w:r>
      <w:r>
        <w:rPr>
          <w:rFonts w:hint="eastAsia" w:hAnsi="宋体" w:cs="宋体"/>
          <w:color w:val="auto"/>
          <w:sz w:val="21"/>
          <w:szCs w:val="21"/>
          <w:highlight w:val="none"/>
          <w:lang w:eastAsia="zh-CN"/>
        </w:rPr>
        <w:t>响应供应商</w:t>
      </w:r>
      <w:r>
        <w:rPr>
          <w:rFonts w:hint="eastAsia" w:hAnsi="宋体" w:cs="宋体"/>
          <w:color w:val="auto"/>
          <w:sz w:val="21"/>
          <w:szCs w:val="21"/>
          <w:highlight w:val="none"/>
        </w:rPr>
        <w:t>的资格条件、主要技术参数、商务报价和其他评审要素等，评审专家应逐项进行审查、比较，不得漏评少评。</w:t>
      </w:r>
      <w:r>
        <w:rPr>
          <w:rFonts w:hint="eastAsia" w:hAnsi="宋体" w:cs="宋体"/>
          <w:b/>
          <w:bCs/>
          <w:color w:val="auto"/>
          <w:sz w:val="21"/>
          <w:szCs w:val="21"/>
          <w:highlight w:val="none"/>
        </w:rPr>
        <w:t>如发现与招标文件要求相偏离的，应对其偏离情形进行必要的核实，并在工作底稿中予以说明；如属于实质性偏离或符合无效投标文件的，可询问</w:t>
      </w:r>
      <w:r>
        <w:rPr>
          <w:rFonts w:hint="eastAsia" w:hAnsi="宋体" w:cs="宋体"/>
          <w:b/>
          <w:bCs/>
          <w:color w:val="auto"/>
          <w:sz w:val="21"/>
          <w:szCs w:val="21"/>
          <w:highlight w:val="none"/>
          <w:lang w:eastAsia="zh-CN"/>
        </w:rPr>
        <w:t>响应供应商</w:t>
      </w:r>
      <w:r>
        <w:rPr>
          <w:rFonts w:hint="eastAsia" w:hAnsi="宋体" w:cs="宋体"/>
          <w:b/>
          <w:bCs/>
          <w:color w:val="auto"/>
          <w:sz w:val="21"/>
          <w:szCs w:val="21"/>
          <w:highlight w:val="none"/>
        </w:rPr>
        <w:t>，并允许</w:t>
      </w:r>
      <w:r>
        <w:rPr>
          <w:rFonts w:hint="eastAsia" w:hAnsi="宋体" w:cs="宋体"/>
          <w:b/>
          <w:bCs/>
          <w:color w:val="auto"/>
          <w:sz w:val="21"/>
          <w:szCs w:val="21"/>
          <w:highlight w:val="none"/>
          <w:lang w:eastAsia="zh-CN"/>
        </w:rPr>
        <w:t>响应供应商</w:t>
      </w:r>
      <w:r>
        <w:rPr>
          <w:rFonts w:hint="eastAsia" w:hAnsi="宋体" w:cs="宋体"/>
          <w:b/>
          <w:bCs/>
          <w:color w:val="auto"/>
          <w:sz w:val="21"/>
          <w:szCs w:val="21"/>
          <w:highlight w:val="none"/>
        </w:rPr>
        <w:t>进行陈述申辩，但不允许其对偏离条款进行补充、修正或撤回</w:t>
      </w:r>
      <w:r>
        <w:rPr>
          <w:rFonts w:hint="eastAsia" w:hAnsi="宋体" w:cs="宋体"/>
          <w:color w:val="auto"/>
          <w:sz w:val="21"/>
          <w:szCs w:val="21"/>
          <w:highlight w:val="none"/>
        </w:rPr>
        <w:t>。</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6.采购人、采购代理机构不得向评审委员会的评审专家作倾向性、误导性的解释或者说明。</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7.采购代理机构应当为评审专家提供必要的评审条件和相应的评审工作底稿，并严格按规定程序组织评审专家有步骤地进行项目评审，</w:t>
      </w:r>
      <w:r>
        <w:rPr>
          <w:rFonts w:hint="eastAsia" w:hAnsi="宋体" w:cs="宋体"/>
          <w:b/>
          <w:bCs/>
          <w:color w:val="auto"/>
          <w:sz w:val="21"/>
          <w:szCs w:val="21"/>
          <w:highlight w:val="none"/>
        </w:rPr>
        <w:t>对各评审专家的评审情况和评审意见进行合理性和合规性审查，对明显畸高、畸低的重大差异评审情况（其总评分偏离平均分30%以上），提醒相关评审专家进行复核或书面说明理由</w:t>
      </w:r>
      <w:r>
        <w:rPr>
          <w:rFonts w:hint="eastAsia" w:hAnsi="宋体" w:cs="宋体"/>
          <w:color w:val="auto"/>
          <w:sz w:val="21"/>
          <w:szCs w:val="21"/>
          <w:highlight w:val="none"/>
        </w:rPr>
        <w:t>。</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8.评审专家在评审过程中不得将自己的观点强加给其他评审专家，评审专家应自主发表见解，对评审意见承担个人责任。</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9.</w:t>
      </w:r>
      <w:r>
        <w:rPr>
          <w:rFonts w:hint="eastAsia" w:hAnsi="宋体" w:cs="宋体"/>
          <w:b/>
          <w:bCs/>
          <w:color w:val="auto"/>
          <w:sz w:val="21"/>
          <w:szCs w:val="21"/>
          <w:highlight w:val="none"/>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w:t>
      </w:r>
      <w:r>
        <w:rPr>
          <w:rFonts w:hint="eastAsia" w:hAnsi="宋体" w:cs="宋体"/>
          <w:b/>
          <w:bCs/>
          <w:color w:val="auto"/>
          <w:sz w:val="21"/>
          <w:szCs w:val="21"/>
          <w:highlight w:val="none"/>
          <w:lang w:eastAsia="zh-CN"/>
        </w:rPr>
        <w:t>响应供应商</w:t>
      </w:r>
      <w:r>
        <w:rPr>
          <w:rFonts w:hint="eastAsia" w:hAnsi="宋体" w:cs="宋体"/>
          <w:b/>
          <w:bCs/>
          <w:color w:val="auto"/>
          <w:sz w:val="21"/>
          <w:szCs w:val="21"/>
          <w:highlight w:val="none"/>
        </w:rPr>
        <w:t>报价为最高报价的，评审报告中须对其报价的合理性等进行分析和特别说明</w:t>
      </w:r>
      <w:r>
        <w:rPr>
          <w:rFonts w:hint="eastAsia" w:hAnsi="宋体" w:cs="宋体"/>
          <w:color w:val="auto"/>
          <w:sz w:val="21"/>
          <w:szCs w:val="21"/>
          <w:highlight w:val="none"/>
        </w:rPr>
        <w:t>。</w:t>
      </w:r>
    </w:p>
    <w:p>
      <w:pPr>
        <w:autoSpaceDE/>
        <w:autoSpaceDN/>
        <w:snapToGrid w:val="0"/>
        <w:spacing w:line="500" w:lineRule="exact"/>
        <w:ind w:firstLine="422" w:firstLineChars="200"/>
        <w:textAlignment w:val="auto"/>
        <w:rPr>
          <w:rFonts w:hint="eastAsia" w:hAnsi="宋体" w:cs="宋体"/>
          <w:b/>
          <w:bCs/>
          <w:color w:val="auto"/>
          <w:sz w:val="21"/>
          <w:szCs w:val="21"/>
          <w:highlight w:val="none"/>
        </w:rPr>
      </w:pPr>
      <w:r>
        <w:rPr>
          <w:rFonts w:hint="eastAsia" w:hAnsi="宋体" w:cs="宋体"/>
          <w:b/>
          <w:bCs/>
          <w:color w:val="auto"/>
          <w:sz w:val="21"/>
          <w:szCs w:val="21"/>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pPr>
        <w:autoSpaceDE/>
        <w:autoSpaceDN/>
        <w:snapToGrid w:val="0"/>
        <w:spacing w:line="500" w:lineRule="exact"/>
        <w:ind w:firstLine="422" w:firstLineChars="200"/>
        <w:textAlignment w:val="auto"/>
        <w:rPr>
          <w:rFonts w:hint="eastAsia" w:hAnsi="宋体" w:cs="宋体"/>
          <w:b/>
          <w:bCs/>
          <w:color w:val="auto"/>
          <w:sz w:val="21"/>
          <w:szCs w:val="21"/>
          <w:highlight w:val="none"/>
        </w:rPr>
      </w:pPr>
      <w:r>
        <w:rPr>
          <w:rFonts w:hint="eastAsia" w:hAnsi="宋体" w:cs="宋体"/>
          <w:b/>
          <w:bCs/>
          <w:color w:val="auto"/>
          <w:sz w:val="21"/>
          <w:szCs w:val="21"/>
          <w:highlight w:val="none"/>
        </w:rPr>
        <w:t>11.评审专家应当遵守评审工作纪律，不得泄露评审文件、评审情况和评审中获悉的商业秘密。</w:t>
      </w:r>
    </w:p>
    <w:p>
      <w:pPr>
        <w:autoSpaceDE/>
        <w:autoSpaceDN/>
        <w:snapToGrid w:val="0"/>
        <w:spacing w:line="500" w:lineRule="exact"/>
        <w:ind w:firstLine="422" w:firstLineChars="200"/>
        <w:textAlignment w:val="auto"/>
        <w:rPr>
          <w:rFonts w:hint="eastAsia" w:hAnsi="宋体" w:cs="宋体"/>
          <w:b/>
          <w:bCs/>
          <w:color w:val="auto"/>
          <w:sz w:val="21"/>
          <w:szCs w:val="21"/>
          <w:highlight w:val="none"/>
        </w:rPr>
      </w:pPr>
      <w:r>
        <w:rPr>
          <w:rFonts w:hint="eastAsia" w:hAnsi="宋体" w:cs="宋体"/>
          <w:b/>
          <w:bCs/>
          <w:color w:val="auto"/>
          <w:sz w:val="21"/>
          <w:szCs w:val="21"/>
          <w:highlight w:val="none"/>
        </w:rPr>
        <w:t>评审委员会在评审过程中发现</w:t>
      </w:r>
      <w:r>
        <w:rPr>
          <w:rFonts w:hint="eastAsia" w:hAnsi="宋体" w:cs="宋体"/>
          <w:b/>
          <w:bCs/>
          <w:color w:val="auto"/>
          <w:sz w:val="21"/>
          <w:szCs w:val="21"/>
          <w:highlight w:val="none"/>
          <w:lang w:eastAsia="zh-CN"/>
        </w:rPr>
        <w:t>响应供应商</w:t>
      </w:r>
      <w:r>
        <w:rPr>
          <w:rFonts w:hint="eastAsia" w:hAnsi="宋体" w:cs="宋体"/>
          <w:b/>
          <w:bCs/>
          <w:color w:val="auto"/>
          <w:sz w:val="21"/>
          <w:szCs w:val="21"/>
          <w:highlight w:val="none"/>
        </w:rPr>
        <w:t>有行贿、提供虚假材料或者串通等违法行为的，应当及时向财政部门报告。</w:t>
      </w:r>
    </w:p>
    <w:p>
      <w:pPr>
        <w:autoSpaceDE/>
        <w:autoSpaceDN/>
        <w:snapToGrid w:val="0"/>
        <w:spacing w:line="500" w:lineRule="exact"/>
        <w:ind w:firstLine="422" w:firstLineChars="200"/>
        <w:textAlignment w:val="auto"/>
        <w:rPr>
          <w:rFonts w:hint="eastAsia" w:hAnsi="宋体" w:cs="宋体"/>
          <w:b/>
          <w:bCs/>
          <w:color w:val="auto"/>
          <w:sz w:val="21"/>
          <w:szCs w:val="21"/>
          <w:highlight w:val="none"/>
        </w:rPr>
      </w:pPr>
      <w:r>
        <w:rPr>
          <w:rFonts w:hint="eastAsia" w:hAnsi="宋体" w:cs="宋体"/>
          <w:b/>
          <w:bCs/>
          <w:color w:val="auto"/>
          <w:sz w:val="21"/>
          <w:szCs w:val="21"/>
          <w:highlight w:val="none"/>
        </w:rPr>
        <w:t>12.招标文件内容违反国家有关强制性规定的，评审委员会应当停止评审并向采购代理机构说明情况。</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13.评审专家应当配合采购代理机构答复</w:t>
      </w:r>
      <w:r>
        <w:rPr>
          <w:rFonts w:hint="eastAsia" w:hAnsi="宋体" w:cs="宋体"/>
          <w:color w:val="auto"/>
          <w:sz w:val="21"/>
          <w:szCs w:val="21"/>
          <w:highlight w:val="none"/>
          <w:lang w:eastAsia="zh-CN"/>
        </w:rPr>
        <w:t>响应供应商</w:t>
      </w:r>
      <w:r>
        <w:rPr>
          <w:rFonts w:hint="eastAsia" w:hAnsi="宋体" w:cs="宋体"/>
          <w:color w:val="auto"/>
          <w:sz w:val="21"/>
          <w:szCs w:val="21"/>
          <w:highlight w:val="none"/>
        </w:rPr>
        <w:t>提出的质疑。</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14.评审专家应当配合财政部门的投诉处理工作。</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15.评审专家有如下行为之一的，责令改正，给予警告，可以并处一千元以下的罚款：</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①明知应当回避而未主动回避的；</w:t>
      </w:r>
    </w:p>
    <w:p>
      <w:pPr>
        <w:autoSpaceDE/>
        <w:autoSpaceDN/>
        <w:snapToGrid w:val="0"/>
        <w:spacing w:line="500" w:lineRule="exact"/>
        <w:ind w:firstLine="376" w:firstLineChars="200"/>
        <w:textAlignment w:val="auto"/>
        <w:rPr>
          <w:rFonts w:hint="eastAsia" w:hAnsi="宋体" w:cs="宋体"/>
          <w:color w:val="auto"/>
          <w:sz w:val="21"/>
          <w:szCs w:val="21"/>
          <w:highlight w:val="none"/>
        </w:rPr>
      </w:pPr>
      <w:r>
        <w:rPr>
          <w:rFonts w:hint="eastAsia" w:hAnsi="宋体" w:cs="宋体"/>
          <w:snapToGrid w:val="0"/>
          <w:color w:val="auto"/>
          <w:spacing w:val="-11"/>
          <w:sz w:val="21"/>
          <w:szCs w:val="21"/>
          <w:highlight w:val="none"/>
        </w:rPr>
        <w:t>②在得知自己为评审专家身份后至评审结束前时段内私下接触</w:t>
      </w:r>
      <w:r>
        <w:rPr>
          <w:rFonts w:hint="eastAsia" w:hAnsi="宋体" w:cs="宋体"/>
          <w:snapToGrid w:val="0"/>
          <w:color w:val="auto"/>
          <w:spacing w:val="-11"/>
          <w:sz w:val="21"/>
          <w:szCs w:val="21"/>
          <w:highlight w:val="none"/>
          <w:lang w:eastAsia="zh-CN"/>
        </w:rPr>
        <w:t>响应供应商</w:t>
      </w:r>
      <w:r>
        <w:rPr>
          <w:rFonts w:hint="eastAsia" w:hAnsi="宋体" w:cs="宋体"/>
          <w:snapToGrid w:val="0"/>
          <w:color w:val="auto"/>
          <w:spacing w:val="-11"/>
          <w:sz w:val="21"/>
          <w:szCs w:val="21"/>
          <w:highlight w:val="none"/>
        </w:rPr>
        <w:t>的</w:t>
      </w:r>
      <w:r>
        <w:rPr>
          <w:rFonts w:hint="eastAsia" w:hAnsi="宋体" w:cs="宋体"/>
          <w:color w:val="auto"/>
          <w:sz w:val="21"/>
          <w:szCs w:val="21"/>
          <w:highlight w:val="none"/>
        </w:rPr>
        <w:t>；</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③在评审过程中擅离职守，影响评审程序正常进行的；</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④在评审过程有明显不合理或者不正当倾向性的；</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⑤未按招标文件规定的评审方法和标准进行评审的。</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⑥上述①至⑤行为影响中标结果的，中标结果无效。</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政府采购评审专家与</w:t>
      </w:r>
      <w:r>
        <w:rPr>
          <w:rFonts w:hint="eastAsia" w:hAnsi="宋体" w:cs="宋体"/>
          <w:color w:val="auto"/>
          <w:sz w:val="21"/>
          <w:szCs w:val="21"/>
          <w:highlight w:val="none"/>
          <w:lang w:eastAsia="zh-CN"/>
        </w:rPr>
        <w:t>响应供应商</w:t>
      </w:r>
      <w:r>
        <w:rPr>
          <w:rFonts w:hint="eastAsia" w:hAnsi="宋体" w:cs="宋体"/>
          <w:color w:val="auto"/>
          <w:sz w:val="21"/>
          <w:szCs w:val="21"/>
          <w:highlight w:val="none"/>
        </w:rPr>
        <w:t>存在利害关系未回避的，处2万元以上5万元以下的罚款，禁止其参加政府采购评审活动。</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政府采购评审专家收受采购人、采购代理机构、</w:t>
      </w:r>
      <w:r>
        <w:rPr>
          <w:rFonts w:hint="eastAsia" w:hAnsi="宋体" w:cs="宋体"/>
          <w:color w:val="auto"/>
          <w:sz w:val="21"/>
          <w:szCs w:val="21"/>
          <w:highlight w:val="none"/>
          <w:lang w:eastAsia="zh-CN"/>
        </w:rPr>
        <w:t>响应供应商</w:t>
      </w:r>
      <w:r>
        <w:rPr>
          <w:rFonts w:hint="eastAsia" w:hAnsi="宋体" w:cs="宋体"/>
          <w:color w:val="auto"/>
          <w:sz w:val="21"/>
          <w:szCs w:val="21"/>
          <w:highlight w:val="none"/>
        </w:rPr>
        <w:t>贿赂或者获取其他不正当利益，构成犯罪的，依法追究刑事责任；尚不构成犯罪的，处2万元以上5万元以下的罚款，禁止其参加政府采购评审活动。</w:t>
      </w:r>
    </w:p>
    <w:p>
      <w:pPr>
        <w:autoSpaceDE/>
        <w:autoSpaceDN/>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政府采购评审专家有上述违法行为的，其评审意见无效，不得获取评审费；有违法所得的，没收违法所得；给他人造成损失的，依法承担民事责任。</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三.采购项目需要落实的政府采购政策</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cs="仿宋_GB2312"/>
          <w:color w:val="auto"/>
          <w:sz w:val="21"/>
          <w:szCs w:val="21"/>
          <w:highlight w:val="none"/>
          <w:lang w:val="en" w:bidi="ar"/>
        </w:rPr>
        <w:t>1</w:t>
      </w:r>
      <w:r>
        <w:rPr>
          <w:rFonts w:hint="eastAsia" w:cs="仿宋_GB2312"/>
          <w:color w:val="auto"/>
          <w:sz w:val="21"/>
          <w:szCs w:val="21"/>
          <w:highlight w:val="none"/>
          <w:lang w:bidi="ar"/>
        </w:rPr>
        <w:t>.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2 支持绿色发展</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3支持中小企业发展</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符合中小企业划分标准的个体工商户，在政府采购活动中视同中小企业。</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2在政府采购活动中，供应商提供的货物、工程或者服务符合下列情形的，享受中小企业扶持政策：</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3.2.1在货物采购项目中，货物由中小企业制造，即货物由中小企业生产且使用该中小企业商号或者注册商标；</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3.2.2在工程采购项目中，工程由中小企业承建，即工程施工单位为中小企业；</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3.2.3在服务采购项目中，服务由中小企业承接，即提供服务的人员为中小企业依照《中华人民共和国劳动合同法》订立劳动合同的从业人员。</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在货物采购项目中，供应商提供的货物既有中小企业制造货物，也有大型企业制造货物的，不享受中小企业扶持政策。</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以联合体形式参加政府采购活动，联合体各方均为中小企业的，联合体视同中小企业。其中，联合体各方均为小微企业的，联合体视同小微企业。</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3.4符合《关于促进残疾人就业政府采购政策的通知》（财库〔2017〕141号）规定的条件并提供《残疾人福利性单位声明函》（附件1）的残疾人福利性单位视同小型、微型企业；</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3.7中小企业享受扶持政策获得政府采购合同的，小微企业不得将合同分包给大中型企业，中型企业不得将合同分包给大型企业。</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4支持创新发展</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4.1 采购人优先采购被认定为首台套产品和“制造精品”的自主创新产品。</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4.2首台套产品被纳入《首台套产品推广应用指导目录》之日起</w:t>
      </w:r>
      <w:r>
        <w:rPr>
          <w:rFonts w:hint="eastAsia" w:cs="仿宋_GB2312"/>
          <w:b/>
          <w:bCs/>
          <w:color w:val="auto"/>
          <w:sz w:val="21"/>
          <w:szCs w:val="21"/>
          <w:highlight w:val="none"/>
          <w:lang w:bidi="ar"/>
        </w:rPr>
        <w:t>3年内</w:t>
      </w:r>
      <w:r>
        <w:rPr>
          <w:rFonts w:hint="eastAsia" w:cs="仿宋_GB2312"/>
          <w:color w:val="auto"/>
          <w:sz w:val="21"/>
          <w:szCs w:val="21"/>
          <w:highlight w:val="none"/>
          <w:lang w:bidi="ar"/>
        </w:rPr>
        <w:t>，以及产品核心技术高于国内领先水平，并具有明晰自主知识产权的“制造精品”产品，自认定之日起2年内视同已具备相应销售业绩，参加政府采购活动时业绩分值为满分。</w:t>
      </w:r>
    </w:p>
    <w:p>
      <w:pPr>
        <w:pStyle w:val="39"/>
        <w:adjustRightInd w:val="0"/>
        <w:snapToGrid w:val="0"/>
        <w:spacing w:beforeAutospacing="0" w:afterAutospacing="0" w:line="500" w:lineRule="exact"/>
        <w:ind w:firstLine="420" w:firstLineChars="200"/>
        <w:rPr>
          <w:rFonts w:hint="eastAsia" w:cs="仿宋_GB2312"/>
          <w:color w:val="auto"/>
          <w:sz w:val="21"/>
          <w:szCs w:val="21"/>
          <w:highlight w:val="none"/>
          <w:lang w:bidi="ar"/>
        </w:rPr>
      </w:pPr>
      <w:r>
        <w:rPr>
          <w:rFonts w:hint="eastAsia" w:cs="仿宋_GB2312"/>
          <w:color w:val="auto"/>
          <w:sz w:val="21"/>
          <w:szCs w:val="21"/>
          <w:highlight w:val="none"/>
          <w:lang w:bidi="ar"/>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w:t>
      </w:r>
      <w:r>
        <w:rPr>
          <w:rFonts w:hint="eastAsia" w:cs="仿宋_GB2312"/>
          <w:color w:val="auto"/>
          <w:sz w:val="21"/>
          <w:szCs w:val="21"/>
          <w:highlight w:val="none"/>
          <w:lang w:eastAsia="zh-CN" w:bidi="ar"/>
        </w:rPr>
        <w:t>响应供应商</w:t>
      </w:r>
      <w:r>
        <w:rPr>
          <w:rFonts w:hint="eastAsia" w:cs="仿宋_GB2312"/>
          <w:color w:val="auto"/>
          <w:sz w:val="21"/>
          <w:szCs w:val="21"/>
          <w:highlight w:val="none"/>
          <w:lang w:bidi="ar"/>
        </w:rPr>
        <w:t>发放贷款的一种融资方式。</w:t>
      </w:r>
      <w:r>
        <w:rPr>
          <w:rFonts w:hint="eastAsia" w:cs="仿宋_GB2312"/>
          <w:color w:val="auto"/>
          <w:sz w:val="21"/>
          <w:szCs w:val="21"/>
          <w:highlight w:val="none"/>
          <w:lang w:eastAsia="zh-CN" w:bidi="ar"/>
        </w:rPr>
        <w:t>响应供应商</w:t>
      </w:r>
      <w:r>
        <w:rPr>
          <w:rFonts w:hint="eastAsia" w:cs="仿宋_GB2312"/>
          <w:color w:val="auto"/>
          <w:sz w:val="21"/>
          <w:szCs w:val="21"/>
          <w:highlight w:val="none"/>
          <w:lang w:bidi="ar"/>
        </w:rPr>
        <w:t>可登录浙江政府采购( (https:/www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pStyle w:val="39"/>
        <w:adjustRightInd w:val="0"/>
        <w:snapToGrid w:val="0"/>
        <w:spacing w:beforeAutospacing="0" w:afterAutospacing="0" w:line="360" w:lineRule="auto"/>
        <w:ind w:firstLine="422" w:firstLineChars="200"/>
        <w:rPr>
          <w:rFonts w:hint="eastAsia" w:cs="Arial"/>
          <w:b/>
          <w:color w:val="auto"/>
          <w:sz w:val="21"/>
          <w:szCs w:val="21"/>
          <w:highlight w:val="none"/>
        </w:rPr>
      </w:pPr>
      <w:r>
        <w:rPr>
          <w:rFonts w:hint="eastAsia" w:cs="Arial"/>
          <w:b/>
          <w:color w:val="auto"/>
          <w:sz w:val="21"/>
          <w:szCs w:val="21"/>
          <w:highlight w:val="none"/>
        </w:rPr>
        <w:t>四、技术商务响应文件评分标准（90分）</w:t>
      </w:r>
    </w:p>
    <w:tbl>
      <w:tblPr>
        <w:tblStyle w:val="43"/>
        <w:tblW w:w="5000" w:type="pct"/>
        <w:tblInd w:w="0" w:type="dxa"/>
        <w:tblLayout w:type="autofit"/>
        <w:tblCellMar>
          <w:top w:w="0" w:type="dxa"/>
          <w:left w:w="108" w:type="dxa"/>
          <w:bottom w:w="0" w:type="dxa"/>
          <w:right w:w="108" w:type="dxa"/>
        </w:tblCellMar>
      </w:tblPr>
      <w:tblGrid>
        <w:gridCol w:w="848"/>
        <w:gridCol w:w="1065"/>
        <w:gridCol w:w="6913"/>
        <w:gridCol w:w="852"/>
      </w:tblGrid>
      <w:tr>
        <w:tblPrEx>
          <w:tblCellMar>
            <w:top w:w="0" w:type="dxa"/>
            <w:left w:w="108" w:type="dxa"/>
            <w:bottom w:w="0" w:type="dxa"/>
            <w:right w:w="108" w:type="dxa"/>
          </w:tblCellMar>
        </w:tblPrEx>
        <w:trPr>
          <w:trHeight w:val="288" w:hRule="atLeast"/>
          <w:tblHeader/>
        </w:trPr>
        <w:tc>
          <w:tcPr>
            <w:tcW w:w="43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550" w:type="pct"/>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w:t>
            </w:r>
          </w:p>
        </w:tc>
        <w:tc>
          <w:tcPr>
            <w:tcW w:w="3571" w:type="pct"/>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c>
          <w:tcPr>
            <w:tcW w:w="440" w:type="pct"/>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tblPrEx>
          <w:tblCellMar>
            <w:top w:w="0" w:type="dxa"/>
            <w:left w:w="108" w:type="dxa"/>
            <w:bottom w:w="0" w:type="dxa"/>
            <w:right w:w="108" w:type="dxa"/>
          </w:tblCellMar>
        </w:tblPrEx>
        <w:trPr>
          <w:trHeight w:val="434" w:hRule="atLeast"/>
        </w:trPr>
        <w:tc>
          <w:tcPr>
            <w:tcW w:w="438"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bookmarkStart w:id="82" w:name="OLE_LINK1" w:colFirst="3" w:colLast="3"/>
            <w:r>
              <w:rPr>
                <w:rFonts w:hint="eastAsia" w:ascii="宋体" w:hAnsi="宋体" w:eastAsia="宋体" w:cs="宋体"/>
                <w:color w:val="auto"/>
                <w:sz w:val="21"/>
                <w:szCs w:val="21"/>
                <w:highlight w:val="none"/>
              </w:rPr>
              <w:t>1</w:t>
            </w:r>
          </w:p>
        </w:tc>
        <w:tc>
          <w:tcPr>
            <w:tcW w:w="550"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项目理解</w:t>
            </w:r>
          </w:p>
        </w:tc>
        <w:tc>
          <w:tcPr>
            <w:tcW w:w="3571"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w:t>
            </w:r>
            <w:r>
              <w:rPr>
                <w:rFonts w:hint="eastAsia"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对本项目背景、详细的需求理解进行综合评审：清晰明确，能充分了解项目现状及目标需求，问题分析准确、归纳总结到位的</w:t>
            </w:r>
            <w:r>
              <w:rPr>
                <w:rFonts w:hint="eastAsia" w:hAnsi="宋体" w:eastAsia="宋体" w:cs="宋体"/>
                <w:color w:val="auto"/>
                <w:sz w:val="21"/>
                <w:szCs w:val="21"/>
                <w:highlight w:val="none"/>
                <w:lang w:eastAsia="zh-CN"/>
              </w:rPr>
              <w:t>。</w:t>
            </w:r>
            <w:r>
              <w:rPr>
                <w:rFonts w:hint="eastAsia" w:hAnsi="宋体"/>
                <w:color w:val="auto"/>
                <w:sz w:val="21"/>
                <w:szCs w:val="21"/>
                <w:highlight w:val="none"/>
              </w:rPr>
              <w:t>对项目理解明确及技术措施合理的得</w:t>
            </w:r>
            <w:r>
              <w:rPr>
                <w:rFonts w:hint="eastAsia" w:hAnsi="宋体"/>
                <w:color w:val="auto"/>
                <w:sz w:val="21"/>
                <w:szCs w:val="21"/>
                <w:highlight w:val="none"/>
                <w:lang w:val="en-US" w:eastAsia="zh-CN"/>
              </w:rPr>
              <w:t>8</w:t>
            </w:r>
            <w:r>
              <w:rPr>
                <w:rFonts w:hint="eastAsia" w:hAnsi="宋体"/>
                <w:color w:val="auto"/>
                <w:sz w:val="21"/>
                <w:szCs w:val="21"/>
                <w:highlight w:val="none"/>
              </w:rPr>
              <w:t>分，对项目理解有差错及技术措施不合理的每处扣1分，扣完为止。</w:t>
            </w:r>
          </w:p>
        </w:tc>
        <w:tc>
          <w:tcPr>
            <w:tcW w:w="440"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eastAsia="zh-CN"/>
              </w:rPr>
            </w:pPr>
            <w:r>
              <w:rPr>
                <w:rFonts w:hint="eastAsia" w:hAnsi="宋体" w:eastAsia="宋体" w:cs="宋体"/>
                <w:color w:val="auto"/>
                <w:sz w:val="21"/>
                <w:szCs w:val="21"/>
                <w:highlight w:val="none"/>
                <w:lang w:val="en-US" w:eastAsia="zh-CN"/>
              </w:rPr>
              <w:t>8</w:t>
            </w:r>
          </w:p>
        </w:tc>
      </w:tr>
      <w:tr>
        <w:tblPrEx>
          <w:tblCellMar>
            <w:top w:w="0" w:type="dxa"/>
            <w:left w:w="108" w:type="dxa"/>
            <w:bottom w:w="0" w:type="dxa"/>
            <w:right w:w="108" w:type="dxa"/>
          </w:tblCellMar>
        </w:tblPrEx>
        <w:trPr>
          <w:trHeight w:val="864" w:hRule="atLeast"/>
        </w:trPr>
        <w:tc>
          <w:tcPr>
            <w:tcW w:w="438" w:type="pct"/>
            <w:vMerge w:val="restar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50" w:type="pct"/>
            <w:vMerge w:val="restar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建设方案</w:t>
            </w:r>
          </w:p>
        </w:tc>
        <w:tc>
          <w:tcPr>
            <w:tcW w:w="3571"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治管平台（PC端）系统功能设计完整、详细、图文并茂，方案设计完全响应招标要求，功能与采购人业务需求相适应的得5分；基本响应招标要求并提供较详细合理设计方案的得</w:t>
            </w: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分；部分响应招标要求或未提供的不得分。</w:t>
            </w:r>
          </w:p>
        </w:tc>
        <w:tc>
          <w:tcPr>
            <w:tcW w:w="440"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5</w:t>
            </w:r>
          </w:p>
        </w:tc>
      </w:tr>
      <w:tr>
        <w:tblPrEx>
          <w:tblCellMar>
            <w:top w:w="0" w:type="dxa"/>
            <w:left w:w="108" w:type="dxa"/>
            <w:bottom w:w="0" w:type="dxa"/>
            <w:right w:w="108" w:type="dxa"/>
          </w:tblCellMar>
        </w:tblPrEx>
        <w:trPr>
          <w:trHeight w:val="864" w:hRule="atLeast"/>
        </w:trPr>
        <w:tc>
          <w:tcPr>
            <w:tcW w:w="438"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p>
        </w:tc>
        <w:tc>
          <w:tcPr>
            <w:tcW w:w="550"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p>
        </w:tc>
        <w:tc>
          <w:tcPr>
            <w:tcW w:w="3571" w:type="pct"/>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金开通(政务移动端）系统功能设计完整、详细、图文并茂，方案设计完全响应招标要求，功能与采购人业务需求相适应的得5分；基本响应招标要求并提供较详细合理设计方案的得</w:t>
            </w: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分；部分响应招标要求或未提供的不得分。</w:t>
            </w: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5</w:t>
            </w:r>
          </w:p>
        </w:tc>
      </w:tr>
      <w:tr>
        <w:tblPrEx>
          <w:tblCellMar>
            <w:top w:w="0" w:type="dxa"/>
            <w:left w:w="108" w:type="dxa"/>
            <w:bottom w:w="0" w:type="dxa"/>
            <w:right w:w="108" w:type="dxa"/>
          </w:tblCellMar>
        </w:tblPrEx>
        <w:trPr>
          <w:trHeight w:val="864" w:hRule="atLeast"/>
        </w:trPr>
        <w:tc>
          <w:tcPr>
            <w:tcW w:w="438"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p>
        </w:tc>
        <w:tc>
          <w:tcPr>
            <w:tcW w:w="550"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p>
        </w:tc>
        <w:tc>
          <w:tcPr>
            <w:tcW w:w="3571" w:type="pct"/>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智慧金开（群众移动端）系统功能设计完整、详细、图文并茂，方案设计完全响应招标要求，功能与采购人业务需求相适应的得5分；基本响应招标要求并提供较详细合理设计方案的得</w:t>
            </w: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分；部分响应招标要求或未提供的不得分。</w:t>
            </w: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5</w:t>
            </w:r>
          </w:p>
        </w:tc>
      </w:tr>
      <w:tr>
        <w:tblPrEx>
          <w:tblCellMar>
            <w:top w:w="0" w:type="dxa"/>
            <w:left w:w="108" w:type="dxa"/>
            <w:bottom w:w="0" w:type="dxa"/>
            <w:right w:w="108" w:type="dxa"/>
          </w:tblCellMar>
        </w:tblPrEx>
        <w:trPr>
          <w:trHeight w:val="864" w:hRule="atLeast"/>
        </w:trPr>
        <w:tc>
          <w:tcPr>
            <w:tcW w:w="438"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p>
        </w:tc>
        <w:tc>
          <w:tcPr>
            <w:tcW w:w="550"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p>
        </w:tc>
        <w:tc>
          <w:tcPr>
            <w:tcW w:w="3571" w:type="pct"/>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数据驾驶舱、支撑应用、三资管理系统功能设计完整、详细、图文并茂，方案设计完全响应招标要求，功能与采购人业务需求相适应的得5分；基本响应招标要求并提供较详细合理设计方案的得</w:t>
            </w: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分；部分响应招标要求或未提供的不得分。</w:t>
            </w: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5</w:t>
            </w:r>
          </w:p>
        </w:tc>
      </w:tr>
      <w:tr>
        <w:tblPrEx>
          <w:tblCellMar>
            <w:top w:w="0" w:type="dxa"/>
            <w:left w:w="108" w:type="dxa"/>
            <w:bottom w:w="0" w:type="dxa"/>
            <w:right w:w="108" w:type="dxa"/>
          </w:tblCellMar>
        </w:tblPrEx>
        <w:trPr>
          <w:trHeight w:val="576" w:hRule="atLeast"/>
        </w:trPr>
        <w:tc>
          <w:tcPr>
            <w:tcW w:w="438"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p>
        </w:tc>
        <w:tc>
          <w:tcPr>
            <w:tcW w:w="550"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p>
        </w:tc>
        <w:tc>
          <w:tcPr>
            <w:tcW w:w="3571" w:type="pct"/>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提供的政务云服务技术方案、云平台系统运维管理办法、可靠的备份解决方案的可行性、针对性，最高得</w:t>
            </w:r>
            <w:r>
              <w:rPr>
                <w:rFonts w:hint="eastAsia"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分，有缺漏项或不合理的每项扣1分，扣完为止。</w:t>
            </w: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5</w:t>
            </w:r>
          </w:p>
        </w:tc>
      </w:tr>
      <w:tr>
        <w:tblPrEx>
          <w:tblCellMar>
            <w:top w:w="0" w:type="dxa"/>
            <w:left w:w="108" w:type="dxa"/>
            <w:bottom w:w="0" w:type="dxa"/>
            <w:right w:w="108" w:type="dxa"/>
          </w:tblCellMar>
        </w:tblPrEx>
        <w:trPr>
          <w:trHeight w:val="864" w:hRule="atLeast"/>
        </w:trPr>
        <w:tc>
          <w:tcPr>
            <w:tcW w:w="438"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p>
        </w:tc>
        <w:tc>
          <w:tcPr>
            <w:tcW w:w="550"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p>
        </w:tc>
        <w:tc>
          <w:tcPr>
            <w:tcW w:w="3571"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本项目要在原智慧开发区指挥中心项目基础上升级改造，根据</w:t>
            </w:r>
            <w:r>
              <w:rPr>
                <w:rFonts w:hint="eastAsia"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熟悉该智慧开发区平台情况，具有对接智慧开发区平台的能力，能够充分利用智慧开发区平台的，且能提供相关证明的，本项最高得6分，有缺漏项或不合理的每项扣1分，扣完为止。</w:t>
            </w: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6</w:t>
            </w:r>
          </w:p>
        </w:tc>
      </w:tr>
      <w:tr>
        <w:tblPrEx>
          <w:tblCellMar>
            <w:top w:w="0" w:type="dxa"/>
            <w:left w:w="108" w:type="dxa"/>
            <w:bottom w:w="0" w:type="dxa"/>
            <w:right w:w="108" w:type="dxa"/>
          </w:tblCellMar>
        </w:tblPrEx>
        <w:trPr>
          <w:trHeight w:val="1152" w:hRule="atLeast"/>
        </w:trPr>
        <w:tc>
          <w:tcPr>
            <w:tcW w:w="438"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50"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项目业绩</w:t>
            </w:r>
          </w:p>
        </w:tc>
        <w:tc>
          <w:tcPr>
            <w:tcW w:w="3571"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响应供应商自2019年1月1日以来（以合同签订时间为准）,承接过类似项目的，每个合同业绩得0.5分，本项最高得</w:t>
            </w:r>
            <w:r>
              <w:rPr>
                <w:rFonts w:hint="eastAsia"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以上项目业绩需在磋商响应文件中提供合同复印件并加盖公章，未提供不得分。是否为“类似项目”以评标委员会一致判定为准。</w:t>
            </w:r>
          </w:p>
        </w:tc>
        <w:tc>
          <w:tcPr>
            <w:tcW w:w="440"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eastAsia="zh-CN"/>
              </w:rPr>
            </w:pPr>
            <w:r>
              <w:rPr>
                <w:rFonts w:hint="eastAsia" w:hAnsi="宋体" w:eastAsia="宋体" w:cs="宋体"/>
                <w:color w:val="auto"/>
                <w:sz w:val="21"/>
                <w:szCs w:val="21"/>
                <w:highlight w:val="none"/>
                <w:lang w:val="en-US" w:eastAsia="zh-CN"/>
              </w:rPr>
              <w:t>1</w:t>
            </w:r>
          </w:p>
        </w:tc>
      </w:tr>
      <w:tr>
        <w:tblPrEx>
          <w:tblCellMar>
            <w:top w:w="0" w:type="dxa"/>
            <w:left w:w="108" w:type="dxa"/>
            <w:bottom w:w="0" w:type="dxa"/>
            <w:right w:w="108" w:type="dxa"/>
          </w:tblCellMar>
        </w:tblPrEx>
        <w:trPr>
          <w:trHeight w:val="576" w:hRule="atLeast"/>
        </w:trPr>
        <w:tc>
          <w:tcPr>
            <w:tcW w:w="438"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50"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团队能力</w:t>
            </w:r>
          </w:p>
        </w:tc>
        <w:tc>
          <w:tcPr>
            <w:tcW w:w="3571"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派团队成员具有软考高级工程师证书，或信息系统项目管理师的，得3分。响应文件中提供证书复印件。</w:t>
            </w:r>
          </w:p>
        </w:tc>
        <w:tc>
          <w:tcPr>
            <w:tcW w:w="440"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CellMar>
            <w:top w:w="0" w:type="dxa"/>
            <w:left w:w="108" w:type="dxa"/>
            <w:bottom w:w="0" w:type="dxa"/>
            <w:right w:w="108" w:type="dxa"/>
          </w:tblCellMar>
        </w:tblPrEx>
        <w:trPr>
          <w:trHeight w:val="864" w:hRule="atLeast"/>
        </w:trPr>
        <w:tc>
          <w:tcPr>
            <w:tcW w:w="438"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50"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实施方案</w:t>
            </w:r>
          </w:p>
        </w:tc>
        <w:tc>
          <w:tcPr>
            <w:tcW w:w="3571"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项目组织实施方案的科学性、合理性、规范性和可操作性进行评价打分，包括需求调研、软件开发、系统调优、系统集成、项目试运行、系统调优、验收等内容，以及项目进度安排和质量保证措施等。</w:t>
            </w:r>
            <w:r>
              <w:rPr>
                <w:rFonts w:hint="eastAsia" w:hAnsi="宋体"/>
                <w:color w:val="auto"/>
                <w:sz w:val="21"/>
                <w:szCs w:val="21"/>
                <w:highlight w:val="none"/>
              </w:rPr>
              <w:t>方案内容明确，完整的得</w:t>
            </w:r>
            <w:r>
              <w:rPr>
                <w:rFonts w:hint="eastAsia" w:hAnsi="宋体"/>
                <w:color w:val="auto"/>
                <w:sz w:val="21"/>
                <w:szCs w:val="21"/>
                <w:highlight w:val="none"/>
                <w:lang w:val="en-US" w:eastAsia="zh-CN"/>
              </w:rPr>
              <w:t>5</w:t>
            </w:r>
            <w:r>
              <w:rPr>
                <w:rFonts w:hint="eastAsia" w:hAnsi="宋体"/>
                <w:color w:val="auto"/>
                <w:sz w:val="21"/>
                <w:szCs w:val="21"/>
                <w:highlight w:val="none"/>
              </w:rPr>
              <w:t>分，内容有缺漏的每处扣1分，扣完为止。</w:t>
            </w:r>
          </w:p>
        </w:tc>
        <w:tc>
          <w:tcPr>
            <w:tcW w:w="440"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eastAsia="zh-CN"/>
              </w:rPr>
            </w:pPr>
            <w:r>
              <w:rPr>
                <w:rFonts w:hint="eastAsia" w:hAnsi="宋体" w:eastAsia="宋体" w:cs="宋体"/>
                <w:color w:val="auto"/>
                <w:sz w:val="21"/>
                <w:szCs w:val="21"/>
                <w:highlight w:val="none"/>
                <w:lang w:val="en-US" w:eastAsia="zh-CN"/>
              </w:rPr>
              <w:t>5</w:t>
            </w:r>
          </w:p>
        </w:tc>
      </w:tr>
      <w:tr>
        <w:tblPrEx>
          <w:tblCellMar>
            <w:top w:w="0" w:type="dxa"/>
            <w:left w:w="108" w:type="dxa"/>
            <w:bottom w:w="0" w:type="dxa"/>
            <w:right w:w="108" w:type="dxa"/>
          </w:tblCellMar>
        </w:tblPrEx>
        <w:trPr>
          <w:trHeight w:val="576" w:hRule="atLeast"/>
        </w:trPr>
        <w:tc>
          <w:tcPr>
            <w:tcW w:w="438"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550"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应急响应方案</w:t>
            </w:r>
          </w:p>
        </w:tc>
        <w:tc>
          <w:tcPr>
            <w:tcW w:w="3571"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是否建立完善的应急响应方案，故障分级标准、故障处理流程、应急响应预案的启动及后期处理是否合理。</w:t>
            </w:r>
            <w:r>
              <w:rPr>
                <w:rFonts w:hint="eastAsia" w:hAnsi="宋体"/>
                <w:color w:val="auto"/>
                <w:sz w:val="21"/>
                <w:szCs w:val="21"/>
                <w:highlight w:val="none"/>
              </w:rPr>
              <w:t>方案内容明确，完整的得</w:t>
            </w:r>
            <w:r>
              <w:rPr>
                <w:rFonts w:hint="eastAsia" w:hAnsi="宋体"/>
                <w:color w:val="auto"/>
                <w:sz w:val="21"/>
                <w:szCs w:val="21"/>
                <w:highlight w:val="none"/>
                <w:lang w:val="en-US" w:eastAsia="zh-CN"/>
              </w:rPr>
              <w:t>5</w:t>
            </w:r>
            <w:r>
              <w:rPr>
                <w:rFonts w:hint="eastAsia" w:hAnsi="宋体"/>
                <w:color w:val="auto"/>
                <w:sz w:val="21"/>
                <w:szCs w:val="21"/>
                <w:highlight w:val="none"/>
              </w:rPr>
              <w:t>分，内容有缺漏的每处扣1分，扣完为止。</w:t>
            </w:r>
          </w:p>
        </w:tc>
        <w:tc>
          <w:tcPr>
            <w:tcW w:w="440"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eastAsia="zh-CN"/>
              </w:rPr>
            </w:pPr>
            <w:r>
              <w:rPr>
                <w:rFonts w:hint="eastAsia" w:hAnsi="宋体" w:eastAsia="宋体" w:cs="宋体"/>
                <w:color w:val="auto"/>
                <w:sz w:val="21"/>
                <w:szCs w:val="21"/>
                <w:highlight w:val="none"/>
                <w:lang w:val="en-US" w:eastAsia="zh-CN"/>
              </w:rPr>
              <w:t>5</w:t>
            </w:r>
          </w:p>
        </w:tc>
      </w:tr>
      <w:tr>
        <w:tblPrEx>
          <w:tblCellMar>
            <w:top w:w="0" w:type="dxa"/>
            <w:left w:w="108" w:type="dxa"/>
            <w:bottom w:w="0" w:type="dxa"/>
            <w:right w:w="108" w:type="dxa"/>
          </w:tblCellMar>
        </w:tblPrEx>
        <w:trPr>
          <w:trHeight w:val="576" w:hRule="atLeast"/>
        </w:trPr>
        <w:tc>
          <w:tcPr>
            <w:tcW w:w="438"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550"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售后服务方案</w:t>
            </w:r>
          </w:p>
        </w:tc>
        <w:tc>
          <w:tcPr>
            <w:tcW w:w="3571"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提供的售后服务方案、售后服务承诺的可行性、完整性以及服务承诺落实的保障措施（如响应时间、本地化服务情况等）</w:t>
            </w:r>
            <w:r>
              <w:rPr>
                <w:rFonts w:hint="eastAsia" w:hAnsi="宋体" w:eastAsia="宋体" w:cs="宋体"/>
                <w:color w:val="auto"/>
                <w:sz w:val="21"/>
                <w:szCs w:val="21"/>
                <w:highlight w:val="none"/>
                <w:lang w:eastAsia="zh-CN"/>
              </w:rPr>
              <w:t>。</w:t>
            </w:r>
            <w:r>
              <w:rPr>
                <w:rFonts w:hint="eastAsia" w:hAnsi="宋体"/>
                <w:color w:val="auto"/>
                <w:sz w:val="21"/>
                <w:szCs w:val="21"/>
                <w:highlight w:val="none"/>
              </w:rPr>
              <w:t>方案内容明确，完整的得</w:t>
            </w:r>
            <w:r>
              <w:rPr>
                <w:rFonts w:hint="eastAsia" w:hAnsi="宋体"/>
                <w:color w:val="auto"/>
                <w:sz w:val="21"/>
                <w:szCs w:val="21"/>
                <w:highlight w:val="none"/>
                <w:lang w:val="en-US" w:eastAsia="zh-CN"/>
              </w:rPr>
              <w:t>5</w:t>
            </w:r>
            <w:r>
              <w:rPr>
                <w:rFonts w:hint="eastAsia" w:hAnsi="宋体"/>
                <w:color w:val="auto"/>
                <w:sz w:val="21"/>
                <w:szCs w:val="21"/>
                <w:highlight w:val="none"/>
              </w:rPr>
              <w:t>分，内容有缺漏的每处扣1分，扣完为止。</w:t>
            </w:r>
          </w:p>
        </w:tc>
        <w:tc>
          <w:tcPr>
            <w:tcW w:w="440"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eastAsia="zh-CN"/>
              </w:rPr>
            </w:pPr>
            <w:r>
              <w:rPr>
                <w:rFonts w:hint="eastAsia" w:hAnsi="宋体" w:eastAsia="宋体" w:cs="宋体"/>
                <w:color w:val="auto"/>
                <w:sz w:val="21"/>
                <w:szCs w:val="21"/>
                <w:highlight w:val="none"/>
                <w:lang w:val="en-US" w:eastAsia="zh-CN"/>
              </w:rPr>
              <w:t>5</w:t>
            </w:r>
          </w:p>
        </w:tc>
      </w:tr>
      <w:tr>
        <w:tblPrEx>
          <w:tblCellMar>
            <w:top w:w="0" w:type="dxa"/>
            <w:left w:w="108" w:type="dxa"/>
            <w:bottom w:w="0" w:type="dxa"/>
            <w:right w:w="108" w:type="dxa"/>
          </w:tblCellMar>
        </w:tblPrEx>
        <w:trPr>
          <w:trHeight w:val="576" w:hRule="atLeast"/>
        </w:trPr>
        <w:tc>
          <w:tcPr>
            <w:tcW w:w="438"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550"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培训方案</w:t>
            </w:r>
          </w:p>
        </w:tc>
        <w:tc>
          <w:tcPr>
            <w:tcW w:w="3571"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根据供应商的培训方案，针对本项目制定全面、详尽、科学的培训计划（培训的方式、地点、人数、时间等实质性内容）进行综合评分。</w:t>
            </w:r>
            <w:r>
              <w:rPr>
                <w:rFonts w:hint="eastAsia" w:hAnsi="宋体"/>
                <w:color w:val="auto"/>
                <w:sz w:val="21"/>
                <w:szCs w:val="21"/>
                <w:highlight w:val="none"/>
              </w:rPr>
              <w:t>方案内容明确，完整的得</w:t>
            </w:r>
            <w:r>
              <w:rPr>
                <w:rFonts w:hint="eastAsia" w:hAnsi="宋体"/>
                <w:color w:val="auto"/>
                <w:sz w:val="21"/>
                <w:szCs w:val="21"/>
                <w:highlight w:val="none"/>
                <w:lang w:val="en-US" w:eastAsia="zh-CN"/>
              </w:rPr>
              <w:t>3</w:t>
            </w:r>
            <w:r>
              <w:rPr>
                <w:rFonts w:hint="eastAsia" w:hAnsi="宋体"/>
                <w:color w:val="auto"/>
                <w:sz w:val="21"/>
                <w:szCs w:val="21"/>
                <w:highlight w:val="none"/>
              </w:rPr>
              <w:t>分，内容有缺漏的每处扣1分，扣完为止。</w:t>
            </w:r>
          </w:p>
        </w:tc>
        <w:tc>
          <w:tcPr>
            <w:tcW w:w="440"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eastAsia="zh-CN"/>
              </w:rPr>
            </w:pPr>
            <w:r>
              <w:rPr>
                <w:rFonts w:hint="eastAsia" w:hAnsi="宋体" w:eastAsia="宋体" w:cs="宋体"/>
                <w:color w:val="auto"/>
                <w:sz w:val="21"/>
                <w:szCs w:val="21"/>
                <w:highlight w:val="none"/>
                <w:lang w:val="en-US" w:eastAsia="zh-CN"/>
              </w:rPr>
              <w:t>3</w:t>
            </w:r>
          </w:p>
        </w:tc>
      </w:tr>
      <w:tr>
        <w:tblPrEx>
          <w:tblCellMar>
            <w:top w:w="0" w:type="dxa"/>
            <w:left w:w="108" w:type="dxa"/>
            <w:bottom w:w="0" w:type="dxa"/>
            <w:right w:w="108" w:type="dxa"/>
          </w:tblCellMar>
        </w:tblPrEx>
        <w:trPr>
          <w:trHeight w:val="576" w:hRule="atLeast"/>
        </w:trPr>
        <w:tc>
          <w:tcPr>
            <w:tcW w:w="438" w:type="pct"/>
            <w:vMerge w:val="restar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550" w:type="pct"/>
            <w:vMerge w:val="restar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系统讲解与演示</w:t>
            </w:r>
          </w:p>
        </w:tc>
        <w:tc>
          <w:tcPr>
            <w:tcW w:w="4011" w:type="pct"/>
            <w:gridSpan w:val="2"/>
            <w:tcBorders>
              <w:top w:val="nil"/>
              <w:left w:val="nil"/>
              <w:bottom w:val="single" w:color="auto" w:sz="4" w:space="0"/>
              <w:right w:val="single" w:color="auto" w:sz="4" w:space="0"/>
            </w:tcBorders>
            <w:shd w:val="clear" w:color="000000" w:fill="FFFFFF"/>
            <w:noWrap w:val="0"/>
            <w:vAlign w:val="center"/>
          </w:tcPr>
          <w:p>
            <w:pPr>
              <w:autoSpaceDE/>
              <w:autoSpaceDN/>
              <w:adjustRightInd/>
              <w:spacing w:line="500" w:lineRule="exact"/>
              <w:jc w:val="both"/>
              <w:textAlignment w:val="auto"/>
              <w:rPr>
                <w:rFonts w:hint="eastAsia" w:hAnsi="宋体" w:cs="Arial"/>
                <w:b/>
                <w:color w:val="auto"/>
                <w:sz w:val="21"/>
                <w:szCs w:val="21"/>
                <w:highlight w:val="none"/>
              </w:rPr>
            </w:pPr>
            <w:r>
              <w:rPr>
                <w:rFonts w:hint="eastAsia" w:hAnsi="宋体" w:cs="Arial"/>
                <w:b/>
                <w:bCs/>
                <w:color w:val="auto"/>
                <w:sz w:val="21"/>
                <w:szCs w:val="21"/>
                <w:highlight w:val="none"/>
              </w:rPr>
              <w:t>提供演示视频，演示视频</w:t>
            </w:r>
            <w:r>
              <w:rPr>
                <w:rFonts w:hint="eastAsia" w:hAnsi="宋体" w:cs="Arial"/>
                <w:b/>
                <w:bCs/>
                <w:color w:val="auto"/>
                <w:sz w:val="21"/>
                <w:szCs w:val="21"/>
                <w:highlight w:val="none"/>
                <w:lang w:eastAsia="zh-CN"/>
              </w:rPr>
              <w:t>（</w:t>
            </w:r>
            <w:r>
              <w:rPr>
                <w:rFonts w:hint="eastAsia" w:hAnsi="宋体" w:cs="Arial"/>
                <w:b/>
                <w:bCs/>
                <w:color w:val="auto"/>
                <w:sz w:val="21"/>
                <w:szCs w:val="21"/>
                <w:highlight w:val="none"/>
                <w:lang w:val="en-US" w:eastAsia="zh-CN"/>
              </w:rPr>
              <w:t>通用格式</w:t>
            </w:r>
            <w:r>
              <w:rPr>
                <w:rFonts w:hint="eastAsia" w:hAnsi="宋体" w:cs="Arial"/>
                <w:b/>
                <w:bCs/>
                <w:color w:val="auto"/>
                <w:sz w:val="21"/>
                <w:szCs w:val="21"/>
                <w:highlight w:val="none"/>
                <w:lang w:eastAsia="zh-CN"/>
              </w:rPr>
              <w:t>）</w:t>
            </w:r>
            <w:r>
              <w:rPr>
                <w:rFonts w:hint="eastAsia" w:hAnsi="宋体" w:cs="Arial"/>
                <w:b/>
                <w:bCs/>
                <w:color w:val="auto"/>
                <w:sz w:val="21"/>
                <w:szCs w:val="21"/>
                <w:highlight w:val="none"/>
              </w:rPr>
              <w:t>通过U盘或者光盘存储，开标截止前一天单独密封邮寄至金华市天盈财务咨询有限公司或者开标截止前送至开标现场。</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演示系统功能，除采用真实系统演示形式以外，采用其他形式进行现场演示的，各项演示效果减半得分</w:t>
            </w:r>
            <w:r>
              <w:rPr>
                <w:rFonts w:hint="eastAsia" w:hAnsi="宋体" w:eastAsia="宋体" w:cs="宋体"/>
                <w:color w:val="auto"/>
                <w:sz w:val="21"/>
                <w:szCs w:val="21"/>
                <w:highlight w:val="none"/>
                <w:lang w:val="en-US" w:eastAsia="zh-CN"/>
              </w:rPr>
              <w:t>。演示时间不超过15分钟。</w:t>
            </w:r>
            <w:r>
              <w:rPr>
                <w:rFonts w:hint="eastAsia" w:hAnsi="宋体"/>
                <w:color w:val="auto"/>
                <w:sz w:val="21"/>
                <w:szCs w:val="21"/>
                <w:highlight w:val="none"/>
              </w:rPr>
              <w:t>有</w:t>
            </w:r>
            <w:r>
              <w:rPr>
                <w:rFonts w:hint="eastAsia" w:hAnsi="宋体"/>
                <w:color w:val="auto"/>
                <w:sz w:val="21"/>
                <w:szCs w:val="21"/>
                <w:highlight w:val="none"/>
                <w:lang w:val="en-US" w:eastAsia="zh-CN"/>
              </w:rPr>
              <w:t>欠缺或者</w:t>
            </w:r>
            <w:r>
              <w:rPr>
                <w:rFonts w:hint="eastAsia" w:hAnsi="宋体"/>
                <w:color w:val="auto"/>
                <w:sz w:val="21"/>
                <w:szCs w:val="21"/>
                <w:highlight w:val="none"/>
              </w:rPr>
              <w:t>缺漏的每处扣1分，</w:t>
            </w:r>
            <w:r>
              <w:rPr>
                <w:rFonts w:hint="eastAsia" w:hAnsi="宋体"/>
                <w:color w:val="auto"/>
                <w:sz w:val="21"/>
                <w:szCs w:val="21"/>
                <w:highlight w:val="none"/>
                <w:lang w:val="en-US" w:eastAsia="zh-CN"/>
              </w:rPr>
              <w:t>累计</w:t>
            </w:r>
            <w:r>
              <w:rPr>
                <w:rFonts w:hint="eastAsia" w:hAnsi="宋体"/>
                <w:color w:val="auto"/>
                <w:sz w:val="21"/>
                <w:szCs w:val="21"/>
                <w:highlight w:val="none"/>
              </w:rPr>
              <w:t>扣完</w:t>
            </w:r>
            <w:r>
              <w:rPr>
                <w:rFonts w:hint="eastAsia" w:hAnsi="宋体"/>
                <w:color w:val="auto"/>
                <w:sz w:val="21"/>
                <w:szCs w:val="21"/>
                <w:highlight w:val="none"/>
                <w:lang w:val="en-US" w:eastAsia="zh-CN"/>
              </w:rPr>
              <w:t>本项分值</w:t>
            </w:r>
            <w:r>
              <w:rPr>
                <w:rFonts w:hint="eastAsia" w:hAnsi="宋体"/>
                <w:color w:val="auto"/>
                <w:sz w:val="21"/>
                <w:szCs w:val="21"/>
                <w:highlight w:val="none"/>
              </w:rPr>
              <w:t>为止。</w:t>
            </w:r>
          </w:p>
        </w:tc>
      </w:tr>
      <w:tr>
        <w:tblPrEx>
          <w:tblCellMar>
            <w:top w:w="0" w:type="dxa"/>
            <w:left w:w="108" w:type="dxa"/>
            <w:bottom w:w="0" w:type="dxa"/>
            <w:right w:w="108" w:type="dxa"/>
          </w:tblCellMar>
        </w:tblPrEx>
        <w:trPr>
          <w:trHeight w:val="576" w:hRule="atLeast"/>
        </w:trPr>
        <w:tc>
          <w:tcPr>
            <w:tcW w:w="438" w:type="pct"/>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p>
        </w:tc>
        <w:tc>
          <w:tcPr>
            <w:tcW w:w="550" w:type="pct"/>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p>
        </w:tc>
        <w:tc>
          <w:tcPr>
            <w:tcW w:w="3571"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一</w:t>
            </w:r>
            <w:r>
              <w:rPr>
                <w:rFonts w:hint="eastAsia" w:hAnsi="宋体" w:eastAsia="宋体" w:cs="宋体"/>
                <w:color w:val="auto"/>
                <w:sz w:val="21"/>
                <w:szCs w:val="21"/>
                <w:highlight w:val="none"/>
                <w:lang w:eastAsia="zh-CN"/>
              </w:rPr>
              <w:t>）综合管理平台</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val="en-US" w:eastAsia="zh-CN"/>
              </w:rPr>
              <w:t>1、</w:t>
            </w:r>
            <w:r>
              <w:rPr>
                <w:rFonts w:hint="eastAsia" w:hAnsi="宋体" w:eastAsia="宋体" w:cs="宋体"/>
                <w:color w:val="auto"/>
                <w:sz w:val="21"/>
                <w:szCs w:val="21"/>
                <w:highlight w:val="none"/>
                <w:lang w:eastAsia="zh-CN"/>
              </w:rPr>
              <w:t>演示平台系统支撑功能的用户体系模块。（</w:t>
            </w:r>
            <w:r>
              <w:rPr>
                <w:rFonts w:hint="eastAsia" w:hAnsi="宋体" w:eastAsia="宋体" w:cs="宋体"/>
                <w:color w:val="auto"/>
                <w:sz w:val="21"/>
                <w:szCs w:val="21"/>
                <w:highlight w:val="none"/>
                <w:lang w:val="en-US" w:eastAsia="zh-CN"/>
              </w:rPr>
              <w:t>1</w:t>
            </w:r>
            <w:r>
              <w:rPr>
                <w:rFonts w:hint="eastAsia" w:hAnsi="宋体" w:eastAsia="宋体" w:cs="宋体"/>
                <w:color w:val="auto"/>
                <w:sz w:val="21"/>
                <w:szCs w:val="21"/>
                <w:highlight w:val="none"/>
                <w:lang w:eastAsia="zh-CN"/>
              </w:rPr>
              <w:t>分）</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2、演示网格活动功能：</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活动发起：针对不同角色可发起不同类型的活动，可选择活动类型、活动签到有效范围；设定参与者、活动有效日期、签到签退时间、积分规则。（</w:t>
            </w:r>
            <w:r>
              <w:rPr>
                <w:rFonts w:hint="eastAsia" w:hAnsi="宋体" w:eastAsia="宋体" w:cs="宋体"/>
                <w:color w:val="auto"/>
                <w:sz w:val="21"/>
                <w:szCs w:val="21"/>
                <w:highlight w:val="none"/>
                <w:lang w:val="en-US" w:eastAsia="zh-CN"/>
              </w:rPr>
              <w:t>2</w:t>
            </w:r>
            <w:r>
              <w:rPr>
                <w:rFonts w:hint="eastAsia" w:hAnsi="宋体" w:eastAsia="宋体" w:cs="宋体"/>
                <w:color w:val="auto"/>
                <w:sz w:val="21"/>
                <w:szCs w:val="21"/>
                <w:highlight w:val="none"/>
                <w:lang w:eastAsia="zh-CN"/>
              </w:rPr>
              <w:t>分）</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活动审批：对发起的活动进行审批，能够进行批示留言，抄送相关人员。显示包括：审批时间、审批状态、审批结果、审批人员等。（</w:t>
            </w:r>
            <w:r>
              <w:rPr>
                <w:rFonts w:hint="eastAsia" w:hAnsi="宋体" w:eastAsia="宋体" w:cs="宋体"/>
                <w:color w:val="auto"/>
                <w:sz w:val="21"/>
                <w:szCs w:val="21"/>
                <w:highlight w:val="none"/>
                <w:lang w:val="en-US" w:eastAsia="zh-CN"/>
              </w:rPr>
              <w:t>2</w:t>
            </w:r>
            <w:r>
              <w:rPr>
                <w:rFonts w:hint="eastAsia" w:hAnsi="宋体" w:eastAsia="宋体" w:cs="宋体"/>
                <w:color w:val="auto"/>
                <w:sz w:val="21"/>
                <w:szCs w:val="21"/>
                <w:highlight w:val="none"/>
                <w:lang w:eastAsia="zh-CN"/>
              </w:rPr>
              <w:t>分）</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3、演示微网格管理功能，包括微网格信息和成员信息，还可对相关信息进行分权限层级进行新增、删除、修改等调整。（</w:t>
            </w:r>
            <w:r>
              <w:rPr>
                <w:rFonts w:hint="eastAsia" w:hAnsi="宋体" w:eastAsia="宋体" w:cs="宋体"/>
                <w:color w:val="auto"/>
                <w:sz w:val="21"/>
                <w:szCs w:val="21"/>
                <w:highlight w:val="none"/>
                <w:lang w:val="en-US" w:eastAsia="zh-CN"/>
              </w:rPr>
              <w:t>2</w:t>
            </w:r>
            <w:r>
              <w:rPr>
                <w:rFonts w:hint="eastAsia" w:hAnsi="宋体" w:eastAsia="宋体" w:cs="宋体"/>
                <w:color w:val="auto"/>
                <w:sz w:val="21"/>
                <w:szCs w:val="21"/>
                <w:highlight w:val="none"/>
                <w:lang w:eastAsia="zh-CN"/>
              </w:rPr>
              <w:t>分）</w:t>
            </w:r>
          </w:p>
        </w:tc>
        <w:tc>
          <w:tcPr>
            <w:tcW w:w="440"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7</w:t>
            </w:r>
          </w:p>
        </w:tc>
      </w:tr>
      <w:tr>
        <w:tblPrEx>
          <w:tblCellMar>
            <w:top w:w="0" w:type="dxa"/>
            <w:left w:w="108" w:type="dxa"/>
            <w:bottom w:w="0" w:type="dxa"/>
            <w:right w:w="108" w:type="dxa"/>
          </w:tblCellMar>
        </w:tblPrEx>
        <w:trPr>
          <w:trHeight w:val="576" w:hRule="atLeast"/>
        </w:trPr>
        <w:tc>
          <w:tcPr>
            <w:tcW w:w="438" w:type="pct"/>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p>
        </w:tc>
        <w:tc>
          <w:tcPr>
            <w:tcW w:w="550" w:type="pct"/>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p>
        </w:tc>
        <w:tc>
          <w:tcPr>
            <w:tcW w:w="3571"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二</w:t>
            </w:r>
            <w:r>
              <w:rPr>
                <w:rFonts w:hint="eastAsia" w:hAnsi="宋体" w:eastAsia="宋体" w:cs="宋体"/>
                <w:color w:val="auto"/>
                <w:sz w:val="21"/>
                <w:szCs w:val="21"/>
                <w:highlight w:val="none"/>
                <w:lang w:eastAsia="zh-CN"/>
              </w:rPr>
              <w:t>）金开通</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1、演示金开通功能，展示网格总览、网格审批、参加活动及分析统计等模块。（</w:t>
            </w:r>
            <w:r>
              <w:rPr>
                <w:rFonts w:hint="eastAsia" w:hAnsi="宋体" w:eastAsia="宋体" w:cs="宋体"/>
                <w:color w:val="auto"/>
                <w:sz w:val="21"/>
                <w:szCs w:val="21"/>
                <w:highlight w:val="none"/>
                <w:lang w:val="en-US" w:eastAsia="zh-CN"/>
              </w:rPr>
              <w:t>2</w:t>
            </w:r>
            <w:r>
              <w:rPr>
                <w:rFonts w:hint="eastAsia" w:hAnsi="宋体" w:eastAsia="宋体" w:cs="宋体"/>
                <w:color w:val="auto"/>
                <w:sz w:val="21"/>
                <w:szCs w:val="21"/>
                <w:highlight w:val="none"/>
                <w:lang w:eastAsia="zh-CN"/>
              </w:rPr>
              <w:t>分）</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2、网格总览演示所辖区内街道村社网格力量分布情况，可按层级查看网格基本情况、网格员数量、社区骨干数量。（</w:t>
            </w:r>
            <w:r>
              <w:rPr>
                <w:rFonts w:hint="eastAsia" w:hAnsi="宋体" w:eastAsia="宋体" w:cs="宋体"/>
                <w:color w:val="auto"/>
                <w:sz w:val="21"/>
                <w:szCs w:val="21"/>
                <w:highlight w:val="none"/>
                <w:lang w:val="en-US" w:eastAsia="zh-CN"/>
              </w:rPr>
              <w:t>2</w:t>
            </w:r>
            <w:r>
              <w:rPr>
                <w:rFonts w:hint="eastAsia" w:hAnsi="宋体" w:eastAsia="宋体" w:cs="宋体"/>
                <w:color w:val="auto"/>
                <w:sz w:val="21"/>
                <w:szCs w:val="21"/>
                <w:highlight w:val="none"/>
                <w:lang w:eastAsia="zh-CN"/>
              </w:rPr>
              <w:t>分）</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3、网格审批演示网格审批相关功能，包括：</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网格员请假审批：对网格员的请假申请进行审批。（</w:t>
            </w:r>
            <w:r>
              <w:rPr>
                <w:rFonts w:hint="eastAsia" w:hAnsi="宋体" w:eastAsia="宋体" w:cs="宋体"/>
                <w:color w:val="auto"/>
                <w:sz w:val="21"/>
                <w:szCs w:val="21"/>
                <w:highlight w:val="none"/>
                <w:lang w:val="en-US" w:eastAsia="zh-CN"/>
              </w:rPr>
              <w:t>1</w:t>
            </w:r>
            <w:r>
              <w:rPr>
                <w:rFonts w:hint="eastAsia" w:hAnsi="宋体" w:eastAsia="宋体" w:cs="宋体"/>
                <w:color w:val="auto"/>
                <w:sz w:val="21"/>
                <w:szCs w:val="21"/>
                <w:highlight w:val="none"/>
                <w:lang w:eastAsia="zh-CN"/>
              </w:rPr>
              <w:t>分）</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调整网格：对网格内调整的人员进行审批，网格调整人员、调整理由、网格长审批意见。（</w:t>
            </w:r>
            <w:r>
              <w:rPr>
                <w:rFonts w:hint="eastAsia" w:hAnsi="宋体" w:eastAsia="宋体" w:cs="宋体"/>
                <w:color w:val="auto"/>
                <w:sz w:val="21"/>
                <w:szCs w:val="21"/>
                <w:highlight w:val="none"/>
                <w:lang w:val="en-US" w:eastAsia="zh-CN"/>
              </w:rPr>
              <w:t>2</w:t>
            </w:r>
            <w:r>
              <w:rPr>
                <w:rFonts w:hint="eastAsia" w:hAnsi="宋体" w:eastAsia="宋体" w:cs="宋体"/>
                <w:color w:val="auto"/>
                <w:sz w:val="21"/>
                <w:szCs w:val="21"/>
                <w:highlight w:val="none"/>
                <w:lang w:eastAsia="zh-CN"/>
              </w:rPr>
              <w:t>分）</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活动审批：演示是否发起活动进行审批。（</w:t>
            </w:r>
            <w:r>
              <w:rPr>
                <w:rFonts w:hint="eastAsia" w:hAnsi="宋体" w:eastAsia="宋体" w:cs="宋体"/>
                <w:color w:val="auto"/>
                <w:sz w:val="21"/>
                <w:szCs w:val="21"/>
                <w:highlight w:val="none"/>
                <w:lang w:val="en-US" w:eastAsia="zh-CN"/>
              </w:rPr>
              <w:t>1</w:t>
            </w:r>
            <w:r>
              <w:rPr>
                <w:rFonts w:hint="eastAsia" w:hAnsi="宋体" w:eastAsia="宋体" w:cs="宋体"/>
                <w:color w:val="auto"/>
                <w:sz w:val="21"/>
                <w:szCs w:val="21"/>
                <w:highlight w:val="none"/>
                <w:lang w:eastAsia="zh-CN"/>
              </w:rPr>
              <w:t>分）</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4、分析统计主要演示活动统计以及事件统计：</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活动统计：根据活动发起的设置点位以及权限统计展示每个活动的签到数、签到率、缺勤数、缺勤率等。（</w:t>
            </w:r>
            <w:r>
              <w:rPr>
                <w:rFonts w:hint="eastAsia" w:hAnsi="宋体" w:eastAsia="宋体" w:cs="宋体"/>
                <w:color w:val="auto"/>
                <w:sz w:val="21"/>
                <w:szCs w:val="21"/>
                <w:highlight w:val="none"/>
                <w:lang w:val="en-US" w:eastAsia="zh-CN"/>
              </w:rPr>
              <w:t>2</w:t>
            </w:r>
            <w:r>
              <w:rPr>
                <w:rFonts w:hint="eastAsia" w:hAnsi="宋体" w:eastAsia="宋体" w:cs="宋体"/>
                <w:color w:val="auto"/>
                <w:sz w:val="21"/>
                <w:szCs w:val="21"/>
                <w:highlight w:val="none"/>
                <w:lang w:eastAsia="zh-CN"/>
              </w:rPr>
              <w:t>分）</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事件统计：按层级分权限可查看网格员事件上报数、辖区/部门事件办结数及事件办结率。（</w:t>
            </w:r>
            <w:r>
              <w:rPr>
                <w:rFonts w:hint="eastAsia" w:hAnsi="宋体" w:eastAsia="宋体" w:cs="宋体"/>
                <w:color w:val="auto"/>
                <w:sz w:val="21"/>
                <w:szCs w:val="21"/>
                <w:highlight w:val="none"/>
                <w:lang w:val="en-US" w:eastAsia="zh-CN"/>
              </w:rPr>
              <w:t>2</w:t>
            </w:r>
            <w:r>
              <w:rPr>
                <w:rFonts w:hint="eastAsia" w:hAnsi="宋体" w:eastAsia="宋体" w:cs="宋体"/>
                <w:color w:val="auto"/>
                <w:sz w:val="21"/>
                <w:szCs w:val="21"/>
                <w:highlight w:val="none"/>
                <w:lang w:eastAsia="zh-CN"/>
              </w:rPr>
              <w:t>分）</w:t>
            </w:r>
          </w:p>
        </w:tc>
        <w:tc>
          <w:tcPr>
            <w:tcW w:w="440"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12</w:t>
            </w:r>
          </w:p>
        </w:tc>
      </w:tr>
      <w:tr>
        <w:tblPrEx>
          <w:tblCellMar>
            <w:top w:w="0" w:type="dxa"/>
            <w:left w:w="108" w:type="dxa"/>
            <w:bottom w:w="0" w:type="dxa"/>
            <w:right w:w="108" w:type="dxa"/>
          </w:tblCellMar>
        </w:tblPrEx>
        <w:trPr>
          <w:trHeight w:val="576" w:hRule="atLeast"/>
        </w:trPr>
        <w:tc>
          <w:tcPr>
            <w:tcW w:w="438" w:type="pct"/>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p>
        </w:tc>
        <w:tc>
          <w:tcPr>
            <w:tcW w:w="550" w:type="pct"/>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p>
        </w:tc>
        <w:tc>
          <w:tcPr>
            <w:tcW w:w="35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三</w:t>
            </w:r>
            <w:r>
              <w:rPr>
                <w:rFonts w:hint="eastAsia" w:hAnsi="宋体" w:eastAsia="宋体" w:cs="宋体"/>
                <w:color w:val="auto"/>
                <w:sz w:val="21"/>
                <w:szCs w:val="21"/>
                <w:highlight w:val="none"/>
                <w:lang w:eastAsia="zh-CN"/>
              </w:rPr>
              <w:t>）智慧金开</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1、演示智慧金开功能，可查看所在社区概况、身份公开栏、三务公开、红黑榜、居民信箱等模块。（</w:t>
            </w:r>
            <w:r>
              <w:rPr>
                <w:rFonts w:hint="eastAsia" w:hAnsi="宋体" w:eastAsia="宋体" w:cs="宋体"/>
                <w:color w:val="auto"/>
                <w:sz w:val="21"/>
                <w:szCs w:val="21"/>
                <w:highlight w:val="none"/>
                <w:lang w:val="en-US" w:eastAsia="zh-CN"/>
              </w:rPr>
              <w:t>2</w:t>
            </w:r>
            <w:r>
              <w:rPr>
                <w:rFonts w:hint="eastAsia" w:hAnsi="宋体" w:eastAsia="宋体" w:cs="宋体"/>
                <w:color w:val="auto"/>
                <w:sz w:val="21"/>
                <w:szCs w:val="21"/>
                <w:highlight w:val="none"/>
                <w:lang w:eastAsia="zh-CN"/>
              </w:rPr>
              <w:t>分）</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2、随手拍：通过随手拍功能进行添加照片、事件描述、事件地址、事件上报时间等，事件上报后至指挥中心进行事件交办流转。（</w:t>
            </w:r>
            <w:r>
              <w:rPr>
                <w:rFonts w:hint="eastAsia" w:hAnsi="宋体" w:eastAsia="宋体" w:cs="宋体"/>
                <w:color w:val="auto"/>
                <w:sz w:val="21"/>
                <w:szCs w:val="21"/>
                <w:highlight w:val="none"/>
                <w:lang w:val="en-US" w:eastAsia="zh-CN"/>
              </w:rPr>
              <w:t>2</w:t>
            </w:r>
            <w:r>
              <w:rPr>
                <w:rFonts w:hint="eastAsia" w:hAnsi="宋体" w:eastAsia="宋体" w:cs="宋体"/>
                <w:color w:val="auto"/>
                <w:sz w:val="21"/>
                <w:szCs w:val="21"/>
                <w:highlight w:val="none"/>
                <w:lang w:eastAsia="zh-CN"/>
              </w:rPr>
              <w:t>分）</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color w:val="auto"/>
                <w:highlight w:val="none"/>
                <w:lang w:eastAsia="zh-CN"/>
              </w:rPr>
            </w:pPr>
            <w:r>
              <w:rPr>
                <w:rFonts w:hint="eastAsia" w:hAnsi="宋体" w:eastAsia="宋体" w:cs="宋体"/>
                <w:color w:val="auto"/>
                <w:sz w:val="21"/>
                <w:szCs w:val="21"/>
                <w:highlight w:val="none"/>
                <w:lang w:eastAsia="zh-CN"/>
              </w:rPr>
              <w:t>3、民生诉求：通过本模块对诉求内容进行描述、可上传照片及视频、进行语音描述，诉求发布流转至金开通社区账号进行处置流转。（</w:t>
            </w:r>
            <w:r>
              <w:rPr>
                <w:rFonts w:hint="eastAsia" w:hAnsi="宋体" w:eastAsia="宋体" w:cs="宋体"/>
                <w:color w:val="auto"/>
                <w:sz w:val="21"/>
                <w:szCs w:val="21"/>
                <w:highlight w:val="none"/>
                <w:lang w:val="en-US" w:eastAsia="zh-CN"/>
              </w:rPr>
              <w:t>2</w:t>
            </w:r>
            <w:r>
              <w:rPr>
                <w:rFonts w:hint="eastAsia" w:hAnsi="宋体" w:eastAsia="宋体" w:cs="宋体"/>
                <w:color w:val="auto"/>
                <w:sz w:val="21"/>
                <w:szCs w:val="21"/>
                <w:highlight w:val="none"/>
                <w:lang w:eastAsia="zh-CN"/>
              </w:rPr>
              <w:t>分）4、智慧生活：对接本地生活服务厂商，提供智慧生活服务内容，包括实现用户体系统一及用户订单、优惠券等信息的同步。（</w:t>
            </w:r>
            <w:r>
              <w:rPr>
                <w:rFonts w:hint="eastAsia" w:hAnsi="宋体" w:eastAsia="宋体" w:cs="宋体"/>
                <w:color w:val="auto"/>
                <w:sz w:val="21"/>
                <w:szCs w:val="21"/>
                <w:highlight w:val="none"/>
                <w:lang w:val="en-US" w:eastAsia="zh-CN"/>
              </w:rPr>
              <w:t>2</w:t>
            </w:r>
            <w:r>
              <w:rPr>
                <w:rFonts w:hint="eastAsia" w:hAnsi="宋体" w:eastAsia="宋体" w:cs="宋体"/>
                <w:color w:val="auto"/>
                <w:sz w:val="21"/>
                <w:szCs w:val="21"/>
                <w:highlight w:val="none"/>
                <w:lang w:eastAsia="zh-CN"/>
              </w:rPr>
              <w:t>分）</w:t>
            </w:r>
          </w:p>
        </w:tc>
        <w:tc>
          <w:tcPr>
            <w:tcW w:w="440"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8</w:t>
            </w:r>
          </w:p>
        </w:tc>
      </w:tr>
      <w:tr>
        <w:tblPrEx>
          <w:tblCellMar>
            <w:top w:w="0" w:type="dxa"/>
            <w:left w:w="108" w:type="dxa"/>
            <w:bottom w:w="0" w:type="dxa"/>
            <w:right w:w="108" w:type="dxa"/>
          </w:tblCellMar>
        </w:tblPrEx>
        <w:trPr>
          <w:trHeight w:val="576" w:hRule="atLeast"/>
        </w:trPr>
        <w:tc>
          <w:tcPr>
            <w:tcW w:w="43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10</w:t>
            </w:r>
          </w:p>
        </w:tc>
        <w:tc>
          <w:tcPr>
            <w:tcW w:w="55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政策分</w:t>
            </w:r>
          </w:p>
        </w:tc>
        <w:tc>
          <w:tcPr>
            <w:tcW w:w="69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60" w:lineRule="exact"/>
              <w:rPr>
                <w:rFonts w:hint="eastAsia" w:hAnsi="宋体" w:eastAsia="宋体" w:cs="宋体"/>
                <w:color w:val="auto"/>
                <w:sz w:val="21"/>
                <w:szCs w:val="21"/>
                <w:highlight w:val="none"/>
                <w:lang w:eastAsia="zh-CN"/>
              </w:rPr>
            </w:pPr>
            <w:r>
              <w:rPr>
                <w:rFonts w:hint="eastAsia" w:hAnsi="宋体" w:cs="宋体"/>
                <w:color w:val="auto"/>
                <w:sz w:val="21"/>
                <w:szCs w:val="21"/>
                <w:highlight w:val="none"/>
              </w:rPr>
              <w:t>投标人符合《政府采购货物和服务招标投标管理办法》第五条规定，属“节约能源、保护环境、扶持不发达地区和少数民族地区等”政府采购政策扶持对象的，提供相关证明材料和政策依据，每符合一项得0.5分，最高可得2分；未提供相关证明材料的不得分。（提供相关证明材料和政策依据备查）。</w:t>
            </w:r>
          </w:p>
        </w:tc>
        <w:tc>
          <w:tcPr>
            <w:tcW w:w="852" w:type="dxa"/>
            <w:tcBorders>
              <w:top w:val="nil"/>
              <w:left w:val="single" w:color="auto" w:sz="4" w:space="0"/>
              <w:bottom w:val="single" w:color="auto" w:sz="4" w:space="0"/>
              <w:right w:val="single" w:color="auto" w:sz="4" w:space="0"/>
            </w:tcBorders>
            <w:shd w:val="clear" w:color="000000" w:fill="FFFFFF"/>
            <w:noWrap w:val="0"/>
            <w:vAlign w:val="center"/>
          </w:tcPr>
          <w:p>
            <w:pPr>
              <w:spacing w:line="460" w:lineRule="exact"/>
              <w:jc w:val="center"/>
              <w:rPr>
                <w:rFonts w:hint="eastAsia" w:hAnsi="宋体" w:eastAsia="宋体" w:cs="宋体"/>
                <w:color w:val="auto"/>
                <w:sz w:val="21"/>
                <w:szCs w:val="21"/>
                <w:highlight w:val="none"/>
                <w:lang w:val="en-US" w:eastAsia="zh-CN"/>
              </w:rPr>
            </w:pPr>
            <w:r>
              <w:rPr>
                <w:rFonts w:hint="eastAsia" w:hAnsi="宋体"/>
                <w:color w:val="auto"/>
                <w:sz w:val="21"/>
                <w:szCs w:val="21"/>
                <w:highlight w:val="none"/>
              </w:rPr>
              <w:t>2</w:t>
            </w:r>
          </w:p>
        </w:tc>
      </w:tr>
      <w:bookmarkEnd w:id="82"/>
      <w:tr>
        <w:tblPrEx>
          <w:tblCellMar>
            <w:top w:w="0" w:type="dxa"/>
            <w:left w:w="108" w:type="dxa"/>
            <w:bottom w:w="0" w:type="dxa"/>
            <w:right w:w="108" w:type="dxa"/>
          </w:tblCellMar>
        </w:tblPrEx>
        <w:trPr>
          <w:trHeight w:val="288" w:hRule="atLeast"/>
        </w:trPr>
        <w:tc>
          <w:tcPr>
            <w:tcW w:w="4559" w:type="pct"/>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440"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w:t>
            </w:r>
          </w:p>
        </w:tc>
      </w:tr>
    </w:tbl>
    <w:p>
      <w:pPr>
        <w:autoSpaceDE/>
        <w:autoSpaceDN/>
        <w:adjustRightInd/>
        <w:spacing w:line="500" w:lineRule="exact"/>
        <w:ind w:firstLine="422" w:firstLineChars="200"/>
        <w:jc w:val="both"/>
        <w:textAlignment w:val="auto"/>
        <w:rPr>
          <w:rFonts w:hAnsi="宋体"/>
          <w:b/>
          <w:color w:val="auto"/>
          <w:sz w:val="21"/>
          <w:szCs w:val="21"/>
          <w:highlight w:val="none"/>
        </w:rPr>
      </w:pPr>
    </w:p>
    <w:p>
      <w:pPr>
        <w:autoSpaceDE/>
        <w:autoSpaceDN/>
        <w:adjustRightInd/>
        <w:spacing w:line="500" w:lineRule="exact"/>
        <w:ind w:firstLine="422" w:firstLineChars="200"/>
        <w:jc w:val="both"/>
        <w:textAlignment w:val="auto"/>
        <w:rPr>
          <w:rFonts w:hAnsi="宋体"/>
          <w:b/>
          <w:color w:val="auto"/>
          <w:sz w:val="21"/>
          <w:szCs w:val="21"/>
          <w:highlight w:val="none"/>
        </w:rPr>
      </w:pPr>
      <w:r>
        <w:rPr>
          <w:rFonts w:hint="eastAsia" w:hAnsi="宋体"/>
          <w:b/>
          <w:color w:val="auto"/>
          <w:sz w:val="21"/>
          <w:szCs w:val="21"/>
          <w:highlight w:val="none"/>
        </w:rPr>
        <w:t>三、技术商务分的计算</w:t>
      </w:r>
    </w:p>
    <w:p>
      <w:pPr>
        <w:autoSpaceDE/>
        <w:autoSpaceDN/>
        <w:adjustRightInd/>
        <w:spacing w:line="500" w:lineRule="exact"/>
        <w:ind w:firstLine="420" w:firstLineChars="200"/>
        <w:jc w:val="both"/>
        <w:textAlignment w:val="auto"/>
        <w:rPr>
          <w:rFonts w:hAnsi="宋体"/>
          <w:color w:val="auto"/>
          <w:sz w:val="21"/>
          <w:szCs w:val="21"/>
          <w:highlight w:val="none"/>
        </w:rPr>
      </w:pPr>
      <w:r>
        <w:rPr>
          <w:rFonts w:hint="eastAsia" w:hAnsi="宋体"/>
          <w:color w:val="auto"/>
          <w:sz w:val="21"/>
          <w:szCs w:val="21"/>
          <w:highlight w:val="none"/>
        </w:rPr>
        <w:t>技术商务分按照评标委员会成员的独立评分结果汇总数后的算术平均分计算，计算公式：技术商务分=（评标委员会所有成员评分合计数）/（评标委员会组成人员数）</w:t>
      </w:r>
    </w:p>
    <w:p>
      <w:pPr>
        <w:autoSpaceDE/>
        <w:autoSpaceDN/>
        <w:adjustRightInd/>
        <w:spacing w:line="500" w:lineRule="exact"/>
        <w:ind w:firstLine="422" w:firstLineChars="200"/>
        <w:jc w:val="both"/>
        <w:textAlignment w:val="auto"/>
        <w:rPr>
          <w:rFonts w:hAnsi="宋体" w:cs="Arial"/>
          <w:b/>
          <w:color w:val="auto"/>
          <w:sz w:val="21"/>
          <w:szCs w:val="21"/>
          <w:highlight w:val="none"/>
        </w:rPr>
      </w:pPr>
      <w:r>
        <w:rPr>
          <w:rFonts w:hint="eastAsia" w:hAnsi="宋体" w:cs="Arial"/>
          <w:b/>
          <w:color w:val="auto"/>
          <w:sz w:val="21"/>
          <w:szCs w:val="21"/>
          <w:highlight w:val="none"/>
        </w:rPr>
        <w:t>四、成交</w:t>
      </w:r>
      <w:r>
        <w:rPr>
          <w:rFonts w:hAnsi="宋体" w:cs="Arial"/>
          <w:b/>
          <w:color w:val="auto"/>
          <w:sz w:val="21"/>
          <w:szCs w:val="21"/>
          <w:highlight w:val="none"/>
        </w:rPr>
        <w:t>原则</w:t>
      </w:r>
    </w:p>
    <w:p>
      <w:pPr>
        <w:tabs>
          <w:tab w:val="left" w:pos="0"/>
        </w:tabs>
        <w:snapToGrid w:val="0"/>
        <w:spacing w:line="500" w:lineRule="exact"/>
        <w:ind w:firstLine="420" w:firstLineChars="200"/>
        <w:rPr>
          <w:rFonts w:hAnsi="宋体"/>
          <w:bCs/>
          <w:color w:val="auto"/>
          <w:sz w:val="21"/>
          <w:szCs w:val="21"/>
          <w:highlight w:val="none"/>
        </w:rPr>
      </w:pPr>
      <w:r>
        <w:rPr>
          <w:rFonts w:hint="eastAsia" w:hAnsi="宋体"/>
          <w:bCs/>
          <w:color w:val="auto"/>
          <w:sz w:val="21"/>
          <w:szCs w:val="21"/>
          <w:highlight w:val="none"/>
        </w:rPr>
        <w:t>1.</w:t>
      </w:r>
      <w:r>
        <w:rPr>
          <w:rFonts w:hAnsi="宋体"/>
          <w:bCs/>
          <w:color w:val="auto"/>
          <w:sz w:val="21"/>
          <w:szCs w:val="21"/>
          <w:highlight w:val="none"/>
        </w:rPr>
        <w:t>严格按照</w:t>
      </w:r>
      <w:r>
        <w:rPr>
          <w:rFonts w:hint="eastAsia" w:hAnsi="宋体"/>
          <w:bCs/>
          <w:color w:val="auto"/>
          <w:sz w:val="21"/>
          <w:szCs w:val="21"/>
          <w:highlight w:val="none"/>
        </w:rPr>
        <w:t>采购</w:t>
      </w:r>
      <w:r>
        <w:rPr>
          <w:rFonts w:hAnsi="宋体"/>
          <w:bCs/>
          <w:color w:val="auto"/>
          <w:sz w:val="21"/>
          <w:szCs w:val="21"/>
          <w:highlight w:val="none"/>
        </w:rPr>
        <w:t>文件规定“综合评分法，得分最高者</w:t>
      </w:r>
      <w:r>
        <w:rPr>
          <w:rFonts w:hint="eastAsia" w:hAnsi="宋体"/>
          <w:bCs/>
          <w:color w:val="auto"/>
          <w:sz w:val="21"/>
          <w:szCs w:val="21"/>
          <w:highlight w:val="none"/>
        </w:rPr>
        <w:t>成交</w:t>
      </w:r>
      <w:r>
        <w:rPr>
          <w:rFonts w:hAnsi="宋体"/>
          <w:bCs/>
          <w:color w:val="auto"/>
          <w:sz w:val="21"/>
          <w:szCs w:val="21"/>
          <w:highlight w:val="none"/>
        </w:rPr>
        <w:t>”的原则</w:t>
      </w:r>
      <w:r>
        <w:rPr>
          <w:rFonts w:hint="eastAsia" w:hAnsi="宋体"/>
          <w:bCs/>
          <w:color w:val="auto"/>
          <w:sz w:val="21"/>
          <w:szCs w:val="21"/>
          <w:highlight w:val="none"/>
        </w:rPr>
        <w:t>确定成交供应商，法律法规和国家政策</w:t>
      </w:r>
      <w:r>
        <w:rPr>
          <w:rFonts w:hint="eastAsia" w:hAnsi="宋体" w:cs="宋体"/>
          <w:bCs/>
          <w:color w:val="auto"/>
          <w:sz w:val="21"/>
          <w:szCs w:val="21"/>
          <w:highlight w:val="none"/>
        </w:rPr>
        <w:t>（包括上文“三、评标定标时对政府采购政策的落实要求”）</w:t>
      </w:r>
      <w:r>
        <w:rPr>
          <w:rFonts w:hint="eastAsia" w:hAnsi="宋体"/>
          <w:bCs/>
          <w:color w:val="auto"/>
          <w:sz w:val="21"/>
          <w:szCs w:val="21"/>
          <w:highlight w:val="none"/>
        </w:rPr>
        <w:t>另有规定的从其规定</w:t>
      </w:r>
      <w:r>
        <w:rPr>
          <w:rFonts w:hAnsi="宋体"/>
          <w:bCs/>
          <w:color w:val="auto"/>
          <w:sz w:val="21"/>
          <w:szCs w:val="21"/>
          <w:highlight w:val="none"/>
        </w:rPr>
        <w:t>。</w:t>
      </w:r>
    </w:p>
    <w:p>
      <w:pPr>
        <w:tabs>
          <w:tab w:val="left" w:pos="0"/>
        </w:tabs>
        <w:snapToGrid w:val="0"/>
        <w:spacing w:line="500" w:lineRule="exact"/>
        <w:ind w:firstLine="420" w:firstLineChars="200"/>
        <w:rPr>
          <w:rFonts w:hAnsi="宋体"/>
          <w:bCs/>
          <w:color w:val="auto"/>
          <w:sz w:val="21"/>
          <w:szCs w:val="21"/>
          <w:highlight w:val="none"/>
        </w:rPr>
      </w:pPr>
      <w:r>
        <w:rPr>
          <w:rFonts w:hint="eastAsia" w:hAnsi="宋体"/>
          <w:bCs/>
          <w:color w:val="auto"/>
          <w:sz w:val="21"/>
          <w:szCs w:val="21"/>
          <w:highlight w:val="none"/>
        </w:rPr>
        <w:t>2.</w:t>
      </w:r>
      <w:r>
        <w:rPr>
          <w:rFonts w:hAnsi="宋体"/>
          <w:bCs/>
          <w:color w:val="auto"/>
          <w:sz w:val="21"/>
          <w:szCs w:val="21"/>
          <w:highlight w:val="none"/>
        </w:rPr>
        <w:t>经</w:t>
      </w:r>
      <w:r>
        <w:rPr>
          <w:rFonts w:hint="eastAsia" w:hAnsi="宋体"/>
          <w:bCs/>
          <w:color w:val="auto"/>
          <w:sz w:val="21"/>
          <w:szCs w:val="21"/>
          <w:highlight w:val="none"/>
        </w:rPr>
        <w:t>成交</w:t>
      </w:r>
      <w:r>
        <w:rPr>
          <w:rFonts w:hAnsi="宋体"/>
          <w:bCs/>
          <w:color w:val="auto"/>
          <w:sz w:val="21"/>
          <w:szCs w:val="21"/>
          <w:highlight w:val="none"/>
        </w:rPr>
        <w:t>结果公示期满无异议，</w:t>
      </w:r>
      <w:r>
        <w:rPr>
          <w:rFonts w:hint="eastAsia" w:hAnsi="宋体"/>
          <w:bCs/>
          <w:color w:val="auto"/>
          <w:sz w:val="21"/>
          <w:szCs w:val="21"/>
          <w:highlight w:val="none"/>
        </w:rPr>
        <w:t>成交</w:t>
      </w:r>
      <w:r>
        <w:rPr>
          <w:rFonts w:hAnsi="宋体"/>
          <w:bCs/>
          <w:color w:val="auto"/>
          <w:sz w:val="21"/>
          <w:szCs w:val="21"/>
          <w:highlight w:val="none"/>
        </w:rPr>
        <w:t>候选</w:t>
      </w:r>
      <w:r>
        <w:rPr>
          <w:rFonts w:hint="eastAsia" w:hAnsi="宋体"/>
          <w:bCs/>
          <w:color w:val="auto"/>
          <w:sz w:val="21"/>
          <w:szCs w:val="21"/>
          <w:highlight w:val="none"/>
        </w:rPr>
        <w:t>供应商</w:t>
      </w:r>
      <w:r>
        <w:rPr>
          <w:rFonts w:hAnsi="宋体"/>
          <w:bCs/>
          <w:color w:val="auto"/>
          <w:sz w:val="21"/>
          <w:szCs w:val="21"/>
          <w:highlight w:val="none"/>
        </w:rPr>
        <w:t>即成为</w:t>
      </w:r>
      <w:r>
        <w:rPr>
          <w:rFonts w:hint="eastAsia" w:hAnsi="宋体"/>
          <w:bCs/>
          <w:color w:val="auto"/>
          <w:sz w:val="21"/>
          <w:szCs w:val="21"/>
          <w:highlight w:val="none"/>
        </w:rPr>
        <w:t>成交供应商</w:t>
      </w:r>
      <w:r>
        <w:rPr>
          <w:rFonts w:hAnsi="宋体"/>
          <w:bCs/>
          <w:color w:val="auto"/>
          <w:sz w:val="21"/>
          <w:szCs w:val="21"/>
          <w:highlight w:val="none"/>
        </w:rPr>
        <w:t>。</w:t>
      </w:r>
    </w:p>
    <w:p>
      <w:pPr>
        <w:autoSpaceDE/>
        <w:autoSpaceDN/>
        <w:adjustRightInd/>
        <w:spacing w:line="500" w:lineRule="exact"/>
        <w:ind w:firstLine="422" w:firstLineChars="200"/>
        <w:jc w:val="both"/>
        <w:textAlignment w:val="auto"/>
        <w:rPr>
          <w:rFonts w:hAnsi="宋体" w:cs="Arial"/>
          <w:b/>
          <w:color w:val="auto"/>
          <w:sz w:val="21"/>
          <w:szCs w:val="21"/>
          <w:highlight w:val="none"/>
        </w:rPr>
      </w:pPr>
      <w:r>
        <w:rPr>
          <w:rFonts w:hint="eastAsia" w:hAnsi="宋体" w:cs="Arial"/>
          <w:b/>
          <w:color w:val="auto"/>
          <w:sz w:val="21"/>
          <w:szCs w:val="21"/>
          <w:highlight w:val="none"/>
        </w:rPr>
        <w:t>五、</w:t>
      </w:r>
      <w:r>
        <w:rPr>
          <w:rFonts w:hAnsi="宋体" w:cs="Arial"/>
          <w:b/>
          <w:color w:val="auto"/>
          <w:sz w:val="21"/>
          <w:szCs w:val="21"/>
          <w:highlight w:val="none"/>
        </w:rPr>
        <w:t>保密及其它注意事项</w:t>
      </w:r>
    </w:p>
    <w:p>
      <w:pPr>
        <w:autoSpaceDE/>
        <w:autoSpaceDN/>
        <w:adjustRightInd/>
        <w:spacing w:line="500" w:lineRule="exact"/>
        <w:ind w:firstLine="420" w:firstLineChars="200"/>
        <w:jc w:val="both"/>
        <w:textAlignment w:val="auto"/>
        <w:rPr>
          <w:rFonts w:hAnsi="宋体" w:cs="Arial"/>
          <w:b/>
          <w:color w:val="auto"/>
          <w:sz w:val="21"/>
          <w:szCs w:val="21"/>
          <w:highlight w:val="none"/>
        </w:rPr>
      </w:pPr>
      <w:r>
        <w:rPr>
          <w:rFonts w:hint="eastAsia" w:hAnsi="宋体"/>
          <w:bCs/>
          <w:color w:val="auto"/>
          <w:sz w:val="21"/>
          <w:szCs w:val="21"/>
          <w:highlight w:val="none"/>
        </w:rPr>
        <w:t>1.</w:t>
      </w:r>
      <w:r>
        <w:rPr>
          <w:rFonts w:hAnsi="宋体"/>
          <w:bCs/>
          <w:color w:val="auto"/>
          <w:sz w:val="21"/>
          <w:szCs w:val="21"/>
          <w:highlight w:val="none"/>
        </w:rPr>
        <w:t>评</w:t>
      </w:r>
      <w:r>
        <w:rPr>
          <w:rFonts w:hint="eastAsia" w:hAnsi="宋体"/>
          <w:bCs/>
          <w:color w:val="auto"/>
          <w:sz w:val="21"/>
          <w:szCs w:val="21"/>
          <w:highlight w:val="none"/>
        </w:rPr>
        <w:t>审</w:t>
      </w:r>
      <w:r>
        <w:rPr>
          <w:rFonts w:hAnsi="宋体"/>
          <w:bCs/>
          <w:color w:val="auto"/>
          <w:sz w:val="21"/>
          <w:szCs w:val="21"/>
          <w:highlight w:val="none"/>
        </w:rPr>
        <w:t>是</w:t>
      </w:r>
      <w:r>
        <w:rPr>
          <w:rFonts w:hint="eastAsia" w:hAnsi="宋体"/>
          <w:bCs/>
          <w:color w:val="auto"/>
          <w:sz w:val="21"/>
          <w:szCs w:val="21"/>
          <w:highlight w:val="none"/>
        </w:rPr>
        <w:t>磋商</w:t>
      </w:r>
      <w:r>
        <w:rPr>
          <w:rFonts w:hAnsi="宋体"/>
          <w:bCs/>
          <w:color w:val="auto"/>
          <w:sz w:val="21"/>
          <w:szCs w:val="21"/>
          <w:highlight w:val="none"/>
        </w:rPr>
        <w:t>过程中的重要环节，评</w:t>
      </w:r>
      <w:r>
        <w:rPr>
          <w:rFonts w:hint="eastAsia" w:hAnsi="宋体"/>
          <w:bCs/>
          <w:color w:val="auto"/>
          <w:sz w:val="21"/>
          <w:szCs w:val="21"/>
          <w:highlight w:val="none"/>
        </w:rPr>
        <w:t>审</w:t>
      </w:r>
      <w:r>
        <w:rPr>
          <w:rFonts w:hAnsi="宋体"/>
          <w:bCs/>
          <w:color w:val="auto"/>
          <w:sz w:val="21"/>
          <w:szCs w:val="21"/>
          <w:highlight w:val="none"/>
        </w:rPr>
        <w:t>工作在</w:t>
      </w:r>
      <w:r>
        <w:rPr>
          <w:rFonts w:hint="eastAsia" w:hAnsi="宋体"/>
          <w:bCs/>
          <w:color w:val="auto"/>
          <w:sz w:val="21"/>
          <w:szCs w:val="21"/>
          <w:highlight w:val="none"/>
        </w:rPr>
        <w:t>磋商小组</w:t>
      </w:r>
      <w:r>
        <w:rPr>
          <w:rFonts w:hAnsi="宋体"/>
          <w:bCs/>
          <w:color w:val="auto"/>
          <w:sz w:val="21"/>
          <w:szCs w:val="21"/>
          <w:highlight w:val="none"/>
        </w:rPr>
        <w:t>成员内独立进行。</w:t>
      </w:r>
      <w:r>
        <w:rPr>
          <w:rFonts w:hint="eastAsia" w:hAnsi="宋体"/>
          <w:bCs/>
          <w:color w:val="auto"/>
          <w:sz w:val="21"/>
          <w:szCs w:val="21"/>
          <w:highlight w:val="none"/>
        </w:rPr>
        <w:t>磋商小组</w:t>
      </w:r>
      <w:r>
        <w:rPr>
          <w:rFonts w:hAnsi="宋体"/>
          <w:bCs/>
          <w:color w:val="auto"/>
          <w:sz w:val="21"/>
          <w:szCs w:val="21"/>
          <w:highlight w:val="none"/>
        </w:rPr>
        <w:t>将遵照评</w:t>
      </w:r>
      <w:r>
        <w:rPr>
          <w:rFonts w:hint="eastAsia" w:hAnsi="宋体"/>
          <w:bCs/>
          <w:color w:val="auto"/>
          <w:sz w:val="21"/>
          <w:szCs w:val="21"/>
          <w:highlight w:val="none"/>
        </w:rPr>
        <w:t>分</w:t>
      </w:r>
      <w:r>
        <w:rPr>
          <w:rFonts w:hAnsi="宋体"/>
          <w:bCs/>
          <w:color w:val="auto"/>
          <w:sz w:val="21"/>
          <w:szCs w:val="21"/>
          <w:highlight w:val="none"/>
        </w:rPr>
        <w:t>原则，公正、公平、客观地对待所有</w:t>
      </w:r>
      <w:r>
        <w:rPr>
          <w:rFonts w:hint="eastAsia" w:hAnsi="宋体"/>
          <w:bCs/>
          <w:color w:val="auto"/>
          <w:sz w:val="21"/>
          <w:szCs w:val="21"/>
          <w:highlight w:val="none"/>
        </w:rPr>
        <w:t>供应商</w:t>
      </w:r>
      <w:r>
        <w:rPr>
          <w:rFonts w:hAnsi="宋体"/>
          <w:bCs/>
          <w:color w:val="auto"/>
          <w:sz w:val="21"/>
          <w:szCs w:val="21"/>
          <w:highlight w:val="none"/>
        </w:rPr>
        <w:t>。</w:t>
      </w:r>
    </w:p>
    <w:p>
      <w:pPr>
        <w:tabs>
          <w:tab w:val="left" w:pos="0"/>
        </w:tabs>
        <w:snapToGrid w:val="0"/>
        <w:spacing w:line="500" w:lineRule="exact"/>
        <w:ind w:firstLine="420" w:firstLineChars="200"/>
        <w:rPr>
          <w:rFonts w:hAnsi="宋体"/>
          <w:bCs/>
          <w:color w:val="auto"/>
          <w:sz w:val="21"/>
          <w:szCs w:val="21"/>
          <w:highlight w:val="none"/>
        </w:rPr>
      </w:pPr>
      <w:r>
        <w:rPr>
          <w:rFonts w:hint="eastAsia" w:hAnsi="宋体"/>
          <w:bCs/>
          <w:color w:val="auto"/>
          <w:sz w:val="21"/>
          <w:szCs w:val="21"/>
          <w:highlight w:val="none"/>
        </w:rPr>
        <w:t>2.</w:t>
      </w:r>
      <w:r>
        <w:rPr>
          <w:rFonts w:hAnsi="宋体"/>
          <w:bCs/>
          <w:color w:val="auto"/>
          <w:sz w:val="21"/>
          <w:szCs w:val="21"/>
          <w:highlight w:val="none"/>
        </w:rPr>
        <w:t>在</w:t>
      </w:r>
      <w:r>
        <w:rPr>
          <w:rFonts w:hint="eastAsia" w:hAnsi="宋体"/>
          <w:bCs/>
          <w:color w:val="auto"/>
          <w:sz w:val="21"/>
          <w:szCs w:val="21"/>
          <w:highlight w:val="none"/>
        </w:rPr>
        <w:t>磋商</w:t>
      </w:r>
      <w:r>
        <w:rPr>
          <w:rFonts w:hAnsi="宋体"/>
          <w:bCs/>
          <w:color w:val="auto"/>
          <w:sz w:val="21"/>
          <w:szCs w:val="21"/>
          <w:highlight w:val="none"/>
        </w:rPr>
        <w:t>期间，</w:t>
      </w:r>
      <w:r>
        <w:rPr>
          <w:rFonts w:hint="eastAsia" w:hAnsi="宋体"/>
          <w:bCs/>
          <w:color w:val="auto"/>
          <w:sz w:val="21"/>
          <w:szCs w:val="21"/>
          <w:highlight w:val="none"/>
        </w:rPr>
        <w:t>供应商</w:t>
      </w:r>
      <w:r>
        <w:rPr>
          <w:rFonts w:hAnsi="宋体"/>
          <w:bCs/>
          <w:color w:val="auto"/>
          <w:sz w:val="21"/>
          <w:szCs w:val="21"/>
          <w:highlight w:val="none"/>
        </w:rPr>
        <w:t>不得向</w:t>
      </w:r>
      <w:r>
        <w:rPr>
          <w:rFonts w:hint="eastAsia" w:hAnsi="宋体"/>
          <w:bCs/>
          <w:color w:val="auto"/>
          <w:sz w:val="21"/>
          <w:szCs w:val="21"/>
          <w:highlight w:val="none"/>
        </w:rPr>
        <w:t>磋商小组</w:t>
      </w:r>
      <w:r>
        <w:rPr>
          <w:rFonts w:hAnsi="宋体"/>
          <w:bCs/>
          <w:color w:val="auto"/>
          <w:sz w:val="21"/>
          <w:szCs w:val="21"/>
          <w:highlight w:val="none"/>
        </w:rPr>
        <w:t>询问评</w:t>
      </w:r>
      <w:r>
        <w:rPr>
          <w:rFonts w:hint="eastAsia" w:hAnsi="宋体"/>
          <w:bCs/>
          <w:color w:val="auto"/>
          <w:sz w:val="21"/>
          <w:szCs w:val="21"/>
          <w:highlight w:val="none"/>
        </w:rPr>
        <w:t>分</w:t>
      </w:r>
      <w:r>
        <w:rPr>
          <w:rFonts w:hAnsi="宋体"/>
          <w:bCs/>
          <w:color w:val="auto"/>
          <w:sz w:val="21"/>
          <w:szCs w:val="21"/>
          <w:highlight w:val="none"/>
        </w:rPr>
        <w:t>情况，不得进行旨在影响</w:t>
      </w:r>
      <w:r>
        <w:rPr>
          <w:rFonts w:hint="eastAsia" w:hAnsi="宋体"/>
          <w:bCs/>
          <w:color w:val="auto"/>
          <w:sz w:val="21"/>
          <w:szCs w:val="21"/>
          <w:highlight w:val="none"/>
        </w:rPr>
        <w:t>磋商评审</w:t>
      </w:r>
      <w:r>
        <w:rPr>
          <w:rFonts w:hAnsi="宋体"/>
          <w:bCs/>
          <w:color w:val="auto"/>
          <w:sz w:val="21"/>
          <w:szCs w:val="21"/>
          <w:highlight w:val="none"/>
        </w:rPr>
        <w:t>结果的活动。</w:t>
      </w:r>
    </w:p>
    <w:p>
      <w:pPr>
        <w:tabs>
          <w:tab w:val="left" w:pos="0"/>
        </w:tabs>
        <w:snapToGrid w:val="0"/>
        <w:spacing w:line="500" w:lineRule="exact"/>
        <w:ind w:firstLine="420" w:firstLineChars="200"/>
        <w:rPr>
          <w:rFonts w:hAnsi="宋体"/>
          <w:bCs/>
          <w:color w:val="auto"/>
          <w:sz w:val="21"/>
          <w:szCs w:val="21"/>
          <w:highlight w:val="none"/>
        </w:rPr>
      </w:pPr>
      <w:r>
        <w:rPr>
          <w:rFonts w:hint="eastAsia" w:hAnsi="宋体"/>
          <w:bCs/>
          <w:color w:val="auto"/>
          <w:sz w:val="21"/>
          <w:szCs w:val="21"/>
          <w:highlight w:val="none"/>
        </w:rPr>
        <w:t>3.</w:t>
      </w:r>
      <w:r>
        <w:rPr>
          <w:rFonts w:hAnsi="宋体"/>
          <w:bCs/>
          <w:color w:val="auto"/>
          <w:sz w:val="21"/>
          <w:szCs w:val="21"/>
          <w:highlight w:val="none"/>
        </w:rPr>
        <w:t>为保证</w:t>
      </w:r>
      <w:r>
        <w:rPr>
          <w:rFonts w:hint="eastAsia" w:hAnsi="宋体"/>
          <w:bCs/>
          <w:color w:val="auto"/>
          <w:sz w:val="21"/>
          <w:szCs w:val="21"/>
          <w:highlight w:val="none"/>
        </w:rPr>
        <w:t>确定成交人</w:t>
      </w:r>
      <w:r>
        <w:rPr>
          <w:rFonts w:hAnsi="宋体"/>
          <w:bCs/>
          <w:color w:val="auto"/>
          <w:sz w:val="21"/>
          <w:szCs w:val="21"/>
          <w:highlight w:val="none"/>
        </w:rPr>
        <w:t>的公正性，在</w:t>
      </w:r>
      <w:r>
        <w:rPr>
          <w:rFonts w:hint="eastAsia" w:hAnsi="宋体"/>
          <w:bCs/>
          <w:color w:val="auto"/>
          <w:sz w:val="21"/>
          <w:szCs w:val="21"/>
          <w:highlight w:val="none"/>
        </w:rPr>
        <w:t>磋商评审</w:t>
      </w:r>
      <w:r>
        <w:rPr>
          <w:rFonts w:hAnsi="宋体"/>
          <w:bCs/>
          <w:color w:val="auto"/>
          <w:sz w:val="21"/>
          <w:szCs w:val="21"/>
          <w:highlight w:val="none"/>
        </w:rPr>
        <w:t>过程中，</w:t>
      </w:r>
      <w:r>
        <w:rPr>
          <w:rFonts w:hint="eastAsia" w:hAnsi="宋体"/>
          <w:bCs/>
          <w:color w:val="auto"/>
          <w:sz w:val="21"/>
          <w:szCs w:val="21"/>
          <w:highlight w:val="none"/>
        </w:rPr>
        <w:t>磋商小组成员</w:t>
      </w:r>
      <w:r>
        <w:rPr>
          <w:rFonts w:hAnsi="宋体"/>
          <w:bCs/>
          <w:color w:val="auto"/>
          <w:sz w:val="21"/>
          <w:szCs w:val="21"/>
          <w:highlight w:val="none"/>
        </w:rPr>
        <w:t>不得与</w:t>
      </w:r>
      <w:r>
        <w:rPr>
          <w:rFonts w:hint="eastAsia" w:hAnsi="宋体"/>
          <w:bCs/>
          <w:color w:val="auto"/>
          <w:sz w:val="21"/>
          <w:szCs w:val="21"/>
          <w:highlight w:val="none"/>
        </w:rPr>
        <w:t>供应商</w:t>
      </w:r>
      <w:r>
        <w:rPr>
          <w:rFonts w:hAnsi="宋体"/>
          <w:bCs/>
          <w:color w:val="auto"/>
          <w:sz w:val="21"/>
          <w:szCs w:val="21"/>
          <w:highlight w:val="none"/>
        </w:rPr>
        <w:t>私下交换意见。在</w:t>
      </w:r>
      <w:r>
        <w:rPr>
          <w:rFonts w:hint="eastAsia" w:hAnsi="宋体"/>
          <w:bCs/>
          <w:color w:val="auto"/>
          <w:sz w:val="21"/>
          <w:szCs w:val="21"/>
          <w:highlight w:val="none"/>
        </w:rPr>
        <w:t>磋商</w:t>
      </w:r>
      <w:r>
        <w:rPr>
          <w:rFonts w:hAnsi="宋体"/>
          <w:bCs/>
          <w:color w:val="auto"/>
          <w:sz w:val="21"/>
          <w:szCs w:val="21"/>
          <w:highlight w:val="none"/>
        </w:rPr>
        <w:t>工作结束后与</w:t>
      </w:r>
      <w:r>
        <w:rPr>
          <w:rFonts w:hint="eastAsia" w:hAnsi="宋体"/>
          <w:bCs/>
          <w:color w:val="auto"/>
          <w:sz w:val="21"/>
          <w:szCs w:val="21"/>
          <w:highlight w:val="none"/>
        </w:rPr>
        <w:t>磋商评审</w:t>
      </w:r>
      <w:r>
        <w:rPr>
          <w:rFonts w:hAnsi="宋体"/>
          <w:bCs/>
          <w:color w:val="auto"/>
          <w:sz w:val="21"/>
          <w:szCs w:val="21"/>
          <w:highlight w:val="none"/>
        </w:rPr>
        <w:t>工作有接触的任何人，不得将评</w:t>
      </w:r>
      <w:r>
        <w:rPr>
          <w:rFonts w:hint="eastAsia" w:hAnsi="宋体"/>
          <w:bCs/>
          <w:color w:val="auto"/>
          <w:sz w:val="21"/>
          <w:szCs w:val="21"/>
          <w:highlight w:val="none"/>
        </w:rPr>
        <w:t>分</w:t>
      </w:r>
      <w:r>
        <w:rPr>
          <w:rFonts w:hAnsi="宋体"/>
          <w:bCs/>
          <w:color w:val="auto"/>
          <w:sz w:val="21"/>
          <w:szCs w:val="21"/>
          <w:highlight w:val="none"/>
        </w:rPr>
        <w:t>情况外泄。</w:t>
      </w:r>
    </w:p>
    <w:p>
      <w:pPr>
        <w:tabs>
          <w:tab w:val="left" w:pos="0"/>
        </w:tabs>
        <w:snapToGrid w:val="0"/>
        <w:spacing w:line="500" w:lineRule="exact"/>
        <w:ind w:firstLine="420" w:firstLineChars="200"/>
        <w:rPr>
          <w:rFonts w:hAnsi="宋体"/>
          <w:bCs/>
          <w:color w:val="auto"/>
          <w:sz w:val="21"/>
          <w:szCs w:val="21"/>
          <w:highlight w:val="none"/>
        </w:rPr>
      </w:pPr>
      <w:r>
        <w:rPr>
          <w:rFonts w:hint="eastAsia" w:hAnsi="宋体"/>
          <w:bCs/>
          <w:color w:val="auto"/>
          <w:sz w:val="21"/>
          <w:szCs w:val="21"/>
          <w:highlight w:val="none"/>
        </w:rPr>
        <w:t>4.采购</w:t>
      </w:r>
      <w:r>
        <w:rPr>
          <w:rFonts w:hAnsi="宋体"/>
          <w:bCs/>
          <w:color w:val="auto"/>
          <w:sz w:val="21"/>
          <w:szCs w:val="21"/>
          <w:highlight w:val="none"/>
        </w:rPr>
        <w:t>单位</w:t>
      </w:r>
      <w:r>
        <w:rPr>
          <w:rFonts w:hint="eastAsia" w:hAnsi="宋体"/>
          <w:bCs/>
          <w:color w:val="auto"/>
          <w:sz w:val="21"/>
          <w:szCs w:val="21"/>
          <w:highlight w:val="none"/>
        </w:rPr>
        <w:t>、代理机构</w:t>
      </w:r>
      <w:r>
        <w:rPr>
          <w:rFonts w:hAnsi="宋体"/>
          <w:bCs/>
          <w:color w:val="auto"/>
          <w:sz w:val="21"/>
          <w:szCs w:val="21"/>
          <w:highlight w:val="none"/>
        </w:rPr>
        <w:t>及</w:t>
      </w:r>
      <w:r>
        <w:rPr>
          <w:rFonts w:hint="eastAsia" w:hAnsi="宋体"/>
          <w:bCs/>
          <w:color w:val="auto"/>
          <w:sz w:val="21"/>
          <w:szCs w:val="21"/>
          <w:highlight w:val="none"/>
        </w:rPr>
        <w:t>磋商小组成员</w:t>
      </w:r>
      <w:r>
        <w:rPr>
          <w:rFonts w:hAnsi="宋体"/>
          <w:bCs/>
          <w:color w:val="auto"/>
          <w:sz w:val="21"/>
          <w:szCs w:val="21"/>
          <w:highlight w:val="none"/>
        </w:rPr>
        <w:t>不向</w:t>
      </w:r>
      <w:r>
        <w:rPr>
          <w:rFonts w:hint="eastAsia" w:hAnsi="宋体"/>
          <w:bCs/>
          <w:color w:val="auto"/>
          <w:sz w:val="21"/>
          <w:szCs w:val="21"/>
          <w:highlight w:val="none"/>
        </w:rPr>
        <w:t>未成交人</w:t>
      </w:r>
      <w:r>
        <w:rPr>
          <w:rFonts w:hAnsi="宋体"/>
          <w:bCs/>
          <w:color w:val="auto"/>
          <w:sz w:val="21"/>
          <w:szCs w:val="21"/>
          <w:highlight w:val="none"/>
        </w:rPr>
        <w:t>解释</w:t>
      </w:r>
      <w:r>
        <w:rPr>
          <w:rFonts w:hint="eastAsia" w:hAnsi="宋体"/>
          <w:bCs/>
          <w:color w:val="auto"/>
          <w:sz w:val="21"/>
          <w:szCs w:val="21"/>
          <w:highlight w:val="none"/>
        </w:rPr>
        <w:t>未成交</w:t>
      </w:r>
      <w:r>
        <w:rPr>
          <w:rFonts w:hAnsi="宋体"/>
          <w:bCs/>
          <w:color w:val="auto"/>
          <w:sz w:val="21"/>
          <w:szCs w:val="21"/>
          <w:highlight w:val="none"/>
        </w:rPr>
        <w:t>原因，不退还</w:t>
      </w:r>
      <w:r>
        <w:rPr>
          <w:rFonts w:hint="eastAsia" w:hAnsi="宋体"/>
          <w:bCs/>
          <w:color w:val="auto"/>
          <w:sz w:val="21"/>
          <w:szCs w:val="21"/>
          <w:highlight w:val="none"/>
        </w:rPr>
        <w:t>磋商响应文件</w:t>
      </w:r>
      <w:r>
        <w:rPr>
          <w:rFonts w:hAnsi="宋体"/>
          <w:bCs/>
          <w:color w:val="auto"/>
          <w:sz w:val="21"/>
          <w:szCs w:val="21"/>
          <w:highlight w:val="none"/>
        </w:rPr>
        <w:t>。</w:t>
      </w:r>
    </w:p>
    <w:p>
      <w:pPr>
        <w:widowControl/>
        <w:shd w:val="clear" w:color="auto" w:fill="FFFFFF"/>
        <w:spacing w:line="480" w:lineRule="exact"/>
        <w:ind w:firstLine="480"/>
        <w:rPr>
          <w:rFonts w:hint="eastAsia" w:hAnsi="宋体"/>
          <w:color w:val="auto"/>
          <w:sz w:val="21"/>
          <w:szCs w:val="21"/>
          <w:highlight w:val="none"/>
        </w:rPr>
      </w:pPr>
    </w:p>
    <w:p>
      <w:pPr>
        <w:pStyle w:val="42"/>
        <w:ind w:left="0" w:leftChars="0" w:firstLine="0"/>
        <w:rPr>
          <w:rFonts w:hint="eastAsia"/>
          <w:color w:val="auto"/>
          <w:highlight w:val="none"/>
        </w:rPr>
      </w:pPr>
    </w:p>
    <w:p>
      <w:pPr>
        <w:pStyle w:val="42"/>
        <w:ind w:left="680"/>
        <w:rPr>
          <w:rFonts w:hint="eastAsia"/>
          <w:color w:val="auto"/>
          <w:highlight w:val="none"/>
        </w:rPr>
      </w:pPr>
      <w:r>
        <w:rPr>
          <w:color w:val="auto"/>
          <w:highlight w:val="none"/>
        </w:rPr>
        <w:br w:type="page"/>
      </w:r>
    </w:p>
    <w:p>
      <w:pPr>
        <w:pStyle w:val="2"/>
        <w:numPr>
          <w:ilvl w:val="0"/>
          <w:numId w:val="4"/>
        </w:numPr>
        <w:spacing w:before="120" w:beforeLines="50" w:after="120" w:afterLines="50" w:line="360" w:lineRule="auto"/>
        <w:jc w:val="center"/>
        <w:rPr>
          <w:rFonts w:ascii="黑体" w:hAnsi="宋体" w:eastAsia="黑体"/>
          <w:color w:val="auto"/>
          <w:sz w:val="32"/>
          <w:szCs w:val="32"/>
          <w:highlight w:val="none"/>
        </w:rPr>
      </w:pPr>
      <w:bookmarkStart w:id="83" w:name="_Toc519072691"/>
      <w:r>
        <w:rPr>
          <w:rFonts w:hint="eastAsia" w:ascii="黑体" w:hAnsi="宋体" w:eastAsia="黑体"/>
          <w:color w:val="auto"/>
          <w:sz w:val="32"/>
          <w:szCs w:val="32"/>
          <w:highlight w:val="none"/>
        </w:rPr>
        <w:t xml:space="preserve"> 合同主要条款</w:t>
      </w:r>
      <w:bookmarkEnd w:id="70"/>
      <w:bookmarkEnd w:id="71"/>
      <w:bookmarkEnd w:id="72"/>
      <w:bookmarkEnd w:id="73"/>
      <w:bookmarkEnd w:id="74"/>
      <w:bookmarkEnd w:id="75"/>
      <w:bookmarkEnd w:id="76"/>
      <w:bookmarkEnd w:id="77"/>
      <w:bookmarkEnd w:id="78"/>
      <w:bookmarkEnd w:id="79"/>
      <w:bookmarkEnd w:id="80"/>
      <w:bookmarkEnd w:id="83"/>
      <w:bookmarkStart w:id="84" w:name="_Toc237193457"/>
      <w:bookmarkStart w:id="85" w:name="_Toc237182505"/>
      <w:bookmarkStart w:id="86" w:name="_Toc237189786"/>
      <w:bookmarkStart w:id="87" w:name="_Toc237340113"/>
      <w:bookmarkStart w:id="88" w:name="_Toc237414014"/>
      <w:bookmarkStart w:id="89" w:name="_Toc237176512"/>
      <w:bookmarkStart w:id="90" w:name="_Toc295910883"/>
      <w:bookmarkStart w:id="91" w:name="_Toc264211077"/>
      <w:bookmarkStart w:id="92" w:name="_Toc237413919"/>
      <w:bookmarkStart w:id="93" w:name="_Toc184785934"/>
      <w:bookmarkStart w:id="94" w:name="_Toc296074346"/>
      <w:bookmarkStart w:id="95" w:name="_Toc256977545"/>
      <w:bookmarkStart w:id="96" w:name="_Toc217289136"/>
      <w:bookmarkStart w:id="97" w:name="_Toc499294825"/>
      <w:bookmarkStart w:id="98" w:name="_Toc265065989"/>
      <w:bookmarkStart w:id="99" w:name="_Toc295737635"/>
    </w:p>
    <w:p>
      <w:pPr>
        <w:pStyle w:val="2"/>
        <w:spacing w:before="120" w:beforeLines="50" w:after="120" w:afterLines="50" w:line="360" w:lineRule="auto"/>
        <w:jc w:val="center"/>
        <w:rPr>
          <w:rFonts w:ascii="黑体" w:hAnsi="宋体" w:eastAsia="黑体"/>
          <w:color w:val="auto"/>
          <w:sz w:val="32"/>
          <w:szCs w:val="32"/>
          <w:highlight w:val="none"/>
        </w:rPr>
      </w:pPr>
      <w:r>
        <w:rPr>
          <w:rFonts w:hint="eastAsia" w:ascii="Times New Roman"/>
          <w:color w:val="auto"/>
          <w:kern w:val="2"/>
          <w:sz w:val="28"/>
          <w:szCs w:val="28"/>
          <w:highlight w:val="none"/>
        </w:rPr>
        <w:t>（以甲、乙双方签订的正式合同为准）</w:t>
      </w:r>
    </w:p>
    <w:p>
      <w:pPr>
        <w:spacing w:line="460" w:lineRule="exact"/>
        <w:ind w:firstLine="420" w:firstLineChars="200"/>
        <w:jc w:val="both"/>
        <w:rPr>
          <w:rFonts w:hint="eastAsia" w:hAnsi="宋体"/>
          <w:color w:val="auto"/>
          <w:sz w:val="21"/>
          <w:szCs w:val="21"/>
          <w:highlight w:val="none"/>
        </w:rPr>
      </w:pPr>
      <w:bookmarkStart w:id="100" w:name="_Toc519072692"/>
      <w:r>
        <w:rPr>
          <w:rFonts w:hAnsi="宋体"/>
          <w:color w:val="auto"/>
          <w:sz w:val="21"/>
          <w:szCs w:val="21"/>
          <w:highlight w:val="none"/>
        </w:rPr>
        <w:t xml:space="preserve">项目名称：                                    </w:t>
      </w:r>
      <w:r>
        <w:rPr>
          <w:rFonts w:hint="eastAsia" w:hAnsi="宋体"/>
          <w:color w:val="auto"/>
          <w:sz w:val="21"/>
          <w:szCs w:val="21"/>
          <w:highlight w:val="none"/>
        </w:rPr>
        <w:t xml:space="preserve">     </w:t>
      </w:r>
    </w:p>
    <w:p>
      <w:pPr>
        <w:spacing w:line="460" w:lineRule="exact"/>
        <w:ind w:firstLine="420" w:firstLineChars="200"/>
        <w:jc w:val="both"/>
        <w:rPr>
          <w:rFonts w:hAnsi="宋体"/>
          <w:color w:val="auto"/>
          <w:sz w:val="21"/>
          <w:szCs w:val="21"/>
          <w:highlight w:val="none"/>
        </w:rPr>
      </w:pPr>
      <w:r>
        <w:rPr>
          <w:rFonts w:hAnsi="宋体"/>
          <w:color w:val="auto"/>
          <w:sz w:val="21"/>
          <w:szCs w:val="21"/>
          <w:highlight w:val="none"/>
        </w:rPr>
        <w:t>项目编号：</w:t>
      </w:r>
    </w:p>
    <w:p>
      <w:pPr>
        <w:spacing w:line="460" w:lineRule="exact"/>
        <w:ind w:firstLine="420" w:firstLineChars="200"/>
        <w:jc w:val="both"/>
        <w:rPr>
          <w:rFonts w:hAnsi="宋体"/>
          <w:color w:val="auto"/>
          <w:sz w:val="21"/>
          <w:szCs w:val="21"/>
          <w:highlight w:val="none"/>
        </w:rPr>
      </w:pPr>
      <w:r>
        <w:rPr>
          <w:rFonts w:hAnsi="宋体"/>
          <w:color w:val="auto"/>
          <w:sz w:val="21"/>
          <w:szCs w:val="21"/>
          <w:highlight w:val="none"/>
        </w:rPr>
        <w:t>甲方（</w:t>
      </w:r>
      <w:r>
        <w:rPr>
          <w:rFonts w:hint="eastAsia" w:hAnsi="宋体"/>
          <w:color w:val="auto"/>
          <w:sz w:val="21"/>
          <w:szCs w:val="21"/>
          <w:highlight w:val="none"/>
        </w:rPr>
        <w:t>采购方</w:t>
      </w:r>
      <w:r>
        <w:rPr>
          <w:rFonts w:hAnsi="宋体"/>
          <w:color w:val="auto"/>
          <w:sz w:val="21"/>
          <w:szCs w:val="21"/>
          <w:highlight w:val="none"/>
        </w:rPr>
        <w:t xml:space="preserve">）： </w:t>
      </w:r>
    </w:p>
    <w:p>
      <w:pPr>
        <w:spacing w:line="460" w:lineRule="exact"/>
        <w:ind w:firstLine="420" w:firstLineChars="200"/>
        <w:jc w:val="both"/>
        <w:rPr>
          <w:rFonts w:hAnsi="宋体"/>
          <w:color w:val="auto"/>
          <w:sz w:val="21"/>
          <w:szCs w:val="21"/>
          <w:highlight w:val="none"/>
        </w:rPr>
      </w:pPr>
      <w:r>
        <w:rPr>
          <w:rFonts w:hAnsi="宋体"/>
          <w:color w:val="auto"/>
          <w:sz w:val="21"/>
          <w:szCs w:val="21"/>
          <w:highlight w:val="none"/>
        </w:rPr>
        <w:t>乙方（</w:t>
      </w:r>
      <w:r>
        <w:rPr>
          <w:rFonts w:hint="eastAsia" w:hAnsi="宋体"/>
          <w:color w:val="auto"/>
          <w:sz w:val="21"/>
          <w:szCs w:val="21"/>
          <w:highlight w:val="none"/>
        </w:rPr>
        <w:t>供应商</w:t>
      </w:r>
      <w:r>
        <w:rPr>
          <w:rFonts w:hAnsi="宋体"/>
          <w:color w:val="auto"/>
          <w:sz w:val="21"/>
          <w:szCs w:val="21"/>
          <w:highlight w:val="none"/>
        </w:rPr>
        <w:t xml:space="preserve">）： </w:t>
      </w:r>
    </w:p>
    <w:p>
      <w:pPr>
        <w:spacing w:line="460" w:lineRule="exact"/>
        <w:ind w:firstLine="420" w:firstLineChars="200"/>
        <w:jc w:val="both"/>
        <w:rPr>
          <w:rFonts w:hAnsi="宋体"/>
          <w:color w:val="auto"/>
          <w:sz w:val="21"/>
          <w:szCs w:val="21"/>
          <w:highlight w:val="none"/>
        </w:rPr>
      </w:pPr>
      <w:r>
        <w:rPr>
          <w:rFonts w:hAnsi="宋体"/>
          <w:color w:val="auto"/>
          <w:sz w:val="21"/>
          <w:szCs w:val="21"/>
          <w:highlight w:val="none"/>
        </w:rPr>
        <w:t xml:space="preserve">    甲、乙双方根据</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项目</w:t>
      </w:r>
      <w:r>
        <w:rPr>
          <w:rFonts w:hint="eastAsia" w:hAnsi="宋体"/>
          <w:color w:val="auto"/>
          <w:kern w:val="2"/>
          <w:sz w:val="21"/>
          <w:highlight w:val="none"/>
        </w:rPr>
        <w:t>公开招标采购</w:t>
      </w:r>
      <w:r>
        <w:rPr>
          <w:rFonts w:hAnsi="宋体"/>
          <w:color w:val="auto"/>
          <w:sz w:val="21"/>
          <w:szCs w:val="21"/>
          <w:highlight w:val="none"/>
        </w:rPr>
        <w:t>的结果，签署本合同。</w:t>
      </w:r>
    </w:p>
    <w:p>
      <w:pPr>
        <w:spacing w:line="460" w:lineRule="exact"/>
        <w:ind w:firstLine="422" w:firstLineChars="200"/>
        <w:jc w:val="both"/>
        <w:rPr>
          <w:rFonts w:hint="eastAsia" w:hAnsi="宋体"/>
          <w:b/>
          <w:color w:val="auto"/>
          <w:sz w:val="21"/>
          <w:szCs w:val="21"/>
          <w:highlight w:val="none"/>
        </w:rPr>
      </w:pPr>
      <w:r>
        <w:rPr>
          <w:rFonts w:hAnsi="宋体"/>
          <w:b/>
          <w:color w:val="auto"/>
          <w:sz w:val="21"/>
          <w:szCs w:val="21"/>
          <w:highlight w:val="none"/>
        </w:rPr>
        <w:t>一、服务内容</w:t>
      </w:r>
      <w:r>
        <w:rPr>
          <w:rFonts w:hint="eastAsia" w:hAnsi="宋体"/>
          <w:b/>
          <w:color w:val="auto"/>
          <w:sz w:val="21"/>
          <w:szCs w:val="21"/>
          <w:highlight w:val="none"/>
        </w:rPr>
        <w:t>：</w:t>
      </w:r>
      <w:r>
        <w:rPr>
          <w:rFonts w:hint="eastAsia" w:hAnsi="宋体"/>
          <w:color w:val="auto"/>
          <w:sz w:val="21"/>
          <w:szCs w:val="21"/>
          <w:highlight w:val="none"/>
          <w:u w:val="single"/>
        </w:rPr>
        <w:t>乙方为甲方提供</w:t>
      </w:r>
      <w:r>
        <w:rPr>
          <w:rFonts w:hint="eastAsia" w:hAnsi="宋体"/>
          <w:color w:val="auto"/>
          <w:spacing w:val="-3"/>
          <w:sz w:val="21"/>
          <w:szCs w:val="21"/>
          <w:highlight w:val="none"/>
          <w:u w:val="single"/>
        </w:rPr>
        <w:t xml:space="preserve">                                      </w:t>
      </w:r>
      <w:r>
        <w:rPr>
          <w:rFonts w:hint="eastAsia" w:hAnsi="宋体"/>
          <w:color w:val="auto"/>
          <w:spacing w:val="-3"/>
          <w:sz w:val="21"/>
          <w:szCs w:val="21"/>
          <w:highlight w:val="none"/>
        </w:rPr>
        <w:t xml:space="preserve"> 。服务范围详见本项目</w:t>
      </w:r>
      <w:r>
        <w:rPr>
          <w:rFonts w:hint="eastAsia" w:hAnsi="宋体"/>
          <w:b/>
          <w:color w:val="auto"/>
          <w:sz w:val="21"/>
          <w:szCs w:val="21"/>
          <w:highlight w:val="none"/>
        </w:rPr>
        <w:t>招标文件</w:t>
      </w:r>
      <w:r>
        <w:rPr>
          <w:rFonts w:hint="eastAsia" w:hAnsi="宋体"/>
          <w:color w:val="auto"/>
          <w:spacing w:val="-3"/>
          <w:sz w:val="21"/>
          <w:szCs w:val="21"/>
          <w:highlight w:val="none"/>
        </w:rPr>
        <w:t>。</w:t>
      </w:r>
      <w:r>
        <w:rPr>
          <w:rFonts w:hint="eastAsia" w:hAnsi="宋体"/>
          <w:color w:val="auto"/>
          <w:sz w:val="21"/>
          <w:szCs w:val="21"/>
          <w:highlight w:val="none"/>
        </w:rPr>
        <w:t xml:space="preserve">                                           </w:t>
      </w:r>
    </w:p>
    <w:p>
      <w:pPr>
        <w:spacing w:line="460" w:lineRule="exact"/>
        <w:ind w:firstLine="422" w:firstLineChars="200"/>
        <w:jc w:val="both"/>
        <w:rPr>
          <w:rFonts w:hAnsi="宋体"/>
          <w:b/>
          <w:color w:val="auto"/>
          <w:sz w:val="21"/>
          <w:szCs w:val="21"/>
          <w:highlight w:val="none"/>
        </w:rPr>
      </w:pPr>
      <w:r>
        <w:rPr>
          <w:rFonts w:hAnsi="宋体"/>
          <w:b/>
          <w:color w:val="auto"/>
          <w:sz w:val="21"/>
          <w:szCs w:val="21"/>
          <w:highlight w:val="none"/>
        </w:rPr>
        <w:t>二、合同金额</w:t>
      </w:r>
    </w:p>
    <w:p>
      <w:pPr>
        <w:spacing w:line="460" w:lineRule="exact"/>
        <w:ind w:firstLine="420" w:firstLineChars="200"/>
        <w:jc w:val="both"/>
        <w:rPr>
          <w:rFonts w:hAnsi="宋体"/>
          <w:color w:val="auto"/>
          <w:sz w:val="21"/>
          <w:szCs w:val="21"/>
          <w:highlight w:val="none"/>
        </w:rPr>
      </w:pPr>
      <w:r>
        <w:rPr>
          <w:rFonts w:hAnsi="宋体"/>
          <w:color w:val="auto"/>
          <w:sz w:val="21"/>
          <w:szCs w:val="21"/>
          <w:highlight w:val="none"/>
        </w:rPr>
        <w:t>本合同</w:t>
      </w:r>
      <w:r>
        <w:rPr>
          <w:rFonts w:hint="eastAsia" w:hAnsi="宋体"/>
          <w:color w:val="auto"/>
          <w:sz w:val="21"/>
          <w:szCs w:val="21"/>
          <w:highlight w:val="none"/>
        </w:rPr>
        <w:t>总</w:t>
      </w:r>
      <w:r>
        <w:rPr>
          <w:rFonts w:hAnsi="宋体"/>
          <w:color w:val="auto"/>
          <w:sz w:val="21"/>
          <w:szCs w:val="21"/>
          <w:highlight w:val="none"/>
        </w:rPr>
        <w:t>金额为（大写）：____________________________________元（￥_______________元）人民币。</w:t>
      </w:r>
    </w:p>
    <w:p>
      <w:pPr>
        <w:spacing w:line="460" w:lineRule="exact"/>
        <w:ind w:firstLine="422" w:firstLineChars="200"/>
        <w:jc w:val="both"/>
        <w:rPr>
          <w:rFonts w:hint="eastAsia" w:hAnsi="宋体"/>
          <w:b/>
          <w:color w:val="auto"/>
          <w:sz w:val="21"/>
          <w:szCs w:val="21"/>
          <w:highlight w:val="none"/>
        </w:rPr>
      </w:pPr>
      <w:r>
        <w:rPr>
          <w:rFonts w:hint="eastAsia" w:hAnsi="宋体"/>
          <w:b/>
          <w:color w:val="auto"/>
          <w:sz w:val="21"/>
          <w:szCs w:val="21"/>
          <w:highlight w:val="none"/>
        </w:rPr>
        <w:t>三、服务要求：满足招标文件的要求。</w:t>
      </w:r>
    </w:p>
    <w:p>
      <w:pPr>
        <w:spacing w:line="460" w:lineRule="exact"/>
        <w:ind w:firstLine="422" w:firstLineChars="200"/>
        <w:jc w:val="both"/>
        <w:rPr>
          <w:rFonts w:hint="eastAsia" w:hAnsi="宋体"/>
          <w:b/>
          <w:color w:val="auto"/>
          <w:sz w:val="21"/>
          <w:szCs w:val="21"/>
          <w:highlight w:val="none"/>
        </w:rPr>
      </w:pPr>
      <w:r>
        <w:rPr>
          <w:rFonts w:hint="eastAsia" w:hAnsi="宋体"/>
          <w:b/>
          <w:color w:val="auto"/>
          <w:sz w:val="21"/>
          <w:szCs w:val="21"/>
          <w:highlight w:val="none"/>
        </w:rPr>
        <w:t>四、成果要求：满足招标文件的要求。</w:t>
      </w:r>
    </w:p>
    <w:p>
      <w:pPr>
        <w:spacing w:line="460" w:lineRule="exact"/>
        <w:ind w:firstLine="422" w:firstLineChars="200"/>
        <w:jc w:val="both"/>
        <w:rPr>
          <w:rFonts w:hint="eastAsia"/>
          <w:color w:val="auto"/>
          <w:highlight w:val="none"/>
        </w:rPr>
      </w:pPr>
      <w:r>
        <w:rPr>
          <w:rFonts w:hint="eastAsia" w:hAnsi="宋体"/>
          <w:b/>
          <w:color w:val="auto"/>
          <w:sz w:val="21"/>
          <w:szCs w:val="21"/>
          <w:highlight w:val="none"/>
        </w:rPr>
        <w:t>五、时间进度要求：满足招标文件的要求。</w:t>
      </w:r>
    </w:p>
    <w:p>
      <w:pPr>
        <w:spacing w:line="460" w:lineRule="exact"/>
        <w:ind w:firstLine="422" w:firstLineChars="200"/>
        <w:jc w:val="both"/>
        <w:rPr>
          <w:rFonts w:hAnsi="宋体"/>
          <w:b/>
          <w:color w:val="auto"/>
          <w:sz w:val="21"/>
          <w:szCs w:val="21"/>
          <w:highlight w:val="none"/>
        </w:rPr>
      </w:pPr>
      <w:r>
        <w:rPr>
          <w:rFonts w:hint="eastAsia" w:hAnsi="宋体"/>
          <w:b/>
          <w:color w:val="auto"/>
          <w:sz w:val="21"/>
          <w:szCs w:val="21"/>
          <w:highlight w:val="none"/>
        </w:rPr>
        <w:t>六</w:t>
      </w:r>
      <w:r>
        <w:rPr>
          <w:rFonts w:hAnsi="宋体"/>
          <w:b/>
          <w:color w:val="auto"/>
          <w:sz w:val="21"/>
          <w:szCs w:val="21"/>
          <w:highlight w:val="none"/>
        </w:rPr>
        <w:t>、知识产权</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乙方应保证提供服务过程中不会侵犯任何第三方的知识产权。</w:t>
      </w:r>
    </w:p>
    <w:p>
      <w:pPr>
        <w:spacing w:line="460" w:lineRule="exact"/>
        <w:ind w:firstLine="420" w:firstLineChars="200"/>
        <w:jc w:val="both"/>
        <w:rPr>
          <w:rFonts w:hint="eastAsia" w:hAnsi="宋体"/>
          <w:b/>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本次项目成果所有权和使用权均属于</w:t>
      </w:r>
      <w:r>
        <w:rPr>
          <w:rFonts w:hint="eastAsia" w:hAnsi="宋体"/>
          <w:color w:val="auto"/>
          <w:sz w:val="21"/>
          <w:szCs w:val="21"/>
          <w:highlight w:val="none"/>
          <w:lang w:bidi="ar"/>
        </w:rPr>
        <w:t>甲方</w:t>
      </w:r>
      <w:r>
        <w:rPr>
          <w:rFonts w:hAnsi="宋体"/>
          <w:color w:val="auto"/>
          <w:sz w:val="21"/>
          <w:szCs w:val="21"/>
          <w:highlight w:val="none"/>
        </w:rPr>
        <w:t>。未经</w:t>
      </w:r>
      <w:r>
        <w:rPr>
          <w:rFonts w:hint="eastAsia" w:hAnsi="宋体"/>
          <w:color w:val="auto"/>
          <w:sz w:val="21"/>
          <w:szCs w:val="21"/>
          <w:highlight w:val="none"/>
        </w:rPr>
        <w:t>甲方</w:t>
      </w:r>
      <w:r>
        <w:rPr>
          <w:rFonts w:hAnsi="宋体"/>
          <w:color w:val="auto"/>
          <w:sz w:val="21"/>
          <w:szCs w:val="21"/>
          <w:highlight w:val="none"/>
        </w:rPr>
        <w:t>书面同意，</w:t>
      </w:r>
      <w:r>
        <w:rPr>
          <w:rFonts w:hint="eastAsia" w:hAnsi="宋体"/>
          <w:color w:val="auto"/>
          <w:sz w:val="21"/>
          <w:szCs w:val="21"/>
          <w:highlight w:val="none"/>
        </w:rPr>
        <w:t>乙方</w:t>
      </w:r>
      <w:r>
        <w:rPr>
          <w:rFonts w:hAnsi="宋体"/>
          <w:color w:val="auto"/>
          <w:sz w:val="21"/>
          <w:szCs w:val="21"/>
          <w:highlight w:val="none"/>
        </w:rPr>
        <w:t>不得向任何单位和个人转让和使用本项目成果</w:t>
      </w:r>
      <w:r>
        <w:rPr>
          <w:rFonts w:hint="eastAsia" w:hAnsi="宋体"/>
          <w:color w:val="auto"/>
          <w:sz w:val="21"/>
          <w:szCs w:val="21"/>
          <w:highlight w:val="none"/>
        </w:rPr>
        <w:t>，</w:t>
      </w:r>
      <w:r>
        <w:rPr>
          <w:rFonts w:hAnsi="宋体"/>
          <w:color w:val="auto"/>
          <w:sz w:val="21"/>
          <w:szCs w:val="21"/>
          <w:highlight w:val="none"/>
        </w:rPr>
        <w:t>否则承担由此产生的一切法律和经济责任。</w:t>
      </w:r>
    </w:p>
    <w:p>
      <w:pPr>
        <w:spacing w:line="460" w:lineRule="exact"/>
        <w:ind w:firstLine="422" w:firstLineChars="200"/>
        <w:jc w:val="both"/>
        <w:rPr>
          <w:rFonts w:hint="eastAsia" w:hAnsi="宋体"/>
          <w:b/>
          <w:color w:val="auto"/>
          <w:sz w:val="21"/>
          <w:szCs w:val="21"/>
          <w:highlight w:val="none"/>
        </w:rPr>
      </w:pPr>
      <w:r>
        <w:rPr>
          <w:rFonts w:hint="eastAsia" w:hAnsi="宋体"/>
          <w:b/>
          <w:color w:val="auto"/>
          <w:sz w:val="21"/>
          <w:szCs w:val="21"/>
          <w:highlight w:val="none"/>
        </w:rPr>
        <w:t>七、转包或分包</w:t>
      </w:r>
    </w:p>
    <w:p>
      <w:pPr>
        <w:spacing w:line="46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乙方不得向他人转让成交项目，也不得将成交项目肢解后分别向他人转让，也不得将成交项目的部分非主体、非关键性工作分包给他人完成。</w:t>
      </w:r>
    </w:p>
    <w:p>
      <w:pPr>
        <w:spacing w:line="460" w:lineRule="exact"/>
        <w:ind w:firstLine="422" w:firstLineChars="200"/>
        <w:jc w:val="both"/>
        <w:rPr>
          <w:rFonts w:hAnsi="宋体"/>
          <w:b/>
          <w:color w:val="auto"/>
          <w:sz w:val="21"/>
          <w:szCs w:val="21"/>
          <w:highlight w:val="none"/>
        </w:rPr>
      </w:pPr>
      <w:r>
        <w:rPr>
          <w:rFonts w:hint="eastAsia" w:hAnsi="宋体"/>
          <w:b/>
          <w:color w:val="auto"/>
          <w:sz w:val="21"/>
          <w:szCs w:val="21"/>
          <w:highlight w:val="none"/>
        </w:rPr>
        <w:t>八</w:t>
      </w:r>
      <w:r>
        <w:rPr>
          <w:rFonts w:hAnsi="宋体"/>
          <w:b/>
          <w:color w:val="auto"/>
          <w:sz w:val="21"/>
          <w:szCs w:val="21"/>
          <w:highlight w:val="none"/>
        </w:rPr>
        <w:t>、合同履行时间、履行方式及履行地点</w:t>
      </w:r>
    </w:p>
    <w:p>
      <w:pPr>
        <w:spacing w:line="46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履行时间：</w:t>
      </w:r>
      <w:r>
        <w:rPr>
          <w:rFonts w:hint="eastAsia" w:hAnsi="宋体"/>
          <w:color w:val="auto"/>
          <w:sz w:val="21"/>
          <w:szCs w:val="21"/>
          <w:highlight w:val="none"/>
          <w:u w:val="single"/>
        </w:rPr>
        <w:t xml:space="preserve">                                    </w:t>
      </w:r>
      <w:r>
        <w:rPr>
          <w:rFonts w:hint="eastAsia" w:hAnsi="宋体"/>
          <w:color w:val="auto"/>
          <w:sz w:val="21"/>
          <w:szCs w:val="21"/>
          <w:highlight w:val="none"/>
        </w:rPr>
        <w:t>。</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履行方式：</w:t>
      </w:r>
      <w:r>
        <w:rPr>
          <w:rFonts w:hint="eastAsia" w:hAnsi="宋体"/>
          <w:color w:val="auto"/>
          <w:sz w:val="21"/>
          <w:szCs w:val="21"/>
          <w:highlight w:val="none"/>
          <w:u w:val="single"/>
        </w:rPr>
        <w:t xml:space="preserve">                                    </w:t>
      </w:r>
      <w:r>
        <w:rPr>
          <w:rFonts w:hint="eastAsia" w:hAnsi="宋体"/>
          <w:color w:val="auto"/>
          <w:sz w:val="21"/>
          <w:szCs w:val="21"/>
          <w:highlight w:val="none"/>
        </w:rPr>
        <w:t>。</w:t>
      </w:r>
    </w:p>
    <w:p>
      <w:pPr>
        <w:spacing w:line="460" w:lineRule="exact"/>
        <w:ind w:firstLine="420" w:firstLineChars="200"/>
        <w:rPr>
          <w:rFonts w:hint="eastAsia" w:hAnsi="宋体"/>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履行地点：</w:t>
      </w:r>
      <w:r>
        <w:rPr>
          <w:rFonts w:hint="eastAsia" w:hAnsi="宋体"/>
          <w:color w:val="auto"/>
          <w:sz w:val="21"/>
          <w:szCs w:val="21"/>
          <w:highlight w:val="none"/>
          <w:u w:val="single"/>
        </w:rPr>
        <w:t xml:space="preserve">                                    </w:t>
      </w:r>
      <w:r>
        <w:rPr>
          <w:rFonts w:hint="eastAsia" w:hAnsi="宋体"/>
          <w:color w:val="auto"/>
          <w:sz w:val="21"/>
          <w:szCs w:val="21"/>
          <w:highlight w:val="none"/>
        </w:rPr>
        <w:t>。</w:t>
      </w:r>
    </w:p>
    <w:p>
      <w:pPr>
        <w:spacing w:line="460" w:lineRule="exact"/>
        <w:ind w:firstLine="420" w:firstLineChars="200"/>
        <w:rPr>
          <w:color w:val="auto"/>
          <w:highlight w:val="none"/>
        </w:rPr>
      </w:pPr>
      <w:r>
        <w:rPr>
          <w:rFonts w:hint="eastAsia" w:hAnsi="宋体"/>
          <w:color w:val="auto"/>
          <w:sz w:val="21"/>
          <w:szCs w:val="21"/>
          <w:highlight w:val="none"/>
        </w:rPr>
        <w:t>4.履约保证金</w:t>
      </w:r>
      <w:r>
        <w:rPr>
          <w:rFonts w:hint="eastAsia" w:hAnsi="宋体"/>
          <w:color w:val="auto"/>
          <w:sz w:val="21"/>
          <w:szCs w:val="21"/>
          <w:highlight w:val="none"/>
          <w:u w:val="single"/>
        </w:rPr>
        <w:t xml:space="preserve">：                                  </w:t>
      </w:r>
      <w:r>
        <w:rPr>
          <w:rFonts w:hint="eastAsia" w:hAnsi="宋体"/>
          <w:color w:val="auto"/>
          <w:sz w:val="21"/>
          <w:szCs w:val="21"/>
          <w:highlight w:val="none"/>
        </w:rPr>
        <w:t>。</w:t>
      </w:r>
    </w:p>
    <w:p>
      <w:pPr>
        <w:spacing w:line="460" w:lineRule="exact"/>
        <w:ind w:firstLine="422" w:firstLineChars="200"/>
        <w:jc w:val="both"/>
        <w:rPr>
          <w:rFonts w:hint="eastAsia" w:hAnsi="宋体"/>
          <w:b/>
          <w:color w:val="auto"/>
          <w:sz w:val="21"/>
          <w:szCs w:val="21"/>
          <w:highlight w:val="none"/>
        </w:rPr>
      </w:pPr>
      <w:r>
        <w:rPr>
          <w:rFonts w:hint="eastAsia" w:hAnsi="宋体"/>
          <w:b/>
          <w:color w:val="auto"/>
          <w:sz w:val="21"/>
          <w:szCs w:val="21"/>
          <w:highlight w:val="none"/>
        </w:rPr>
        <w:t>九</w:t>
      </w:r>
      <w:r>
        <w:rPr>
          <w:rFonts w:hAnsi="宋体"/>
          <w:b/>
          <w:color w:val="auto"/>
          <w:sz w:val="21"/>
          <w:szCs w:val="21"/>
          <w:highlight w:val="none"/>
        </w:rPr>
        <w:t>、付款方式</w:t>
      </w:r>
      <w:r>
        <w:rPr>
          <w:rFonts w:hint="eastAsia" w:hAnsi="宋体"/>
          <w:b/>
          <w:color w:val="auto"/>
          <w:sz w:val="21"/>
          <w:szCs w:val="21"/>
          <w:highlight w:val="none"/>
        </w:rPr>
        <w:t>：满足招标文件的要求。</w:t>
      </w:r>
    </w:p>
    <w:p>
      <w:pPr>
        <w:spacing w:line="460" w:lineRule="exact"/>
        <w:ind w:firstLine="422" w:firstLineChars="200"/>
        <w:jc w:val="both"/>
        <w:rPr>
          <w:rFonts w:hint="eastAsia" w:hAnsi="宋体"/>
          <w:b/>
          <w:color w:val="auto"/>
          <w:sz w:val="21"/>
          <w:szCs w:val="21"/>
          <w:highlight w:val="none"/>
        </w:rPr>
      </w:pPr>
      <w:r>
        <w:rPr>
          <w:rFonts w:hint="eastAsia" w:hAnsi="宋体"/>
          <w:b/>
          <w:color w:val="auto"/>
          <w:sz w:val="21"/>
          <w:szCs w:val="21"/>
          <w:highlight w:val="none"/>
        </w:rPr>
        <w:t>十、税费</w:t>
      </w:r>
    </w:p>
    <w:p>
      <w:pPr>
        <w:spacing w:line="46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本合同执行中相关的一切税费均由乙方负担。</w:t>
      </w:r>
    </w:p>
    <w:p>
      <w:pPr>
        <w:spacing w:line="460" w:lineRule="exact"/>
        <w:ind w:firstLine="422" w:firstLineChars="200"/>
        <w:jc w:val="both"/>
        <w:rPr>
          <w:rFonts w:hAnsi="宋体"/>
          <w:color w:val="auto"/>
          <w:sz w:val="21"/>
          <w:szCs w:val="21"/>
          <w:highlight w:val="none"/>
        </w:rPr>
      </w:pPr>
      <w:r>
        <w:rPr>
          <w:rFonts w:hint="eastAsia" w:hAnsi="宋体"/>
          <w:b/>
          <w:color w:val="auto"/>
          <w:sz w:val="21"/>
          <w:szCs w:val="21"/>
          <w:highlight w:val="none"/>
        </w:rPr>
        <w:t>十一</w:t>
      </w:r>
      <w:r>
        <w:rPr>
          <w:rFonts w:hAnsi="宋体"/>
          <w:b/>
          <w:color w:val="auto"/>
          <w:sz w:val="21"/>
          <w:szCs w:val="21"/>
          <w:highlight w:val="none"/>
        </w:rPr>
        <w:t>、质量保证及后续服务</w:t>
      </w:r>
    </w:p>
    <w:p>
      <w:pPr>
        <w:spacing w:line="46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乙方应按</w:t>
      </w:r>
      <w:r>
        <w:rPr>
          <w:rFonts w:hint="eastAsia" w:hAnsi="宋体"/>
          <w:b/>
          <w:color w:val="auto"/>
          <w:sz w:val="21"/>
          <w:szCs w:val="21"/>
          <w:highlight w:val="none"/>
        </w:rPr>
        <w:t>招标文件</w:t>
      </w:r>
      <w:r>
        <w:rPr>
          <w:rFonts w:hAnsi="宋体"/>
          <w:color w:val="auto"/>
          <w:sz w:val="21"/>
          <w:szCs w:val="21"/>
          <w:highlight w:val="none"/>
        </w:rPr>
        <w:t>规定向甲方提供服务。</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乙方提供的服务成果</w:t>
      </w:r>
      <w:r>
        <w:rPr>
          <w:rFonts w:hint="eastAsia" w:hAnsi="宋体"/>
          <w:color w:val="auto"/>
          <w:sz w:val="21"/>
          <w:szCs w:val="21"/>
          <w:highlight w:val="none"/>
        </w:rPr>
        <w:t>得不到评审专家认可的</w:t>
      </w:r>
      <w:r>
        <w:rPr>
          <w:rFonts w:hAnsi="宋体"/>
          <w:color w:val="auto"/>
          <w:sz w:val="21"/>
          <w:szCs w:val="21"/>
          <w:highlight w:val="none"/>
        </w:rPr>
        <w:t>，乙方应负责免费提供后续服务，直到得到评审专家评审认可为止。对达不到要求者，根据实际情况，经双方协商，可按以下办法处理：</w:t>
      </w:r>
    </w:p>
    <w:p>
      <w:pPr>
        <w:spacing w:line="460" w:lineRule="exact"/>
        <w:ind w:firstLine="315" w:firstLineChars="150"/>
        <w:jc w:val="both"/>
        <w:rPr>
          <w:rFonts w:hint="eastAsia" w:hAnsi="宋体"/>
          <w:color w:val="auto"/>
          <w:sz w:val="21"/>
          <w:szCs w:val="21"/>
          <w:highlight w:val="none"/>
        </w:rPr>
      </w:pPr>
      <w:r>
        <w:rPr>
          <w:rFonts w:hint="eastAsia" w:hAnsi="宋体" w:cs="宋体"/>
          <w:color w:val="auto"/>
          <w:sz w:val="21"/>
          <w:szCs w:val="21"/>
          <w:highlight w:val="none"/>
        </w:rPr>
        <w:t>①</w:t>
      </w:r>
      <w:r>
        <w:rPr>
          <w:rFonts w:hAnsi="宋体"/>
          <w:color w:val="auto"/>
          <w:sz w:val="21"/>
          <w:szCs w:val="21"/>
          <w:highlight w:val="none"/>
        </w:rPr>
        <w:t>重做：由乙方承担所发生的全部费用。</w:t>
      </w:r>
    </w:p>
    <w:p>
      <w:pPr>
        <w:spacing w:line="460" w:lineRule="exact"/>
        <w:ind w:firstLine="315" w:firstLineChars="150"/>
        <w:jc w:val="both"/>
        <w:rPr>
          <w:rFonts w:hAnsi="宋体"/>
          <w:color w:val="auto"/>
          <w:sz w:val="21"/>
          <w:szCs w:val="21"/>
          <w:highlight w:val="none"/>
        </w:rPr>
      </w:pPr>
      <w:r>
        <w:rPr>
          <w:rFonts w:hint="eastAsia" w:hAnsi="宋体" w:cs="宋体"/>
          <w:color w:val="auto"/>
          <w:sz w:val="21"/>
          <w:szCs w:val="21"/>
          <w:highlight w:val="none"/>
        </w:rPr>
        <w:t>②</w:t>
      </w:r>
      <w:r>
        <w:rPr>
          <w:rFonts w:hAnsi="宋体"/>
          <w:color w:val="auto"/>
          <w:sz w:val="21"/>
          <w:szCs w:val="21"/>
          <w:highlight w:val="none"/>
        </w:rPr>
        <w:t>贬值处理：由甲乙双方合议定价。</w:t>
      </w:r>
    </w:p>
    <w:p>
      <w:pPr>
        <w:spacing w:line="460" w:lineRule="exact"/>
        <w:ind w:firstLine="315" w:firstLineChars="150"/>
        <w:jc w:val="both"/>
        <w:rPr>
          <w:rFonts w:hAnsi="宋体"/>
          <w:color w:val="auto"/>
          <w:sz w:val="21"/>
          <w:szCs w:val="21"/>
          <w:highlight w:val="none"/>
        </w:rPr>
      </w:pPr>
      <w:r>
        <w:rPr>
          <w:rFonts w:hint="eastAsia" w:hAnsi="宋体" w:cs="Arial"/>
          <w:color w:val="auto"/>
          <w:sz w:val="21"/>
          <w:szCs w:val="21"/>
          <w:highlight w:val="none"/>
        </w:rPr>
        <w:t>③</w:t>
      </w:r>
      <w:r>
        <w:rPr>
          <w:rFonts w:hAnsi="宋体"/>
          <w:color w:val="auto"/>
          <w:sz w:val="21"/>
          <w:szCs w:val="21"/>
          <w:highlight w:val="none"/>
        </w:rPr>
        <w:t>解除合同。</w:t>
      </w:r>
    </w:p>
    <w:p>
      <w:pPr>
        <w:spacing w:line="46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在</w:t>
      </w:r>
      <w:r>
        <w:rPr>
          <w:rFonts w:hint="eastAsia" w:hAnsi="宋体"/>
          <w:color w:val="auto"/>
          <w:sz w:val="21"/>
          <w:szCs w:val="21"/>
          <w:highlight w:val="none"/>
        </w:rPr>
        <w:t>履约</w:t>
      </w:r>
      <w:r>
        <w:rPr>
          <w:rFonts w:hAnsi="宋体"/>
          <w:color w:val="auto"/>
          <w:sz w:val="21"/>
          <w:szCs w:val="21"/>
          <w:highlight w:val="none"/>
        </w:rPr>
        <w:t>保证期内，乙方应对出现的质量及安全问题负责处理解决并承担一切费用。</w:t>
      </w:r>
    </w:p>
    <w:p>
      <w:pPr>
        <w:spacing w:line="460" w:lineRule="exact"/>
        <w:ind w:firstLine="420" w:firstLineChars="200"/>
        <w:jc w:val="both"/>
        <w:rPr>
          <w:rFonts w:hAnsi="宋体"/>
          <w:color w:val="auto"/>
          <w:sz w:val="21"/>
          <w:szCs w:val="21"/>
          <w:highlight w:val="none"/>
        </w:rPr>
      </w:pPr>
      <w:r>
        <w:rPr>
          <w:rFonts w:hint="eastAsia" w:hAnsi="宋体" w:cs="宋体"/>
          <w:color w:val="auto"/>
          <w:sz w:val="21"/>
          <w:szCs w:val="21"/>
          <w:highlight w:val="none"/>
        </w:rPr>
        <w:t>4.合同履行完毕后，如发现存在缺失、错误或其他原因需对项目成果进行调整或修改的，乙方需负责免费对项目成果进行调整或修改。</w:t>
      </w:r>
    </w:p>
    <w:p>
      <w:pPr>
        <w:spacing w:line="460" w:lineRule="exact"/>
        <w:ind w:firstLine="422" w:firstLineChars="200"/>
        <w:jc w:val="both"/>
        <w:rPr>
          <w:rFonts w:hAnsi="宋体"/>
          <w:b/>
          <w:color w:val="auto"/>
          <w:sz w:val="21"/>
          <w:szCs w:val="21"/>
          <w:highlight w:val="none"/>
        </w:rPr>
      </w:pPr>
      <w:r>
        <w:rPr>
          <w:rFonts w:hAnsi="宋体"/>
          <w:b/>
          <w:color w:val="auto"/>
          <w:sz w:val="21"/>
          <w:szCs w:val="21"/>
          <w:highlight w:val="none"/>
        </w:rPr>
        <w:t>十</w:t>
      </w:r>
      <w:r>
        <w:rPr>
          <w:rFonts w:hint="eastAsia" w:hAnsi="宋体"/>
          <w:b/>
          <w:color w:val="auto"/>
          <w:sz w:val="21"/>
          <w:szCs w:val="21"/>
          <w:highlight w:val="none"/>
        </w:rPr>
        <w:t>二</w:t>
      </w:r>
      <w:r>
        <w:rPr>
          <w:rFonts w:hAnsi="宋体"/>
          <w:b/>
          <w:color w:val="auto"/>
          <w:sz w:val="21"/>
          <w:szCs w:val="21"/>
          <w:highlight w:val="none"/>
        </w:rPr>
        <w:t>、违约责任</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甲方无正当理由拒收接受服务的，甲方向乙方偿付合同款项百分之五作为违约金。</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甲方无故逾期验收和办理款项支付手续的,甲方应按逾期付款总额每日万分之五向乙方支付违约金。</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 xml:space="preserve">乙方逾期提供服务的，每日向甲方支付千分之六违约金。 </w:t>
      </w:r>
    </w:p>
    <w:p>
      <w:pPr>
        <w:spacing w:line="460" w:lineRule="exact"/>
        <w:ind w:firstLine="422" w:firstLineChars="200"/>
        <w:jc w:val="both"/>
        <w:rPr>
          <w:rFonts w:hAnsi="宋体"/>
          <w:b/>
          <w:color w:val="auto"/>
          <w:sz w:val="21"/>
          <w:szCs w:val="21"/>
          <w:highlight w:val="none"/>
        </w:rPr>
      </w:pPr>
      <w:r>
        <w:rPr>
          <w:rFonts w:hint="eastAsia" w:hAnsi="宋体"/>
          <w:b/>
          <w:color w:val="auto"/>
          <w:sz w:val="21"/>
          <w:szCs w:val="21"/>
          <w:highlight w:val="none"/>
        </w:rPr>
        <w:t>十三</w:t>
      </w:r>
      <w:r>
        <w:rPr>
          <w:rFonts w:hAnsi="宋体"/>
          <w:b/>
          <w:color w:val="auto"/>
          <w:sz w:val="21"/>
          <w:szCs w:val="21"/>
          <w:highlight w:val="none"/>
        </w:rPr>
        <w:t>、不可抗力事件处理</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在合同有效期内，任何一方因不可抗力事件导致不能履行合同，则合同履行期可延长，其延长期与不可抗力影响期相同。</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不可抗力事件发生后，应立即通知对方，并寄送有关权威机构出具的证明。</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不可抗力事件延续120天以上，双方应通过友好协商，确定是否继续履行合同。</w:t>
      </w:r>
    </w:p>
    <w:p>
      <w:pPr>
        <w:spacing w:line="460" w:lineRule="exact"/>
        <w:ind w:firstLine="422" w:firstLineChars="200"/>
        <w:jc w:val="both"/>
        <w:rPr>
          <w:rFonts w:hAnsi="宋体"/>
          <w:b/>
          <w:color w:val="auto"/>
          <w:sz w:val="21"/>
          <w:szCs w:val="21"/>
          <w:highlight w:val="none"/>
        </w:rPr>
      </w:pPr>
      <w:r>
        <w:rPr>
          <w:rFonts w:hint="eastAsia" w:hAnsi="宋体"/>
          <w:b/>
          <w:color w:val="auto"/>
          <w:sz w:val="21"/>
          <w:szCs w:val="21"/>
          <w:highlight w:val="none"/>
        </w:rPr>
        <w:t>十四</w:t>
      </w:r>
      <w:r>
        <w:rPr>
          <w:rFonts w:hAnsi="宋体"/>
          <w:b/>
          <w:color w:val="auto"/>
          <w:sz w:val="21"/>
          <w:szCs w:val="21"/>
          <w:highlight w:val="none"/>
        </w:rPr>
        <w:t>、诉讼</w:t>
      </w:r>
    </w:p>
    <w:p>
      <w:pPr>
        <w:spacing w:line="460" w:lineRule="exact"/>
        <w:ind w:firstLine="420" w:firstLineChars="200"/>
        <w:jc w:val="both"/>
        <w:rPr>
          <w:rFonts w:hAnsi="宋体"/>
          <w:color w:val="auto"/>
          <w:sz w:val="21"/>
          <w:szCs w:val="21"/>
          <w:highlight w:val="none"/>
        </w:rPr>
      </w:pPr>
      <w:r>
        <w:rPr>
          <w:rFonts w:hAnsi="宋体"/>
          <w:color w:val="auto"/>
          <w:sz w:val="21"/>
          <w:szCs w:val="21"/>
          <w:highlight w:val="none"/>
        </w:rPr>
        <w:t>双方在执行合同中所发生的一切争议，应通过协商解决。如协商不成，可向合同签订地法院起诉。</w:t>
      </w:r>
    </w:p>
    <w:p>
      <w:pPr>
        <w:spacing w:line="460" w:lineRule="exact"/>
        <w:ind w:firstLine="422" w:firstLineChars="200"/>
        <w:jc w:val="both"/>
        <w:rPr>
          <w:rFonts w:hAnsi="宋体"/>
          <w:b/>
          <w:color w:val="auto"/>
          <w:sz w:val="21"/>
          <w:szCs w:val="21"/>
          <w:highlight w:val="none"/>
        </w:rPr>
      </w:pPr>
      <w:r>
        <w:rPr>
          <w:rFonts w:hint="eastAsia" w:hAnsi="宋体"/>
          <w:b/>
          <w:color w:val="auto"/>
          <w:sz w:val="21"/>
          <w:szCs w:val="21"/>
          <w:highlight w:val="none"/>
        </w:rPr>
        <w:t>十五</w:t>
      </w:r>
      <w:r>
        <w:rPr>
          <w:rFonts w:hAnsi="宋体"/>
          <w:b/>
          <w:color w:val="auto"/>
          <w:sz w:val="21"/>
          <w:szCs w:val="21"/>
          <w:highlight w:val="none"/>
        </w:rPr>
        <w:t>、合同生效及其它</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合同经双方法定代表人或授权委托代理人签字并加盖单位公章后生效。</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本合同未尽事宜，遵照《</w:t>
      </w:r>
      <w:r>
        <w:rPr>
          <w:rFonts w:hint="eastAsia" w:hAnsi="宋体"/>
          <w:color w:val="auto"/>
          <w:sz w:val="21"/>
          <w:szCs w:val="21"/>
          <w:highlight w:val="none"/>
        </w:rPr>
        <w:t>中华人民共和国民法典</w:t>
      </w:r>
      <w:r>
        <w:rPr>
          <w:rFonts w:hAnsi="宋体"/>
          <w:color w:val="auto"/>
          <w:sz w:val="21"/>
          <w:szCs w:val="21"/>
          <w:highlight w:val="none"/>
        </w:rPr>
        <w:t>》有关条文执行。</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本合同正本一式</w:t>
      </w:r>
      <w:r>
        <w:rPr>
          <w:rFonts w:hint="eastAsia" w:hAnsi="宋体"/>
          <w:color w:val="auto"/>
          <w:sz w:val="21"/>
          <w:szCs w:val="21"/>
          <w:highlight w:val="none"/>
        </w:rPr>
        <w:t>六</w:t>
      </w:r>
      <w:r>
        <w:rPr>
          <w:rFonts w:hAnsi="宋体"/>
          <w:color w:val="auto"/>
          <w:sz w:val="21"/>
          <w:szCs w:val="21"/>
          <w:highlight w:val="none"/>
        </w:rPr>
        <w:t>份，具有同等法律效力，甲乙双方各执</w:t>
      </w:r>
      <w:r>
        <w:rPr>
          <w:rFonts w:hint="eastAsia" w:hAnsi="宋体"/>
          <w:color w:val="auto"/>
          <w:sz w:val="21"/>
          <w:szCs w:val="21"/>
          <w:highlight w:val="none"/>
        </w:rPr>
        <w:t>二</w:t>
      </w:r>
      <w:r>
        <w:rPr>
          <w:rFonts w:hAnsi="宋体"/>
          <w:color w:val="auto"/>
          <w:sz w:val="21"/>
          <w:szCs w:val="21"/>
          <w:highlight w:val="none"/>
        </w:rPr>
        <w:t>份；</w:t>
      </w:r>
      <w:r>
        <w:rPr>
          <w:rFonts w:hint="eastAsia" w:hAnsi="宋体"/>
          <w:color w:val="auto"/>
          <w:sz w:val="21"/>
          <w:szCs w:val="21"/>
          <w:highlight w:val="none"/>
        </w:rPr>
        <w:t>采购代理机构二份</w:t>
      </w:r>
      <w:r>
        <w:rPr>
          <w:rFonts w:hAnsi="宋体"/>
          <w:color w:val="auto"/>
          <w:sz w:val="21"/>
          <w:szCs w:val="21"/>
          <w:highlight w:val="none"/>
        </w:rPr>
        <w:t>。</w:t>
      </w:r>
    </w:p>
    <w:tbl>
      <w:tblPr>
        <w:tblStyle w:val="4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7"/>
        <w:gridCol w:w="3428"/>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7" w:hRule="atLeast"/>
        </w:trPr>
        <w:tc>
          <w:tcPr>
            <w:tcW w:w="3427" w:type="dxa"/>
            <w:tcBorders>
              <w:top w:val="single" w:color="auto" w:sz="4" w:space="0"/>
              <w:left w:val="single" w:color="auto" w:sz="4" w:space="0"/>
              <w:right w:val="single" w:color="auto" w:sz="4" w:space="0"/>
            </w:tcBorders>
            <w:noWrap w:val="0"/>
            <w:vAlign w:val="top"/>
          </w:tcPr>
          <w:p>
            <w:pPr>
              <w:spacing w:line="360" w:lineRule="auto"/>
              <w:ind w:right="-170" w:rightChars="-50"/>
              <w:rPr>
                <w:rFonts w:hint="eastAsia" w:hAnsi="宋体"/>
                <w:bCs/>
                <w:color w:val="auto"/>
                <w:sz w:val="21"/>
                <w:szCs w:val="21"/>
                <w:highlight w:val="none"/>
              </w:rPr>
            </w:pPr>
          </w:p>
          <w:p>
            <w:pPr>
              <w:spacing w:line="360" w:lineRule="auto"/>
              <w:ind w:right="-170" w:rightChars="-50"/>
              <w:rPr>
                <w:rFonts w:hint="eastAsia" w:hAnsi="宋体"/>
                <w:bCs/>
                <w:color w:val="auto"/>
                <w:sz w:val="21"/>
                <w:szCs w:val="21"/>
                <w:highlight w:val="none"/>
              </w:rPr>
            </w:pPr>
            <w:r>
              <w:rPr>
                <w:rFonts w:hint="eastAsia" w:hAnsi="宋体"/>
                <w:bCs/>
                <w:color w:val="auto"/>
                <w:sz w:val="21"/>
                <w:szCs w:val="21"/>
                <w:highlight w:val="none"/>
              </w:rPr>
              <w:t>甲方</w:t>
            </w:r>
            <w:r>
              <w:rPr>
                <w:rFonts w:hAnsi="宋体"/>
                <w:bCs/>
                <w:color w:val="auto"/>
                <w:sz w:val="21"/>
                <w:szCs w:val="21"/>
                <w:highlight w:val="none"/>
              </w:rPr>
              <w:t>单位名称（章）：</w:t>
            </w:r>
          </w:p>
          <w:p>
            <w:pPr>
              <w:spacing w:line="360" w:lineRule="auto"/>
              <w:ind w:right="-170" w:rightChars="-50"/>
              <w:rPr>
                <w:rFonts w:hint="eastAsia" w:hAnsi="宋体"/>
                <w:bCs/>
                <w:color w:val="auto"/>
                <w:sz w:val="21"/>
                <w:szCs w:val="21"/>
                <w:highlight w:val="none"/>
              </w:rPr>
            </w:pPr>
            <w:r>
              <w:rPr>
                <w:rFonts w:hAnsi="宋体"/>
                <w:bCs/>
                <w:color w:val="auto"/>
                <w:sz w:val="21"/>
                <w:szCs w:val="21"/>
                <w:highlight w:val="none"/>
              </w:rPr>
              <w:t>单位地址：</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法定代表人：</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委托代理人：</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电 话：</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开户银行：</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帐 号：</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邮政编码：</w:t>
            </w:r>
          </w:p>
        </w:tc>
        <w:tc>
          <w:tcPr>
            <w:tcW w:w="3428" w:type="dxa"/>
            <w:tcBorders>
              <w:top w:val="single" w:color="auto" w:sz="4" w:space="0"/>
              <w:left w:val="single" w:color="auto" w:sz="4" w:space="0"/>
              <w:right w:val="single" w:color="auto" w:sz="4" w:space="0"/>
            </w:tcBorders>
            <w:noWrap w:val="0"/>
            <w:vAlign w:val="top"/>
          </w:tcPr>
          <w:p>
            <w:pPr>
              <w:spacing w:line="360" w:lineRule="auto"/>
              <w:ind w:right="-170" w:rightChars="-50"/>
              <w:rPr>
                <w:rFonts w:hint="eastAsia" w:hAnsi="宋体"/>
                <w:bCs/>
                <w:color w:val="auto"/>
                <w:sz w:val="21"/>
                <w:szCs w:val="21"/>
                <w:highlight w:val="none"/>
              </w:rPr>
            </w:pPr>
          </w:p>
          <w:p>
            <w:pPr>
              <w:spacing w:line="360" w:lineRule="auto"/>
              <w:ind w:right="-170" w:rightChars="-50"/>
              <w:rPr>
                <w:rFonts w:hint="eastAsia" w:hAnsi="宋体"/>
                <w:bCs/>
                <w:color w:val="auto"/>
                <w:sz w:val="21"/>
                <w:szCs w:val="21"/>
                <w:highlight w:val="none"/>
              </w:rPr>
            </w:pPr>
            <w:r>
              <w:rPr>
                <w:rFonts w:hint="eastAsia" w:hAnsi="宋体"/>
                <w:bCs/>
                <w:color w:val="auto"/>
                <w:sz w:val="21"/>
                <w:szCs w:val="21"/>
                <w:highlight w:val="none"/>
              </w:rPr>
              <w:t>乙方</w:t>
            </w:r>
            <w:r>
              <w:rPr>
                <w:rFonts w:hAnsi="宋体"/>
                <w:bCs/>
                <w:color w:val="auto"/>
                <w:sz w:val="21"/>
                <w:szCs w:val="21"/>
                <w:highlight w:val="none"/>
              </w:rPr>
              <w:t>单位名称（章）：</w:t>
            </w:r>
          </w:p>
          <w:p>
            <w:pPr>
              <w:spacing w:line="360" w:lineRule="auto"/>
              <w:ind w:right="-170" w:rightChars="-50"/>
              <w:rPr>
                <w:rFonts w:hint="eastAsia" w:hAnsi="宋体"/>
                <w:bCs/>
                <w:color w:val="auto"/>
                <w:sz w:val="21"/>
                <w:szCs w:val="21"/>
                <w:highlight w:val="none"/>
              </w:rPr>
            </w:pPr>
            <w:r>
              <w:rPr>
                <w:rFonts w:hAnsi="宋体"/>
                <w:bCs/>
                <w:color w:val="auto"/>
                <w:sz w:val="21"/>
                <w:szCs w:val="21"/>
                <w:highlight w:val="none"/>
              </w:rPr>
              <w:t>单位地址：</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法定代表人：</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委托代理人：</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电 话：</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开户银行：</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帐 号：</w:t>
            </w:r>
          </w:p>
          <w:p>
            <w:pPr>
              <w:spacing w:line="360" w:lineRule="auto"/>
              <w:ind w:right="-170" w:rightChars="-50"/>
              <w:rPr>
                <w:rFonts w:hAnsi="宋体"/>
                <w:bCs/>
                <w:color w:val="auto"/>
                <w:sz w:val="21"/>
                <w:szCs w:val="21"/>
                <w:highlight w:val="none"/>
              </w:rPr>
            </w:pPr>
            <w:r>
              <w:rPr>
                <w:rFonts w:hAnsi="宋体"/>
                <w:bCs/>
                <w:color w:val="auto"/>
                <w:sz w:val="21"/>
                <w:szCs w:val="21"/>
                <w:highlight w:val="none"/>
              </w:rPr>
              <w:t>邮政编码：</w:t>
            </w:r>
          </w:p>
        </w:tc>
        <w:tc>
          <w:tcPr>
            <w:tcW w:w="2925" w:type="dxa"/>
            <w:tcBorders>
              <w:top w:val="single" w:color="auto" w:sz="4" w:space="0"/>
              <w:left w:val="single" w:color="auto" w:sz="4" w:space="0"/>
              <w:right w:val="single" w:color="auto" w:sz="4" w:space="0"/>
            </w:tcBorders>
            <w:noWrap w:val="0"/>
            <w:vAlign w:val="top"/>
          </w:tcPr>
          <w:p>
            <w:pPr>
              <w:ind w:right="-170" w:rightChars="-50"/>
              <w:rPr>
                <w:rFonts w:hint="eastAsia" w:hAnsi="宋体"/>
                <w:bCs/>
                <w:color w:val="auto"/>
                <w:sz w:val="21"/>
                <w:szCs w:val="21"/>
                <w:highlight w:val="none"/>
              </w:rPr>
            </w:pPr>
          </w:p>
          <w:p>
            <w:pPr>
              <w:ind w:right="-170" w:rightChars="-50"/>
              <w:rPr>
                <w:rFonts w:hAnsi="宋体"/>
                <w:bCs/>
                <w:color w:val="auto"/>
                <w:sz w:val="21"/>
                <w:szCs w:val="21"/>
                <w:highlight w:val="none"/>
              </w:rPr>
            </w:pPr>
            <w:r>
              <w:rPr>
                <w:rFonts w:hint="eastAsia" w:hAnsi="宋体"/>
                <w:bCs/>
                <w:color w:val="auto"/>
                <w:sz w:val="21"/>
                <w:szCs w:val="21"/>
                <w:highlight w:val="none"/>
              </w:rPr>
              <w:t>采购代理机构</w:t>
            </w:r>
            <w:r>
              <w:rPr>
                <w:rFonts w:hAnsi="宋体"/>
                <w:bCs/>
                <w:color w:val="auto"/>
                <w:sz w:val="21"/>
                <w:szCs w:val="21"/>
                <w:highlight w:val="none"/>
              </w:rPr>
              <w:t>意见：</w:t>
            </w:r>
          </w:p>
          <w:p>
            <w:pPr>
              <w:ind w:right="-170" w:rightChars="-50"/>
              <w:rPr>
                <w:rFonts w:hAnsi="宋体"/>
                <w:bCs/>
                <w:color w:val="auto"/>
                <w:sz w:val="21"/>
                <w:szCs w:val="21"/>
                <w:highlight w:val="none"/>
              </w:rPr>
            </w:pPr>
          </w:p>
          <w:p>
            <w:pPr>
              <w:ind w:right="-170" w:rightChars="-50"/>
              <w:rPr>
                <w:rFonts w:hAnsi="宋体"/>
                <w:bCs/>
                <w:color w:val="auto"/>
                <w:sz w:val="21"/>
                <w:szCs w:val="21"/>
                <w:highlight w:val="none"/>
              </w:rPr>
            </w:pPr>
          </w:p>
          <w:p>
            <w:pPr>
              <w:ind w:right="-170" w:rightChars="-50"/>
              <w:jc w:val="both"/>
              <w:rPr>
                <w:rFonts w:hAnsi="宋体"/>
                <w:bCs/>
                <w:color w:val="auto"/>
                <w:sz w:val="21"/>
                <w:szCs w:val="21"/>
                <w:highlight w:val="none"/>
              </w:rPr>
            </w:pPr>
          </w:p>
          <w:p>
            <w:pPr>
              <w:ind w:right="-170" w:rightChars="-50"/>
              <w:jc w:val="both"/>
              <w:rPr>
                <w:rFonts w:hAnsi="宋体"/>
                <w:bCs/>
                <w:color w:val="auto"/>
                <w:sz w:val="21"/>
                <w:szCs w:val="21"/>
                <w:highlight w:val="none"/>
              </w:rPr>
            </w:pPr>
          </w:p>
          <w:p>
            <w:pPr>
              <w:ind w:right="-170" w:rightChars="-50"/>
              <w:jc w:val="both"/>
              <w:rPr>
                <w:rFonts w:hAnsi="宋体"/>
                <w:bCs/>
                <w:color w:val="auto"/>
                <w:sz w:val="21"/>
                <w:szCs w:val="21"/>
                <w:highlight w:val="none"/>
              </w:rPr>
            </w:pPr>
          </w:p>
          <w:p>
            <w:pPr>
              <w:ind w:right="-170" w:rightChars="-50"/>
              <w:jc w:val="both"/>
              <w:rPr>
                <w:rFonts w:hAnsi="宋体"/>
                <w:bCs/>
                <w:color w:val="auto"/>
                <w:sz w:val="21"/>
                <w:szCs w:val="21"/>
                <w:highlight w:val="none"/>
              </w:rPr>
            </w:pPr>
          </w:p>
          <w:p>
            <w:pPr>
              <w:ind w:right="-170" w:rightChars="-50" w:firstLine="1470" w:firstLineChars="700"/>
              <w:jc w:val="both"/>
              <w:rPr>
                <w:rFonts w:hAnsi="宋体"/>
                <w:bCs/>
                <w:color w:val="auto"/>
                <w:sz w:val="21"/>
                <w:szCs w:val="21"/>
                <w:highlight w:val="none"/>
              </w:rPr>
            </w:pPr>
            <w:r>
              <w:rPr>
                <w:rFonts w:hAnsi="宋体"/>
                <w:bCs/>
                <w:color w:val="auto"/>
                <w:sz w:val="21"/>
                <w:szCs w:val="21"/>
                <w:highlight w:val="none"/>
              </w:rPr>
              <w:t>年  月  日</w:t>
            </w:r>
          </w:p>
        </w:tc>
      </w:tr>
    </w:tbl>
    <w:p>
      <w:pPr>
        <w:rPr>
          <w:rFonts w:hint="eastAsia"/>
          <w:b/>
          <w:color w:val="auto"/>
          <w:sz w:val="21"/>
          <w:szCs w:val="21"/>
          <w:highlight w:val="none"/>
        </w:rPr>
      </w:pPr>
    </w:p>
    <w:p>
      <w:pPr>
        <w:rPr>
          <w:rFonts w:hint="eastAsia"/>
          <w:b/>
          <w:color w:val="auto"/>
          <w:sz w:val="21"/>
          <w:szCs w:val="21"/>
          <w:highlight w:val="none"/>
        </w:rPr>
      </w:pPr>
    </w:p>
    <w:p>
      <w:pPr>
        <w:rPr>
          <w:color w:val="auto"/>
          <w:highlight w:val="none"/>
        </w:rPr>
      </w:pPr>
      <w:r>
        <w:rPr>
          <w:rFonts w:hint="eastAsia"/>
          <w:b/>
          <w:color w:val="auto"/>
          <w:sz w:val="21"/>
          <w:szCs w:val="21"/>
          <w:highlight w:val="none"/>
        </w:rPr>
        <w:t>注：此合同样本仅作参考，采购人、供应商可根据采购项目的实际情况进行修改。</w:t>
      </w:r>
    </w:p>
    <w:p>
      <w:pPr>
        <w:autoSpaceDE/>
        <w:autoSpaceDN/>
        <w:adjustRightInd/>
        <w:spacing w:line="480" w:lineRule="exact"/>
        <w:jc w:val="both"/>
        <w:rPr>
          <w:rFonts w:hint="eastAsia" w:ascii="黑体" w:hAnsi="宋体" w:eastAsia="黑体"/>
          <w:color w:val="auto"/>
          <w:kern w:val="2"/>
          <w:sz w:val="24"/>
          <w:highlight w:val="none"/>
        </w:rPr>
      </w:pPr>
    </w:p>
    <w:p>
      <w:pPr>
        <w:pStyle w:val="2"/>
        <w:keepNext w:val="0"/>
        <w:spacing w:before="120" w:beforeLines="50" w:after="120" w:afterLines="50" w:line="360" w:lineRule="auto"/>
        <w:jc w:val="center"/>
        <w:rPr>
          <w:rFonts w:hint="eastAsia" w:ascii="黑体" w:hAnsi="宋体" w:eastAsia="黑体"/>
          <w:color w:val="auto"/>
          <w:sz w:val="32"/>
          <w:szCs w:val="32"/>
          <w:highlight w:val="none"/>
        </w:rPr>
      </w:pPr>
    </w:p>
    <w:p>
      <w:pPr>
        <w:pStyle w:val="2"/>
        <w:keepNext w:val="0"/>
        <w:spacing w:before="120" w:beforeLines="50" w:after="120" w:afterLines="50" w:line="360" w:lineRule="auto"/>
        <w:jc w:val="center"/>
        <w:rPr>
          <w:rFonts w:hint="eastAsia" w:ascii="黑体" w:hAnsi="宋体" w:eastAsia="黑体"/>
          <w:color w:val="auto"/>
          <w:sz w:val="32"/>
          <w:szCs w:val="32"/>
          <w:highlight w:val="none"/>
        </w:rPr>
      </w:pPr>
    </w:p>
    <w:p>
      <w:pPr>
        <w:pStyle w:val="2"/>
        <w:keepNext w:val="0"/>
        <w:spacing w:before="120" w:beforeLines="50" w:after="120" w:afterLines="50" w:line="360" w:lineRule="auto"/>
        <w:jc w:val="center"/>
        <w:rPr>
          <w:rFonts w:hint="eastAsia" w:ascii="黑体" w:hAnsi="宋体" w:eastAsia="黑体"/>
          <w:color w:val="auto"/>
          <w:sz w:val="32"/>
          <w:szCs w:val="32"/>
          <w:highlight w:val="none"/>
        </w:rPr>
      </w:pPr>
    </w:p>
    <w:p>
      <w:pPr>
        <w:pStyle w:val="2"/>
        <w:keepNext w:val="0"/>
        <w:spacing w:before="120" w:beforeLines="50" w:after="120" w:afterLines="50" w:line="360" w:lineRule="auto"/>
        <w:rPr>
          <w:rFonts w:hint="eastAsia" w:ascii="黑体" w:hAnsi="宋体" w:eastAsia="黑体"/>
          <w:color w:val="auto"/>
          <w:sz w:val="32"/>
          <w:szCs w:val="32"/>
          <w:highlight w:val="none"/>
        </w:rPr>
      </w:pPr>
      <w:r>
        <w:rPr>
          <w:rFonts w:ascii="黑体" w:hAnsi="宋体" w:eastAsia="黑体"/>
          <w:color w:val="auto"/>
          <w:sz w:val="32"/>
          <w:szCs w:val="32"/>
          <w:highlight w:val="none"/>
        </w:rPr>
        <w:br w:type="page"/>
      </w:r>
    </w:p>
    <w:p>
      <w:pPr>
        <w:pStyle w:val="2"/>
        <w:spacing w:before="120" w:beforeLines="50" w:after="120" w:afterLines="50" w:line="360" w:lineRule="auto"/>
        <w:jc w:val="center"/>
        <w:rPr>
          <w:rFonts w:ascii="黑体" w:hAnsi="宋体" w:eastAsia="黑体"/>
          <w:color w:val="auto"/>
          <w:sz w:val="32"/>
          <w:szCs w:val="32"/>
          <w:highlight w:val="none"/>
        </w:rPr>
      </w:pPr>
      <w:r>
        <w:rPr>
          <w:rFonts w:hint="eastAsia" w:ascii="黑体" w:hAnsi="宋体" w:eastAsia="黑体"/>
          <w:color w:val="auto"/>
          <w:sz w:val="32"/>
          <w:szCs w:val="32"/>
          <w:highlight w:val="none"/>
        </w:rPr>
        <w:t xml:space="preserve">第六部分  </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hint="eastAsia" w:ascii="黑体" w:hAnsi="宋体" w:eastAsia="黑体"/>
          <w:color w:val="auto"/>
          <w:sz w:val="32"/>
          <w:szCs w:val="32"/>
          <w:highlight w:val="none"/>
        </w:rPr>
        <w:t>响应文件格式范例</w:t>
      </w:r>
      <w:bookmarkEnd w:id="100"/>
    </w:p>
    <w:p>
      <w:pPr>
        <w:snapToGrid w:val="0"/>
        <w:spacing w:before="120" w:beforeLines="50" w:after="50"/>
        <w:ind w:firstLine="105" w:firstLineChars="50"/>
        <w:rPr>
          <w:rFonts w:hAnsi="宋体"/>
          <w:color w:val="auto"/>
          <w:sz w:val="21"/>
          <w:szCs w:val="21"/>
          <w:highlight w:val="none"/>
        </w:rPr>
      </w:pPr>
      <w:bookmarkStart w:id="101" w:name="_Toc237413920"/>
      <w:bookmarkStart w:id="102" w:name="_Toc499294826"/>
      <w:bookmarkStart w:id="103" w:name="_Toc295910884"/>
      <w:bookmarkStart w:id="104" w:name="_Toc374366051"/>
      <w:bookmarkStart w:id="105" w:name="_Toc265065990"/>
      <w:bookmarkStart w:id="106" w:name="_Toc237193458"/>
      <w:bookmarkStart w:id="107" w:name="_Toc256977546"/>
      <w:bookmarkStart w:id="108" w:name="_Toc217289137"/>
      <w:bookmarkStart w:id="109" w:name="_Toc237340114"/>
      <w:bookmarkStart w:id="110" w:name="_Toc237189787"/>
      <w:bookmarkStart w:id="111" w:name="_Toc184785935"/>
      <w:bookmarkStart w:id="112" w:name="_Toc237414015"/>
      <w:bookmarkStart w:id="113" w:name="_Toc237176513"/>
      <w:bookmarkStart w:id="114" w:name="_Toc295737636"/>
      <w:bookmarkStart w:id="115" w:name="_Toc237182506"/>
      <w:bookmarkStart w:id="116" w:name="_Toc296074347"/>
      <w:bookmarkStart w:id="117" w:name="_Toc264211078"/>
      <w:r>
        <w:rPr>
          <w:rFonts w:hint="eastAsia" w:hAnsi="宋体"/>
          <w:color w:val="auto"/>
          <w:sz w:val="21"/>
          <w:szCs w:val="21"/>
          <w:highlight w:val="none"/>
        </w:rPr>
        <w:t>所有磋商响应文件的外包装封面格式：</w:t>
      </w:r>
      <w:r>
        <w:rPr>
          <w:rFonts w:hAnsi="宋体"/>
          <w:color w:val="auto"/>
          <w:sz w:val="21"/>
          <w:szCs w:val="21"/>
          <w:highlight w:val="none"/>
        </w:rPr>
        <w:t>(</w:t>
      </w:r>
      <w:r>
        <w:rPr>
          <w:rFonts w:hint="eastAsia" w:hAnsi="宋体"/>
          <w:color w:val="auto"/>
          <w:sz w:val="21"/>
          <w:szCs w:val="21"/>
          <w:highlight w:val="none"/>
        </w:rPr>
        <w:t>可选用</w:t>
      </w:r>
      <w:r>
        <w:rPr>
          <w:rFonts w:hAnsi="宋体"/>
          <w:color w:val="auto"/>
          <w:sz w:val="21"/>
          <w:szCs w:val="21"/>
          <w:highlight w:val="none"/>
        </w:rPr>
        <w:t>)</w:t>
      </w:r>
    </w:p>
    <w:p>
      <w:pPr>
        <w:snapToGrid w:val="0"/>
        <w:spacing w:before="120" w:beforeLines="50" w:after="50"/>
        <w:rPr>
          <w:rFonts w:hAnsi="宋体"/>
          <w:color w:val="auto"/>
          <w:sz w:val="21"/>
          <w:szCs w:val="21"/>
          <w:highlight w:val="none"/>
        </w:rPr>
      </w:pPr>
    </w:p>
    <w:p>
      <w:pPr>
        <w:snapToGrid w:val="0"/>
        <w:spacing w:before="120" w:beforeLines="50" w:after="50"/>
        <w:jc w:val="center"/>
        <w:rPr>
          <w:rFonts w:hAnsi="宋体" w:cs="宋体"/>
          <w:color w:val="auto"/>
          <w:sz w:val="21"/>
          <w:szCs w:val="21"/>
          <w:highlight w:val="none"/>
        </w:rPr>
      </w:pPr>
    </w:p>
    <w:p>
      <w:pPr>
        <w:snapToGrid w:val="0"/>
        <w:spacing w:before="120" w:beforeLines="50" w:after="50"/>
        <w:jc w:val="center"/>
        <w:rPr>
          <w:rFonts w:hAnsi="宋体" w:cs="宋体"/>
          <w:color w:val="auto"/>
          <w:sz w:val="30"/>
          <w:szCs w:val="30"/>
          <w:highlight w:val="none"/>
        </w:rPr>
      </w:pPr>
      <w:r>
        <w:rPr>
          <w:rFonts w:hint="eastAsia" w:hAnsi="宋体" w:cs="宋体"/>
          <w:color w:val="auto"/>
          <w:sz w:val="30"/>
          <w:szCs w:val="30"/>
          <w:highlight w:val="none"/>
        </w:rPr>
        <w:t>竞争性磋商响应文件</w:t>
      </w:r>
    </w:p>
    <w:p>
      <w:pPr>
        <w:snapToGrid w:val="0"/>
        <w:spacing w:before="120" w:beforeLines="50" w:after="50"/>
        <w:rPr>
          <w:rFonts w:hAnsi="宋体" w:cs="宋体"/>
          <w:color w:val="auto"/>
          <w:sz w:val="30"/>
          <w:szCs w:val="30"/>
          <w:highlight w:val="none"/>
        </w:rPr>
      </w:pPr>
    </w:p>
    <w:p>
      <w:pPr>
        <w:snapToGrid w:val="0"/>
        <w:spacing w:before="120" w:beforeLines="50" w:after="50"/>
        <w:ind w:left="1676" w:leftChars="140" w:hanging="1200" w:hangingChars="500"/>
        <w:rPr>
          <w:rFonts w:hAnsi="宋体" w:cs="宋体"/>
          <w:color w:val="auto"/>
          <w:sz w:val="24"/>
          <w:szCs w:val="24"/>
          <w:highlight w:val="none"/>
        </w:rPr>
      </w:pPr>
      <w:r>
        <w:rPr>
          <w:rFonts w:hint="eastAsia" w:hAnsi="宋体" w:cs="宋体"/>
          <w:color w:val="auto"/>
          <w:sz w:val="24"/>
          <w:szCs w:val="24"/>
          <w:highlight w:val="none"/>
        </w:rPr>
        <w:t>项目名称：</w:t>
      </w:r>
    </w:p>
    <w:p>
      <w:pPr>
        <w:snapToGrid w:val="0"/>
        <w:spacing w:before="120" w:beforeLines="50" w:after="50"/>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项目编号： </w:t>
      </w:r>
    </w:p>
    <w:p>
      <w:pPr>
        <w:snapToGrid w:val="0"/>
        <w:spacing w:before="120" w:beforeLines="50" w:after="50"/>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磋商响应文件名称：技术商务响应文件或价格响应文件</w:t>
      </w:r>
    </w:p>
    <w:p>
      <w:pPr>
        <w:snapToGrid w:val="0"/>
        <w:spacing w:before="120" w:beforeLines="50" w:after="50"/>
        <w:ind w:firstLine="480" w:firstLineChars="200"/>
        <w:rPr>
          <w:rFonts w:hAnsi="宋体" w:cs="宋体"/>
          <w:color w:val="auto"/>
          <w:sz w:val="24"/>
          <w:szCs w:val="24"/>
          <w:highlight w:val="none"/>
        </w:rPr>
      </w:pPr>
      <w:r>
        <w:rPr>
          <w:rFonts w:hint="eastAsia" w:hAnsi="宋体" w:cs="宋体"/>
          <w:color w:val="auto"/>
          <w:sz w:val="24"/>
          <w:szCs w:val="24"/>
          <w:highlight w:val="none"/>
        </w:rPr>
        <w:t>供应商名称：</w:t>
      </w:r>
    </w:p>
    <w:p>
      <w:pPr>
        <w:snapToGrid w:val="0"/>
        <w:spacing w:before="120" w:beforeLines="50" w:after="50"/>
        <w:ind w:firstLine="480" w:firstLineChars="200"/>
        <w:rPr>
          <w:rFonts w:hAnsi="宋体"/>
          <w:color w:val="auto"/>
          <w:sz w:val="24"/>
          <w:szCs w:val="24"/>
          <w:highlight w:val="none"/>
        </w:rPr>
      </w:pPr>
      <w:r>
        <w:rPr>
          <w:rFonts w:hint="eastAsia" w:hAnsi="宋体"/>
          <w:color w:val="auto"/>
          <w:sz w:val="24"/>
          <w:szCs w:val="24"/>
          <w:highlight w:val="none"/>
        </w:rPr>
        <w:t>供应商地址：</w:t>
      </w:r>
    </w:p>
    <w:p>
      <w:pPr>
        <w:snapToGrid w:val="0"/>
        <w:spacing w:before="120" w:beforeLines="50" w:after="50"/>
        <w:ind w:firstLine="480" w:firstLineChars="200"/>
        <w:rPr>
          <w:rFonts w:hAnsi="宋体"/>
          <w:color w:val="auto"/>
          <w:sz w:val="24"/>
          <w:szCs w:val="24"/>
          <w:highlight w:val="none"/>
        </w:rPr>
      </w:pPr>
      <w:r>
        <w:rPr>
          <w:rFonts w:hint="eastAsia" w:hAnsi="宋体"/>
          <w:color w:val="auto"/>
          <w:sz w:val="24"/>
          <w:szCs w:val="24"/>
          <w:highlight w:val="none"/>
        </w:rPr>
        <w:t>法人或授权代表签字：</w:t>
      </w:r>
    </w:p>
    <w:p>
      <w:pPr>
        <w:snapToGrid w:val="0"/>
        <w:spacing w:before="120" w:beforeLines="50" w:after="50"/>
        <w:ind w:firstLine="480" w:firstLineChars="200"/>
        <w:rPr>
          <w:rFonts w:hAnsi="宋体"/>
          <w:color w:val="auto"/>
          <w:sz w:val="24"/>
          <w:szCs w:val="24"/>
          <w:highlight w:val="none"/>
        </w:rPr>
      </w:pPr>
      <w:r>
        <w:rPr>
          <w:rFonts w:hint="eastAsia" w:hAnsi="宋体"/>
          <w:color w:val="auto"/>
          <w:sz w:val="24"/>
          <w:szCs w:val="24"/>
          <w:highlight w:val="none"/>
        </w:rPr>
        <w:t>联系电话：</w:t>
      </w:r>
    </w:p>
    <w:p>
      <w:pPr>
        <w:snapToGrid w:val="0"/>
        <w:spacing w:before="120" w:beforeLines="50" w:after="50"/>
        <w:ind w:firstLine="480" w:firstLineChars="200"/>
        <w:rPr>
          <w:rFonts w:hAnsi="宋体"/>
          <w:color w:val="auto"/>
          <w:sz w:val="24"/>
          <w:szCs w:val="24"/>
          <w:highlight w:val="none"/>
        </w:rPr>
      </w:pPr>
    </w:p>
    <w:p>
      <w:pPr>
        <w:snapToGrid w:val="0"/>
        <w:spacing w:before="120" w:beforeLines="50" w:after="50"/>
        <w:ind w:firstLine="2160" w:firstLineChars="900"/>
        <w:rPr>
          <w:rFonts w:hAnsi="宋体"/>
          <w:color w:val="auto"/>
          <w:sz w:val="24"/>
          <w:szCs w:val="24"/>
          <w:highlight w:val="none"/>
        </w:rPr>
      </w:pPr>
    </w:p>
    <w:p>
      <w:pPr>
        <w:snapToGrid w:val="0"/>
        <w:spacing w:before="120" w:beforeLines="50" w:after="50"/>
        <w:ind w:firstLine="2160" w:firstLineChars="900"/>
        <w:rPr>
          <w:rFonts w:hAnsi="宋体"/>
          <w:color w:val="auto"/>
          <w:sz w:val="24"/>
          <w:szCs w:val="24"/>
          <w:highlight w:val="none"/>
        </w:rPr>
      </w:pPr>
      <w:r>
        <w:rPr>
          <w:rFonts w:hint="eastAsia" w:hAnsi="宋体"/>
          <w:color w:val="auto"/>
          <w:sz w:val="24"/>
          <w:szCs w:val="24"/>
          <w:highlight w:val="none"/>
        </w:rPr>
        <w:t>在年月日时分之前不得启封</w:t>
      </w:r>
    </w:p>
    <w:p>
      <w:pPr>
        <w:snapToGrid w:val="0"/>
        <w:spacing w:before="120" w:beforeLines="50" w:after="50"/>
        <w:ind w:firstLine="2160" w:firstLineChars="900"/>
        <w:rPr>
          <w:rFonts w:hAnsi="宋体"/>
          <w:color w:val="auto"/>
          <w:sz w:val="24"/>
          <w:szCs w:val="24"/>
          <w:highlight w:val="none"/>
        </w:rPr>
      </w:pPr>
    </w:p>
    <w:p>
      <w:pPr>
        <w:snapToGrid w:val="0"/>
        <w:spacing w:before="120" w:beforeLines="50" w:after="50"/>
        <w:ind w:firstLine="2160" w:firstLineChars="900"/>
        <w:rPr>
          <w:rFonts w:hAnsi="宋体"/>
          <w:color w:val="auto"/>
          <w:sz w:val="24"/>
          <w:szCs w:val="24"/>
          <w:highlight w:val="none"/>
        </w:rPr>
      </w:pPr>
    </w:p>
    <w:p>
      <w:pPr>
        <w:snapToGrid w:val="0"/>
        <w:spacing w:before="120" w:beforeLines="50" w:after="50"/>
        <w:ind w:firstLine="2160" w:firstLineChars="900"/>
        <w:rPr>
          <w:rFonts w:hAnsi="宋体"/>
          <w:color w:val="auto"/>
          <w:sz w:val="24"/>
          <w:szCs w:val="24"/>
          <w:highlight w:val="none"/>
        </w:rPr>
      </w:pPr>
    </w:p>
    <w:p>
      <w:pPr>
        <w:snapToGrid w:val="0"/>
        <w:spacing w:before="50" w:after="50"/>
        <w:rPr>
          <w:rFonts w:hAnsi="宋体"/>
          <w:b/>
          <w:color w:val="auto"/>
          <w:sz w:val="22"/>
          <w:szCs w:val="21"/>
          <w:highlight w:val="none"/>
        </w:rPr>
      </w:pPr>
    </w:p>
    <w:p>
      <w:pPr>
        <w:autoSpaceDE/>
        <w:autoSpaceDN/>
        <w:adjustRightInd/>
        <w:snapToGrid w:val="0"/>
        <w:spacing w:before="50" w:after="50"/>
        <w:ind w:left="720"/>
        <w:textAlignment w:val="auto"/>
        <w:rPr>
          <w:rFonts w:hAnsi="宋体"/>
          <w:b/>
          <w:color w:val="auto"/>
          <w:sz w:val="22"/>
          <w:szCs w:val="21"/>
          <w:highlight w:val="none"/>
        </w:rPr>
      </w:pPr>
      <w:r>
        <w:rPr>
          <w:rFonts w:hAnsi="宋体"/>
          <w:b/>
          <w:color w:val="auto"/>
          <w:sz w:val="22"/>
          <w:szCs w:val="21"/>
          <w:highlight w:val="none"/>
        </w:rPr>
        <w:br w:type="page"/>
      </w:r>
    </w:p>
    <w:p>
      <w:pPr>
        <w:widowControl/>
        <w:snapToGrid w:val="0"/>
        <w:spacing w:before="120" w:after="50"/>
        <w:rPr>
          <w:rFonts w:hint="eastAsia" w:hAnsi="宋体" w:cs="宋体"/>
          <w:b/>
          <w:color w:val="auto"/>
          <w:sz w:val="21"/>
          <w:highlight w:val="none"/>
        </w:rPr>
      </w:pPr>
      <w:bookmarkStart w:id="118" w:name="_Toc302595373"/>
      <w:r>
        <w:rPr>
          <w:rFonts w:hint="eastAsia" w:hAnsi="宋体" w:cs="宋体"/>
          <w:b/>
          <w:color w:val="auto"/>
          <w:sz w:val="24"/>
          <w:highlight w:val="none"/>
        </w:rPr>
        <w:t>（一）资格文件</w:t>
      </w:r>
    </w:p>
    <w:p>
      <w:pPr>
        <w:autoSpaceDE/>
        <w:autoSpaceDN/>
        <w:adjustRightInd/>
        <w:spacing w:line="460" w:lineRule="exact"/>
        <w:ind w:firstLine="482" w:firstLineChars="200"/>
        <w:jc w:val="both"/>
        <w:textAlignment w:val="auto"/>
        <w:rPr>
          <w:rFonts w:hint="eastAsia" w:hAnsi="宋体" w:cs="Arial"/>
          <w:color w:val="auto"/>
          <w:sz w:val="21"/>
          <w:szCs w:val="21"/>
          <w:highlight w:val="none"/>
        </w:rPr>
      </w:pPr>
      <w:r>
        <w:rPr>
          <w:rFonts w:hint="eastAsia" w:hAnsi="宋体" w:cs="宋体"/>
          <w:b/>
          <w:color w:val="auto"/>
          <w:sz w:val="24"/>
          <w:highlight w:val="none"/>
        </w:rPr>
        <w:t xml:space="preserve"> 资格文件目录</w:t>
      </w:r>
    </w:p>
    <w:p>
      <w:pPr>
        <w:autoSpaceDE/>
        <w:autoSpaceDN/>
        <w:adjustRightInd/>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（1）有效期内的营业执照副本</w:t>
      </w:r>
      <w:r>
        <w:rPr>
          <w:rFonts w:hint="eastAsia" w:hAnsi="宋体"/>
          <w:color w:val="auto"/>
          <w:sz w:val="21"/>
          <w:szCs w:val="21"/>
          <w:highlight w:val="none"/>
        </w:rPr>
        <w:t>扫描件或</w:t>
      </w:r>
      <w:r>
        <w:rPr>
          <w:rFonts w:hint="eastAsia" w:hAnsi="宋体" w:cs="宋体"/>
          <w:color w:val="auto"/>
          <w:sz w:val="21"/>
          <w:szCs w:val="21"/>
          <w:highlight w:val="none"/>
        </w:rPr>
        <w:t>复印件；</w:t>
      </w:r>
    </w:p>
    <w:p>
      <w:pPr>
        <w:autoSpaceDE/>
        <w:autoSpaceDN/>
        <w:adjustRightInd/>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（2）</w:t>
      </w:r>
      <w:r>
        <w:rPr>
          <w:rFonts w:hint="eastAsia" w:hAnsi="宋体" w:cs="宋体"/>
          <w:color w:val="auto"/>
          <w:sz w:val="21"/>
          <w:highlight w:val="none"/>
        </w:rPr>
        <w:t>法定代表人授权委托书</w:t>
      </w:r>
      <w:r>
        <w:rPr>
          <w:rFonts w:hint="eastAsia" w:hAnsi="宋体" w:cs="宋体"/>
          <w:color w:val="auto"/>
          <w:sz w:val="21"/>
          <w:szCs w:val="21"/>
          <w:highlight w:val="none"/>
        </w:rPr>
        <w:t>（格式见附件）；</w:t>
      </w:r>
    </w:p>
    <w:p>
      <w:pPr>
        <w:widowControl/>
        <w:autoSpaceDE/>
        <w:autoSpaceDN/>
        <w:adjustRightInd/>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（3）符合参加政府采购活动应当具备的一般条件的承诺函</w:t>
      </w:r>
      <w:r>
        <w:rPr>
          <w:rFonts w:hint="eastAsia" w:hAnsi="宋体" w:cs="宋体"/>
          <w:color w:val="auto"/>
          <w:sz w:val="21"/>
          <w:szCs w:val="21"/>
          <w:highlight w:val="none"/>
        </w:rPr>
        <w:t>（格式见附件）；</w:t>
      </w:r>
    </w:p>
    <w:p>
      <w:pPr>
        <w:widowControl/>
        <w:autoSpaceDE/>
        <w:autoSpaceDN/>
        <w:adjustRightInd/>
        <w:spacing w:line="5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rPr>
        <w:t>（4）落实政府采购政策需满足的资格要求</w:t>
      </w:r>
      <w:r>
        <w:rPr>
          <w:rFonts w:hint="eastAsia" w:hAnsi="宋体" w:cs="宋体"/>
          <w:color w:val="auto"/>
          <w:sz w:val="21"/>
          <w:szCs w:val="21"/>
          <w:highlight w:val="none"/>
        </w:rPr>
        <w:t>（格式见附件）；</w:t>
      </w:r>
    </w:p>
    <w:p>
      <w:pPr>
        <w:autoSpaceDE/>
        <w:autoSpaceDN/>
        <w:adjustRightInd/>
        <w:spacing w:line="460" w:lineRule="exact"/>
        <w:ind w:firstLine="420" w:firstLineChars="200"/>
        <w:jc w:val="both"/>
        <w:textAlignment w:val="auto"/>
        <w:rPr>
          <w:rFonts w:hint="eastAsia" w:hAnsi="宋体" w:cs="Arial"/>
          <w:color w:val="auto"/>
          <w:sz w:val="21"/>
          <w:szCs w:val="21"/>
          <w:highlight w:val="none"/>
        </w:rPr>
      </w:pPr>
    </w:p>
    <w:p>
      <w:pPr>
        <w:autoSpaceDE/>
        <w:autoSpaceDN/>
        <w:adjustRightInd/>
        <w:spacing w:line="460" w:lineRule="exact"/>
        <w:ind w:firstLine="420" w:firstLineChars="200"/>
        <w:jc w:val="both"/>
        <w:textAlignment w:val="auto"/>
        <w:rPr>
          <w:rFonts w:hint="eastAsia" w:hAnsi="宋体" w:cs="Arial"/>
          <w:color w:val="auto"/>
          <w:sz w:val="21"/>
          <w:szCs w:val="21"/>
          <w:highlight w:val="none"/>
        </w:rPr>
      </w:pPr>
    </w:p>
    <w:p>
      <w:pPr>
        <w:autoSpaceDE/>
        <w:autoSpaceDN/>
        <w:adjustRightInd/>
        <w:spacing w:line="460" w:lineRule="exact"/>
        <w:ind w:firstLine="420" w:firstLineChars="200"/>
        <w:jc w:val="both"/>
        <w:textAlignment w:val="auto"/>
        <w:rPr>
          <w:rFonts w:hint="eastAsia" w:hAnsi="宋体" w:cs="Arial"/>
          <w:color w:val="auto"/>
          <w:sz w:val="21"/>
          <w:szCs w:val="21"/>
          <w:highlight w:val="none"/>
        </w:rPr>
      </w:pPr>
    </w:p>
    <w:p>
      <w:pPr>
        <w:autoSpaceDE/>
        <w:autoSpaceDN/>
        <w:adjustRightInd/>
        <w:spacing w:line="460" w:lineRule="exact"/>
        <w:ind w:firstLine="420" w:firstLineChars="200"/>
        <w:jc w:val="both"/>
        <w:textAlignment w:val="auto"/>
        <w:rPr>
          <w:rFonts w:hint="eastAsia" w:hAnsi="宋体" w:cs="Arial"/>
          <w:color w:val="auto"/>
          <w:sz w:val="21"/>
          <w:szCs w:val="21"/>
          <w:highlight w:val="none"/>
        </w:rPr>
      </w:pPr>
    </w:p>
    <w:p>
      <w:pPr>
        <w:autoSpaceDE/>
        <w:autoSpaceDN/>
        <w:adjustRightInd/>
        <w:spacing w:line="460" w:lineRule="exact"/>
        <w:ind w:firstLine="420" w:firstLineChars="200"/>
        <w:jc w:val="both"/>
        <w:textAlignment w:val="auto"/>
        <w:rPr>
          <w:rFonts w:hint="eastAsia" w:hAnsi="宋体" w:cs="Arial"/>
          <w:color w:val="auto"/>
          <w:sz w:val="21"/>
          <w:szCs w:val="21"/>
          <w:highlight w:val="none"/>
        </w:rPr>
      </w:pPr>
    </w:p>
    <w:p>
      <w:pPr>
        <w:autoSpaceDE/>
        <w:autoSpaceDN/>
        <w:adjustRightInd/>
        <w:spacing w:line="460" w:lineRule="exact"/>
        <w:ind w:firstLine="420" w:firstLineChars="200"/>
        <w:jc w:val="both"/>
        <w:textAlignment w:val="auto"/>
        <w:rPr>
          <w:rFonts w:hint="eastAsia" w:hAnsi="宋体" w:cs="Arial"/>
          <w:color w:val="auto"/>
          <w:sz w:val="21"/>
          <w:szCs w:val="21"/>
          <w:highlight w:val="none"/>
        </w:rPr>
      </w:pPr>
    </w:p>
    <w:p>
      <w:pPr>
        <w:autoSpaceDE/>
        <w:autoSpaceDN/>
        <w:adjustRightInd/>
        <w:spacing w:line="460" w:lineRule="exact"/>
        <w:ind w:firstLine="420" w:firstLineChars="200"/>
        <w:jc w:val="both"/>
        <w:textAlignment w:val="auto"/>
        <w:rPr>
          <w:rFonts w:hint="eastAsia" w:hAnsi="宋体" w:cs="Arial"/>
          <w:color w:val="auto"/>
          <w:sz w:val="21"/>
          <w:szCs w:val="21"/>
          <w:highlight w:val="none"/>
        </w:rPr>
      </w:pPr>
    </w:p>
    <w:p>
      <w:pPr>
        <w:autoSpaceDE/>
        <w:autoSpaceDN/>
        <w:adjustRightInd/>
        <w:spacing w:line="460" w:lineRule="exact"/>
        <w:ind w:firstLine="420" w:firstLineChars="200"/>
        <w:jc w:val="both"/>
        <w:textAlignment w:val="auto"/>
        <w:rPr>
          <w:rFonts w:hint="eastAsia" w:hAnsi="宋体" w:cs="Arial"/>
          <w:color w:val="auto"/>
          <w:sz w:val="21"/>
          <w:szCs w:val="21"/>
          <w:highlight w:val="none"/>
        </w:rPr>
      </w:pPr>
    </w:p>
    <w:p>
      <w:pPr>
        <w:snapToGrid w:val="0"/>
        <w:spacing w:before="50" w:after="50"/>
        <w:jc w:val="center"/>
        <w:rPr>
          <w:rFonts w:hint="eastAsia" w:hAnsi="宋体" w:cs="宋体"/>
          <w:b/>
          <w:color w:val="auto"/>
          <w:sz w:val="24"/>
          <w:highlight w:val="none"/>
        </w:rPr>
      </w:pPr>
    </w:p>
    <w:p>
      <w:pPr>
        <w:snapToGrid w:val="0"/>
        <w:spacing w:before="50" w:after="50"/>
        <w:jc w:val="center"/>
        <w:rPr>
          <w:rFonts w:hint="eastAsia" w:hAnsi="宋体" w:cs="宋体"/>
          <w:b/>
          <w:color w:val="auto"/>
          <w:sz w:val="24"/>
          <w:highlight w:val="none"/>
        </w:rPr>
      </w:pPr>
    </w:p>
    <w:p>
      <w:pPr>
        <w:snapToGrid w:val="0"/>
        <w:spacing w:before="50" w:after="50"/>
        <w:jc w:val="center"/>
        <w:rPr>
          <w:rFonts w:hint="eastAsia" w:hAnsi="宋体" w:cs="宋体"/>
          <w:b/>
          <w:color w:val="auto"/>
          <w:sz w:val="24"/>
          <w:highlight w:val="none"/>
        </w:rPr>
      </w:pPr>
      <w:r>
        <w:rPr>
          <w:rFonts w:hAnsi="宋体" w:cs="宋体"/>
          <w:b/>
          <w:color w:val="auto"/>
          <w:sz w:val="24"/>
          <w:highlight w:val="none"/>
        </w:rPr>
        <w:br w:type="page"/>
      </w:r>
    </w:p>
    <w:p>
      <w:pPr>
        <w:autoSpaceDE/>
        <w:autoSpaceDN/>
        <w:adjustRightInd/>
        <w:spacing w:line="500" w:lineRule="exact"/>
        <w:ind w:firstLine="482" w:firstLineChars="200"/>
        <w:textAlignment w:val="auto"/>
        <w:rPr>
          <w:rFonts w:hint="eastAsia" w:hAnsi="宋体" w:cs="宋体"/>
          <w:color w:val="auto"/>
          <w:sz w:val="21"/>
          <w:szCs w:val="21"/>
          <w:highlight w:val="none"/>
        </w:rPr>
      </w:pPr>
      <w:r>
        <w:rPr>
          <w:rFonts w:hint="eastAsia" w:hAnsi="宋体"/>
          <w:b/>
          <w:color w:val="auto"/>
          <w:sz w:val="24"/>
          <w:szCs w:val="24"/>
          <w:highlight w:val="none"/>
        </w:rPr>
        <w:t>1.</w:t>
      </w:r>
      <w:r>
        <w:rPr>
          <w:rFonts w:hint="eastAsia" w:hAnsi="宋体" w:cs="宋体"/>
          <w:color w:val="auto"/>
          <w:sz w:val="21"/>
          <w:szCs w:val="21"/>
          <w:highlight w:val="none"/>
        </w:rPr>
        <w:t>有效期内的营业执照副本</w:t>
      </w:r>
      <w:r>
        <w:rPr>
          <w:rFonts w:hint="eastAsia" w:hAnsi="宋体"/>
          <w:color w:val="auto"/>
          <w:sz w:val="21"/>
          <w:szCs w:val="21"/>
          <w:highlight w:val="none"/>
        </w:rPr>
        <w:t>扫描件或</w:t>
      </w:r>
      <w:r>
        <w:rPr>
          <w:rFonts w:hint="eastAsia" w:hAnsi="宋体" w:cs="宋体"/>
          <w:color w:val="auto"/>
          <w:sz w:val="21"/>
          <w:szCs w:val="21"/>
          <w:highlight w:val="none"/>
        </w:rPr>
        <w:t>复印件；</w:t>
      </w:r>
    </w:p>
    <w:p>
      <w:pPr>
        <w:snapToGrid w:val="0"/>
        <w:spacing w:before="50" w:after="50"/>
        <w:jc w:val="both"/>
        <w:rPr>
          <w:rFonts w:hint="eastAsia" w:hAnsi="宋体" w:cs="宋体"/>
          <w:b/>
          <w:color w:val="auto"/>
          <w:sz w:val="24"/>
          <w:highlight w:val="none"/>
        </w:rPr>
      </w:pPr>
    </w:p>
    <w:p>
      <w:pPr>
        <w:spacing w:line="360" w:lineRule="auto"/>
        <w:jc w:val="both"/>
        <w:rPr>
          <w:rFonts w:hAnsi="宋体"/>
          <w:b/>
          <w:color w:val="auto"/>
          <w:sz w:val="28"/>
          <w:highlight w:val="none"/>
        </w:rPr>
      </w:pPr>
    </w:p>
    <w:p>
      <w:pPr>
        <w:spacing w:line="360" w:lineRule="auto"/>
        <w:ind w:firstLine="482" w:firstLineChars="200"/>
        <w:jc w:val="both"/>
        <w:rPr>
          <w:rFonts w:hAnsi="宋体"/>
          <w:b/>
          <w:color w:val="auto"/>
          <w:sz w:val="24"/>
          <w:szCs w:val="24"/>
          <w:highlight w:val="none"/>
        </w:rPr>
      </w:pPr>
      <w:r>
        <w:rPr>
          <w:rFonts w:hint="eastAsia" w:hAnsi="宋体"/>
          <w:b/>
          <w:color w:val="auto"/>
          <w:sz w:val="24"/>
          <w:szCs w:val="24"/>
          <w:highlight w:val="none"/>
        </w:rPr>
        <w:t>2.法人授权委托书</w:t>
      </w:r>
    </w:p>
    <w:p>
      <w:pPr>
        <w:snapToGrid w:val="0"/>
        <w:spacing w:before="50" w:after="50"/>
        <w:jc w:val="center"/>
        <w:rPr>
          <w:rFonts w:hint="eastAsia" w:hAnsi="宋体" w:cs="宋体"/>
          <w:b/>
          <w:color w:val="auto"/>
          <w:sz w:val="24"/>
          <w:highlight w:val="none"/>
        </w:rPr>
      </w:pPr>
      <w:r>
        <w:rPr>
          <w:rFonts w:hint="eastAsia" w:hAnsi="宋体" w:cs="宋体"/>
          <w:b/>
          <w:color w:val="auto"/>
          <w:sz w:val="24"/>
          <w:highlight w:val="none"/>
        </w:rPr>
        <w:t>2. 法人授权委托书</w:t>
      </w:r>
    </w:p>
    <w:p>
      <w:pPr>
        <w:spacing w:line="360" w:lineRule="auto"/>
        <w:ind w:firstLine="480"/>
        <w:rPr>
          <w:rFonts w:hint="eastAsia" w:hAnsi="宋体" w:cs="宋体"/>
          <w:color w:val="auto"/>
          <w:sz w:val="24"/>
          <w:highlight w:val="none"/>
        </w:rPr>
      </w:pPr>
    </w:p>
    <w:p>
      <w:pPr>
        <w:spacing w:line="360" w:lineRule="auto"/>
        <w:ind w:firstLine="480"/>
        <w:rPr>
          <w:rFonts w:hint="eastAsia" w:hAnsi="宋体" w:cs="宋体"/>
          <w:color w:val="auto"/>
          <w:sz w:val="24"/>
          <w:highlight w:val="none"/>
        </w:rPr>
      </w:pPr>
      <w:r>
        <w:rPr>
          <w:rFonts w:hint="eastAsia" w:hAnsi="宋体" w:cs="宋体"/>
          <w:color w:val="auto"/>
          <w:sz w:val="24"/>
          <w:highlight w:val="none"/>
        </w:rPr>
        <w:t>金华市天盈财务咨询有限公司：</w:t>
      </w:r>
    </w:p>
    <w:p>
      <w:pPr>
        <w:spacing w:line="360" w:lineRule="auto"/>
        <w:ind w:firstLine="480"/>
        <w:rPr>
          <w:rFonts w:hint="eastAsia" w:hAnsi="宋体" w:cs="宋体"/>
          <w:color w:val="auto"/>
          <w:sz w:val="24"/>
          <w:highlight w:val="none"/>
        </w:rPr>
      </w:pPr>
    </w:p>
    <w:p>
      <w:pPr>
        <w:spacing w:line="360" w:lineRule="auto"/>
        <w:ind w:firstLine="480"/>
        <w:rPr>
          <w:rFonts w:hint="eastAsia" w:hAnsi="宋体" w:cs="宋体"/>
          <w:color w:val="auto"/>
          <w:sz w:val="24"/>
          <w:highlight w:val="none"/>
        </w:rPr>
      </w:pPr>
      <w:r>
        <w:rPr>
          <w:rFonts w:hint="eastAsia" w:hAnsi="宋体" w:cs="宋体"/>
          <w:color w:val="auto"/>
          <w:sz w:val="24"/>
          <w:highlight w:val="none"/>
        </w:rPr>
        <w:t>--------------------------------------------------------（</w:t>
      </w:r>
      <w:r>
        <w:rPr>
          <w:rFonts w:hint="eastAsia" w:hAnsi="宋体" w:cs="宋体"/>
          <w:color w:val="auto"/>
          <w:sz w:val="24"/>
          <w:highlight w:val="none"/>
          <w:lang w:eastAsia="zh-CN"/>
        </w:rPr>
        <w:t>响应供应商</w:t>
      </w:r>
      <w:r>
        <w:rPr>
          <w:rFonts w:hint="eastAsia" w:hAnsi="宋体" w:cs="宋体"/>
          <w:color w:val="auto"/>
          <w:sz w:val="24"/>
          <w:highlight w:val="none"/>
        </w:rPr>
        <w:t>名称）法定代表人------------------------授权------------------------------（全权代表姓名）为全权代表，参加贵单位组织的-------------------------------------------招标活动，全权处理招标活动中的一切事宜。</w:t>
      </w:r>
    </w:p>
    <w:p>
      <w:pPr>
        <w:spacing w:line="360" w:lineRule="auto"/>
        <w:ind w:firstLine="480"/>
        <w:rPr>
          <w:rFonts w:hint="eastAsia" w:hAnsi="宋体" w:cs="宋体"/>
          <w:color w:val="auto"/>
          <w:sz w:val="24"/>
          <w:highlight w:val="none"/>
        </w:rPr>
      </w:pPr>
      <w:r>
        <w:rPr>
          <w:rFonts w:hint="eastAsia" w:hAnsi="宋体" w:cs="宋体"/>
          <w:color w:val="auto"/>
          <w:sz w:val="24"/>
          <w:highlight w:val="none"/>
        </w:rPr>
        <w:t>法人代表签字：</w:t>
      </w:r>
    </w:p>
    <w:p>
      <w:pPr>
        <w:spacing w:line="360" w:lineRule="auto"/>
        <w:ind w:firstLine="480"/>
        <w:rPr>
          <w:rFonts w:hint="eastAsia" w:hAnsi="宋体" w:cs="宋体"/>
          <w:color w:val="auto"/>
          <w:sz w:val="24"/>
          <w:highlight w:val="none"/>
        </w:rPr>
      </w:pPr>
    </w:p>
    <w:p>
      <w:pPr>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附：</w:t>
      </w:r>
    </w:p>
    <w:p>
      <w:pPr>
        <w:spacing w:line="360" w:lineRule="auto"/>
        <w:ind w:firstLine="480"/>
        <w:rPr>
          <w:rFonts w:hint="eastAsia" w:hAnsi="宋体" w:cs="宋体"/>
          <w:color w:val="auto"/>
          <w:sz w:val="24"/>
          <w:highlight w:val="none"/>
        </w:rPr>
      </w:pPr>
      <w:r>
        <w:rPr>
          <w:rFonts w:hint="eastAsia" w:hAnsi="宋体" w:cs="宋体"/>
          <w:color w:val="auto"/>
          <w:sz w:val="24"/>
          <w:highlight w:val="none"/>
        </w:rPr>
        <w:t>全权代表姓名：</w:t>
      </w:r>
    </w:p>
    <w:p>
      <w:pPr>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职        务：</w:t>
      </w:r>
    </w:p>
    <w:p>
      <w:pPr>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详细通讯地址：</w:t>
      </w:r>
    </w:p>
    <w:p>
      <w:pPr>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邮政编码：</w:t>
      </w:r>
    </w:p>
    <w:p>
      <w:pPr>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传        真：</w:t>
      </w:r>
    </w:p>
    <w:p>
      <w:pPr>
        <w:snapToGrid w:val="0"/>
        <w:spacing w:before="50" w:after="50"/>
        <w:ind w:firstLine="480" w:firstLineChars="200"/>
        <w:rPr>
          <w:rFonts w:hint="eastAsia" w:hAnsi="宋体" w:cs="宋体"/>
          <w:color w:val="auto"/>
          <w:sz w:val="24"/>
          <w:highlight w:val="none"/>
        </w:rPr>
      </w:pPr>
      <w:r>
        <w:rPr>
          <w:rFonts w:hint="eastAsia" w:hAnsi="宋体" w:cs="宋体"/>
          <w:color w:val="auto"/>
          <w:sz w:val="24"/>
          <w:highlight w:val="none"/>
        </w:rPr>
        <w:t>电        话：</w:t>
      </w:r>
    </w:p>
    <w:p>
      <w:pPr>
        <w:snapToGrid w:val="0"/>
        <w:spacing w:before="50" w:after="50"/>
        <w:ind w:firstLine="480" w:firstLineChars="200"/>
        <w:rPr>
          <w:rFonts w:hint="eastAsia" w:hAnsi="宋体" w:cs="宋体"/>
          <w:color w:val="auto"/>
          <w:sz w:val="24"/>
          <w:highlight w:val="none"/>
        </w:rPr>
      </w:pPr>
    </w:p>
    <w:p>
      <w:pPr>
        <w:spacing w:line="360" w:lineRule="auto"/>
        <w:ind w:firstLine="480"/>
        <w:rPr>
          <w:rFonts w:hint="eastAsia" w:hAnsi="宋体" w:cs="宋体"/>
          <w:color w:val="auto"/>
          <w:sz w:val="24"/>
          <w:highlight w:val="none"/>
        </w:rPr>
      </w:pPr>
      <w:r>
        <w:rPr>
          <w:rFonts w:hint="eastAsia" w:hAnsi="宋体" w:cs="宋体"/>
          <w:color w:val="auto"/>
          <w:sz w:val="24"/>
          <w:highlight w:val="none"/>
        </w:rPr>
        <w:t>法定代表人身份证复印件粘贴处</w:t>
      </w:r>
    </w:p>
    <w:p>
      <w:pPr>
        <w:snapToGrid w:val="0"/>
        <w:spacing w:before="50" w:after="50"/>
        <w:ind w:firstLine="480" w:firstLineChars="200"/>
        <w:rPr>
          <w:rFonts w:hint="eastAsia" w:hAnsi="宋体" w:cs="宋体"/>
          <w:color w:val="auto"/>
          <w:sz w:val="24"/>
          <w:highlight w:val="none"/>
        </w:rPr>
      </w:pPr>
    </w:p>
    <w:p>
      <w:pPr>
        <w:spacing w:line="360" w:lineRule="auto"/>
        <w:ind w:firstLine="480"/>
        <w:rPr>
          <w:rFonts w:hint="eastAsia" w:hAnsi="宋体" w:cs="宋体"/>
          <w:color w:val="auto"/>
          <w:sz w:val="24"/>
          <w:highlight w:val="none"/>
        </w:rPr>
      </w:pPr>
      <w:r>
        <w:rPr>
          <w:rFonts w:hint="eastAsia" w:hAnsi="宋体" w:cs="宋体"/>
          <w:color w:val="auto"/>
          <w:sz w:val="24"/>
          <w:highlight w:val="none"/>
        </w:rPr>
        <w:t>授权代表身份证复印件粘贴处</w:t>
      </w:r>
    </w:p>
    <w:p>
      <w:pPr>
        <w:snapToGrid w:val="0"/>
        <w:spacing w:before="50" w:after="50"/>
        <w:ind w:firstLine="480" w:firstLineChars="200"/>
        <w:rPr>
          <w:rFonts w:hint="eastAsia" w:hAnsi="宋体" w:cs="宋体"/>
          <w:color w:val="auto"/>
          <w:sz w:val="24"/>
          <w:highlight w:val="none"/>
        </w:rPr>
      </w:pPr>
    </w:p>
    <w:p>
      <w:pPr>
        <w:spacing w:line="360" w:lineRule="auto"/>
        <w:ind w:firstLine="4680" w:firstLineChars="1950"/>
        <w:rPr>
          <w:rFonts w:hint="eastAsia" w:hAnsi="宋体" w:cs="宋体"/>
          <w:color w:val="auto"/>
          <w:sz w:val="24"/>
          <w:highlight w:val="none"/>
        </w:rPr>
      </w:pPr>
      <w:r>
        <w:rPr>
          <w:rFonts w:hint="eastAsia" w:hAnsi="宋体" w:cs="宋体"/>
          <w:color w:val="auto"/>
          <w:sz w:val="24"/>
          <w:highlight w:val="none"/>
          <w:lang w:eastAsia="zh-CN"/>
        </w:rPr>
        <w:t>响应供应商</w:t>
      </w:r>
      <w:r>
        <w:rPr>
          <w:rFonts w:hint="eastAsia" w:hAnsi="宋体" w:cs="宋体"/>
          <w:color w:val="auto"/>
          <w:sz w:val="24"/>
          <w:highlight w:val="none"/>
        </w:rPr>
        <w:t>全称（公章）：</w:t>
      </w:r>
    </w:p>
    <w:p>
      <w:pPr>
        <w:snapToGrid w:val="0"/>
        <w:spacing w:before="50" w:after="50"/>
        <w:ind w:firstLine="6360" w:firstLineChars="2650"/>
        <w:rPr>
          <w:rFonts w:hint="eastAsia" w:hAnsi="宋体" w:cs="宋体"/>
          <w:color w:val="auto"/>
          <w:sz w:val="24"/>
          <w:highlight w:val="none"/>
        </w:rPr>
      </w:pPr>
      <w:r>
        <w:rPr>
          <w:rFonts w:hint="eastAsia" w:hAnsi="宋体" w:cs="宋体"/>
          <w:color w:val="auto"/>
          <w:sz w:val="24"/>
          <w:highlight w:val="none"/>
        </w:rPr>
        <w:t xml:space="preserve">日期： 年  月   日   </w:t>
      </w:r>
    </w:p>
    <w:p>
      <w:pPr>
        <w:snapToGrid w:val="0"/>
        <w:spacing w:before="50" w:after="50"/>
        <w:ind w:firstLine="480" w:firstLineChars="200"/>
        <w:rPr>
          <w:rFonts w:hint="eastAsia" w:hAnsi="宋体" w:cs="宋体"/>
          <w:color w:val="auto"/>
          <w:sz w:val="24"/>
          <w:highlight w:val="none"/>
        </w:rPr>
      </w:pPr>
    </w:p>
    <w:p>
      <w:pPr>
        <w:pStyle w:val="42"/>
        <w:ind w:left="680" w:firstLine="480"/>
        <w:rPr>
          <w:rFonts w:hint="eastAsia" w:hAnsi="宋体"/>
          <w:color w:val="auto"/>
          <w:sz w:val="24"/>
          <w:highlight w:val="none"/>
        </w:rPr>
      </w:pPr>
    </w:p>
    <w:p>
      <w:pPr>
        <w:autoSpaceDE/>
        <w:autoSpaceDN/>
        <w:adjustRightInd/>
        <w:spacing w:line="500" w:lineRule="exact"/>
        <w:ind w:firstLine="420" w:firstLineChars="200"/>
        <w:jc w:val="both"/>
        <w:textAlignment w:val="auto"/>
        <w:rPr>
          <w:rFonts w:hint="eastAsia" w:hAnsi="宋体" w:cs="Arial"/>
          <w:color w:val="auto"/>
          <w:sz w:val="21"/>
          <w:szCs w:val="21"/>
          <w:highlight w:val="none"/>
        </w:rPr>
      </w:pPr>
    </w:p>
    <w:p>
      <w:pPr>
        <w:snapToGrid w:val="0"/>
        <w:spacing w:line="360" w:lineRule="auto"/>
        <w:ind w:right="480"/>
        <w:jc w:val="center"/>
        <w:rPr>
          <w:rFonts w:ascii="仿宋_GB2312" w:hAnsi="仿宋" w:eastAsia="仿宋_GB2312" w:cs="仿宋_GB2312"/>
          <w:b/>
          <w:color w:val="auto"/>
          <w:sz w:val="32"/>
          <w:szCs w:val="32"/>
          <w:highlight w:val="none"/>
        </w:rPr>
      </w:pPr>
      <w:r>
        <w:rPr>
          <w:rFonts w:hint="eastAsia" w:hAnsi="宋体" w:cs="宋体"/>
          <w:b/>
          <w:color w:val="auto"/>
          <w:sz w:val="24"/>
          <w:szCs w:val="22"/>
          <w:highlight w:val="none"/>
        </w:rPr>
        <w:t>3.符合参加政府采购活动应当具备的一般条件的承诺函</w:t>
      </w:r>
    </w:p>
    <w:p>
      <w:pPr>
        <w:snapToGrid w:val="0"/>
        <w:spacing w:line="500" w:lineRule="exact"/>
        <w:rPr>
          <w:rFonts w:hint="eastAsia" w:hAnsi="宋体" w:cs="宋体"/>
          <w:color w:val="auto"/>
          <w:sz w:val="21"/>
          <w:szCs w:val="21"/>
          <w:highlight w:val="none"/>
        </w:rPr>
      </w:pPr>
      <w:r>
        <w:rPr>
          <w:rFonts w:hint="eastAsia" w:hAnsi="宋体" w:cs="宋体"/>
          <w:color w:val="auto"/>
          <w:sz w:val="21"/>
          <w:szCs w:val="21"/>
          <w:highlight w:val="none"/>
        </w:rPr>
        <w:t>（采购人）、（采购代理机构）：</w:t>
      </w:r>
    </w:p>
    <w:p>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我方参与（项目名称）【招标编号：（采购编号）】政府采购活动，郑重承诺：</w:t>
      </w:r>
    </w:p>
    <w:p>
      <w:pPr>
        <w:snapToGrid w:val="0"/>
        <w:spacing w:line="500" w:lineRule="exact"/>
        <w:ind w:firstLine="315" w:firstLineChars="150"/>
        <w:rPr>
          <w:rFonts w:hint="eastAsia" w:hAnsi="宋体" w:cs="宋体"/>
          <w:color w:val="auto"/>
          <w:sz w:val="21"/>
          <w:szCs w:val="21"/>
          <w:highlight w:val="none"/>
        </w:rPr>
      </w:pPr>
      <w:r>
        <w:rPr>
          <w:rFonts w:hint="eastAsia" w:hAnsi="宋体" w:cs="宋体"/>
          <w:color w:val="auto"/>
          <w:sz w:val="21"/>
          <w:szCs w:val="21"/>
          <w:highlight w:val="none"/>
        </w:rPr>
        <w:t>（一）具备《中华人民共和国政府采购法》第二十二条第一款规定的条件：</w:t>
      </w:r>
    </w:p>
    <w:p>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1、具有独立承担民事责任的能力；</w:t>
      </w:r>
    </w:p>
    <w:p>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 xml:space="preserve">2、具有良好的商业信誉和健全的财务会计制度； </w:t>
      </w:r>
    </w:p>
    <w:p>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3、具有履行合同所必需的设备和专业技术能力；</w:t>
      </w:r>
    </w:p>
    <w:p>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4、有依法缴纳税收和社会保障资金的良好记录；</w:t>
      </w:r>
    </w:p>
    <w:p>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5、参加政府采购活动前三年内，在经营活动中没有重大违法记录；</w:t>
      </w:r>
    </w:p>
    <w:p>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6、具有法律、行政法规规定的其他条件。</w:t>
      </w:r>
    </w:p>
    <w:p>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（三）不存在以下情况：</w:t>
      </w:r>
    </w:p>
    <w:p>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1、单位负责人为同一人或者存在直接控股、管理关系的不同供应商参加同一合同项下的政府采购活动的；</w:t>
      </w:r>
    </w:p>
    <w:p>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2、为采购项目提供整体设计、规范编制或者项目管理、监理、检测等服务后再参加该采购项目的其他采购活动的。</w:t>
      </w:r>
    </w:p>
    <w:p>
      <w:pPr>
        <w:snapToGrid w:val="0"/>
        <w:spacing w:line="500" w:lineRule="exact"/>
        <w:ind w:firstLine="4830" w:firstLineChars="2300"/>
        <w:rPr>
          <w:rFonts w:hint="eastAsia" w:hAnsi="宋体" w:cs="宋体"/>
          <w:color w:val="auto"/>
          <w:sz w:val="21"/>
          <w:szCs w:val="21"/>
          <w:highlight w:val="none"/>
        </w:rPr>
      </w:pPr>
      <w:r>
        <w:rPr>
          <w:rFonts w:hint="eastAsia" w:hAnsi="宋体" w:cs="宋体"/>
          <w:color w:val="auto"/>
          <w:sz w:val="21"/>
          <w:szCs w:val="21"/>
          <w:highlight w:val="none"/>
          <w:lang w:val="zh-CN"/>
        </w:rPr>
        <w:t>响应供应商名称</w:t>
      </w:r>
      <w:r>
        <w:rPr>
          <w:rFonts w:hint="eastAsia" w:hAnsi="宋体" w:cs="宋体"/>
          <w:color w:val="auto"/>
          <w:sz w:val="21"/>
          <w:szCs w:val="21"/>
          <w:highlight w:val="none"/>
        </w:rPr>
        <w:t>（盖章）</w:t>
      </w:r>
      <w:r>
        <w:rPr>
          <w:rFonts w:hint="eastAsia" w:hAnsi="宋体" w:cs="宋体"/>
          <w:color w:val="auto"/>
          <w:sz w:val="21"/>
          <w:szCs w:val="21"/>
          <w:highlight w:val="none"/>
          <w:lang w:val="zh-CN"/>
        </w:rPr>
        <w:t>：</w:t>
      </w:r>
    </w:p>
    <w:p>
      <w:pPr>
        <w:snapToGrid w:val="0"/>
        <w:spacing w:line="500" w:lineRule="exact"/>
        <w:rPr>
          <w:rFonts w:hint="eastAsia" w:hAnsi="宋体" w:cs="宋体"/>
          <w:color w:val="auto"/>
          <w:sz w:val="21"/>
          <w:szCs w:val="21"/>
          <w:highlight w:val="none"/>
        </w:rPr>
      </w:pPr>
      <w:r>
        <w:rPr>
          <w:rFonts w:hint="eastAsia" w:hAnsi="宋体" w:cs="宋体"/>
          <w:color w:val="auto"/>
          <w:sz w:val="21"/>
          <w:szCs w:val="21"/>
          <w:highlight w:val="none"/>
          <w:lang w:val="zh-CN"/>
        </w:rPr>
        <w:t xml:space="preserve">                        </w:t>
      </w:r>
      <w:r>
        <w:rPr>
          <w:rFonts w:hint="eastAsia" w:hAnsi="宋体" w:cs="宋体"/>
          <w:color w:val="auto"/>
          <w:sz w:val="21"/>
          <w:szCs w:val="21"/>
          <w:highlight w:val="none"/>
        </w:rPr>
        <w:t xml:space="preserve">                      </w:t>
      </w:r>
      <w:r>
        <w:rPr>
          <w:rFonts w:hint="eastAsia" w:hAnsi="宋体" w:cs="宋体"/>
          <w:color w:val="auto"/>
          <w:sz w:val="21"/>
          <w:szCs w:val="21"/>
          <w:highlight w:val="none"/>
          <w:lang w:val="zh-CN"/>
        </w:rPr>
        <w:t>日期</w:t>
      </w:r>
      <w:r>
        <w:rPr>
          <w:rFonts w:hint="eastAsia" w:hAnsi="宋体" w:cs="宋体"/>
          <w:color w:val="auto"/>
          <w:sz w:val="21"/>
          <w:szCs w:val="21"/>
          <w:highlight w:val="none"/>
        </w:rPr>
        <w:t xml:space="preserve">：  年  </w:t>
      </w:r>
      <w:r>
        <w:rPr>
          <w:rFonts w:hint="eastAsia" w:hAnsi="宋体" w:cs="宋体"/>
          <w:color w:val="auto"/>
          <w:sz w:val="21"/>
          <w:szCs w:val="21"/>
          <w:highlight w:val="none"/>
          <w:lang w:val="zh-CN"/>
        </w:rPr>
        <w:t>月</w:t>
      </w:r>
      <w:r>
        <w:rPr>
          <w:rFonts w:hint="eastAsia" w:hAnsi="宋体" w:cs="宋体"/>
          <w:color w:val="auto"/>
          <w:sz w:val="21"/>
          <w:szCs w:val="21"/>
          <w:highlight w:val="none"/>
        </w:rPr>
        <w:t xml:space="preserve">   </w:t>
      </w:r>
      <w:r>
        <w:rPr>
          <w:rFonts w:hint="eastAsia" w:hAnsi="宋体" w:cs="宋体"/>
          <w:color w:val="auto"/>
          <w:sz w:val="21"/>
          <w:szCs w:val="21"/>
          <w:highlight w:val="none"/>
          <w:lang w:val="zh-CN"/>
        </w:rPr>
        <w:t>日</w:t>
      </w:r>
    </w:p>
    <w:p>
      <w:pPr>
        <w:spacing w:line="500" w:lineRule="exact"/>
        <w:rPr>
          <w:color w:val="auto"/>
          <w:sz w:val="24"/>
          <w:szCs w:val="24"/>
          <w:highlight w:val="none"/>
        </w:rPr>
      </w:pPr>
    </w:p>
    <w:p>
      <w:pPr>
        <w:spacing w:line="352" w:lineRule="exact"/>
        <w:jc w:val="center"/>
        <w:rPr>
          <w:rFonts w:hint="eastAsia" w:hAnsi="宋体" w:cs="宋体"/>
          <w:color w:val="auto"/>
          <w:sz w:val="21"/>
          <w:szCs w:val="21"/>
          <w:highlight w:val="none"/>
          <w:lang w:bidi="ar"/>
        </w:rPr>
      </w:pPr>
    </w:p>
    <w:p>
      <w:pPr>
        <w:spacing w:line="352" w:lineRule="exact"/>
        <w:jc w:val="center"/>
        <w:rPr>
          <w:rFonts w:hint="eastAsia" w:hAnsi="宋体" w:cs="宋体"/>
          <w:color w:val="auto"/>
          <w:sz w:val="21"/>
          <w:szCs w:val="21"/>
          <w:highlight w:val="none"/>
          <w:lang w:bidi="ar"/>
        </w:rPr>
      </w:pPr>
    </w:p>
    <w:p>
      <w:pPr>
        <w:spacing w:line="352" w:lineRule="exact"/>
        <w:jc w:val="center"/>
        <w:rPr>
          <w:rFonts w:hint="eastAsia" w:hAnsi="宋体" w:cs="宋体"/>
          <w:color w:val="auto"/>
          <w:sz w:val="21"/>
          <w:szCs w:val="21"/>
          <w:highlight w:val="none"/>
          <w:lang w:bidi="ar"/>
        </w:rPr>
      </w:pPr>
    </w:p>
    <w:p>
      <w:pPr>
        <w:spacing w:line="352" w:lineRule="exact"/>
        <w:jc w:val="center"/>
        <w:rPr>
          <w:rFonts w:hint="eastAsia" w:hAnsi="宋体" w:cs="宋体"/>
          <w:color w:val="auto"/>
          <w:sz w:val="21"/>
          <w:szCs w:val="21"/>
          <w:highlight w:val="none"/>
          <w:lang w:bidi="ar"/>
        </w:rPr>
      </w:pPr>
    </w:p>
    <w:p>
      <w:pPr>
        <w:spacing w:line="352" w:lineRule="exact"/>
        <w:jc w:val="center"/>
        <w:rPr>
          <w:rFonts w:hint="eastAsia" w:hAnsi="宋体" w:cs="宋体"/>
          <w:color w:val="auto"/>
          <w:sz w:val="21"/>
          <w:szCs w:val="21"/>
          <w:highlight w:val="none"/>
          <w:lang w:bidi="ar"/>
        </w:rPr>
      </w:pPr>
    </w:p>
    <w:p>
      <w:pPr>
        <w:spacing w:line="352" w:lineRule="exact"/>
        <w:jc w:val="center"/>
        <w:rPr>
          <w:rFonts w:hint="eastAsia" w:hAnsi="宋体" w:cs="宋体"/>
          <w:color w:val="auto"/>
          <w:sz w:val="21"/>
          <w:szCs w:val="21"/>
          <w:highlight w:val="none"/>
          <w:lang w:bidi="ar"/>
        </w:rPr>
      </w:pPr>
    </w:p>
    <w:p>
      <w:pPr>
        <w:spacing w:line="352" w:lineRule="exact"/>
        <w:jc w:val="center"/>
        <w:rPr>
          <w:rFonts w:hint="eastAsia" w:hAnsi="宋体" w:cs="宋体"/>
          <w:color w:val="auto"/>
          <w:sz w:val="21"/>
          <w:szCs w:val="21"/>
          <w:highlight w:val="none"/>
          <w:lang w:bidi="ar"/>
        </w:rPr>
      </w:pPr>
    </w:p>
    <w:p>
      <w:pPr>
        <w:spacing w:line="352" w:lineRule="exact"/>
        <w:jc w:val="center"/>
        <w:rPr>
          <w:rFonts w:hint="eastAsia" w:hAnsi="宋体" w:cs="宋体"/>
          <w:color w:val="auto"/>
          <w:sz w:val="21"/>
          <w:szCs w:val="21"/>
          <w:highlight w:val="none"/>
          <w:lang w:bidi="ar"/>
        </w:rPr>
      </w:pPr>
    </w:p>
    <w:p>
      <w:pPr>
        <w:spacing w:line="352" w:lineRule="exact"/>
        <w:jc w:val="center"/>
        <w:rPr>
          <w:rFonts w:hint="eastAsia" w:hAnsi="宋体" w:cs="宋体"/>
          <w:color w:val="auto"/>
          <w:sz w:val="21"/>
          <w:szCs w:val="21"/>
          <w:highlight w:val="none"/>
          <w:lang w:bidi="ar"/>
        </w:rPr>
      </w:pPr>
    </w:p>
    <w:p>
      <w:pPr>
        <w:spacing w:line="352" w:lineRule="exact"/>
        <w:jc w:val="center"/>
        <w:rPr>
          <w:rFonts w:hint="eastAsia" w:hAnsi="宋体" w:cs="宋体"/>
          <w:color w:val="auto"/>
          <w:sz w:val="21"/>
          <w:szCs w:val="21"/>
          <w:highlight w:val="none"/>
          <w:lang w:bidi="ar"/>
        </w:rPr>
      </w:pPr>
    </w:p>
    <w:p>
      <w:pPr>
        <w:spacing w:line="352" w:lineRule="exact"/>
        <w:jc w:val="center"/>
        <w:rPr>
          <w:rFonts w:hint="eastAsia" w:hAnsi="宋体" w:cs="宋体"/>
          <w:color w:val="auto"/>
          <w:sz w:val="21"/>
          <w:szCs w:val="21"/>
          <w:highlight w:val="none"/>
          <w:lang w:bidi="ar"/>
        </w:rPr>
      </w:pPr>
    </w:p>
    <w:p>
      <w:pPr>
        <w:spacing w:line="352" w:lineRule="exact"/>
        <w:jc w:val="center"/>
        <w:rPr>
          <w:rFonts w:hint="eastAsia" w:hAnsi="宋体" w:cs="宋体"/>
          <w:color w:val="auto"/>
          <w:sz w:val="21"/>
          <w:szCs w:val="21"/>
          <w:highlight w:val="none"/>
          <w:lang w:bidi="ar"/>
        </w:rPr>
      </w:pPr>
    </w:p>
    <w:p>
      <w:pPr>
        <w:snapToGrid w:val="0"/>
        <w:spacing w:line="360" w:lineRule="auto"/>
        <w:ind w:right="480"/>
        <w:jc w:val="center"/>
        <w:rPr>
          <w:rFonts w:hint="eastAsia" w:hAnsi="宋体" w:cs="宋体"/>
          <w:b/>
          <w:color w:val="auto"/>
          <w:sz w:val="24"/>
          <w:szCs w:val="22"/>
          <w:highlight w:val="none"/>
        </w:rPr>
      </w:pPr>
      <w:r>
        <w:rPr>
          <w:rFonts w:hint="eastAsia" w:hAnsi="宋体" w:cs="宋体"/>
          <w:b/>
          <w:color w:val="auto"/>
          <w:sz w:val="24"/>
          <w:szCs w:val="22"/>
          <w:highlight w:val="none"/>
        </w:rPr>
        <w:t>4.落实政府采购政策需满足的资格要求</w:t>
      </w:r>
    </w:p>
    <w:p>
      <w:pPr>
        <w:spacing w:line="500" w:lineRule="exact"/>
        <w:rPr>
          <w:rFonts w:hint="eastAsia" w:hAnsi="宋体" w:cs="宋体"/>
          <w:b/>
          <w:color w:val="auto"/>
          <w:sz w:val="24"/>
          <w:highlight w:val="none"/>
        </w:rPr>
      </w:pPr>
      <w:r>
        <w:rPr>
          <w:rFonts w:hint="eastAsia" w:hAnsi="宋体" w:cs="宋体"/>
          <w:b/>
          <w:bCs/>
          <w:color w:val="auto"/>
          <w:sz w:val="21"/>
          <w:szCs w:val="21"/>
          <w:highlight w:val="none"/>
        </w:rPr>
        <w:t>本项目专门面向中小企业（包括符合中小企业划分标准的个体工商户）采购，具体要求请详见《政府采购促进中小企业发展管理办法》（财库〔2020〕46号）、《国务院关于印发扎实稳住经济一揽子政策措施的通知》及《浙江省财政厅关于进一步发挥政府采购政策功能全力推动经济稳进提质的通知》等相关规定。此外，监狱企业、残疾人福利性单位在本项目采购活动中视同中小企业</w:t>
      </w:r>
      <w:r>
        <w:rPr>
          <w:rFonts w:hint="eastAsia" w:hAnsi="宋体" w:cs="宋体"/>
          <w:color w:val="auto"/>
          <w:sz w:val="21"/>
          <w:szCs w:val="21"/>
          <w:highlight w:val="none"/>
        </w:rPr>
        <w:t>。</w:t>
      </w:r>
    </w:p>
    <w:p>
      <w:pPr>
        <w:spacing w:line="352" w:lineRule="exact"/>
        <w:jc w:val="both"/>
        <w:rPr>
          <w:rFonts w:hint="eastAsia" w:hAnsi="宋体" w:cs="宋体"/>
          <w:color w:val="auto"/>
          <w:sz w:val="21"/>
          <w:szCs w:val="21"/>
          <w:highlight w:val="none"/>
          <w:lang w:bidi="ar"/>
        </w:rPr>
      </w:pPr>
    </w:p>
    <w:p>
      <w:pPr>
        <w:spacing w:line="352" w:lineRule="exact"/>
        <w:jc w:val="center"/>
        <w:rPr>
          <w:rFonts w:hint="eastAsia" w:hAnsi="宋体" w:cs="宋体"/>
          <w:color w:val="auto"/>
          <w:sz w:val="21"/>
          <w:szCs w:val="21"/>
          <w:highlight w:val="none"/>
          <w:lang w:bidi="ar"/>
        </w:rPr>
      </w:pPr>
    </w:p>
    <w:p>
      <w:pPr>
        <w:spacing w:line="352" w:lineRule="exact"/>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（1）中小企业声明函（工程、服务类）</w:t>
      </w:r>
    </w:p>
    <w:p>
      <w:pPr>
        <w:snapToGrid w:val="0"/>
        <w:spacing w:line="460" w:lineRule="exact"/>
        <w:ind w:firstLine="420" w:firstLineChars="200"/>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pPr>
        <w:snapToGrid w:val="0"/>
        <w:spacing w:line="460" w:lineRule="exact"/>
        <w:ind w:firstLine="420" w:firstLineChars="200"/>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1.（标的名称） ，属于（采购文件中明确的所属行业）； 承建（承接）企业为（企业名称），从业人员    人，营业收入为   万元，资产总额为    万元，属于（中型企业、小型企业、微型企业）； </w:t>
      </w:r>
    </w:p>
    <w:p>
      <w:pPr>
        <w:snapToGrid w:val="0"/>
        <w:spacing w:line="460" w:lineRule="exact"/>
        <w:ind w:firstLine="420" w:firstLineChars="200"/>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2.（标的名称） ，属于（采购文件中明确的所属行业）； 承建（承接）企业为（企业名称），从业人员     人，营业收入为    万元，资产总额为    万元，属于（中型企业、小型企业、微型企业）； </w:t>
      </w:r>
    </w:p>
    <w:p>
      <w:pPr>
        <w:snapToGrid w:val="0"/>
        <w:spacing w:line="460" w:lineRule="exact"/>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w:t>
      </w:r>
    </w:p>
    <w:p>
      <w:pPr>
        <w:snapToGrid w:val="0"/>
        <w:spacing w:line="460" w:lineRule="exact"/>
        <w:ind w:firstLine="420" w:firstLineChars="200"/>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以上企业，不属于大企业的分支机构，不存在控股股东为大企业的情形，也不存在与大企业的负责人为同一人的情形。 </w:t>
      </w:r>
    </w:p>
    <w:p>
      <w:pPr>
        <w:snapToGrid w:val="0"/>
        <w:spacing w:line="460" w:lineRule="exact"/>
        <w:ind w:firstLine="420" w:firstLineChars="200"/>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本企业对上述声明内容的真实性负责。如有虚假，将依法承担相应责任。 </w:t>
      </w:r>
    </w:p>
    <w:p>
      <w:pPr>
        <w:snapToGrid w:val="0"/>
        <w:spacing w:line="460" w:lineRule="exact"/>
        <w:ind w:firstLine="210" w:firstLineChars="100"/>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企业名称（盖章）： </w:t>
      </w:r>
    </w:p>
    <w:p>
      <w:pPr>
        <w:snapToGrid w:val="0"/>
        <w:spacing w:line="460" w:lineRule="exact"/>
        <w:ind w:firstLine="210" w:firstLineChars="100"/>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日 期： </w:t>
      </w:r>
    </w:p>
    <w:p>
      <w:pPr>
        <w:snapToGrid w:val="0"/>
        <w:spacing w:line="460" w:lineRule="exact"/>
        <w:ind w:firstLine="422" w:firstLineChars="200"/>
        <w:rPr>
          <w:rFonts w:hint="eastAsia" w:hAnsi="宋体" w:cs="宋体"/>
          <w:b/>
          <w:color w:val="auto"/>
          <w:kern w:val="2"/>
          <w:sz w:val="21"/>
          <w:szCs w:val="21"/>
          <w:highlight w:val="none"/>
        </w:rPr>
      </w:pPr>
    </w:p>
    <w:p>
      <w:pPr>
        <w:snapToGrid w:val="0"/>
        <w:spacing w:line="460" w:lineRule="exact"/>
        <w:rPr>
          <w:rFonts w:hint="eastAsia" w:hAnsi="宋体" w:cs="宋体"/>
          <w:color w:val="auto"/>
          <w:kern w:val="2"/>
          <w:sz w:val="21"/>
          <w:szCs w:val="21"/>
          <w:highlight w:val="none"/>
        </w:rPr>
      </w:pPr>
      <w:r>
        <w:rPr>
          <w:rFonts w:hint="eastAsia" w:hAnsi="宋体" w:cs="宋体"/>
          <w:b/>
          <w:color w:val="auto"/>
          <w:kern w:val="2"/>
          <w:sz w:val="21"/>
          <w:szCs w:val="21"/>
          <w:highlight w:val="none"/>
        </w:rPr>
        <w:t>填报说明：</w:t>
      </w:r>
      <w:r>
        <w:rPr>
          <w:rFonts w:hint="eastAsia" w:hAnsi="宋体" w:cs="宋体"/>
          <w:color w:val="auto"/>
          <w:kern w:val="2"/>
          <w:sz w:val="21"/>
          <w:szCs w:val="21"/>
          <w:highlight w:val="none"/>
        </w:rPr>
        <w:t>①本声明函中“从业人员”、“营业收入”、“资产总额”填报上一年度数据，无上一年度数据的新成立企业可不填报。</w:t>
      </w:r>
    </w:p>
    <w:p>
      <w:pPr>
        <w:snapToGrid w:val="0"/>
        <w:spacing w:line="460" w:lineRule="exact"/>
        <w:ind w:firstLine="1050" w:firstLineChars="500"/>
        <w:rPr>
          <w:rFonts w:hint="eastAsia" w:hAnsi="宋体" w:cs="宋体"/>
          <w:color w:val="auto"/>
          <w:kern w:val="2"/>
          <w:sz w:val="21"/>
          <w:szCs w:val="21"/>
          <w:highlight w:val="none"/>
        </w:rPr>
      </w:pPr>
      <w:r>
        <w:rPr>
          <w:rFonts w:hint="eastAsia" w:hAnsi="宋体" w:cs="宋体"/>
          <w:color w:val="auto"/>
          <w:kern w:val="2"/>
          <w:sz w:val="21"/>
          <w:szCs w:val="21"/>
          <w:highlight w:val="none"/>
        </w:rPr>
        <w:t>②本项目采购标的对应的中小企业划分标准所属行业为《中小企业划型标准规定》（工信部联企业〔2011〕300号）中的“</w:t>
      </w:r>
      <w:r>
        <w:rPr>
          <w:rFonts w:hAnsi="宋体" w:cs="宋体"/>
          <w:color w:val="auto"/>
          <w:kern w:val="2"/>
          <w:sz w:val="21"/>
          <w:szCs w:val="21"/>
          <w:highlight w:val="none"/>
        </w:rPr>
        <w:t>软件和信息技术服务业</w:t>
      </w:r>
      <w:r>
        <w:rPr>
          <w:rFonts w:hint="eastAsia" w:hAnsi="宋体" w:cs="宋体"/>
          <w:color w:val="auto"/>
          <w:kern w:val="2"/>
          <w:sz w:val="21"/>
          <w:szCs w:val="21"/>
          <w:highlight w:val="none"/>
        </w:rPr>
        <w:t>”（</w:t>
      </w:r>
      <w:r>
        <w:rPr>
          <w:rFonts w:hint="eastAsia" w:hAnsi="宋体" w:cs="宋体"/>
          <w:color w:val="auto"/>
          <w:kern w:val="2"/>
          <w:sz w:val="21"/>
          <w:szCs w:val="21"/>
          <w:highlight w:val="none"/>
          <w:u w:val="single"/>
        </w:rPr>
        <w:t xml:space="preserve">                          </w:t>
      </w:r>
      <w:r>
        <w:rPr>
          <w:rFonts w:hAnsi="宋体" w:cs="宋体"/>
          <w:color w:val="auto"/>
          <w:kern w:val="2"/>
          <w:sz w:val="21"/>
          <w:szCs w:val="21"/>
          <w:highlight w:val="none"/>
        </w:rPr>
        <w:t>。</w:t>
      </w:r>
      <w:r>
        <w:rPr>
          <w:rFonts w:hint="eastAsia" w:hAnsi="宋体" w:cs="宋体"/>
          <w:color w:val="auto"/>
          <w:kern w:val="2"/>
          <w:sz w:val="21"/>
          <w:szCs w:val="21"/>
          <w:highlight w:val="none"/>
        </w:rPr>
        <w:t>）。</w:t>
      </w:r>
    </w:p>
    <w:p>
      <w:pPr>
        <w:snapToGrid w:val="0"/>
        <w:spacing w:line="460" w:lineRule="exact"/>
        <w:ind w:firstLine="1050" w:firstLineChars="500"/>
        <w:rPr>
          <w:rFonts w:hAnsi="宋体" w:cs="宋体"/>
          <w:color w:val="auto"/>
          <w:kern w:val="2"/>
          <w:sz w:val="21"/>
          <w:szCs w:val="21"/>
          <w:highlight w:val="none"/>
        </w:rPr>
      </w:pPr>
      <w:r>
        <w:rPr>
          <w:rFonts w:hint="eastAsia" w:hAnsi="宋体" w:cs="宋体"/>
          <w:color w:val="auto"/>
          <w:kern w:val="2"/>
          <w:sz w:val="21"/>
          <w:szCs w:val="21"/>
          <w:highlight w:val="none"/>
        </w:rPr>
        <w:t>③</w:t>
      </w:r>
      <w:r>
        <w:rPr>
          <w:rFonts w:hint="eastAsia" w:hAnsi="宋体" w:cs="宋体"/>
          <w:color w:val="auto"/>
          <w:kern w:val="2"/>
          <w:sz w:val="21"/>
          <w:szCs w:val="21"/>
          <w:highlight w:val="none"/>
          <w:lang w:eastAsia="zh-CN"/>
        </w:rPr>
        <w:t>响应供应商</w:t>
      </w:r>
      <w:r>
        <w:rPr>
          <w:rFonts w:hint="eastAsia" w:hAnsi="宋体" w:cs="宋体"/>
          <w:color w:val="auto"/>
          <w:kern w:val="2"/>
          <w:sz w:val="21"/>
          <w:szCs w:val="21"/>
          <w:highlight w:val="none"/>
        </w:rPr>
        <w:t>应当按照《政府采购促进中小企业发展管理办法》规定和《中小企业划型标准规定》（工信部联企业〔2011〕300号），如实填写并提交《中小企业声明函》，对其声明内容的真实性负责，声明函内容不实的，属于提供虚假材料谋取中标、成交，将依照《中华人民共和国政府采购法》等国家有关规定追究相应责任。</w:t>
      </w:r>
    </w:p>
    <w:p>
      <w:pPr>
        <w:spacing w:line="458" w:lineRule="exact"/>
        <w:jc w:val="center"/>
        <w:rPr>
          <w:rFonts w:hAnsi="宋体" w:cs="宋体"/>
          <w:color w:val="auto"/>
          <w:sz w:val="21"/>
          <w:szCs w:val="21"/>
          <w:highlight w:val="none"/>
        </w:rPr>
      </w:pPr>
      <w:r>
        <w:rPr>
          <w:rFonts w:hAnsi="宋体" w:cs="宋体"/>
          <w:color w:val="auto"/>
          <w:sz w:val="21"/>
          <w:szCs w:val="21"/>
          <w:highlight w:val="none"/>
        </w:rPr>
        <w:t xml:space="preserve"> </w:t>
      </w:r>
    </w:p>
    <w:p>
      <w:pPr>
        <w:spacing w:line="352" w:lineRule="exact"/>
        <w:jc w:val="center"/>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残疾人福利性单位声明函</w:t>
      </w:r>
    </w:p>
    <w:p>
      <w:pPr>
        <w:pStyle w:val="143"/>
        <w:spacing w:before="240" w:beforeLines="100" w:line="500" w:lineRule="exact"/>
        <w:ind w:firstLine="601"/>
        <w:rPr>
          <w:rFonts w:ascii="宋体" w:hAnsi="宋体"/>
          <w:color w:val="auto"/>
          <w:kern w:val="2"/>
          <w:highlight w:val="none"/>
        </w:rPr>
      </w:pPr>
      <w:r>
        <w:rPr>
          <w:rFonts w:ascii="宋体" w:hAnsi="宋体"/>
          <w:color w:val="auto"/>
          <w:kern w:val="2"/>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43"/>
        <w:spacing w:line="500" w:lineRule="exact"/>
        <w:ind w:firstLine="600"/>
        <w:rPr>
          <w:rFonts w:ascii="宋体" w:hAnsi="宋体"/>
          <w:color w:val="auto"/>
          <w:kern w:val="2"/>
          <w:highlight w:val="none"/>
        </w:rPr>
      </w:pPr>
      <w:r>
        <w:rPr>
          <w:rFonts w:ascii="宋体" w:hAnsi="宋体"/>
          <w:color w:val="auto"/>
          <w:kern w:val="2"/>
          <w:highlight w:val="none"/>
        </w:rPr>
        <w:t>本单位对上述声明的真实性负责。如有虚假，将依法承担相应责任。</w:t>
      </w:r>
    </w:p>
    <w:p>
      <w:pPr>
        <w:pStyle w:val="143"/>
        <w:spacing w:line="500" w:lineRule="exact"/>
        <w:rPr>
          <w:rFonts w:ascii="宋体" w:hAnsi="宋体"/>
          <w:color w:val="auto"/>
          <w:spacing w:val="6"/>
          <w:highlight w:val="none"/>
        </w:rPr>
      </w:pPr>
    </w:p>
    <w:p>
      <w:pPr>
        <w:pStyle w:val="143"/>
        <w:spacing w:line="500" w:lineRule="exact"/>
        <w:ind w:right="1560" w:firstLine="600"/>
        <w:jc w:val="center"/>
        <w:rPr>
          <w:rFonts w:ascii="宋体" w:hAnsi="宋体"/>
          <w:color w:val="auto"/>
          <w:kern w:val="2"/>
          <w:highlight w:val="none"/>
        </w:rPr>
      </w:pPr>
      <w:r>
        <w:rPr>
          <w:rFonts w:ascii="宋体" w:hAnsi="宋体"/>
          <w:color w:val="auto"/>
          <w:spacing w:val="6"/>
          <w:highlight w:val="none"/>
        </w:rPr>
        <w:t xml:space="preserve">               </w:t>
      </w:r>
      <w:r>
        <w:rPr>
          <w:rFonts w:ascii="宋体" w:hAnsi="宋体"/>
          <w:color w:val="auto"/>
          <w:kern w:val="2"/>
          <w:highlight w:val="none"/>
        </w:rPr>
        <w:t>单位名称（盖章）：</w:t>
      </w:r>
    </w:p>
    <w:p>
      <w:pPr>
        <w:pStyle w:val="143"/>
        <w:spacing w:line="500" w:lineRule="exact"/>
        <w:ind w:right="1560" w:firstLine="600"/>
        <w:jc w:val="center"/>
        <w:rPr>
          <w:rFonts w:ascii="宋体" w:hAnsi="宋体"/>
          <w:color w:val="auto"/>
          <w:kern w:val="2"/>
          <w:highlight w:val="none"/>
        </w:rPr>
      </w:pPr>
      <w:r>
        <w:rPr>
          <w:rFonts w:ascii="宋体" w:hAnsi="宋体"/>
          <w:color w:val="auto"/>
          <w:kern w:val="2"/>
          <w:highlight w:val="none"/>
        </w:rPr>
        <w:t xml:space="preserve">       日  期：</w:t>
      </w:r>
    </w:p>
    <w:p>
      <w:pPr>
        <w:pStyle w:val="143"/>
        <w:spacing w:line="500" w:lineRule="exact"/>
        <w:ind w:right="1560" w:firstLine="600"/>
        <w:jc w:val="center"/>
        <w:rPr>
          <w:rFonts w:ascii="宋体" w:hAnsi="宋体"/>
          <w:color w:val="auto"/>
          <w:kern w:val="2"/>
          <w:highlight w:val="none"/>
        </w:rPr>
      </w:pPr>
    </w:p>
    <w:p>
      <w:pPr>
        <w:spacing w:line="500" w:lineRule="exact"/>
        <w:ind w:firstLine="416" w:firstLineChars="200"/>
        <w:jc w:val="center"/>
        <w:rPr>
          <w:rFonts w:hint="eastAsia" w:hAnsi="宋体"/>
          <w:color w:val="auto"/>
          <w:spacing w:val="-1"/>
          <w:sz w:val="21"/>
          <w:szCs w:val="21"/>
          <w:highlight w:val="none"/>
        </w:rPr>
      </w:pPr>
    </w:p>
    <w:p>
      <w:pPr>
        <w:spacing w:line="500" w:lineRule="exact"/>
        <w:ind w:firstLine="416" w:firstLineChars="200"/>
        <w:jc w:val="center"/>
        <w:rPr>
          <w:rFonts w:hint="eastAsia" w:hAnsi="宋体"/>
          <w:color w:val="auto"/>
          <w:spacing w:val="-1"/>
          <w:sz w:val="21"/>
          <w:szCs w:val="21"/>
          <w:highlight w:val="none"/>
        </w:rPr>
      </w:pPr>
    </w:p>
    <w:p>
      <w:pPr>
        <w:spacing w:line="500" w:lineRule="exact"/>
        <w:ind w:firstLine="416" w:firstLineChars="200"/>
        <w:jc w:val="center"/>
        <w:rPr>
          <w:rFonts w:hint="eastAsia" w:hAnsi="宋体"/>
          <w:color w:val="auto"/>
          <w:spacing w:val="-1"/>
          <w:sz w:val="21"/>
          <w:szCs w:val="21"/>
          <w:highlight w:val="none"/>
        </w:rPr>
      </w:pPr>
      <w:r>
        <w:rPr>
          <w:rFonts w:hint="eastAsia" w:hAnsi="宋体"/>
          <w:color w:val="auto"/>
          <w:spacing w:val="-1"/>
          <w:sz w:val="21"/>
          <w:szCs w:val="21"/>
          <w:highlight w:val="none"/>
        </w:rPr>
        <w:t>（3）监狱企业证明文件</w:t>
      </w:r>
    </w:p>
    <w:p>
      <w:pPr>
        <w:widowControl/>
        <w:spacing w:line="500" w:lineRule="exact"/>
        <w:ind w:firstLine="416" w:firstLineChars="200"/>
        <w:jc w:val="both"/>
        <w:rPr>
          <w:rFonts w:hint="eastAsia" w:hAnsi="宋体"/>
          <w:color w:val="auto"/>
          <w:spacing w:val="-1"/>
          <w:sz w:val="21"/>
          <w:szCs w:val="21"/>
          <w:highlight w:val="none"/>
        </w:rPr>
      </w:pPr>
      <w:r>
        <w:rPr>
          <w:rFonts w:hint="eastAsia" w:hAnsi="宋体"/>
          <w:color w:val="auto"/>
          <w:spacing w:val="-1"/>
          <w:sz w:val="21"/>
          <w:szCs w:val="21"/>
          <w:highlight w:val="none"/>
          <w:lang w:bidi="ar"/>
        </w:rPr>
        <w:t>监狱企业参加政府采购活动时，应当提供由省级以上监狱管理局、戒毒管理局（含新疆生产建设兵团）出具的属于监狱企业的证明文件。</w:t>
      </w:r>
    </w:p>
    <w:p>
      <w:pPr>
        <w:spacing w:line="458" w:lineRule="exact"/>
        <w:rPr>
          <w:rFonts w:hint="eastAsia" w:hAnsi="宋体"/>
          <w:color w:val="auto"/>
          <w:sz w:val="21"/>
          <w:szCs w:val="21"/>
          <w:highlight w:val="none"/>
        </w:rPr>
      </w:pPr>
    </w:p>
    <w:p>
      <w:pPr>
        <w:spacing w:line="480" w:lineRule="auto"/>
        <w:rPr>
          <w:rFonts w:hint="eastAsia" w:hAnsi="宋体"/>
          <w:b/>
          <w:bCs/>
          <w:color w:val="auto"/>
          <w:sz w:val="30"/>
          <w:szCs w:val="30"/>
          <w:highlight w:val="none"/>
        </w:rPr>
      </w:pPr>
    </w:p>
    <w:p>
      <w:pPr>
        <w:spacing w:line="480" w:lineRule="auto"/>
        <w:rPr>
          <w:rFonts w:hint="eastAsia" w:hAnsi="宋体"/>
          <w:b/>
          <w:bCs/>
          <w:color w:val="auto"/>
          <w:sz w:val="30"/>
          <w:szCs w:val="30"/>
          <w:highlight w:val="none"/>
        </w:rPr>
      </w:pPr>
      <w:r>
        <w:rPr>
          <w:rFonts w:hAnsi="宋体"/>
          <w:b/>
          <w:bCs/>
          <w:color w:val="auto"/>
          <w:sz w:val="30"/>
          <w:szCs w:val="30"/>
          <w:highlight w:val="none"/>
        </w:rPr>
        <w:br w:type="page"/>
      </w:r>
    </w:p>
    <w:p>
      <w:pPr>
        <w:widowControl/>
        <w:snapToGrid w:val="0"/>
        <w:spacing w:before="120" w:after="50"/>
        <w:rPr>
          <w:rFonts w:hint="eastAsia" w:hAnsi="宋体" w:cs="宋体"/>
          <w:b/>
          <w:color w:val="auto"/>
          <w:sz w:val="24"/>
          <w:highlight w:val="none"/>
        </w:rPr>
      </w:pPr>
      <w:r>
        <w:rPr>
          <w:rFonts w:hint="eastAsia" w:hAnsi="宋体" w:cs="宋体"/>
          <w:b/>
          <w:color w:val="auto"/>
          <w:sz w:val="24"/>
          <w:highlight w:val="none"/>
        </w:rPr>
        <w:t>（二）商务技术文件（参考格式</w:t>
      </w:r>
      <w:bookmarkEnd w:id="118"/>
      <w:r>
        <w:rPr>
          <w:rFonts w:hint="eastAsia" w:hAnsi="宋体" w:cs="宋体"/>
          <w:b/>
          <w:color w:val="auto"/>
          <w:sz w:val="24"/>
          <w:highlight w:val="none"/>
        </w:rPr>
        <w:t>）</w:t>
      </w:r>
    </w:p>
    <w:p>
      <w:pPr>
        <w:snapToGrid w:val="0"/>
        <w:spacing w:before="50" w:after="50"/>
        <w:rPr>
          <w:rFonts w:hint="eastAsia" w:hAnsi="宋体" w:cs="宋体"/>
          <w:b/>
          <w:color w:val="auto"/>
          <w:sz w:val="24"/>
          <w:highlight w:val="none"/>
        </w:rPr>
      </w:pPr>
      <w:r>
        <w:rPr>
          <w:rFonts w:hint="eastAsia" w:hAnsi="宋体" w:cs="宋体"/>
          <w:b/>
          <w:color w:val="auto"/>
          <w:sz w:val="24"/>
          <w:highlight w:val="none"/>
        </w:rPr>
        <w:t>1.供应商技术商务标自评得分汇总表（格式参照技术商务评分表，需标注对应页码）</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85"/>
        <w:gridCol w:w="2190"/>
        <w:gridCol w:w="766"/>
        <w:gridCol w:w="1110"/>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36" w:type="dxa"/>
            <w:noWrap w:val="0"/>
            <w:vAlign w:val="center"/>
          </w:tcPr>
          <w:p>
            <w:pPr>
              <w:widowControl/>
              <w:autoSpaceDE/>
              <w:autoSpaceDN/>
              <w:adjustRightInd/>
              <w:snapToGrid w:val="0"/>
              <w:spacing w:line="460" w:lineRule="exact"/>
              <w:jc w:val="center"/>
              <w:textAlignment w:val="auto"/>
              <w:rPr>
                <w:rFonts w:hAnsi="宋体" w:cs="宋体"/>
                <w:color w:val="auto"/>
                <w:sz w:val="21"/>
                <w:szCs w:val="21"/>
                <w:highlight w:val="none"/>
              </w:rPr>
            </w:pPr>
            <w:r>
              <w:rPr>
                <w:rFonts w:hint="eastAsia"/>
                <w:color w:val="auto"/>
                <w:sz w:val="21"/>
                <w:szCs w:val="21"/>
                <w:highlight w:val="none"/>
              </w:rPr>
              <w:t>序号</w:t>
            </w:r>
          </w:p>
        </w:tc>
        <w:tc>
          <w:tcPr>
            <w:tcW w:w="1485" w:type="dxa"/>
            <w:noWrap w:val="0"/>
            <w:vAlign w:val="center"/>
          </w:tcPr>
          <w:p>
            <w:pPr>
              <w:widowControl/>
              <w:autoSpaceDE/>
              <w:autoSpaceDN/>
              <w:adjustRightInd/>
              <w:snapToGrid w:val="0"/>
              <w:spacing w:line="460" w:lineRule="exact"/>
              <w:jc w:val="center"/>
              <w:textAlignment w:val="auto"/>
              <w:rPr>
                <w:rFonts w:hAnsi="宋体" w:cs="宋体"/>
                <w:color w:val="auto"/>
                <w:sz w:val="21"/>
                <w:szCs w:val="21"/>
                <w:highlight w:val="none"/>
              </w:rPr>
            </w:pPr>
            <w:r>
              <w:rPr>
                <w:rFonts w:hint="eastAsia"/>
                <w:color w:val="auto"/>
                <w:sz w:val="21"/>
                <w:szCs w:val="21"/>
                <w:highlight w:val="none"/>
              </w:rPr>
              <w:t>评分项目</w:t>
            </w:r>
          </w:p>
        </w:tc>
        <w:tc>
          <w:tcPr>
            <w:tcW w:w="2190" w:type="dxa"/>
            <w:noWrap w:val="0"/>
            <w:vAlign w:val="center"/>
          </w:tcPr>
          <w:p>
            <w:pPr>
              <w:widowControl/>
              <w:autoSpaceDE/>
              <w:autoSpaceDN/>
              <w:adjustRightInd/>
              <w:snapToGrid w:val="0"/>
              <w:spacing w:line="460" w:lineRule="exact"/>
              <w:jc w:val="center"/>
              <w:textAlignment w:val="auto"/>
              <w:rPr>
                <w:rFonts w:hAnsi="宋体" w:cs="宋体"/>
                <w:color w:val="auto"/>
                <w:sz w:val="21"/>
                <w:szCs w:val="21"/>
                <w:highlight w:val="none"/>
              </w:rPr>
            </w:pPr>
            <w:r>
              <w:rPr>
                <w:rFonts w:hint="eastAsia"/>
                <w:color w:val="auto"/>
                <w:sz w:val="21"/>
                <w:szCs w:val="21"/>
                <w:highlight w:val="none"/>
              </w:rPr>
              <w:t>评标要点及说明</w:t>
            </w:r>
          </w:p>
        </w:tc>
        <w:tc>
          <w:tcPr>
            <w:tcW w:w="766" w:type="dxa"/>
            <w:noWrap w:val="0"/>
            <w:vAlign w:val="center"/>
          </w:tcPr>
          <w:p>
            <w:pPr>
              <w:widowControl/>
              <w:autoSpaceDE/>
              <w:autoSpaceDN/>
              <w:adjustRightInd/>
              <w:snapToGrid w:val="0"/>
              <w:spacing w:line="460" w:lineRule="exact"/>
              <w:jc w:val="center"/>
              <w:textAlignment w:val="auto"/>
              <w:rPr>
                <w:rFonts w:hint="eastAsia" w:hAnsi="宋体" w:cs="宋体"/>
                <w:color w:val="auto"/>
                <w:sz w:val="21"/>
                <w:szCs w:val="21"/>
                <w:highlight w:val="none"/>
              </w:rPr>
            </w:pPr>
            <w:r>
              <w:rPr>
                <w:rFonts w:hint="eastAsia"/>
                <w:color w:val="auto"/>
                <w:sz w:val="21"/>
                <w:szCs w:val="21"/>
                <w:highlight w:val="none"/>
              </w:rPr>
              <w:t>分值</w:t>
            </w:r>
          </w:p>
        </w:tc>
        <w:tc>
          <w:tcPr>
            <w:tcW w:w="1110" w:type="dxa"/>
            <w:noWrap w:val="0"/>
            <w:vAlign w:val="center"/>
          </w:tcPr>
          <w:p>
            <w:pPr>
              <w:widowControl/>
              <w:autoSpaceDE/>
              <w:autoSpaceDN/>
              <w:adjustRightInd/>
              <w:snapToGrid w:val="0"/>
              <w:spacing w:line="460" w:lineRule="exact"/>
              <w:jc w:val="center"/>
              <w:textAlignment w:val="auto"/>
              <w:rPr>
                <w:rFonts w:hint="eastAsia" w:hAnsi="宋体" w:cs="宋体"/>
                <w:color w:val="auto"/>
                <w:sz w:val="21"/>
                <w:szCs w:val="21"/>
                <w:highlight w:val="none"/>
              </w:rPr>
            </w:pPr>
            <w:r>
              <w:rPr>
                <w:rFonts w:hint="eastAsia" w:hAnsi="宋体" w:cs="宋体"/>
                <w:color w:val="auto"/>
                <w:sz w:val="21"/>
                <w:szCs w:val="21"/>
                <w:highlight w:val="none"/>
              </w:rPr>
              <w:t>自评分</w:t>
            </w:r>
          </w:p>
        </w:tc>
        <w:tc>
          <w:tcPr>
            <w:tcW w:w="1937" w:type="dxa"/>
            <w:noWrap w:val="0"/>
            <w:vAlign w:val="center"/>
          </w:tcPr>
          <w:p>
            <w:pPr>
              <w:widowControl/>
              <w:autoSpaceDE/>
              <w:autoSpaceDN/>
              <w:adjustRightInd/>
              <w:snapToGrid w:val="0"/>
              <w:spacing w:line="460" w:lineRule="exact"/>
              <w:jc w:val="center"/>
              <w:textAlignment w:val="auto"/>
              <w:rPr>
                <w:rFonts w:hint="eastAsia" w:hAnsi="宋体" w:cs="宋体"/>
                <w:color w:val="auto"/>
                <w:sz w:val="21"/>
                <w:szCs w:val="21"/>
                <w:highlight w:val="none"/>
              </w:rPr>
            </w:pPr>
            <w:r>
              <w:rPr>
                <w:rFonts w:hint="eastAsia" w:hAnsi="宋体" w:cs="宋体"/>
                <w:color w:val="auto"/>
                <w:sz w:val="21"/>
                <w:szCs w:val="21"/>
                <w:highlight w:val="none"/>
              </w:rPr>
              <w:t>磋商响应文件响应页码</w:t>
            </w:r>
          </w:p>
        </w:tc>
      </w:tr>
    </w:tbl>
    <w:p>
      <w:pPr>
        <w:spacing w:line="360" w:lineRule="auto"/>
        <w:jc w:val="both"/>
        <w:rPr>
          <w:rFonts w:hint="eastAsia" w:hAnsi="宋体"/>
          <w:b/>
          <w:color w:val="auto"/>
          <w:sz w:val="28"/>
          <w:highlight w:val="none"/>
        </w:rPr>
      </w:pPr>
    </w:p>
    <w:p>
      <w:pPr>
        <w:spacing w:line="360" w:lineRule="auto"/>
        <w:jc w:val="both"/>
        <w:rPr>
          <w:rFonts w:hint="eastAsia" w:hAnsi="宋体"/>
          <w:b/>
          <w:color w:val="auto"/>
          <w:sz w:val="24"/>
          <w:szCs w:val="24"/>
          <w:highlight w:val="none"/>
        </w:rPr>
      </w:pPr>
      <w:r>
        <w:rPr>
          <w:rFonts w:hint="eastAsia" w:hAnsi="宋体"/>
          <w:b/>
          <w:color w:val="auto"/>
          <w:sz w:val="24"/>
          <w:szCs w:val="24"/>
          <w:highlight w:val="none"/>
        </w:rPr>
        <w:t>2.供应商情况表</w:t>
      </w:r>
    </w:p>
    <w:p>
      <w:pPr>
        <w:rPr>
          <w:rFonts w:hint="eastAsia" w:hAnsi="宋体"/>
          <w:color w:val="auto"/>
          <w:kern w:val="2"/>
          <w:sz w:val="21"/>
          <w:szCs w:val="21"/>
          <w:highlight w:val="none"/>
        </w:rPr>
      </w:pPr>
      <w:r>
        <w:rPr>
          <w:rFonts w:hint="eastAsia" w:hAnsi="宋体"/>
          <w:color w:val="auto"/>
          <w:kern w:val="2"/>
          <w:sz w:val="21"/>
          <w:szCs w:val="21"/>
          <w:highlight w:val="none"/>
        </w:rPr>
        <w:t xml:space="preserve">         </w:t>
      </w:r>
    </w:p>
    <w:p>
      <w:pPr>
        <w:jc w:val="center"/>
        <w:rPr>
          <w:rFonts w:ascii="Times New Roman"/>
          <w:color w:val="auto"/>
          <w:kern w:val="2"/>
          <w:sz w:val="24"/>
          <w:szCs w:val="24"/>
          <w:highlight w:val="none"/>
        </w:rPr>
      </w:pPr>
      <w:r>
        <w:rPr>
          <w:rFonts w:hint="eastAsia"/>
          <w:b/>
          <w:bCs/>
          <w:color w:val="auto"/>
          <w:kern w:val="2"/>
          <w:sz w:val="24"/>
          <w:szCs w:val="24"/>
          <w:highlight w:val="none"/>
        </w:rPr>
        <w:t>供应商情况表</w:t>
      </w:r>
    </w:p>
    <w:tbl>
      <w:tblPr>
        <w:tblStyle w:val="43"/>
        <w:tblW w:w="0" w:type="auto"/>
        <w:tblInd w:w="19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414"/>
        <w:gridCol w:w="1385"/>
        <w:gridCol w:w="596"/>
        <w:gridCol w:w="1801"/>
        <w:gridCol w:w="1192"/>
        <w:gridCol w:w="1448"/>
        <w:gridCol w:w="106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646" w:hRule="exact"/>
        </w:trPr>
        <w:tc>
          <w:tcPr>
            <w:tcW w:w="1414" w:type="dxa"/>
            <w:tcBorders>
              <w:top w:val="single" w:color="auto" w:sz="8" w:space="0"/>
              <w:left w:val="single" w:color="auto" w:sz="8" w:space="0"/>
              <w:bottom w:val="single" w:color="auto" w:sz="8" w:space="0"/>
              <w:right w:val="single" w:color="auto" w:sz="8" w:space="0"/>
            </w:tcBorders>
            <w:noWrap w:val="0"/>
            <w:vAlign w:val="top"/>
          </w:tcPr>
          <w:p>
            <w:pPr>
              <w:widowControl/>
              <w:spacing w:before="100" w:beforeAutospacing="1" w:after="100" w:afterAutospacing="1" w:line="520" w:lineRule="atLeast"/>
              <w:jc w:val="center"/>
              <w:rPr>
                <w:rFonts w:hAnsi="宋体" w:cs="宋体"/>
                <w:color w:val="auto"/>
                <w:sz w:val="21"/>
                <w:szCs w:val="21"/>
                <w:highlight w:val="none"/>
              </w:rPr>
            </w:pPr>
            <w:r>
              <w:rPr>
                <w:rFonts w:hAnsi="宋体" w:cs="宋体"/>
                <w:color w:val="auto"/>
                <w:sz w:val="21"/>
                <w:szCs w:val="21"/>
                <w:highlight w:val="none"/>
              </w:rPr>
              <w:t>单位名称</w:t>
            </w:r>
          </w:p>
        </w:tc>
        <w:tc>
          <w:tcPr>
            <w:tcW w:w="4974" w:type="dxa"/>
            <w:gridSpan w:val="4"/>
            <w:tcBorders>
              <w:top w:val="single" w:color="auto" w:sz="8" w:space="0"/>
              <w:left w:val="nil"/>
              <w:bottom w:val="single" w:color="auto" w:sz="8" w:space="0"/>
              <w:right w:val="single" w:color="auto" w:sz="8" w:space="0"/>
            </w:tcBorders>
            <w:noWrap w:val="0"/>
            <w:vAlign w:val="top"/>
          </w:tcPr>
          <w:p>
            <w:pPr>
              <w:widowControl/>
              <w:spacing w:before="100" w:beforeAutospacing="1" w:after="100" w:afterAutospacing="1" w:line="520" w:lineRule="atLeast"/>
              <w:jc w:val="center"/>
              <w:rPr>
                <w:rFonts w:hAnsi="宋体" w:cs="宋体"/>
                <w:color w:val="auto"/>
                <w:sz w:val="21"/>
                <w:szCs w:val="21"/>
                <w:highlight w:val="none"/>
              </w:rPr>
            </w:pPr>
          </w:p>
        </w:tc>
        <w:tc>
          <w:tcPr>
            <w:tcW w:w="144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520" w:lineRule="atLeast"/>
              <w:jc w:val="center"/>
              <w:rPr>
                <w:rFonts w:hAnsi="宋体" w:cs="宋体"/>
                <w:color w:val="auto"/>
                <w:sz w:val="21"/>
                <w:szCs w:val="21"/>
                <w:highlight w:val="none"/>
              </w:rPr>
            </w:pPr>
            <w:r>
              <w:rPr>
                <w:rFonts w:hAnsi="宋体" w:cs="宋体"/>
                <w:color w:val="auto"/>
                <w:sz w:val="21"/>
                <w:szCs w:val="21"/>
                <w:highlight w:val="none"/>
              </w:rPr>
              <w:t>企业</w:t>
            </w:r>
            <w:r>
              <w:rPr>
                <w:rFonts w:hint="eastAsia" w:hAnsi="宋体" w:cs="宋体"/>
                <w:color w:val="auto"/>
                <w:sz w:val="21"/>
                <w:szCs w:val="21"/>
                <w:highlight w:val="none"/>
              </w:rPr>
              <w:t>资质</w:t>
            </w:r>
          </w:p>
        </w:tc>
        <w:tc>
          <w:tcPr>
            <w:tcW w:w="106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520" w:lineRule="atLeast"/>
              <w:jc w:val="center"/>
              <w:rPr>
                <w:rFonts w:hAnsi="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646" w:hRule="exact"/>
        </w:trPr>
        <w:tc>
          <w:tcPr>
            <w:tcW w:w="1414" w:type="dxa"/>
            <w:tcBorders>
              <w:top w:val="single" w:color="auto" w:sz="8" w:space="0"/>
              <w:left w:val="single" w:color="auto" w:sz="8" w:space="0"/>
              <w:bottom w:val="single" w:color="auto" w:sz="8" w:space="0"/>
              <w:right w:val="single" w:color="auto" w:sz="8" w:space="0"/>
            </w:tcBorders>
            <w:noWrap w:val="0"/>
            <w:vAlign w:val="top"/>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地址</w:t>
            </w:r>
          </w:p>
        </w:tc>
        <w:tc>
          <w:tcPr>
            <w:tcW w:w="4974" w:type="dxa"/>
            <w:gridSpan w:val="4"/>
            <w:tcBorders>
              <w:top w:val="single" w:color="auto" w:sz="8" w:space="0"/>
              <w:left w:val="nil"/>
              <w:bottom w:val="single" w:color="auto" w:sz="8" w:space="0"/>
              <w:right w:val="single" w:color="auto" w:sz="8" w:space="0"/>
            </w:tcBorders>
            <w:noWrap w:val="0"/>
            <w:vAlign w:val="top"/>
          </w:tcPr>
          <w:p>
            <w:pPr>
              <w:widowControl/>
              <w:spacing w:before="100" w:beforeAutospacing="1" w:after="100" w:afterAutospacing="1" w:line="520" w:lineRule="atLeast"/>
              <w:jc w:val="center"/>
              <w:rPr>
                <w:rFonts w:hAnsi="宋体" w:cs="宋体"/>
                <w:color w:val="auto"/>
                <w:sz w:val="21"/>
                <w:szCs w:val="21"/>
                <w:highlight w:val="none"/>
              </w:rPr>
            </w:pPr>
          </w:p>
        </w:tc>
        <w:tc>
          <w:tcPr>
            <w:tcW w:w="144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证书编号</w:t>
            </w:r>
          </w:p>
        </w:tc>
        <w:tc>
          <w:tcPr>
            <w:tcW w:w="106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520" w:lineRule="atLeast"/>
              <w:jc w:val="center"/>
              <w:rPr>
                <w:rFonts w:hAnsi="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646" w:hRule="exact"/>
        </w:trPr>
        <w:tc>
          <w:tcPr>
            <w:tcW w:w="1414" w:type="dxa"/>
            <w:tcBorders>
              <w:top w:val="single" w:color="auto" w:sz="8" w:space="0"/>
              <w:left w:val="single" w:color="auto" w:sz="8" w:space="0"/>
              <w:bottom w:val="single" w:color="auto" w:sz="8" w:space="0"/>
              <w:right w:val="single" w:color="auto" w:sz="8" w:space="0"/>
            </w:tcBorders>
            <w:noWrap w:val="0"/>
            <w:vAlign w:val="top"/>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主管部门</w:t>
            </w:r>
          </w:p>
        </w:tc>
        <w:tc>
          <w:tcPr>
            <w:tcW w:w="1981" w:type="dxa"/>
            <w:gridSpan w:val="2"/>
            <w:tcBorders>
              <w:top w:val="single" w:color="auto" w:sz="8" w:space="0"/>
              <w:left w:val="nil"/>
              <w:bottom w:val="single" w:color="auto" w:sz="8" w:space="0"/>
              <w:right w:val="single" w:color="auto" w:sz="4" w:space="0"/>
            </w:tcBorders>
            <w:noWrap w:val="0"/>
            <w:vAlign w:val="top"/>
          </w:tcPr>
          <w:p>
            <w:pPr>
              <w:widowControl/>
              <w:spacing w:before="100" w:beforeAutospacing="1" w:after="100" w:afterAutospacing="1" w:line="520" w:lineRule="atLeast"/>
              <w:jc w:val="center"/>
              <w:rPr>
                <w:rFonts w:hAnsi="宋体" w:cs="宋体"/>
                <w:color w:val="auto"/>
                <w:sz w:val="21"/>
                <w:szCs w:val="21"/>
                <w:highlight w:val="none"/>
              </w:rPr>
            </w:pPr>
          </w:p>
        </w:tc>
        <w:tc>
          <w:tcPr>
            <w:tcW w:w="1801" w:type="dxa"/>
            <w:tcBorders>
              <w:top w:val="single" w:color="auto" w:sz="8" w:space="0"/>
              <w:left w:val="single" w:color="auto" w:sz="4" w:space="0"/>
              <w:bottom w:val="single" w:color="auto" w:sz="8" w:space="0"/>
              <w:right w:val="single" w:color="auto" w:sz="4" w:space="0"/>
            </w:tcBorders>
            <w:noWrap w:val="0"/>
            <w:vAlign w:val="top"/>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法人代表</w:t>
            </w:r>
          </w:p>
        </w:tc>
        <w:tc>
          <w:tcPr>
            <w:tcW w:w="1192" w:type="dxa"/>
            <w:tcBorders>
              <w:top w:val="single" w:color="auto" w:sz="8" w:space="0"/>
              <w:left w:val="single" w:color="auto" w:sz="4" w:space="0"/>
              <w:bottom w:val="single" w:color="auto" w:sz="8" w:space="0"/>
              <w:right w:val="single" w:color="auto" w:sz="8" w:space="0"/>
            </w:tcBorders>
            <w:noWrap w:val="0"/>
            <w:vAlign w:val="top"/>
          </w:tcPr>
          <w:p>
            <w:pPr>
              <w:widowControl/>
              <w:spacing w:before="100" w:beforeAutospacing="1" w:after="100" w:afterAutospacing="1" w:line="520" w:lineRule="atLeast"/>
              <w:jc w:val="center"/>
              <w:rPr>
                <w:rFonts w:hAnsi="宋体" w:cs="宋体"/>
                <w:color w:val="auto"/>
                <w:sz w:val="21"/>
                <w:szCs w:val="21"/>
                <w:highlight w:val="none"/>
              </w:rPr>
            </w:pPr>
          </w:p>
        </w:tc>
        <w:tc>
          <w:tcPr>
            <w:tcW w:w="144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职务</w:t>
            </w:r>
          </w:p>
        </w:tc>
        <w:tc>
          <w:tcPr>
            <w:tcW w:w="106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520" w:lineRule="atLeast"/>
              <w:jc w:val="center"/>
              <w:rPr>
                <w:rFonts w:hAnsi="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646" w:hRule="exact"/>
        </w:trPr>
        <w:tc>
          <w:tcPr>
            <w:tcW w:w="1414" w:type="dxa"/>
            <w:tcBorders>
              <w:top w:val="single" w:color="auto" w:sz="8" w:space="0"/>
              <w:left w:val="single" w:color="auto" w:sz="8" w:space="0"/>
              <w:bottom w:val="single" w:color="auto" w:sz="8" w:space="0"/>
              <w:right w:val="single" w:color="auto" w:sz="8" w:space="0"/>
            </w:tcBorders>
            <w:noWrap w:val="0"/>
            <w:vAlign w:val="top"/>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经济类型</w:t>
            </w:r>
          </w:p>
        </w:tc>
        <w:tc>
          <w:tcPr>
            <w:tcW w:w="1981" w:type="dxa"/>
            <w:gridSpan w:val="2"/>
            <w:tcBorders>
              <w:top w:val="single" w:color="auto" w:sz="8" w:space="0"/>
              <w:left w:val="nil"/>
              <w:bottom w:val="single" w:color="auto" w:sz="8" w:space="0"/>
              <w:right w:val="single" w:color="auto" w:sz="4" w:space="0"/>
            </w:tcBorders>
            <w:noWrap w:val="0"/>
            <w:vAlign w:val="top"/>
          </w:tcPr>
          <w:p>
            <w:pPr>
              <w:widowControl/>
              <w:spacing w:before="100" w:beforeAutospacing="1" w:after="100" w:afterAutospacing="1" w:line="520" w:lineRule="atLeast"/>
              <w:jc w:val="center"/>
              <w:rPr>
                <w:rFonts w:hAnsi="宋体" w:cs="宋体"/>
                <w:color w:val="auto"/>
                <w:sz w:val="21"/>
                <w:szCs w:val="21"/>
                <w:highlight w:val="none"/>
              </w:rPr>
            </w:pPr>
          </w:p>
        </w:tc>
        <w:tc>
          <w:tcPr>
            <w:tcW w:w="1801" w:type="dxa"/>
            <w:tcBorders>
              <w:top w:val="single" w:color="auto" w:sz="8" w:space="0"/>
              <w:left w:val="single" w:color="auto" w:sz="4" w:space="0"/>
              <w:bottom w:val="single" w:color="auto" w:sz="8" w:space="0"/>
              <w:right w:val="single" w:color="auto" w:sz="4" w:space="0"/>
            </w:tcBorders>
            <w:noWrap w:val="0"/>
            <w:vAlign w:val="top"/>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授权代表</w:t>
            </w:r>
          </w:p>
        </w:tc>
        <w:tc>
          <w:tcPr>
            <w:tcW w:w="1192" w:type="dxa"/>
            <w:tcBorders>
              <w:top w:val="single" w:color="auto" w:sz="8" w:space="0"/>
              <w:left w:val="single" w:color="auto" w:sz="4" w:space="0"/>
              <w:bottom w:val="single" w:color="auto" w:sz="8" w:space="0"/>
              <w:right w:val="single" w:color="auto" w:sz="8" w:space="0"/>
            </w:tcBorders>
            <w:noWrap w:val="0"/>
            <w:vAlign w:val="top"/>
          </w:tcPr>
          <w:p>
            <w:pPr>
              <w:widowControl/>
              <w:spacing w:before="100" w:beforeAutospacing="1" w:after="100" w:afterAutospacing="1" w:line="520" w:lineRule="atLeast"/>
              <w:jc w:val="center"/>
              <w:rPr>
                <w:rFonts w:hAnsi="宋体" w:cs="宋体"/>
                <w:color w:val="auto"/>
                <w:sz w:val="21"/>
                <w:szCs w:val="21"/>
                <w:highlight w:val="none"/>
              </w:rPr>
            </w:pPr>
          </w:p>
        </w:tc>
        <w:tc>
          <w:tcPr>
            <w:tcW w:w="144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职务</w:t>
            </w:r>
          </w:p>
        </w:tc>
        <w:tc>
          <w:tcPr>
            <w:tcW w:w="106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520" w:lineRule="atLeast"/>
              <w:jc w:val="center"/>
              <w:rPr>
                <w:rFonts w:hAnsi="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646" w:hRule="exact"/>
        </w:trPr>
        <w:tc>
          <w:tcPr>
            <w:tcW w:w="1414" w:type="dxa"/>
            <w:tcBorders>
              <w:top w:val="single" w:color="auto" w:sz="8" w:space="0"/>
              <w:left w:val="single" w:color="auto" w:sz="8" w:space="0"/>
              <w:bottom w:val="single" w:color="auto" w:sz="8" w:space="0"/>
              <w:right w:val="single" w:color="auto" w:sz="8" w:space="0"/>
            </w:tcBorders>
            <w:noWrap w:val="0"/>
            <w:vAlign w:val="top"/>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邮编</w:t>
            </w:r>
          </w:p>
        </w:tc>
        <w:tc>
          <w:tcPr>
            <w:tcW w:w="1981" w:type="dxa"/>
            <w:gridSpan w:val="2"/>
            <w:tcBorders>
              <w:top w:val="single" w:color="auto" w:sz="8" w:space="0"/>
              <w:left w:val="nil"/>
              <w:bottom w:val="single" w:color="auto" w:sz="8" w:space="0"/>
              <w:right w:val="single" w:color="auto" w:sz="4" w:space="0"/>
            </w:tcBorders>
            <w:noWrap w:val="0"/>
            <w:vAlign w:val="top"/>
          </w:tcPr>
          <w:p>
            <w:pPr>
              <w:widowControl/>
              <w:spacing w:before="100" w:beforeAutospacing="1" w:after="100" w:afterAutospacing="1" w:line="520" w:lineRule="atLeast"/>
              <w:jc w:val="center"/>
              <w:rPr>
                <w:rFonts w:hAnsi="宋体" w:cs="宋体"/>
                <w:color w:val="auto"/>
                <w:sz w:val="21"/>
                <w:szCs w:val="21"/>
                <w:highlight w:val="none"/>
              </w:rPr>
            </w:pPr>
          </w:p>
        </w:tc>
        <w:tc>
          <w:tcPr>
            <w:tcW w:w="1801" w:type="dxa"/>
            <w:tcBorders>
              <w:top w:val="single" w:color="auto" w:sz="8" w:space="0"/>
              <w:left w:val="single" w:color="auto" w:sz="4" w:space="0"/>
              <w:bottom w:val="single" w:color="auto" w:sz="8" w:space="0"/>
              <w:right w:val="single" w:color="auto" w:sz="4" w:space="0"/>
            </w:tcBorders>
            <w:noWrap w:val="0"/>
            <w:vAlign w:val="top"/>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联系电话</w:t>
            </w:r>
          </w:p>
        </w:tc>
        <w:tc>
          <w:tcPr>
            <w:tcW w:w="1192" w:type="dxa"/>
            <w:tcBorders>
              <w:top w:val="single" w:color="auto" w:sz="8" w:space="0"/>
              <w:left w:val="single" w:color="auto" w:sz="4" w:space="0"/>
              <w:bottom w:val="single" w:color="auto" w:sz="8" w:space="0"/>
              <w:right w:val="single" w:color="auto" w:sz="8" w:space="0"/>
            </w:tcBorders>
            <w:noWrap w:val="0"/>
            <w:vAlign w:val="top"/>
          </w:tcPr>
          <w:p>
            <w:pPr>
              <w:widowControl/>
              <w:spacing w:before="100" w:beforeAutospacing="1" w:after="100" w:afterAutospacing="1" w:line="520" w:lineRule="atLeast"/>
              <w:jc w:val="center"/>
              <w:rPr>
                <w:rFonts w:hAnsi="宋体" w:cs="宋体"/>
                <w:color w:val="auto"/>
                <w:sz w:val="21"/>
                <w:szCs w:val="21"/>
                <w:highlight w:val="none"/>
              </w:rPr>
            </w:pPr>
          </w:p>
        </w:tc>
        <w:tc>
          <w:tcPr>
            <w:tcW w:w="144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传真</w:t>
            </w:r>
          </w:p>
        </w:tc>
        <w:tc>
          <w:tcPr>
            <w:tcW w:w="106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520" w:lineRule="atLeast"/>
              <w:jc w:val="center"/>
              <w:rPr>
                <w:rFonts w:hAnsi="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873" w:hRule="exact"/>
        </w:trPr>
        <w:tc>
          <w:tcPr>
            <w:tcW w:w="1414" w:type="dxa"/>
            <w:tcBorders>
              <w:top w:val="nil"/>
              <w:left w:val="single" w:color="auto" w:sz="8" w:space="0"/>
              <w:bottom w:val="single" w:color="auto" w:sz="8" w:space="0"/>
              <w:right w:val="single" w:color="auto" w:sz="8" w:space="0"/>
            </w:tcBorders>
            <w:noWrap w:val="0"/>
            <w:vAlign w:val="center"/>
          </w:tcPr>
          <w:p>
            <w:pPr>
              <w:widowControl/>
              <w:autoSpaceDE/>
              <w:autoSpaceDN/>
              <w:adjustRightInd/>
              <w:spacing w:before="100" w:beforeAutospacing="1" w:after="100" w:afterAutospacing="1" w:line="24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单位简介及机构设置</w:t>
            </w:r>
          </w:p>
        </w:tc>
        <w:tc>
          <w:tcPr>
            <w:tcW w:w="7490" w:type="dxa"/>
            <w:gridSpan w:val="6"/>
            <w:tcBorders>
              <w:top w:val="nil"/>
              <w:left w:val="nil"/>
              <w:bottom w:val="single" w:color="auto" w:sz="8" w:space="0"/>
              <w:right w:val="single" w:color="auto" w:sz="8" w:space="0"/>
            </w:tcBorders>
            <w:noWrap w:val="0"/>
            <w:vAlign w:val="center"/>
          </w:tcPr>
          <w:p>
            <w:pPr>
              <w:widowControl/>
              <w:spacing w:before="100" w:beforeAutospacing="1" w:after="100" w:afterAutospacing="1" w:line="520" w:lineRule="atLeast"/>
              <w:jc w:val="center"/>
              <w:rPr>
                <w:rFonts w:hAnsi="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873" w:hRule="exact"/>
        </w:trPr>
        <w:tc>
          <w:tcPr>
            <w:tcW w:w="1414" w:type="dxa"/>
            <w:tcBorders>
              <w:top w:val="single" w:color="auto" w:sz="4" w:space="0"/>
              <w:left w:val="single" w:color="auto" w:sz="8" w:space="0"/>
              <w:bottom w:val="single" w:color="auto" w:sz="4" w:space="0"/>
              <w:right w:val="single" w:color="auto" w:sz="8" w:space="0"/>
            </w:tcBorders>
            <w:noWrap w:val="0"/>
            <w:vAlign w:val="center"/>
          </w:tcPr>
          <w:p>
            <w:pPr>
              <w:widowControl/>
              <w:autoSpaceDE/>
              <w:autoSpaceDN/>
              <w:adjustRightInd/>
              <w:spacing w:before="100" w:beforeAutospacing="1" w:after="100" w:afterAutospacing="1" w:line="240" w:lineRule="exact"/>
              <w:jc w:val="center"/>
              <w:textAlignment w:val="auto"/>
              <w:rPr>
                <w:rFonts w:hAnsi="宋体" w:cs="宋体"/>
                <w:color w:val="auto"/>
                <w:sz w:val="21"/>
                <w:szCs w:val="21"/>
                <w:highlight w:val="none"/>
              </w:rPr>
            </w:pPr>
            <w:r>
              <w:rPr>
                <w:rFonts w:hAnsi="宋体" w:cs="宋体"/>
                <w:color w:val="auto"/>
                <w:sz w:val="21"/>
                <w:szCs w:val="21"/>
                <w:highlight w:val="none"/>
              </w:rPr>
              <w:t>单位优势</w:t>
            </w:r>
          </w:p>
          <w:p>
            <w:pPr>
              <w:widowControl/>
              <w:autoSpaceDE/>
              <w:autoSpaceDN/>
              <w:adjustRightInd/>
              <w:spacing w:before="100" w:beforeAutospacing="1" w:after="100" w:afterAutospacing="1" w:line="240" w:lineRule="exact"/>
              <w:jc w:val="center"/>
              <w:textAlignment w:val="auto"/>
              <w:rPr>
                <w:rFonts w:hAnsi="宋体" w:cs="宋体"/>
                <w:color w:val="auto"/>
                <w:sz w:val="21"/>
                <w:szCs w:val="21"/>
                <w:highlight w:val="none"/>
              </w:rPr>
            </w:pPr>
            <w:r>
              <w:rPr>
                <w:rFonts w:hAnsi="宋体" w:cs="宋体"/>
                <w:color w:val="auto"/>
                <w:sz w:val="21"/>
                <w:szCs w:val="21"/>
                <w:highlight w:val="none"/>
              </w:rPr>
              <w:t>及特长</w:t>
            </w:r>
          </w:p>
        </w:tc>
        <w:tc>
          <w:tcPr>
            <w:tcW w:w="7490" w:type="dxa"/>
            <w:gridSpan w:val="6"/>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520" w:lineRule="atLeast"/>
              <w:jc w:val="center"/>
              <w:rPr>
                <w:rFonts w:hAnsi="宋体" w:cs="宋体"/>
                <w:color w:val="auto"/>
                <w:sz w:val="21"/>
                <w:szCs w:val="21"/>
                <w:highlight w:val="none"/>
              </w:rPr>
            </w:pPr>
          </w:p>
          <w:p>
            <w:pPr>
              <w:widowControl/>
              <w:spacing w:before="100" w:beforeAutospacing="1" w:after="100" w:afterAutospacing="1" w:line="520" w:lineRule="atLeast"/>
              <w:jc w:val="center"/>
              <w:rPr>
                <w:rFonts w:hAnsi="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668" w:hRule="exact"/>
        </w:trPr>
        <w:tc>
          <w:tcPr>
            <w:tcW w:w="1414" w:type="dxa"/>
            <w:vMerge w:val="restart"/>
            <w:tcBorders>
              <w:top w:val="single" w:color="auto" w:sz="4" w:space="0"/>
              <w:left w:val="single" w:color="auto" w:sz="8" w:space="0"/>
              <w:right w:val="single" w:color="auto" w:sz="8" w:space="0"/>
            </w:tcBorders>
            <w:noWrap w:val="0"/>
            <w:vAlign w:val="center"/>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单位概况</w:t>
            </w:r>
          </w:p>
        </w:tc>
        <w:tc>
          <w:tcPr>
            <w:tcW w:w="138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注册资本</w:t>
            </w:r>
          </w:p>
        </w:tc>
        <w:tc>
          <w:tcPr>
            <w:tcW w:w="6105" w:type="dxa"/>
            <w:gridSpan w:val="5"/>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668" w:hRule="exact"/>
        </w:trPr>
        <w:tc>
          <w:tcPr>
            <w:tcW w:w="1414" w:type="dxa"/>
            <w:vMerge w:val="continue"/>
            <w:tcBorders>
              <w:left w:val="single" w:color="auto" w:sz="8" w:space="0"/>
              <w:right w:val="single" w:color="auto" w:sz="8" w:space="0"/>
            </w:tcBorders>
            <w:noWrap w:val="0"/>
            <w:vAlign w:val="center"/>
          </w:tcPr>
          <w:p>
            <w:pPr>
              <w:widowControl/>
              <w:spacing w:before="100" w:beforeAutospacing="1" w:after="100" w:afterAutospacing="1" w:line="520" w:lineRule="atLeast"/>
              <w:jc w:val="center"/>
              <w:rPr>
                <w:rFonts w:hAnsi="宋体" w:cs="宋体"/>
                <w:color w:val="auto"/>
                <w:sz w:val="21"/>
                <w:szCs w:val="21"/>
                <w:highlight w:val="none"/>
              </w:rPr>
            </w:pPr>
          </w:p>
        </w:tc>
        <w:tc>
          <w:tcPr>
            <w:tcW w:w="138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职工总数</w:t>
            </w:r>
          </w:p>
        </w:tc>
        <w:tc>
          <w:tcPr>
            <w:tcW w:w="6105" w:type="dxa"/>
            <w:gridSpan w:val="5"/>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668" w:hRule="exact"/>
        </w:trPr>
        <w:tc>
          <w:tcPr>
            <w:tcW w:w="1414" w:type="dxa"/>
            <w:vMerge w:val="continue"/>
            <w:tcBorders>
              <w:left w:val="single" w:color="auto" w:sz="8" w:space="0"/>
              <w:right w:val="single" w:color="auto" w:sz="8" w:space="0"/>
            </w:tcBorders>
            <w:noWrap w:val="0"/>
            <w:vAlign w:val="center"/>
          </w:tcPr>
          <w:p>
            <w:pPr>
              <w:widowControl/>
              <w:spacing w:before="100" w:beforeAutospacing="1" w:after="100" w:afterAutospacing="1" w:line="520" w:lineRule="atLeast"/>
              <w:jc w:val="center"/>
              <w:rPr>
                <w:rFonts w:hAnsi="宋体" w:cs="宋体"/>
                <w:color w:val="auto"/>
                <w:sz w:val="21"/>
                <w:szCs w:val="21"/>
                <w:highlight w:val="none"/>
              </w:rPr>
            </w:pPr>
          </w:p>
        </w:tc>
        <w:tc>
          <w:tcPr>
            <w:tcW w:w="1385" w:type="dxa"/>
            <w:vMerge w:val="restart"/>
            <w:tcBorders>
              <w:top w:val="single" w:color="auto" w:sz="4" w:space="0"/>
              <w:left w:val="nil"/>
              <w:right w:val="single" w:color="auto" w:sz="4" w:space="0"/>
            </w:tcBorders>
            <w:noWrap w:val="0"/>
            <w:vAlign w:val="center"/>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资产情况</w:t>
            </w:r>
          </w:p>
        </w:tc>
        <w:tc>
          <w:tcPr>
            <w:tcW w:w="3589" w:type="dxa"/>
            <w:gridSpan w:val="3"/>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净资产   万元</w:t>
            </w:r>
          </w:p>
        </w:tc>
        <w:tc>
          <w:tcPr>
            <w:tcW w:w="2516" w:type="dxa"/>
            <w:gridSpan w:val="2"/>
            <w:vMerge w:val="restart"/>
            <w:tcBorders>
              <w:top w:val="single" w:color="auto" w:sz="4" w:space="0"/>
              <w:left w:val="nil"/>
              <w:right w:val="single" w:color="auto" w:sz="4" w:space="0"/>
            </w:tcBorders>
            <w:noWrap w:val="0"/>
            <w:vAlign w:val="center"/>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固定资产原值     万元</w:t>
            </w:r>
          </w:p>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固定资产净值     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884" w:hRule="atLeast"/>
        </w:trPr>
        <w:tc>
          <w:tcPr>
            <w:tcW w:w="1414" w:type="dxa"/>
            <w:vMerge w:val="continue"/>
            <w:tcBorders>
              <w:left w:val="single" w:color="auto" w:sz="8" w:space="0"/>
              <w:bottom w:val="single" w:color="auto" w:sz="4" w:space="0"/>
              <w:right w:val="single" w:color="auto" w:sz="8" w:space="0"/>
            </w:tcBorders>
            <w:noWrap w:val="0"/>
            <w:vAlign w:val="center"/>
          </w:tcPr>
          <w:p>
            <w:pPr>
              <w:widowControl/>
              <w:spacing w:before="100" w:beforeAutospacing="1" w:after="100" w:afterAutospacing="1" w:line="520" w:lineRule="atLeast"/>
              <w:jc w:val="center"/>
              <w:rPr>
                <w:rFonts w:hAnsi="宋体" w:cs="宋体"/>
                <w:color w:val="auto"/>
                <w:sz w:val="21"/>
                <w:szCs w:val="21"/>
                <w:highlight w:val="none"/>
              </w:rPr>
            </w:pPr>
          </w:p>
        </w:tc>
        <w:tc>
          <w:tcPr>
            <w:tcW w:w="1385" w:type="dxa"/>
            <w:vMerge w:val="continue"/>
            <w:tcBorders>
              <w:left w:val="nil"/>
              <w:bottom w:val="single" w:color="auto" w:sz="4" w:space="0"/>
              <w:right w:val="single" w:color="auto" w:sz="4" w:space="0"/>
            </w:tcBorders>
            <w:noWrap w:val="0"/>
            <w:vAlign w:val="center"/>
          </w:tcPr>
          <w:p>
            <w:pPr>
              <w:widowControl/>
              <w:spacing w:before="100" w:beforeAutospacing="1" w:after="100" w:afterAutospacing="1" w:line="520" w:lineRule="atLeast"/>
              <w:jc w:val="center"/>
              <w:rPr>
                <w:rFonts w:hAnsi="宋体" w:cs="宋体"/>
                <w:color w:val="auto"/>
                <w:sz w:val="21"/>
                <w:szCs w:val="21"/>
                <w:highlight w:val="none"/>
              </w:rPr>
            </w:pPr>
          </w:p>
        </w:tc>
        <w:tc>
          <w:tcPr>
            <w:tcW w:w="3589" w:type="dxa"/>
            <w:gridSpan w:val="3"/>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520" w:lineRule="atLeast"/>
              <w:jc w:val="center"/>
              <w:rPr>
                <w:rFonts w:hAnsi="宋体" w:cs="宋体"/>
                <w:color w:val="auto"/>
                <w:sz w:val="21"/>
                <w:szCs w:val="21"/>
                <w:highlight w:val="none"/>
              </w:rPr>
            </w:pPr>
            <w:r>
              <w:rPr>
                <w:rFonts w:hint="eastAsia" w:hAnsi="宋体" w:cs="宋体"/>
                <w:color w:val="auto"/>
                <w:sz w:val="21"/>
                <w:szCs w:val="21"/>
                <w:highlight w:val="none"/>
              </w:rPr>
              <w:t>负债     万元</w:t>
            </w:r>
          </w:p>
        </w:tc>
        <w:tc>
          <w:tcPr>
            <w:tcW w:w="2516" w:type="dxa"/>
            <w:gridSpan w:val="2"/>
            <w:vMerge w:val="continue"/>
            <w:tcBorders>
              <w:left w:val="nil"/>
              <w:bottom w:val="single" w:color="auto" w:sz="4" w:space="0"/>
              <w:right w:val="single" w:color="auto" w:sz="4" w:space="0"/>
            </w:tcBorders>
            <w:noWrap w:val="0"/>
            <w:vAlign w:val="center"/>
          </w:tcPr>
          <w:p>
            <w:pPr>
              <w:widowControl/>
              <w:spacing w:before="100" w:beforeAutospacing="1" w:after="100" w:afterAutospacing="1" w:line="520" w:lineRule="atLeast"/>
              <w:jc w:val="center"/>
              <w:rPr>
                <w:rFonts w:hAnsi="宋体" w:cs="宋体"/>
                <w:color w:val="auto"/>
                <w:sz w:val="21"/>
                <w:szCs w:val="21"/>
                <w:highlight w:val="none"/>
              </w:rPr>
            </w:pPr>
          </w:p>
        </w:tc>
      </w:tr>
    </w:tbl>
    <w:p>
      <w:pPr>
        <w:spacing w:line="360" w:lineRule="auto"/>
        <w:rPr>
          <w:rFonts w:hint="eastAsia" w:ascii="Times New Roman"/>
          <w:color w:val="auto"/>
          <w:kern w:val="2"/>
          <w:sz w:val="21"/>
          <w:szCs w:val="21"/>
          <w:highlight w:val="none"/>
        </w:rPr>
      </w:pPr>
      <w:r>
        <w:rPr>
          <w:rFonts w:hint="eastAsia"/>
          <w:color w:val="auto"/>
          <w:kern w:val="2"/>
          <w:sz w:val="21"/>
          <w:szCs w:val="21"/>
          <w:highlight w:val="none"/>
        </w:rPr>
        <w:t>注：</w:t>
      </w:r>
      <w:r>
        <w:rPr>
          <w:rFonts w:hint="eastAsia" w:ascii="Times New Roman"/>
          <w:color w:val="auto"/>
          <w:kern w:val="2"/>
          <w:sz w:val="21"/>
          <w:szCs w:val="21"/>
          <w:highlight w:val="none"/>
        </w:rPr>
        <w:t>1</w:t>
      </w:r>
      <w:r>
        <w:rPr>
          <w:rFonts w:hint="eastAsia"/>
          <w:color w:val="auto"/>
          <w:kern w:val="2"/>
          <w:sz w:val="21"/>
          <w:szCs w:val="21"/>
          <w:highlight w:val="none"/>
        </w:rPr>
        <w:t>.本表所述“职工”应为供应商的正式员工。</w:t>
      </w:r>
    </w:p>
    <w:p>
      <w:pPr>
        <w:autoSpaceDE/>
        <w:autoSpaceDN/>
        <w:adjustRightInd/>
        <w:spacing w:line="500" w:lineRule="exact"/>
        <w:ind w:firstLine="4800" w:firstLineChars="2000"/>
        <w:jc w:val="both"/>
        <w:textAlignment w:val="auto"/>
        <w:rPr>
          <w:rFonts w:hAnsi="宋体"/>
          <w:color w:val="auto"/>
          <w:sz w:val="24"/>
          <w:highlight w:val="none"/>
        </w:rPr>
      </w:pPr>
      <w:r>
        <w:rPr>
          <w:rFonts w:hint="eastAsia" w:hAnsi="宋体"/>
          <w:color w:val="auto"/>
          <w:sz w:val="24"/>
          <w:highlight w:val="none"/>
        </w:rPr>
        <w:t>供应商</w:t>
      </w:r>
      <w:r>
        <w:rPr>
          <w:rFonts w:hAnsi="宋体"/>
          <w:color w:val="auto"/>
          <w:sz w:val="24"/>
          <w:highlight w:val="none"/>
        </w:rPr>
        <w:t>名称（公章）：     </w:t>
      </w:r>
    </w:p>
    <w:p>
      <w:pPr>
        <w:snapToGrid w:val="0"/>
        <w:spacing w:before="120" w:beforeLines="50" w:after="50"/>
        <w:ind w:firstLine="4800" w:firstLineChars="2000"/>
        <w:rPr>
          <w:rFonts w:hAnsi="宋体"/>
          <w:color w:val="auto"/>
          <w:sz w:val="24"/>
          <w:highlight w:val="none"/>
        </w:rPr>
      </w:pPr>
      <w:r>
        <w:rPr>
          <w:rFonts w:hAnsi="宋体"/>
          <w:color w:val="auto"/>
          <w:sz w:val="24"/>
          <w:highlight w:val="none"/>
        </w:rPr>
        <w:t>法定代表人</w:t>
      </w:r>
      <w:r>
        <w:rPr>
          <w:rFonts w:hint="eastAsia" w:hAnsi="宋体"/>
          <w:color w:val="auto"/>
          <w:sz w:val="24"/>
          <w:highlight w:val="none"/>
        </w:rPr>
        <w:t>或其授权代表</w:t>
      </w:r>
      <w:r>
        <w:rPr>
          <w:rFonts w:hAnsi="宋体"/>
          <w:color w:val="auto"/>
          <w:sz w:val="24"/>
          <w:highlight w:val="none"/>
        </w:rPr>
        <w:t xml:space="preserve">签字：                </w:t>
      </w:r>
    </w:p>
    <w:p>
      <w:pPr>
        <w:autoSpaceDE/>
        <w:autoSpaceDN/>
        <w:adjustRightInd/>
        <w:spacing w:line="500" w:lineRule="exact"/>
        <w:ind w:firstLine="5280" w:firstLineChars="2200"/>
        <w:jc w:val="both"/>
        <w:textAlignment w:val="auto"/>
        <w:rPr>
          <w:rFonts w:hAnsi="宋体"/>
          <w:color w:val="auto"/>
          <w:sz w:val="24"/>
          <w:highlight w:val="none"/>
        </w:rPr>
      </w:pPr>
      <w:r>
        <w:rPr>
          <w:rFonts w:hAnsi="宋体"/>
          <w:color w:val="auto"/>
          <w:sz w:val="24"/>
          <w:highlight w:val="none"/>
        </w:rPr>
        <w:t>日期：____年____月____日</w:t>
      </w:r>
    </w:p>
    <w:p>
      <w:pPr>
        <w:spacing w:line="360" w:lineRule="auto"/>
        <w:rPr>
          <w:rFonts w:hint="eastAsia" w:ascii="Times New Roman"/>
          <w:color w:val="auto"/>
          <w:kern w:val="2"/>
          <w:sz w:val="21"/>
          <w:szCs w:val="21"/>
          <w:highlight w:val="none"/>
        </w:rPr>
      </w:pPr>
      <w:r>
        <w:rPr>
          <w:rFonts w:hint="eastAsia" w:ascii="Times New Roman"/>
          <w:color w:val="auto"/>
          <w:kern w:val="2"/>
          <w:sz w:val="21"/>
          <w:szCs w:val="21"/>
          <w:highlight w:val="none"/>
        </w:rPr>
        <w:t xml:space="preserve">  </w:t>
      </w:r>
      <w:bookmarkStart w:id="119" w:name="_Toc255551951"/>
      <w:bookmarkStart w:id="120" w:name="_Toc237193472"/>
      <w:bookmarkStart w:id="121" w:name="_Toc237182520"/>
      <w:bookmarkStart w:id="122" w:name="_Toc256682237"/>
      <w:bookmarkStart w:id="123" w:name="_Toc361092709"/>
      <w:bookmarkStart w:id="124" w:name="_Toc256507275"/>
      <w:bookmarkStart w:id="125" w:name="_Toc237413934"/>
      <w:bookmarkStart w:id="126" w:name="_Toc237189801"/>
      <w:bookmarkStart w:id="127" w:name="_Toc237340128"/>
      <w:bookmarkStart w:id="128" w:name="_Toc237414029"/>
      <w:bookmarkStart w:id="129" w:name="_Toc256507109"/>
    </w:p>
    <w:p>
      <w:pPr>
        <w:pStyle w:val="135"/>
        <w:rPr>
          <w:rFonts w:hint="eastAsia" w:ascii="Times New Roman"/>
          <w:color w:val="auto"/>
          <w:kern w:val="2"/>
          <w:sz w:val="21"/>
          <w:szCs w:val="21"/>
          <w:highlight w:val="none"/>
        </w:rPr>
      </w:pPr>
    </w:p>
    <w:bookmarkEnd w:id="119"/>
    <w:bookmarkEnd w:id="120"/>
    <w:bookmarkEnd w:id="121"/>
    <w:bookmarkEnd w:id="122"/>
    <w:bookmarkEnd w:id="123"/>
    <w:bookmarkEnd w:id="124"/>
    <w:bookmarkEnd w:id="125"/>
    <w:bookmarkEnd w:id="126"/>
    <w:bookmarkEnd w:id="127"/>
    <w:bookmarkEnd w:id="128"/>
    <w:bookmarkEnd w:id="129"/>
    <w:p>
      <w:pPr>
        <w:widowControl/>
        <w:autoSpaceDE/>
        <w:autoSpaceDN/>
        <w:adjustRightInd/>
        <w:spacing w:line="360" w:lineRule="auto"/>
        <w:textAlignment w:val="auto"/>
        <w:rPr>
          <w:rFonts w:hint="eastAsia" w:ascii="Times New Roman"/>
          <w:color w:val="auto"/>
          <w:kern w:val="2"/>
          <w:sz w:val="21"/>
          <w:szCs w:val="21"/>
          <w:highlight w:val="none"/>
        </w:rPr>
      </w:pPr>
    </w:p>
    <w:p>
      <w:pPr>
        <w:spacing w:line="360" w:lineRule="auto"/>
        <w:jc w:val="both"/>
        <w:rPr>
          <w:rFonts w:hint="eastAsia" w:hAnsi="宋体"/>
          <w:b/>
          <w:color w:val="auto"/>
          <w:sz w:val="24"/>
          <w:szCs w:val="24"/>
          <w:highlight w:val="none"/>
        </w:rPr>
      </w:pPr>
      <w:r>
        <w:rPr>
          <w:rFonts w:hint="eastAsia" w:hAnsi="宋体"/>
          <w:b/>
          <w:color w:val="auto"/>
          <w:sz w:val="24"/>
          <w:szCs w:val="24"/>
          <w:highlight w:val="none"/>
        </w:rPr>
        <w:t>3.服务要求、商务条款偏离表</w:t>
      </w:r>
    </w:p>
    <w:p>
      <w:pPr>
        <w:autoSpaceDE/>
        <w:autoSpaceDN/>
        <w:adjustRightInd/>
        <w:spacing w:line="460" w:lineRule="exact"/>
        <w:jc w:val="center"/>
        <w:textAlignment w:val="auto"/>
        <w:rPr>
          <w:rFonts w:hint="eastAsia" w:hAnsi="宋体"/>
          <w:b/>
          <w:color w:val="auto"/>
          <w:sz w:val="28"/>
          <w:highlight w:val="none"/>
        </w:rPr>
      </w:pPr>
      <w:r>
        <w:rPr>
          <w:rFonts w:hint="eastAsia" w:hAnsi="宋体"/>
          <w:b/>
          <w:color w:val="auto"/>
          <w:sz w:val="28"/>
          <w:highlight w:val="none"/>
        </w:rPr>
        <w:t>服务要求、商务条款偏离表</w:t>
      </w:r>
    </w:p>
    <w:p>
      <w:pPr>
        <w:pStyle w:val="39"/>
        <w:widowControl w:val="0"/>
        <w:rPr>
          <w:color w:val="auto"/>
          <w:highlight w:val="none"/>
          <w:u w:val="single"/>
        </w:rPr>
      </w:pPr>
      <w:r>
        <w:rPr>
          <w:color w:val="auto"/>
          <w:highlight w:val="none"/>
        </w:rPr>
        <w:t>项目名称：</w:t>
      </w:r>
      <w:r>
        <w:rPr>
          <w:color w:val="auto"/>
          <w:highlight w:val="none"/>
          <w:u w:val="single"/>
        </w:rPr>
        <w:t xml:space="preserve">                  </w:t>
      </w:r>
      <w:r>
        <w:rPr>
          <w:color w:val="auto"/>
          <w:highlight w:val="none"/>
        </w:rPr>
        <w:t xml:space="preserve">        项目编号：</w:t>
      </w:r>
      <w:r>
        <w:rPr>
          <w:color w:val="auto"/>
          <w:highlight w:val="none"/>
          <w:u w:val="single"/>
        </w:rPr>
        <w:t xml:space="preserve">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914"/>
        <w:gridCol w:w="1854"/>
        <w:gridCol w:w="1920"/>
        <w:gridCol w:w="2210"/>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88" w:type="dxa"/>
            <w:noWrap w:val="0"/>
            <w:vAlign w:val="top"/>
          </w:tcPr>
          <w:p>
            <w:pPr>
              <w:spacing w:line="380" w:lineRule="exact"/>
              <w:jc w:val="center"/>
              <w:rPr>
                <w:rFonts w:hint="eastAsia" w:hAnsi="宋体"/>
                <w:color w:val="auto"/>
                <w:sz w:val="21"/>
                <w:szCs w:val="21"/>
                <w:highlight w:val="none"/>
              </w:rPr>
            </w:pPr>
          </w:p>
        </w:tc>
        <w:tc>
          <w:tcPr>
            <w:tcW w:w="914" w:type="dxa"/>
            <w:noWrap w:val="0"/>
            <w:vAlign w:val="center"/>
          </w:tcPr>
          <w:p>
            <w:pPr>
              <w:spacing w:line="380" w:lineRule="exact"/>
              <w:jc w:val="center"/>
              <w:rPr>
                <w:rFonts w:hint="eastAsia" w:hAnsi="宋体"/>
                <w:color w:val="auto"/>
                <w:sz w:val="21"/>
                <w:szCs w:val="21"/>
                <w:highlight w:val="none"/>
              </w:rPr>
            </w:pPr>
            <w:r>
              <w:rPr>
                <w:rFonts w:hint="eastAsia" w:hAnsi="宋体"/>
                <w:color w:val="auto"/>
                <w:sz w:val="21"/>
                <w:szCs w:val="21"/>
                <w:highlight w:val="none"/>
              </w:rPr>
              <w:t>序号</w:t>
            </w:r>
          </w:p>
        </w:tc>
        <w:tc>
          <w:tcPr>
            <w:tcW w:w="1854" w:type="dxa"/>
            <w:noWrap w:val="0"/>
            <w:vAlign w:val="center"/>
          </w:tcPr>
          <w:p>
            <w:pPr>
              <w:spacing w:line="380" w:lineRule="exact"/>
              <w:jc w:val="center"/>
              <w:rPr>
                <w:rFonts w:hint="eastAsia" w:hAnsi="宋体"/>
                <w:color w:val="auto"/>
                <w:sz w:val="21"/>
                <w:szCs w:val="21"/>
                <w:highlight w:val="none"/>
              </w:rPr>
            </w:pPr>
            <w:r>
              <w:rPr>
                <w:rFonts w:hint="eastAsia" w:hAnsi="宋体"/>
                <w:color w:val="auto"/>
                <w:sz w:val="21"/>
                <w:szCs w:val="21"/>
                <w:highlight w:val="none"/>
              </w:rPr>
              <w:t>竞争性磋商文件</w:t>
            </w:r>
          </w:p>
          <w:p>
            <w:pPr>
              <w:spacing w:line="380" w:lineRule="exact"/>
              <w:jc w:val="center"/>
              <w:rPr>
                <w:rFonts w:hint="eastAsia" w:hAnsi="宋体"/>
                <w:color w:val="auto"/>
                <w:sz w:val="21"/>
                <w:szCs w:val="21"/>
                <w:highlight w:val="none"/>
              </w:rPr>
            </w:pPr>
            <w:r>
              <w:rPr>
                <w:rFonts w:hint="eastAsia" w:hAnsi="宋体"/>
                <w:color w:val="auto"/>
                <w:sz w:val="21"/>
                <w:szCs w:val="21"/>
                <w:highlight w:val="none"/>
              </w:rPr>
              <w:t>条目号</w:t>
            </w:r>
          </w:p>
        </w:tc>
        <w:tc>
          <w:tcPr>
            <w:tcW w:w="1920" w:type="dxa"/>
            <w:noWrap w:val="0"/>
            <w:vAlign w:val="center"/>
          </w:tcPr>
          <w:p>
            <w:pPr>
              <w:spacing w:line="380" w:lineRule="exact"/>
              <w:jc w:val="center"/>
              <w:rPr>
                <w:rFonts w:hint="eastAsia" w:hAnsi="宋体"/>
                <w:color w:val="auto"/>
                <w:sz w:val="21"/>
                <w:szCs w:val="21"/>
                <w:highlight w:val="none"/>
              </w:rPr>
            </w:pPr>
            <w:r>
              <w:rPr>
                <w:rFonts w:hint="eastAsia" w:hAnsi="宋体"/>
                <w:color w:val="auto"/>
                <w:sz w:val="21"/>
                <w:szCs w:val="21"/>
                <w:highlight w:val="none"/>
              </w:rPr>
              <w:t>竞争性磋商文件的具体要求</w:t>
            </w:r>
          </w:p>
        </w:tc>
        <w:tc>
          <w:tcPr>
            <w:tcW w:w="2210" w:type="dxa"/>
            <w:noWrap w:val="0"/>
            <w:vAlign w:val="center"/>
          </w:tcPr>
          <w:p>
            <w:pPr>
              <w:spacing w:line="380" w:lineRule="exact"/>
              <w:jc w:val="center"/>
              <w:rPr>
                <w:rFonts w:hint="eastAsia" w:hAnsi="宋体"/>
                <w:color w:val="auto"/>
                <w:sz w:val="21"/>
                <w:szCs w:val="21"/>
                <w:highlight w:val="none"/>
              </w:rPr>
            </w:pPr>
            <w:r>
              <w:rPr>
                <w:rFonts w:hint="eastAsia" w:hAnsi="宋体"/>
                <w:color w:val="auto"/>
                <w:sz w:val="21"/>
                <w:szCs w:val="21"/>
                <w:highlight w:val="none"/>
              </w:rPr>
              <w:t>响应竞争性磋商文件的响应或承诺</w:t>
            </w:r>
          </w:p>
        </w:tc>
        <w:tc>
          <w:tcPr>
            <w:tcW w:w="1501" w:type="dxa"/>
            <w:noWrap w:val="0"/>
            <w:vAlign w:val="center"/>
          </w:tcPr>
          <w:p>
            <w:pPr>
              <w:spacing w:line="380" w:lineRule="exact"/>
              <w:jc w:val="center"/>
              <w:rPr>
                <w:rFonts w:hint="eastAsia" w:hAnsi="宋体"/>
                <w:color w:val="auto"/>
                <w:sz w:val="21"/>
                <w:szCs w:val="21"/>
                <w:highlight w:val="none"/>
              </w:rPr>
            </w:pPr>
            <w:r>
              <w:rPr>
                <w:rFonts w:hint="eastAsia" w:hAnsi="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88" w:type="dxa"/>
            <w:vMerge w:val="restart"/>
            <w:noWrap w:val="0"/>
            <w:vAlign w:val="center"/>
          </w:tcPr>
          <w:p>
            <w:pPr>
              <w:spacing w:line="380" w:lineRule="exact"/>
              <w:jc w:val="center"/>
              <w:rPr>
                <w:rFonts w:hint="eastAsia" w:hAnsi="宋体"/>
                <w:color w:val="auto"/>
                <w:sz w:val="21"/>
                <w:szCs w:val="21"/>
                <w:highlight w:val="none"/>
              </w:rPr>
            </w:pPr>
            <w:r>
              <w:rPr>
                <w:rFonts w:hint="eastAsia" w:hAnsi="宋体"/>
                <w:color w:val="auto"/>
                <w:sz w:val="21"/>
                <w:szCs w:val="21"/>
                <w:highlight w:val="none"/>
              </w:rPr>
              <w:t>服务</w:t>
            </w:r>
          </w:p>
          <w:p>
            <w:pPr>
              <w:spacing w:line="380" w:lineRule="exact"/>
              <w:jc w:val="center"/>
              <w:rPr>
                <w:rFonts w:hint="eastAsia" w:hAnsi="宋体"/>
                <w:color w:val="auto"/>
                <w:sz w:val="21"/>
                <w:szCs w:val="21"/>
                <w:highlight w:val="none"/>
              </w:rPr>
            </w:pPr>
            <w:r>
              <w:rPr>
                <w:rFonts w:hint="eastAsia" w:hAnsi="宋体"/>
                <w:color w:val="auto"/>
                <w:sz w:val="21"/>
                <w:szCs w:val="21"/>
                <w:highlight w:val="none"/>
              </w:rPr>
              <w:t>要求</w:t>
            </w:r>
          </w:p>
        </w:tc>
        <w:tc>
          <w:tcPr>
            <w:tcW w:w="914" w:type="dxa"/>
            <w:noWrap w:val="0"/>
            <w:vAlign w:val="center"/>
          </w:tcPr>
          <w:p>
            <w:pPr>
              <w:spacing w:line="380" w:lineRule="exact"/>
              <w:jc w:val="center"/>
              <w:rPr>
                <w:rFonts w:hint="eastAsia" w:hAnsi="宋体"/>
                <w:color w:val="auto"/>
                <w:sz w:val="21"/>
                <w:szCs w:val="21"/>
                <w:highlight w:val="none"/>
              </w:rPr>
            </w:pPr>
          </w:p>
        </w:tc>
        <w:tc>
          <w:tcPr>
            <w:tcW w:w="1854" w:type="dxa"/>
            <w:noWrap w:val="0"/>
            <w:vAlign w:val="center"/>
          </w:tcPr>
          <w:p>
            <w:pPr>
              <w:spacing w:line="380" w:lineRule="exact"/>
              <w:jc w:val="center"/>
              <w:rPr>
                <w:rFonts w:hint="eastAsia" w:hAnsi="宋体"/>
                <w:color w:val="auto"/>
                <w:sz w:val="21"/>
                <w:szCs w:val="21"/>
                <w:highlight w:val="none"/>
              </w:rPr>
            </w:pPr>
          </w:p>
        </w:tc>
        <w:tc>
          <w:tcPr>
            <w:tcW w:w="1920" w:type="dxa"/>
            <w:noWrap w:val="0"/>
            <w:vAlign w:val="center"/>
          </w:tcPr>
          <w:p>
            <w:pPr>
              <w:spacing w:line="380" w:lineRule="exact"/>
              <w:jc w:val="center"/>
              <w:rPr>
                <w:rFonts w:hint="eastAsia" w:hAnsi="宋体"/>
                <w:color w:val="auto"/>
                <w:sz w:val="21"/>
                <w:szCs w:val="21"/>
                <w:highlight w:val="none"/>
              </w:rPr>
            </w:pPr>
          </w:p>
        </w:tc>
        <w:tc>
          <w:tcPr>
            <w:tcW w:w="2210" w:type="dxa"/>
            <w:noWrap w:val="0"/>
            <w:vAlign w:val="center"/>
          </w:tcPr>
          <w:p>
            <w:pPr>
              <w:spacing w:line="380" w:lineRule="exact"/>
              <w:jc w:val="center"/>
              <w:rPr>
                <w:rFonts w:hint="eastAsia" w:hAnsi="宋体"/>
                <w:color w:val="auto"/>
                <w:sz w:val="21"/>
                <w:szCs w:val="21"/>
                <w:highlight w:val="none"/>
              </w:rPr>
            </w:pPr>
          </w:p>
        </w:tc>
        <w:tc>
          <w:tcPr>
            <w:tcW w:w="1501" w:type="dxa"/>
            <w:noWrap w:val="0"/>
            <w:vAlign w:val="center"/>
          </w:tcPr>
          <w:p>
            <w:pPr>
              <w:spacing w:line="380" w:lineRule="exact"/>
              <w:jc w:val="center"/>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888" w:type="dxa"/>
            <w:vMerge w:val="continue"/>
            <w:noWrap w:val="0"/>
            <w:vAlign w:val="top"/>
          </w:tcPr>
          <w:p>
            <w:pPr>
              <w:spacing w:line="380" w:lineRule="exact"/>
              <w:ind w:firstLine="210" w:firstLineChars="100"/>
              <w:rPr>
                <w:rFonts w:hint="eastAsia" w:hAnsi="宋体"/>
                <w:color w:val="auto"/>
                <w:sz w:val="21"/>
                <w:szCs w:val="21"/>
                <w:highlight w:val="none"/>
              </w:rPr>
            </w:pPr>
          </w:p>
        </w:tc>
        <w:tc>
          <w:tcPr>
            <w:tcW w:w="914" w:type="dxa"/>
            <w:noWrap w:val="0"/>
            <w:vAlign w:val="center"/>
          </w:tcPr>
          <w:p>
            <w:pPr>
              <w:spacing w:line="380" w:lineRule="exact"/>
              <w:jc w:val="center"/>
              <w:rPr>
                <w:rFonts w:hint="eastAsia" w:hAnsi="宋体"/>
                <w:color w:val="auto"/>
                <w:sz w:val="21"/>
                <w:szCs w:val="21"/>
                <w:highlight w:val="none"/>
              </w:rPr>
            </w:pPr>
          </w:p>
        </w:tc>
        <w:tc>
          <w:tcPr>
            <w:tcW w:w="1854" w:type="dxa"/>
            <w:noWrap w:val="0"/>
            <w:vAlign w:val="center"/>
          </w:tcPr>
          <w:p>
            <w:pPr>
              <w:spacing w:line="380" w:lineRule="exact"/>
              <w:jc w:val="center"/>
              <w:rPr>
                <w:rFonts w:hint="eastAsia" w:hAnsi="宋体"/>
                <w:color w:val="auto"/>
                <w:sz w:val="21"/>
                <w:szCs w:val="21"/>
                <w:highlight w:val="none"/>
              </w:rPr>
            </w:pPr>
          </w:p>
        </w:tc>
        <w:tc>
          <w:tcPr>
            <w:tcW w:w="1920" w:type="dxa"/>
            <w:noWrap w:val="0"/>
            <w:vAlign w:val="center"/>
          </w:tcPr>
          <w:p>
            <w:pPr>
              <w:spacing w:line="380" w:lineRule="exact"/>
              <w:jc w:val="center"/>
              <w:rPr>
                <w:rFonts w:hint="eastAsia" w:hAnsi="宋体"/>
                <w:color w:val="auto"/>
                <w:sz w:val="21"/>
                <w:szCs w:val="21"/>
                <w:highlight w:val="none"/>
              </w:rPr>
            </w:pPr>
          </w:p>
        </w:tc>
        <w:tc>
          <w:tcPr>
            <w:tcW w:w="2210" w:type="dxa"/>
            <w:noWrap w:val="0"/>
            <w:vAlign w:val="center"/>
          </w:tcPr>
          <w:p>
            <w:pPr>
              <w:spacing w:line="380" w:lineRule="exact"/>
              <w:jc w:val="center"/>
              <w:rPr>
                <w:rFonts w:hint="eastAsia" w:hAnsi="宋体"/>
                <w:color w:val="auto"/>
                <w:sz w:val="21"/>
                <w:szCs w:val="21"/>
                <w:highlight w:val="none"/>
              </w:rPr>
            </w:pPr>
          </w:p>
        </w:tc>
        <w:tc>
          <w:tcPr>
            <w:tcW w:w="1501" w:type="dxa"/>
            <w:noWrap w:val="0"/>
            <w:vAlign w:val="center"/>
          </w:tcPr>
          <w:p>
            <w:pPr>
              <w:spacing w:line="380" w:lineRule="exact"/>
              <w:jc w:val="center"/>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888" w:type="dxa"/>
            <w:vMerge w:val="continue"/>
            <w:noWrap w:val="0"/>
            <w:vAlign w:val="top"/>
          </w:tcPr>
          <w:p>
            <w:pPr>
              <w:spacing w:line="380" w:lineRule="exact"/>
              <w:jc w:val="center"/>
              <w:rPr>
                <w:rFonts w:hint="eastAsia" w:hAnsi="宋体"/>
                <w:color w:val="auto"/>
                <w:sz w:val="21"/>
                <w:szCs w:val="21"/>
                <w:highlight w:val="none"/>
              </w:rPr>
            </w:pPr>
          </w:p>
        </w:tc>
        <w:tc>
          <w:tcPr>
            <w:tcW w:w="914" w:type="dxa"/>
            <w:noWrap w:val="0"/>
            <w:vAlign w:val="center"/>
          </w:tcPr>
          <w:p>
            <w:pPr>
              <w:spacing w:line="380" w:lineRule="exact"/>
              <w:jc w:val="center"/>
              <w:rPr>
                <w:rFonts w:hint="eastAsia" w:hAnsi="宋体"/>
                <w:color w:val="auto"/>
                <w:sz w:val="21"/>
                <w:szCs w:val="21"/>
                <w:highlight w:val="none"/>
              </w:rPr>
            </w:pPr>
          </w:p>
        </w:tc>
        <w:tc>
          <w:tcPr>
            <w:tcW w:w="1854" w:type="dxa"/>
            <w:noWrap w:val="0"/>
            <w:vAlign w:val="center"/>
          </w:tcPr>
          <w:p>
            <w:pPr>
              <w:spacing w:line="380" w:lineRule="exact"/>
              <w:jc w:val="center"/>
              <w:rPr>
                <w:rFonts w:hint="eastAsia" w:hAnsi="宋体"/>
                <w:color w:val="auto"/>
                <w:sz w:val="21"/>
                <w:szCs w:val="21"/>
                <w:highlight w:val="none"/>
              </w:rPr>
            </w:pPr>
          </w:p>
        </w:tc>
        <w:tc>
          <w:tcPr>
            <w:tcW w:w="1920" w:type="dxa"/>
            <w:noWrap w:val="0"/>
            <w:vAlign w:val="center"/>
          </w:tcPr>
          <w:p>
            <w:pPr>
              <w:spacing w:line="380" w:lineRule="exact"/>
              <w:jc w:val="center"/>
              <w:rPr>
                <w:rFonts w:hint="eastAsia" w:hAnsi="宋体"/>
                <w:color w:val="auto"/>
                <w:sz w:val="21"/>
                <w:szCs w:val="21"/>
                <w:highlight w:val="none"/>
              </w:rPr>
            </w:pPr>
          </w:p>
        </w:tc>
        <w:tc>
          <w:tcPr>
            <w:tcW w:w="2210" w:type="dxa"/>
            <w:noWrap w:val="0"/>
            <w:vAlign w:val="center"/>
          </w:tcPr>
          <w:p>
            <w:pPr>
              <w:spacing w:line="380" w:lineRule="exact"/>
              <w:jc w:val="center"/>
              <w:rPr>
                <w:rFonts w:hint="eastAsia" w:hAnsi="宋体"/>
                <w:color w:val="auto"/>
                <w:sz w:val="21"/>
                <w:szCs w:val="21"/>
                <w:highlight w:val="none"/>
              </w:rPr>
            </w:pPr>
          </w:p>
        </w:tc>
        <w:tc>
          <w:tcPr>
            <w:tcW w:w="1501" w:type="dxa"/>
            <w:noWrap w:val="0"/>
            <w:vAlign w:val="center"/>
          </w:tcPr>
          <w:p>
            <w:pPr>
              <w:spacing w:line="380" w:lineRule="exact"/>
              <w:jc w:val="center"/>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888" w:type="dxa"/>
            <w:vMerge w:val="continue"/>
            <w:noWrap w:val="0"/>
            <w:vAlign w:val="top"/>
          </w:tcPr>
          <w:p>
            <w:pPr>
              <w:spacing w:line="380" w:lineRule="exact"/>
              <w:jc w:val="center"/>
              <w:rPr>
                <w:rFonts w:hint="eastAsia" w:hAnsi="宋体"/>
                <w:color w:val="auto"/>
                <w:sz w:val="21"/>
                <w:szCs w:val="21"/>
                <w:highlight w:val="none"/>
              </w:rPr>
            </w:pPr>
          </w:p>
        </w:tc>
        <w:tc>
          <w:tcPr>
            <w:tcW w:w="914" w:type="dxa"/>
            <w:noWrap w:val="0"/>
            <w:vAlign w:val="center"/>
          </w:tcPr>
          <w:p>
            <w:pPr>
              <w:spacing w:line="380" w:lineRule="exact"/>
              <w:jc w:val="center"/>
              <w:rPr>
                <w:rFonts w:hint="eastAsia" w:hAnsi="宋体"/>
                <w:color w:val="auto"/>
                <w:sz w:val="21"/>
                <w:szCs w:val="21"/>
                <w:highlight w:val="none"/>
              </w:rPr>
            </w:pPr>
          </w:p>
        </w:tc>
        <w:tc>
          <w:tcPr>
            <w:tcW w:w="1854" w:type="dxa"/>
            <w:noWrap w:val="0"/>
            <w:vAlign w:val="center"/>
          </w:tcPr>
          <w:p>
            <w:pPr>
              <w:spacing w:line="380" w:lineRule="exact"/>
              <w:jc w:val="center"/>
              <w:rPr>
                <w:rFonts w:hint="eastAsia" w:hAnsi="宋体"/>
                <w:color w:val="auto"/>
                <w:sz w:val="21"/>
                <w:szCs w:val="21"/>
                <w:highlight w:val="none"/>
              </w:rPr>
            </w:pPr>
          </w:p>
        </w:tc>
        <w:tc>
          <w:tcPr>
            <w:tcW w:w="1920" w:type="dxa"/>
            <w:noWrap w:val="0"/>
            <w:vAlign w:val="center"/>
          </w:tcPr>
          <w:p>
            <w:pPr>
              <w:spacing w:line="380" w:lineRule="exact"/>
              <w:jc w:val="center"/>
              <w:rPr>
                <w:rFonts w:hint="eastAsia" w:hAnsi="宋体"/>
                <w:color w:val="auto"/>
                <w:sz w:val="21"/>
                <w:szCs w:val="21"/>
                <w:highlight w:val="none"/>
              </w:rPr>
            </w:pPr>
          </w:p>
        </w:tc>
        <w:tc>
          <w:tcPr>
            <w:tcW w:w="2210" w:type="dxa"/>
            <w:noWrap w:val="0"/>
            <w:vAlign w:val="center"/>
          </w:tcPr>
          <w:p>
            <w:pPr>
              <w:spacing w:line="380" w:lineRule="exact"/>
              <w:jc w:val="center"/>
              <w:rPr>
                <w:rFonts w:hint="eastAsia" w:hAnsi="宋体"/>
                <w:color w:val="auto"/>
                <w:sz w:val="21"/>
                <w:szCs w:val="21"/>
                <w:highlight w:val="none"/>
              </w:rPr>
            </w:pPr>
          </w:p>
        </w:tc>
        <w:tc>
          <w:tcPr>
            <w:tcW w:w="1501" w:type="dxa"/>
            <w:noWrap w:val="0"/>
            <w:vAlign w:val="center"/>
          </w:tcPr>
          <w:p>
            <w:pPr>
              <w:spacing w:line="380" w:lineRule="exact"/>
              <w:jc w:val="center"/>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8" w:type="dxa"/>
            <w:vMerge w:val="restart"/>
            <w:noWrap w:val="0"/>
            <w:vAlign w:val="center"/>
          </w:tcPr>
          <w:p>
            <w:pPr>
              <w:spacing w:line="380" w:lineRule="exact"/>
              <w:jc w:val="center"/>
              <w:rPr>
                <w:rFonts w:hint="eastAsia" w:hAnsi="宋体"/>
                <w:color w:val="auto"/>
                <w:sz w:val="21"/>
                <w:szCs w:val="21"/>
                <w:highlight w:val="none"/>
              </w:rPr>
            </w:pPr>
            <w:r>
              <w:rPr>
                <w:rFonts w:hint="eastAsia" w:hAnsi="宋体"/>
                <w:color w:val="auto"/>
                <w:sz w:val="21"/>
                <w:szCs w:val="21"/>
                <w:highlight w:val="none"/>
              </w:rPr>
              <w:t>商</w:t>
            </w:r>
          </w:p>
          <w:p>
            <w:pPr>
              <w:spacing w:line="380" w:lineRule="exact"/>
              <w:jc w:val="center"/>
              <w:rPr>
                <w:rFonts w:hint="eastAsia" w:hAnsi="宋体"/>
                <w:color w:val="auto"/>
                <w:sz w:val="21"/>
                <w:szCs w:val="21"/>
                <w:highlight w:val="none"/>
              </w:rPr>
            </w:pPr>
            <w:r>
              <w:rPr>
                <w:rFonts w:hint="eastAsia" w:hAnsi="宋体"/>
                <w:color w:val="auto"/>
                <w:sz w:val="21"/>
                <w:szCs w:val="21"/>
                <w:highlight w:val="none"/>
              </w:rPr>
              <w:t>务</w:t>
            </w:r>
          </w:p>
          <w:p>
            <w:pPr>
              <w:spacing w:line="380" w:lineRule="exact"/>
              <w:jc w:val="center"/>
              <w:rPr>
                <w:rFonts w:hint="eastAsia" w:hAnsi="宋体"/>
                <w:color w:val="auto"/>
                <w:sz w:val="21"/>
                <w:szCs w:val="21"/>
                <w:highlight w:val="none"/>
              </w:rPr>
            </w:pPr>
            <w:r>
              <w:rPr>
                <w:rFonts w:hint="eastAsia" w:hAnsi="宋体"/>
                <w:color w:val="auto"/>
                <w:sz w:val="21"/>
                <w:szCs w:val="21"/>
                <w:highlight w:val="none"/>
              </w:rPr>
              <w:t>条</w:t>
            </w:r>
          </w:p>
          <w:p>
            <w:pPr>
              <w:spacing w:line="380" w:lineRule="exact"/>
              <w:jc w:val="center"/>
              <w:rPr>
                <w:rFonts w:hint="eastAsia" w:hAnsi="宋体"/>
                <w:color w:val="auto"/>
                <w:sz w:val="21"/>
                <w:szCs w:val="21"/>
                <w:highlight w:val="none"/>
              </w:rPr>
            </w:pPr>
            <w:r>
              <w:rPr>
                <w:rFonts w:hint="eastAsia" w:hAnsi="宋体"/>
                <w:color w:val="auto"/>
                <w:sz w:val="21"/>
                <w:szCs w:val="21"/>
                <w:highlight w:val="none"/>
              </w:rPr>
              <w:t>款</w:t>
            </w:r>
          </w:p>
        </w:tc>
        <w:tc>
          <w:tcPr>
            <w:tcW w:w="914" w:type="dxa"/>
            <w:noWrap w:val="0"/>
            <w:vAlign w:val="center"/>
          </w:tcPr>
          <w:p>
            <w:pPr>
              <w:spacing w:line="380" w:lineRule="exact"/>
              <w:jc w:val="center"/>
              <w:rPr>
                <w:rFonts w:hint="eastAsia" w:hAnsi="宋体"/>
                <w:color w:val="auto"/>
                <w:sz w:val="21"/>
                <w:szCs w:val="21"/>
                <w:highlight w:val="none"/>
              </w:rPr>
            </w:pPr>
          </w:p>
        </w:tc>
        <w:tc>
          <w:tcPr>
            <w:tcW w:w="1854" w:type="dxa"/>
            <w:noWrap w:val="0"/>
            <w:vAlign w:val="center"/>
          </w:tcPr>
          <w:p>
            <w:pPr>
              <w:spacing w:line="380" w:lineRule="exact"/>
              <w:jc w:val="center"/>
              <w:rPr>
                <w:rFonts w:hint="eastAsia" w:hAnsi="宋体"/>
                <w:color w:val="auto"/>
                <w:sz w:val="21"/>
                <w:szCs w:val="21"/>
                <w:highlight w:val="none"/>
              </w:rPr>
            </w:pPr>
          </w:p>
        </w:tc>
        <w:tc>
          <w:tcPr>
            <w:tcW w:w="1920" w:type="dxa"/>
            <w:noWrap w:val="0"/>
            <w:vAlign w:val="center"/>
          </w:tcPr>
          <w:p>
            <w:pPr>
              <w:spacing w:line="380" w:lineRule="exact"/>
              <w:jc w:val="center"/>
              <w:rPr>
                <w:rFonts w:hint="eastAsia" w:hAnsi="宋体"/>
                <w:color w:val="auto"/>
                <w:sz w:val="21"/>
                <w:szCs w:val="21"/>
                <w:highlight w:val="none"/>
              </w:rPr>
            </w:pPr>
          </w:p>
        </w:tc>
        <w:tc>
          <w:tcPr>
            <w:tcW w:w="2210" w:type="dxa"/>
            <w:noWrap w:val="0"/>
            <w:vAlign w:val="center"/>
          </w:tcPr>
          <w:p>
            <w:pPr>
              <w:spacing w:line="380" w:lineRule="exact"/>
              <w:jc w:val="center"/>
              <w:rPr>
                <w:rFonts w:hint="eastAsia" w:hAnsi="宋体"/>
                <w:color w:val="auto"/>
                <w:sz w:val="21"/>
                <w:szCs w:val="21"/>
                <w:highlight w:val="none"/>
              </w:rPr>
            </w:pPr>
          </w:p>
        </w:tc>
        <w:tc>
          <w:tcPr>
            <w:tcW w:w="1501" w:type="dxa"/>
            <w:noWrap w:val="0"/>
            <w:vAlign w:val="center"/>
          </w:tcPr>
          <w:p>
            <w:pPr>
              <w:spacing w:line="380" w:lineRule="exact"/>
              <w:jc w:val="center"/>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888" w:type="dxa"/>
            <w:vMerge w:val="continue"/>
            <w:noWrap w:val="0"/>
            <w:vAlign w:val="top"/>
          </w:tcPr>
          <w:p>
            <w:pPr>
              <w:spacing w:line="380" w:lineRule="exact"/>
              <w:jc w:val="center"/>
              <w:rPr>
                <w:rFonts w:hint="eastAsia" w:hAnsi="宋体"/>
                <w:color w:val="auto"/>
                <w:sz w:val="21"/>
                <w:szCs w:val="21"/>
                <w:highlight w:val="none"/>
              </w:rPr>
            </w:pPr>
          </w:p>
        </w:tc>
        <w:tc>
          <w:tcPr>
            <w:tcW w:w="914" w:type="dxa"/>
            <w:noWrap w:val="0"/>
            <w:vAlign w:val="center"/>
          </w:tcPr>
          <w:p>
            <w:pPr>
              <w:spacing w:line="380" w:lineRule="exact"/>
              <w:jc w:val="center"/>
              <w:rPr>
                <w:rFonts w:hint="eastAsia" w:hAnsi="宋体"/>
                <w:color w:val="auto"/>
                <w:sz w:val="21"/>
                <w:szCs w:val="21"/>
                <w:highlight w:val="none"/>
              </w:rPr>
            </w:pPr>
          </w:p>
        </w:tc>
        <w:tc>
          <w:tcPr>
            <w:tcW w:w="1854" w:type="dxa"/>
            <w:noWrap w:val="0"/>
            <w:vAlign w:val="center"/>
          </w:tcPr>
          <w:p>
            <w:pPr>
              <w:spacing w:line="380" w:lineRule="exact"/>
              <w:jc w:val="center"/>
              <w:rPr>
                <w:rFonts w:hint="eastAsia" w:hAnsi="宋体"/>
                <w:color w:val="auto"/>
                <w:sz w:val="21"/>
                <w:szCs w:val="21"/>
                <w:highlight w:val="none"/>
              </w:rPr>
            </w:pPr>
          </w:p>
        </w:tc>
        <w:tc>
          <w:tcPr>
            <w:tcW w:w="1920" w:type="dxa"/>
            <w:noWrap w:val="0"/>
            <w:vAlign w:val="center"/>
          </w:tcPr>
          <w:p>
            <w:pPr>
              <w:spacing w:line="380" w:lineRule="exact"/>
              <w:jc w:val="center"/>
              <w:rPr>
                <w:rFonts w:hint="eastAsia" w:hAnsi="宋体"/>
                <w:color w:val="auto"/>
                <w:sz w:val="21"/>
                <w:szCs w:val="21"/>
                <w:highlight w:val="none"/>
              </w:rPr>
            </w:pPr>
          </w:p>
        </w:tc>
        <w:tc>
          <w:tcPr>
            <w:tcW w:w="2210" w:type="dxa"/>
            <w:noWrap w:val="0"/>
            <w:vAlign w:val="center"/>
          </w:tcPr>
          <w:p>
            <w:pPr>
              <w:spacing w:line="380" w:lineRule="exact"/>
              <w:jc w:val="center"/>
              <w:rPr>
                <w:rFonts w:hint="eastAsia" w:hAnsi="宋体"/>
                <w:color w:val="auto"/>
                <w:sz w:val="21"/>
                <w:szCs w:val="21"/>
                <w:highlight w:val="none"/>
              </w:rPr>
            </w:pPr>
          </w:p>
        </w:tc>
        <w:tc>
          <w:tcPr>
            <w:tcW w:w="1501" w:type="dxa"/>
            <w:noWrap w:val="0"/>
            <w:vAlign w:val="center"/>
          </w:tcPr>
          <w:p>
            <w:pPr>
              <w:spacing w:line="380" w:lineRule="exact"/>
              <w:jc w:val="center"/>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888" w:type="dxa"/>
            <w:vMerge w:val="continue"/>
            <w:noWrap w:val="0"/>
            <w:vAlign w:val="top"/>
          </w:tcPr>
          <w:p>
            <w:pPr>
              <w:spacing w:line="380" w:lineRule="exact"/>
              <w:jc w:val="center"/>
              <w:rPr>
                <w:rFonts w:hint="eastAsia" w:hAnsi="宋体"/>
                <w:color w:val="auto"/>
                <w:sz w:val="21"/>
                <w:szCs w:val="21"/>
                <w:highlight w:val="none"/>
              </w:rPr>
            </w:pPr>
          </w:p>
        </w:tc>
        <w:tc>
          <w:tcPr>
            <w:tcW w:w="914" w:type="dxa"/>
            <w:noWrap w:val="0"/>
            <w:vAlign w:val="center"/>
          </w:tcPr>
          <w:p>
            <w:pPr>
              <w:spacing w:line="380" w:lineRule="exact"/>
              <w:jc w:val="center"/>
              <w:rPr>
                <w:rFonts w:hint="eastAsia" w:hAnsi="宋体"/>
                <w:color w:val="auto"/>
                <w:sz w:val="21"/>
                <w:szCs w:val="21"/>
                <w:highlight w:val="none"/>
              </w:rPr>
            </w:pPr>
          </w:p>
        </w:tc>
        <w:tc>
          <w:tcPr>
            <w:tcW w:w="1854" w:type="dxa"/>
            <w:noWrap w:val="0"/>
            <w:vAlign w:val="center"/>
          </w:tcPr>
          <w:p>
            <w:pPr>
              <w:spacing w:line="380" w:lineRule="exact"/>
              <w:jc w:val="center"/>
              <w:rPr>
                <w:rFonts w:hint="eastAsia" w:hAnsi="宋体"/>
                <w:color w:val="auto"/>
                <w:sz w:val="21"/>
                <w:szCs w:val="21"/>
                <w:highlight w:val="none"/>
              </w:rPr>
            </w:pPr>
          </w:p>
        </w:tc>
        <w:tc>
          <w:tcPr>
            <w:tcW w:w="1920" w:type="dxa"/>
            <w:noWrap w:val="0"/>
            <w:vAlign w:val="center"/>
          </w:tcPr>
          <w:p>
            <w:pPr>
              <w:spacing w:line="380" w:lineRule="exact"/>
              <w:jc w:val="center"/>
              <w:rPr>
                <w:rFonts w:hint="eastAsia" w:hAnsi="宋体"/>
                <w:color w:val="auto"/>
                <w:sz w:val="21"/>
                <w:szCs w:val="21"/>
                <w:highlight w:val="none"/>
              </w:rPr>
            </w:pPr>
          </w:p>
        </w:tc>
        <w:tc>
          <w:tcPr>
            <w:tcW w:w="2210" w:type="dxa"/>
            <w:noWrap w:val="0"/>
            <w:vAlign w:val="center"/>
          </w:tcPr>
          <w:p>
            <w:pPr>
              <w:spacing w:line="380" w:lineRule="exact"/>
              <w:jc w:val="center"/>
              <w:rPr>
                <w:rFonts w:hint="eastAsia" w:hAnsi="宋体"/>
                <w:color w:val="auto"/>
                <w:sz w:val="21"/>
                <w:szCs w:val="21"/>
                <w:highlight w:val="none"/>
              </w:rPr>
            </w:pPr>
          </w:p>
        </w:tc>
        <w:tc>
          <w:tcPr>
            <w:tcW w:w="1501" w:type="dxa"/>
            <w:noWrap w:val="0"/>
            <w:vAlign w:val="center"/>
          </w:tcPr>
          <w:p>
            <w:pPr>
              <w:spacing w:line="380" w:lineRule="exact"/>
              <w:jc w:val="center"/>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888" w:type="dxa"/>
            <w:vMerge w:val="continue"/>
            <w:noWrap w:val="0"/>
            <w:vAlign w:val="top"/>
          </w:tcPr>
          <w:p>
            <w:pPr>
              <w:spacing w:line="380" w:lineRule="exact"/>
              <w:jc w:val="center"/>
              <w:rPr>
                <w:rFonts w:hint="eastAsia" w:hAnsi="宋体"/>
                <w:color w:val="auto"/>
                <w:sz w:val="21"/>
                <w:szCs w:val="21"/>
                <w:highlight w:val="none"/>
              </w:rPr>
            </w:pPr>
          </w:p>
        </w:tc>
        <w:tc>
          <w:tcPr>
            <w:tcW w:w="914" w:type="dxa"/>
            <w:noWrap w:val="0"/>
            <w:vAlign w:val="center"/>
          </w:tcPr>
          <w:p>
            <w:pPr>
              <w:spacing w:line="380" w:lineRule="exact"/>
              <w:jc w:val="center"/>
              <w:rPr>
                <w:rFonts w:hint="eastAsia" w:hAnsi="宋体"/>
                <w:color w:val="auto"/>
                <w:sz w:val="21"/>
                <w:szCs w:val="21"/>
                <w:highlight w:val="none"/>
              </w:rPr>
            </w:pPr>
          </w:p>
        </w:tc>
        <w:tc>
          <w:tcPr>
            <w:tcW w:w="1854" w:type="dxa"/>
            <w:noWrap w:val="0"/>
            <w:vAlign w:val="center"/>
          </w:tcPr>
          <w:p>
            <w:pPr>
              <w:spacing w:line="380" w:lineRule="exact"/>
              <w:jc w:val="center"/>
              <w:rPr>
                <w:rFonts w:hint="eastAsia" w:hAnsi="宋体"/>
                <w:color w:val="auto"/>
                <w:sz w:val="21"/>
                <w:szCs w:val="21"/>
                <w:highlight w:val="none"/>
              </w:rPr>
            </w:pPr>
          </w:p>
        </w:tc>
        <w:tc>
          <w:tcPr>
            <w:tcW w:w="1920" w:type="dxa"/>
            <w:noWrap w:val="0"/>
            <w:vAlign w:val="center"/>
          </w:tcPr>
          <w:p>
            <w:pPr>
              <w:spacing w:line="380" w:lineRule="exact"/>
              <w:jc w:val="center"/>
              <w:rPr>
                <w:rFonts w:hint="eastAsia" w:hAnsi="宋体"/>
                <w:color w:val="auto"/>
                <w:sz w:val="21"/>
                <w:szCs w:val="21"/>
                <w:highlight w:val="none"/>
              </w:rPr>
            </w:pPr>
          </w:p>
        </w:tc>
        <w:tc>
          <w:tcPr>
            <w:tcW w:w="2210" w:type="dxa"/>
            <w:noWrap w:val="0"/>
            <w:vAlign w:val="center"/>
          </w:tcPr>
          <w:p>
            <w:pPr>
              <w:spacing w:line="380" w:lineRule="exact"/>
              <w:jc w:val="center"/>
              <w:rPr>
                <w:rFonts w:hint="eastAsia" w:hAnsi="宋体"/>
                <w:color w:val="auto"/>
                <w:sz w:val="21"/>
                <w:szCs w:val="21"/>
                <w:highlight w:val="none"/>
              </w:rPr>
            </w:pPr>
          </w:p>
        </w:tc>
        <w:tc>
          <w:tcPr>
            <w:tcW w:w="1501" w:type="dxa"/>
            <w:noWrap w:val="0"/>
            <w:vAlign w:val="center"/>
          </w:tcPr>
          <w:p>
            <w:pPr>
              <w:spacing w:line="380" w:lineRule="exact"/>
              <w:jc w:val="center"/>
              <w:rPr>
                <w:rFonts w:hint="eastAsia" w:hAnsi="宋体"/>
                <w:color w:val="auto"/>
                <w:sz w:val="21"/>
                <w:szCs w:val="21"/>
                <w:highlight w:val="none"/>
              </w:rPr>
            </w:pPr>
          </w:p>
        </w:tc>
      </w:tr>
    </w:tbl>
    <w:p>
      <w:pPr>
        <w:pStyle w:val="24"/>
        <w:spacing w:line="360" w:lineRule="auto"/>
        <w:rPr>
          <w:rFonts w:hAnsi="宋体"/>
          <w:color w:val="auto"/>
          <w:sz w:val="24"/>
          <w:szCs w:val="24"/>
          <w:highlight w:val="none"/>
        </w:rPr>
      </w:pPr>
      <w:r>
        <w:rPr>
          <w:rFonts w:hAnsi="宋体"/>
          <w:color w:val="auto"/>
          <w:sz w:val="24"/>
          <w:szCs w:val="24"/>
          <w:highlight w:val="none"/>
        </w:rPr>
        <w:t>说明：1.各</w:t>
      </w:r>
      <w:r>
        <w:rPr>
          <w:rFonts w:hint="eastAsia" w:hAnsi="宋体"/>
          <w:color w:val="auto"/>
          <w:sz w:val="24"/>
          <w:szCs w:val="24"/>
          <w:highlight w:val="none"/>
        </w:rPr>
        <w:t>供应商</w:t>
      </w:r>
      <w:r>
        <w:rPr>
          <w:rFonts w:hAnsi="宋体"/>
          <w:color w:val="auto"/>
          <w:sz w:val="24"/>
          <w:szCs w:val="24"/>
          <w:highlight w:val="none"/>
        </w:rPr>
        <w:t>可根据自身的具体情况，自行填写其他承诺事项。</w:t>
      </w:r>
      <w:r>
        <w:rPr>
          <w:rFonts w:hAnsi="宋体"/>
          <w:color w:val="auto"/>
          <w:sz w:val="24"/>
          <w:szCs w:val="24"/>
          <w:highlight w:val="none"/>
        </w:rPr>
        <w:br w:type="textWrapping"/>
      </w:r>
      <w:r>
        <w:rPr>
          <w:rFonts w:hAnsi="宋体"/>
          <w:color w:val="auto"/>
          <w:sz w:val="24"/>
          <w:szCs w:val="24"/>
          <w:highlight w:val="none"/>
        </w:rPr>
        <w:t>   2.</w:t>
      </w:r>
      <w:r>
        <w:rPr>
          <w:rFonts w:hint="eastAsia" w:hAnsi="宋体"/>
          <w:color w:val="auto"/>
          <w:sz w:val="24"/>
          <w:szCs w:val="24"/>
          <w:highlight w:val="none"/>
        </w:rPr>
        <w:t>供应商</w:t>
      </w:r>
      <w:r>
        <w:rPr>
          <w:rFonts w:hAnsi="宋体"/>
          <w:color w:val="auto"/>
          <w:sz w:val="24"/>
          <w:szCs w:val="24"/>
          <w:highlight w:val="none"/>
        </w:rPr>
        <w:t>的承诺内容须具体明确。响应情况分别为：正偏离、响应或负偏离。</w:t>
      </w:r>
      <w:r>
        <w:rPr>
          <w:rFonts w:hint="eastAsia" w:hAnsi="宋体"/>
          <w:color w:val="auto"/>
          <w:sz w:val="24"/>
          <w:szCs w:val="24"/>
          <w:highlight w:val="none"/>
        </w:rPr>
        <w:t>供应商</w:t>
      </w:r>
      <w:r>
        <w:rPr>
          <w:rFonts w:hAnsi="宋体"/>
          <w:color w:val="auto"/>
          <w:sz w:val="24"/>
          <w:szCs w:val="24"/>
          <w:highlight w:val="none"/>
        </w:rPr>
        <w:t>可在备注栏内就偏离原因进行简要说明。</w:t>
      </w:r>
    </w:p>
    <w:p>
      <w:pPr>
        <w:pStyle w:val="24"/>
        <w:spacing w:line="360" w:lineRule="auto"/>
        <w:ind w:firstLine="720" w:firstLineChars="300"/>
        <w:rPr>
          <w:rFonts w:hAnsi="宋体"/>
          <w:color w:val="auto"/>
          <w:sz w:val="24"/>
          <w:szCs w:val="24"/>
          <w:highlight w:val="none"/>
        </w:rPr>
      </w:pPr>
    </w:p>
    <w:p>
      <w:pPr>
        <w:pStyle w:val="24"/>
        <w:snapToGrid w:val="0"/>
        <w:spacing w:line="360" w:lineRule="auto"/>
        <w:rPr>
          <w:rFonts w:hAnsi="宋体"/>
          <w:color w:val="auto"/>
          <w:sz w:val="24"/>
          <w:szCs w:val="24"/>
          <w:highlight w:val="none"/>
        </w:rPr>
      </w:pPr>
      <w:r>
        <w:rPr>
          <w:rFonts w:hint="eastAsia" w:hAnsi="宋体"/>
          <w:color w:val="auto"/>
          <w:sz w:val="24"/>
          <w:szCs w:val="24"/>
          <w:highlight w:val="none"/>
        </w:rPr>
        <w:t>供应商</w:t>
      </w:r>
      <w:r>
        <w:rPr>
          <w:rFonts w:hAnsi="宋体"/>
          <w:color w:val="auto"/>
          <w:sz w:val="24"/>
          <w:szCs w:val="24"/>
          <w:highlight w:val="none"/>
        </w:rPr>
        <w:t>（盖章）：__________________________</w:t>
      </w:r>
    </w:p>
    <w:p>
      <w:pPr>
        <w:pStyle w:val="24"/>
        <w:snapToGrid w:val="0"/>
        <w:spacing w:line="360" w:lineRule="auto"/>
        <w:rPr>
          <w:rFonts w:hAnsi="宋体"/>
          <w:color w:val="auto"/>
          <w:sz w:val="24"/>
          <w:szCs w:val="24"/>
          <w:highlight w:val="none"/>
        </w:rPr>
      </w:pPr>
      <w:r>
        <w:rPr>
          <w:rFonts w:hAnsi="宋体"/>
          <w:color w:val="auto"/>
          <w:sz w:val="24"/>
          <w:szCs w:val="24"/>
          <w:highlight w:val="none"/>
        </w:rPr>
        <w:t>法定代表人或其授权代表（签字）：__________________</w:t>
      </w:r>
    </w:p>
    <w:p>
      <w:pPr>
        <w:snapToGrid w:val="0"/>
        <w:spacing w:line="480" w:lineRule="auto"/>
        <w:rPr>
          <w:rFonts w:hint="eastAsia"/>
          <w:color w:val="auto"/>
          <w:highlight w:val="none"/>
        </w:rPr>
      </w:pPr>
      <w:r>
        <w:rPr>
          <w:rFonts w:hAnsi="宋体"/>
          <w:color w:val="auto"/>
          <w:sz w:val="24"/>
          <w:szCs w:val="24"/>
          <w:highlight w:val="none"/>
        </w:rPr>
        <w:t>日期：</w:t>
      </w:r>
      <w:r>
        <w:rPr>
          <w:rFonts w:hint="eastAsia" w:hAnsi="宋体"/>
          <w:color w:val="auto"/>
          <w:sz w:val="24"/>
          <w:szCs w:val="24"/>
          <w:highlight w:val="none"/>
          <w:u w:val="single"/>
        </w:rPr>
        <w:t xml:space="preserve">       </w:t>
      </w:r>
      <w:r>
        <w:rPr>
          <w:rFonts w:hAnsi="宋体"/>
          <w:color w:val="auto"/>
          <w:sz w:val="24"/>
          <w:szCs w:val="24"/>
          <w:highlight w:val="none"/>
        </w:rPr>
        <w:t>年____月____日</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pPr>
        <w:widowControl/>
        <w:snapToGrid w:val="0"/>
        <w:spacing w:before="120" w:after="50"/>
        <w:rPr>
          <w:rFonts w:hAnsi="宋体" w:cs="宋体"/>
          <w:b/>
          <w:color w:val="auto"/>
          <w:sz w:val="24"/>
          <w:highlight w:val="none"/>
        </w:rPr>
      </w:pPr>
      <w:r>
        <w:rPr>
          <w:rFonts w:hAnsi="宋体" w:cs="宋体"/>
          <w:b/>
          <w:color w:val="auto"/>
          <w:sz w:val="24"/>
          <w:highlight w:val="none"/>
        </w:rPr>
        <w:br w:type="page"/>
      </w:r>
    </w:p>
    <w:p>
      <w:pPr>
        <w:widowControl/>
        <w:snapToGrid w:val="0"/>
        <w:spacing w:before="120" w:after="50"/>
        <w:rPr>
          <w:rFonts w:hAnsi="宋体" w:cs="宋体"/>
          <w:b/>
          <w:color w:val="auto"/>
          <w:sz w:val="24"/>
          <w:highlight w:val="none"/>
        </w:rPr>
      </w:pPr>
      <w:r>
        <w:rPr>
          <w:rFonts w:hint="eastAsia" w:hAnsi="宋体" w:cs="宋体"/>
          <w:b/>
          <w:color w:val="auto"/>
          <w:sz w:val="24"/>
          <w:highlight w:val="none"/>
        </w:rPr>
        <w:t>（三）价格响应文件部分：</w:t>
      </w:r>
    </w:p>
    <w:p>
      <w:pPr>
        <w:spacing w:line="360" w:lineRule="auto"/>
        <w:ind w:firstLine="480"/>
        <w:jc w:val="center"/>
        <w:rPr>
          <w:rFonts w:hAnsi="宋体"/>
          <w:b/>
          <w:color w:val="auto"/>
          <w:sz w:val="30"/>
          <w:szCs w:val="30"/>
          <w:highlight w:val="none"/>
        </w:rPr>
      </w:pPr>
      <w:r>
        <w:rPr>
          <w:rFonts w:hint="eastAsia" w:hAnsi="宋体"/>
          <w:b/>
          <w:color w:val="auto"/>
          <w:sz w:val="30"/>
          <w:szCs w:val="30"/>
          <w:highlight w:val="none"/>
        </w:rPr>
        <w:t>1. 磋商响应函</w:t>
      </w:r>
    </w:p>
    <w:p>
      <w:pPr>
        <w:snapToGrid w:val="0"/>
        <w:spacing w:line="460" w:lineRule="exact"/>
        <w:rPr>
          <w:rFonts w:hAnsi="宋体"/>
          <w:color w:val="auto"/>
          <w:sz w:val="21"/>
          <w:szCs w:val="21"/>
          <w:highlight w:val="none"/>
        </w:rPr>
      </w:pPr>
      <w:r>
        <w:rPr>
          <w:rFonts w:hint="eastAsia" w:hAnsi="宋体"/>
          <w:color w:val="auto"/>
          <w:sz w:val="21"/>
          <w:szCs w:val="21"/>
          <w:highlight w:val="none"/>
        </w:rPr>
        <w:t>致：</w:t>
      </w:r>
      <w:r>
        <w:rPr>
          <w:rFonts w:hAnsi="宋体"/>
          <w:color w:val="auto"/>
          <w:sz w:val="21"/>
          <w:szCs w:val="21"/>
          <w:highlight w:val="none"/>
        </w:rPr>
        <w:t>______</w:t>
      </w:r>
      <w:r>
        <w:rPr>
          <w:rFonts w:hAnsi="宋体"/>
          <w:color w:val="auto"/>
          <w:sz w:val="21"/>
          <w:szCs w:val="21"/>
          <w:highlight w:val="none"/>
          <w:u w:val="single"/>
        </w:rPr>
        <w:t>_     _</w:t>
      </w:r>
      <w:r>
        <w:rPr>
          <w:rFonts w:hAnsi="宋体"/>
          <w:color w:val="auto"/>
          <w:sz w:val="21"/>
          <w:szCs w:val="21"/>
          <w:highlight w:val="none"/>
        </w:rPr>
        <w:t>_</w:t>
      </w:r>
      <w:r>
        <w:rPr>
          <w:rFonts w:hint="eastAsia" w:hAnsi="宋体"/>
          <w:color w:val="auto"/>
          <w:sz w:val="21"/>
          <w:szCs w:val="21"/>
          <w:highlight w:val="none"/>
        </w:rPr>
        <w:t>（磋商采购单位名称）：</w:t>
      </w:r>
    </w:p>
    <w:p>
      <w:pPr>
        <w:snapToGrid w:val="0"/>
        <w:spacing w:line="460" w:lineRule="exact"/>
        <w:ind w:firstLine="480"/>
        <w:rPr>
          <w:rFonts w:hAnsi="宋体"/>
          <w:color w:val="auto"/>
          <w:sz w:val="21"/>
          <w:szCs w:val="21"/>
          <w:highlight w:val="none"/>
        </w:rPr>
      </w:pPr>
      <w:r>
        <w:rPr>
          <w:rFonts w:hint="eastAsia" w:hAnsi="宋体"/>
          <w:color w:val="auto"/>
          <w:sz w:val="21"/>
          <w:szCs w:val="21"/>
          <w:highlight w:val="none"/>
        </w:rPr>
        <w:t>根据贵方为项目的竞争性磋商采购公告（项目编号：），签字代表</w:t>
      </w:r>
      <w:r>
        <w:rPr>
          <w:rFonts w:hAnsi="宋体"/>
          <w:color w:val="auto"/>
          <w:sz w:val="21"/>
          <w:szCs w:val="21"/>
          <w:highlight w:val="none"/>
        </w:rPr>
        <w:t>______</w:t>
      </w:r>
      <w:r>
        <w:rPr>
          <w:rFonts w:hAnsi="宋体"/>
          <w:color w:val="auto"/>
          <w:sz w:val="21"/>
          <w:szCs w:val="21"/>
          <w:highlight w:val="none"/>
          <w:u w:val="single"/>
        </w:rPr>
        <w:t xml:space="preserve">_     </w:t>
      </w:r>
      <w:r>
        <w:rPr>
          <w:rFonts w:hint="eastAsia" w:hAnsi="宋体"/>
          <w:color w:val="auto"/>
          <w:sz w:val="21"/>
          <w:szCs w:val="21"/>
          <w:highlight w:val="none"/>
        </w:rPr>
        <w:t>（全名）经正式授权并代表供应商</w:t>
      </w:r>
      <w:r>
        <w:rPr>
          <w:rFonts w:hAnsi="宋体"/>
          <w:color w:val="auto"/>
          <w:sz w:val="21"/>
          <w:szCs w:val="21"/>
          <w:highlight w:val="none"/>
        </w:rPr>
        <w:t>_____</w:t>
      </w:r>
      <w:r>
        <w:rPr>
          <w:rFonts w:hAnsi="宋体"/>
          <w:color w:val="auto"/>
          <w:sz w:val="21"/>
          <w:szCs w:val="21"/>
          <w:highlight w:val="none"/>
          <w:u w:val="single"/>
        </w:rPr>
        <w:t>__                    __</w:t>
      </w:r>
      <w:r>
        <w:rPr>
          <w:rFonts w:hint="eastAsia" w:hAnsi="宋体"/>
          <w:color w:val="auto"/>
          <w:sz w:val="21"/>
          <w:szCs w:val="21"/>
          <w:highlight w:val="none"/>
        </w:rPr>
        <w:t>（供应商名称）提交技术商务响应文件、价格响应文件正本各一份、副本</w:t>
      </w:r>
      <w:r>
        <w:rPr>
          <w:rFonts w:hint="eastAsia" w:hAnsi="宋体"/>
          <w:color w:val="auto"/>
          <w:sz w:val="21"/>
          <w:szCs w:val="21"/>
          <w:highlight w:val="none"/>
          <w:u w:val="single"/>
        </w:rPr>
        <w:t xml:space="preserve">     </w:t>
      </w:r>
      <w:r>
        <w:rPr>
          <w:rFonts w:hint="eastAsia" w:hAnsi="宋体"/>
          <w:color w:val="auto"/>
          <w:sz w:val="21"/>
          <w:szCs w:val="21"/>
          <w:highlight w:val="none"/>
        </w:rPr>
        <w:t>份。</w:t>
      </w:r>
    </w:p>
    <w:p>
      <w:pPr>
        <w:snapToGrid w:val="0"/>
        <w:spacing w:line="460" w:lineRule="exact"/>
        <w:ind w:firstLine="420" w:firstLineChars="200"/>
        <w:rPr>
          <w:rFonts w:hint="eastAsia" w:hAnsi="宋体"/>
          <w:color w:val="auto"/>
          <w:sz w:val="21"/>
          <w:szCs w:val="21"/>
          <w:highlight w:val="none"/>
        </w:rPr>
      </w:pPr>
      <w:r>
        <w:rPr>
          <w:rFonts w:hint="eastAsia" w:hAnsi="宋体"/>
          <w:color w:val="auto"/>
          <w:sz w:val="21"/>
          <w:szCs w:val="21"/>
          <w:highlight w:val="none"/>
        </w:rPr>
        <w:t>据此函，签字代表宣布同意如下：</w:t>
      </w:r>
    </w:p>
    <w:p>
      <w:pPr>
        <w:snapToGrid w:val="0"/>
        <w:spacing w:line="460" w:lineRule="exact"/>
        <w:ind w:firstLine="420" w:firstLineChars="200"/>
        <w:rPr>
          <w:rFonts w:hAnsi="宋体"/>
          <w:color w:val="auto"/>
          <w:sz w:val="21"/>
          <w:szCs w:val="21"/>
          <w:highlight w:val="none"/>
          <w:u w:val="single"/>
        </w:rPr>
      </w:pPr>
      <w:r>
        <w:rPr>
          <w:rFonts w:hint="eastAsia" w:hAnsi="宋体"/>
          <w:color w:val="auto"/>
          <w:sz w:val="21"/>
          <w:szCs w:val="21"/>
          <w:highlight w:val="none"/>
        </w:rPr>
        <w:t>（1）</w:t>
      </w:r>
      <w:r>
        <w:rPr>
          <w:rFonts w:hint="eastAsia" w:hAnsi="宋体"/>
          <w:color w:val="auto"/>
          <w:sz w:val="24"/>
          <w:szCs w:val="24"/>
          <w:highlight w:val="none"/>
        </w:rPr>
        <w:t>我方自愿按照磋商文件规定的各项要求向采购单位提供所需服务</w:t>
      </w:r>
      <w:r>
        <w:rPr>
          <w:rFonts w:hint="eastAsia" w:hAnsi="宋体"/>
          <w:color w:val="auto"/>
          <w:sz w:val="24"/>
          <w:highlight w:val="none"/>
        </w:rPr>
        <w:t>。</w:t>
      </w:r>
      <w:r>
        <w:rPr>
          <w:rFonts w:hint="eastAsia" w:hAnsi="宋体"/>
          <w:color w:val="auto"/>
          <w:sz w:val="21"/>
          <w:szCs w:val="21"/>
          <w:highlight w:val="none"/>
          <w:u w:val="single"/>
        </w:rPr>
        <w:t xml:space="preserve"> </w:t>
      </w:r>
    </w:p>
    <w:p>
      <w:pPr>
        <w:snapToGrid w:val="0"/>
        <w:spacing w:line="460" w:lineRule="exact"/>
        <w:ind w:firstLine="315" w:firstLineChars="150"/>
        <w:rPr>
          <w:rFonts w:hAnsi="宋体"/>
          <w:color w:val="auto"/>
          <w:sz w:val="21"/>
          <w:szCs w:val="21"/>
          <w:highlight w:val="none"/>
        </w:rPr>
      </w:pPr>
      <w:r>
        <w:rPr>
          <w:rFonts w:hint="eastAsia" w:hAnsi="宋体"/>
          <w:color w:val="auto"/>
          <w:sz w:val="21"/>
          <w:szCs w:val="21"/>
          <w:highlight w:val="none"/>
        </w:rPr>
        <w:t>（2）供应商已详细审查全部“磋商文件”，包括修改文件（如有的话）以及全部参考资料和有关附件，已经了解我方对于磋商文件、采购过程、采购结果有依法进行询问、质疑、投诉的权利及相关渠道和要求。</w:t>
      </w:r>
    </w:p>
    <w:p>
      <w:pPr>
        <w:snapToGrid w:val="0"/>
        <w:spacing w:line="460" w:lineRule="exact"/>
        <w:ind w:firstLine="315" w:firstLineChars="150"/>
        <w:rPr>
          <w:rFonts w:hAnsi="宋体"/>
          <w:color w:val="auto"/>
          <w:sz w:val="21"/>
          <w:szCs w:val="21"/>
          <w:highlight w:val="none"/>
        </w:rPr>
      </w:pPr>
      <w:r>
        <w:rPr>
          <w:rFonts w:hint="eastAsia" w:hAnsi="宋体"/>
          <w:color w:val="auto"/>
          <w:sz w:val="21"/>
          <w:szCs w:val="21"/>
          <w:highlight w:val="none"/>
        </w:rPr>
        <w:t>（3）供应商在投标之前已经与贵方进行了充分的沟通，完全理解并接受磋商文件的各项规定和要求，对磋商文件的合理性、合法性不再有异议。</w:t>
      </w:r>
    </w:p>
    <w:p>
      <w:pPr>
        <w:snapToGrid w:val="0"/>
        <w:spacing w:line="460" w:lineRule="exact"/>
        <w:ind w:firstLine="315" w:firstLineChars="150"/>
        <w:rPr>
          <w:rFonts w:hAnsi="宋体"/>
          <w:color w:val="auto"/>
          <w:sz w:val="21"/>
          <w:szCs w:val="21"/>
          <w:highlight w:val="none"/>
        </w:rPr>
      </w:pPr>
      <w:r>
        <w:rPr>
          <w:rFonts w:hint="eastAsia" w:hAnsi="宋体"/>
          <w:color w:val="auto"/>
          <w:sz w:val="21"/>
          <w:szCs w:val="21"/>
          <w:highlight w:val="none"/>
        </w:rPr>
        <w:t>（4）本磋商响应文件有效期自递交之日起______天。</w:t>
      </w:r>
    </w:p>
    <w:p>
      <w:pPr>
        <w:snapToGrid w:val="0"/>
        <w:spacing w:line="460" w:lineRule="exact"/>
        <w:ind w:firstLine="315" w:firstLineChars="150"/>
        <w:rPr>
          <w:rFonts w:hAnsi="宋体"/>
          <w:color w:val="auto"/>
          <w:sz w:val="21"/>
          <w:szCs w:val="21"/>
          <w:highlight w:val="none"/>
        </w:rPr>
      </w:pPr>
      <w:r>
        <w:rPr>
          <w:rFonts w:hint="eastAsia" w:hAnsi="宋体"/>
          <w:color w:val="auto"/>
          <w:sz w:val="21"/>
          <w:szCs w:val="21"/>
          <w:highlight w:val="none"/>
        </w:rPr>
        <w:t>（5）如成交，本磋商响应文件至本项目合同履行完毕止均保持有效，本供应商将按“磋商文件”及政府采购法律、法规的规定履行合同责任和义务。</w:t>
      </w:r>
    </w:p>
    <w:p>
      <w:pPr>
        <w:snapToGrid w:val="0"/>
        <w:spacing w:line="460" w:lineRule="exact"/>
        <w:ind w:firstLine="315" w:firstLineChars="150"/>
        <w:rPr>
          <w:rFonts w:hAnsi="宋体"/>
          <w:color w:val="auto"/>
          <w:sz w:val="21"/>
          <w:szCs w:val="21"/>
          <w:highlight w:val="none"/>
        </w:rPr>
      </w:pPr>
      <w:r>
        <w:rPr>
          <w:rFonts w:hint="eastAsia" w:hAnsi="宋体"/>
          <w:color w:val="auto"/>
          <w:sz w:val="21"/>
          <w:szCs w:val="21"/>
          <w:highlight w:val="none"/>
        </w:rPr>
        <w:t>（6）供应商同意按照贵方要求提供与投标有关的一切数据或资料。</w:t>
      </w:r>
    </w:p>
    <w:p>
      <w:pPr>
        <w:snapToGrid w:val="0"/>
        <w:spacing w:line="460" w:lineRule="exact"/>
        <w:ind w:firstLine="315" w:firstLineChars="150"/>
        <w:rPr>
          <w:rFonts w:hAnsi="宋体"/>
          <w:color w:val="auto"/>
          <w:sz w:val="21"/>
          <w:szCs w:val="21"/>
          <w:highlight w:val="none"/>
        </w:rPr>
      </w:pPr>
      <w:r>
        <w:rPr>
          <w:rFonts w:hint="eastAsia" w:hAnsi="宋体"/>
          <w:color w:val="auto"/>
          <w:sz w:val="21"/>
          <w:szCs w:val="21"/>
          <w:highlight w:val="none"/>
        </w:rPr>
        <w:t>（7）与本投标有关的一切正式往来信函请寄：</w:t>
      </w:r>
    </w:p>
    <w:p>
      <w:pPr>
        <w:snapToGrid w:val="0"/>
        <w:spacing w:line="460" w:lineRule="exact"/>
        <w:rPr>
          <w:rFonts w:hAnsi="宋体"/>
          <w:color w:val="auto"/>
          <w:sz w:val="21"/>
          <w:szCs w:val="21"/>
          <w:highlight w:val="none"/>
        </w:rPr>
      </w:pPr>
      <w:r>
        <w:rPr>
          <w:rFonts w:hint="eastAsia" w:hAnsi="宋体"/>
          <w:color w:val="auto"/>
          <w:sz w:val="21"/>
          <w:szCs w:val="21"/>
          <w:highlight w:val="none"/>
        </w:rPr>
        <w:t>地址：</w:t>
      </w:r>
      <w:r>
        <w:rPr>
          <w:rFonts w:hAnsi="宋体"/>
          <w:color w:val="auto"/>
          <w:sz w:val="21"/>
          <w:szCs w:val="21"/>
          <w:highlight w:val="none"/>
        </w:rPr>
        <w:t>__________</w:t>
      </w:r>
      <w:r>
        <w:rPr>
          <w:rFonts w:hAnsi="宋体"/>
          <w:color w:val="auto"/>
          <w:sz w:val="21"/>
          <w:szCs w:val="21"/>
          <w:highlight w:val="none"/>
          <w:u w:val="single"/>
        </w:rPr>
        <w:t xml:space="preserve">        _</w:t>
      </w:r>
      <w:r>
        <w:rPr>
          <w:rFonts w:hAnsi="宋体"/>
          <w:color w:val="auto"/>
          <w:sz w:val="21"/>
          <w:szCs w:val="21"/>
          <w:highlight w:val="none"/>
        </w:rPr>
        <w:t>____</w:t>
      </w:r>
      <w:r>
        <w:rPr>
          <w:rFonts w:hint="eastAsia" w:hAnsi="宋体"/>
          <w:color w:val="auto"/>
          <w:sz w:val="21"/>
          <w:szCs w:val="21"/>
          <w:highlight w:val="none"/>
        </w:rPr>
        <w:t>邮编：</w:t>
      </w:r>
      <w:r>
        <w:rPr>
          <w:rFonts w:hAnsi="宋体"/>
          <w:color w:val="auto"/>
          <w:sz w:val="21"/>
          <w:szCs w:val="21"/>
          <w:highlight w:val="none"/>
        </w:rPr>
        <w:t xml:space="preserve">__________   </w:t>
      </w:r>
      <w:r>
        <w:rPr>
          <w:rFonts w:hint="eastAsia" w:hAnsi="宋体"/>
          <w:color w:val="auto"/>
          <w:sz w:val="21"/>
          <w:szCs w:val="21"/>
          <w:highlight w:val="none"/>
        </w:rPr>
        <w:t>电话：</w:t>
      </w:r>
      <w:r>
        <w:rPr>
          <w:rFonts w:hAnsi="宋体"/>
          <w:color w:val="auto"/>
          <w:sz w:val="21"/>
          <w:szCs w:val="21"/>
          <w:highlight w:val="none"/>
        </w:rPr>
        <w:t>______________</w:t>
      </w:r>
    </w:p>
    <w:p>
      <w:pPr>
        <w:snapToGrid w:val="0"/>
        <w:spacing w:line="460" w:lineRule="exact"/>
        <w:rPr>
          <w:rFonts w:hAnsi="宋体"/>
          <w:color w:val="auto"/>
          <w:sz w:val="21"/>
          <w:szCs w:val="21"/>
          <w:highlight w:val="none"/>
        </w:rPr>
      </w:pPr>
      <w:r>
        <w:rPr>
          <w:rFonts w:hint="eastAsia" w:hAnsi="宋体"/>
          <w:color w:val="auto"/>
          <w:sz w:val="21"/>
          <w:szCs w:val="21"/>
          <w:highlight w:val="none"/>
        </w:rPr>
        <w:t>传真：</w:t>
      </w:r>
      <w:r>
        <w:rPr>
          <w:rFonts w:hAnsi="宋体"/>
          <w:color w:val="auto"/>
          <w:sz w:val="21"/>
          <w:szCs w:val="21"/>
          <w:highlight w:val="none"/>
        </w:rPr>
        <w:t>______________</w:t>
      </w:r>
      <w:r>
        <w:rPr>
          <w:rFonts w:hint="eastAsia" w:hAnsi="宋体"/>
          <w:color w:val="auto"/>
          <w:sz w:val="21"/>
          <w:szCs w:val="21"/>
          <w:highlight w:val="none"/>
        </w:rPr>
        <w:t>法定代表人（或单位负责人）姓名</w:t>
      </w:r>
      <w:r>
        <w:rPr>
          <w:rFonts w:hAnsi="宋体"/>
          <w:color w:val="auto"/>
          <w:sz w:val="21"/>
          <w:szCs w:val="21"/>
          <w:highlight w:val="none"/>
        </w:rPr>
        <w:t xml:space="preserve"> ___________  </w:t>
      </w:r>
      <w:r>
        <w:rPr>
          <w:rFonts w:hint="eastAsia" w:hAnsi="宋体"/>
          <w:color w:val="auto"/>
          <w:sz w:val="21"/>
          <w:szCs w:val="21"/>
          <w:highlight w:val="none"/>
        </w:rPr>
        <w:t>职务：</w:t>
      </w:r>
      <w:r>
        <w:rPr>
          <w:rFonts w:hAnsi="宋体"/>
          <w:color w:val="auto"/>
          <w:sz w:val="21"/>
          <w:szCs w:val="21"/>
          <w:highlight w:val="none"/>
        </w:rPr>
        <w:t>_____________</w:t>
      </w:r>
    </w:p>
    <w:p>
      <w:pPr>
        <w:snapToGrid w:val="0"/>
        <w:spacing w:line="460" w:lineRule="exact"/>
        <w:rPr>
          <w:rFonts w:hAnsi="宋体"/>
          <w:color w:val="auto"/>
          <w:sz w:val="21"/>
          <w:szCs w:val="21"/>
          <w:highlight w:val="none"/>
        </w:rPr>
      </w:pPr>
      <w:r>
        <w:rPr>
          <w:rFonts w:hint="eastAsia" w:hAnsi="宋体"/>
          <w:color w:val="auto"/>
          <w:sz w:val="21"/>
          <w:szCs w:val="21"/>
          <w:highlight w:val="none"/>
        </w:rPr>
        <w:t>供应商名称</w:t>
      </w:r>
      <w:r>
        <w:rPr>
          <w:rFonts w:hAnsi="宋体"/>
          <w:color w:val="auto"/>
          <w:sz w:val="21"/>
          <w:szCs w:val="21"/>
          <w:highlight w:val="none"/>
        </w:rPr>
        <w:t>(</w:t>
      </w:r>
      <w:r>
        <w:rPr>
          <w:rFonts w:hint="eastAsia" w:hAnsi="宋体"/>
          <w:color w:val="auto"/>
          <w:sz w:val="21"/>
          <w:szCs w:val="21"/>
          <w:highlight w:val="none"/>
        </w:rPr>
        <w:t>盖章</w:t>
      </w:r>
      <w:r>
        <w:rPr>
          <w:rFonts w:hAnsi="宋体"/>
          <w:color w:val="auto"/>
          <w:sz w:val="21"/>
          <w:szCs w:val="21"/>
          <w:highlight w:val="none"/>
        </w:rPr>
        <w:t>):___________________</w:t>
      </w:r>
    </w:p>
    <w:p>
      <w:pPr>
        <w:snapToGrid w:val="0"/>
        <w:spacing w:line="460" w:lineRule="exact"/>
        <w:rPr>
          <w:rFonts w:hAnsi="宋体"/>
          <w:color w:val="auto"/>
          <w:sz w:val="21"/>
          <w:szCs w:val="21"/>
          <w:highlight w:val="none"/>
        </w:rPr>
      </w:pPr>
      <w:r>
        <w:rPr>
          <w:rFonts w:hint="eastAsia" w:hAnsi="宋体"/>
          <w:color w:val="auto"/>
          <w:sz w:val="21"/>
          <w:szCs w:val="21"/>
          <w:highlight w:val="none"/>
        </w:rPr>
        <w:t>开户银行：</w:t>
      </w:r>
      <w:r>
        <w:rPr>
          <w:rFonts w:hAnsi="宋体"/>
          <w:color w:val="auto"/>
          <w:sz w:val="21"/>
          <w:szCs w:val="21"/>
          <w:highlight w:val="none"/>
        </w:rPr>
        <w:t>__________________</w:t>
      </w:r>
      <w:r>
        <w:rPr>
          <w:rFonts w:hint="eastAsia" w:hAnsi="宋体"/>
          <w:color w:val="auto"/>
          <w:sz w:val="21"/>
          <w:szCs w:val="21"/>
          <w:highlight w:val="none"/>
        </w:rPr>
        <w:t>银行帐号：</w:t>
      </w:r>
      <w:r>
        <w:rPr>
          <w:rFonts w:hAnsi="宋体"/>
          <w:color w:val="auto"/>
          <w:sz w:val="21"/>
          <w:szCs w:val="21"/>
          <w:highlight w:val="none"/>
        </w:rPr>
        <w:t>__________________</w:t>
      </w:r>
    </w:p>
    <w:p>
      <w:pPr>
        <w:snapToGrid w:val="0"/>
        <w:spacing w:line="460" w:lineRule="exact"/>
        <w:rPr>
          <w:rFonts w:hAnsi="宋体"/>
          <w:color w:val="auto"/>
          <w:sz w:val="21"/>
          <w:szCs w:val="21"/>
          <w:highlight w:val="none"/>
        </w:rPr>
      </w:pPr>
      <w:r>
        <w:rPr>
          <w:rFonts w:hint="eastAsia" w:hAnsi="宋体"/>
          <w:color w:val="auto"/>
          <w:sz w:val="21"/>
          <w:szCs w:val="21"/>
          <w:highlight w:val="none"/>
        </w:rPr>
        <w:t>法定代表人（或单位负责人）或其授权代表签字</w:t>
      </w:r>
      <w:r>
        <w:rPr>
          <w:rFonts w:hAnsi="宋体"/>
          <w:color w:val="auto"/>
          <w:sz w:val="21"/>
          <w:szCs w:val="21"/>
          <w:highlight w:val="none"/>
        </w:rPr>
        <w:t xml:space="preserve">:___________                      </w:t>
      </w:r>
    </w:p>
    <w:p>
      <w:pPr>
        <w:snapToGrid w:val="0"/>
        <w:spacing w:line="460" w:lineRule="exact"/>
        <w:rPr>
          <w:rFonts w:hAnsi="宋体"/>
          <w:color w:val="auto"/>
          <w:sz w:val="21"/>
          <w:szCs w:val="21"/>
          <w:highlight w:val="none"/>
        </w:rPr>
      </w:pPr>
      <w:r>
        <w:rPr>
          <w:rFonts w:hint="eastAsia" w:hAnsi="宋体"/>
          <w:color w:val="auto"/>
          <w:sz w:val="21"/>
          <w:szCs w:val="21"/>
          <w:highlight w:val="none"/>
        </w:rPr>
        <w:t>日期</w:t>
      </w:r>
      <w:r>
        <w:rPr>
          <w:rFonts w:hAnsi="宋体"/>
          <w:color w:val="auto"/>
          <w:sz w:val="21"/>
          <w:szCs w:val="21"/>
          <w:highlight w:val="none"/>
        </w:rPr>
        <w:t>:_____</w:t>
      </w:r>
      <w:r>
        <w:rPr>
          <w:rFonts w:hint="eastAsia" w:hAnsi="宋体"/>
          <w:color w:val="auto"/>
          <w:sz w:val="21"/>
          <w:szCs w:val="21"/>
          <w:highlight w:val="none"/>
        </w:rPr>
        <w:t>年</w:t>
      </w:r>
      <w:r>
        <w:rPr>
          <w:rFonts w:hAnsi="宋体"/>
          <w:color w:val="auto"/>
          <w:sz w:val="21"/>
          <w:szCs w:val="21"/>
          <w:highlight w:val="none"/>
        </w:rPr>
        <w:t>___</w:t>
      </w:r>
      <w:r>
        <w:rPr>
          <w:rFonts w:hint="eastAsia" w:hAnsi="宋体"/>
          <w:color w:val="auto"/>
          <w:sz w:val="21"/>
          <w:szCs w:val="21"/>
          <w:highlight w:val="none"/>
        </w:rPr>
        <w:t>月</w:t>
      </w:r>
      <w:r>
        <w:rPr>
          <w:rFonts w:hAnsi="宋体"/>
          <w:color w:val="auto"/>
          <w:sz w:val="21"/>
          <w:szCs w:val="21"/>
          <w:highlight w:val="none"/>
        </w:rPr>
        <w:t>___</w:t>
      </w:r>
      <w:r>
        <w:rPr>
          <w:rFonts w:hint="eastAsia" w:hAnsi="宋体"/>
          <w:color w:val="auto"/>
          <w:sz w:val="21"/>
          <w:szCs w:val="21"/>
          <w:highlight w:val="none"/>
        </w:rPr>
        <w:t>日</w:t>
      </w:r>
    </w:p>
    <w:p>
      <w:pPr>
        <w:ind w:firstLine="420" w:firstLineChars="200"/>
        <w:rPr>
          <w:rFonts w:hAnsi="宋体"/>
          <w:color w:val="auto"/>
          <w:sz w:val="21"/>
          <w:szCs w:val="21"/>
          <w:highlight w:val="none"/>
        </w:rPr>
      </w:pPr>
    </w:p>
    <w:p>
      <w:pPr>
        <w:spacing w:line="360" w:lineRule="auto"/>
        <w:ind w:firstLine="480"/>
        <w:jc w:val="center"/>
        <w:rPr>
          <w:rFonts w:hAnsi="宋体"/>
          <w:b/>
          <w:color w:val="auto"/>
          <w:sz w:val="30"/>
          <w:szCs w:val="30"/>
          <w:highlight w:val="none"/>
        </w:rPr>
      </w:pPr>
      <w:bookmarkStart w:id="130" w:name="_Toc237340116"/>
      <w:bookmarkStart w:id="131" w:name="_Toc237414017"/>
      <w:bookmarkStart w:id="132" w:name="_Toc237189789"/>
      <w:bookmarkStart w:id="133" w:name="_Toc499294828"/>
      <w:bookmarkStart w:id="134" w:name="_Toc295737638"/>
      <w:bookmarkStart w:id="135" w:name="_Toc295910886"/>
      <w:bookmarkStart w:id="136" w:name="_Toc296074349"/>
      <w:bookmarkStart w:id="137" w:name="_Toc374366053"/>
      <w:bookmarkStart w:id="138" w:name="_Toc256977548"/>
      <w:bookmarkStart w:id="139" w:name="_Toc265065992"/>
      <w:bookmarkStart w:id="140" w:name="_Toc184785937"/>
      <w:bookmarkStart w:id="141" w:name="_Toc237182508"/>
      <w:bookmarkStart w:id="142" w:name="_Toc237413922"/>
      <w:bookmarkStart w:id="143" w:name="_Toc217289139"/>
      <w:bookmarkStart w:id="144" w:name="_Toc237193460"/>
      <w:bookmarkStart w:id="145" w:name="_Toc237176515"/>
      <w:bookmarkStart w:id="146" w:name="_Toc264211080"/>
    </w:p>
    <w:p>
      <w:pPr>
        <w:spacing w:line="360" w:lineRule="auto"/>
        <w:rPr>
          <w:rFonts w:hAnsi="宋体"/>
          <w:b/>
          <w:color w:val="auto"/>
          <w:sz w:val="30"/>
          <w:szCs w:val="30"/>
          <w:highlight w:val="none"/>
        </w:rPr>
      </w:pPr>
    </w:p>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Pr>
        <w:snapToGrid w:val="0"/>
        <w:spacing w:before="120" w:beforeLines="50" w:after="50"/>
        <w:ind w:left="142"/>
        <w:jc w:val="center"/>
        <w:rPr>
          <w:rFonts w:hint="eastAsia" w:hAnsi="宋体"/>
          <w:b/>
          <w:color w:val="auto"/>
          <w:sz w:val="24"/>
          <w:highlight w:val="none"/>
        </w:rPr>
      </w:pPr>
    </w:p>
    <w:p>
      <w:pPr>
        <w:snapToGrid w:val="0"/>
        <w:spacing w:before="120" w:beforeLines="50" w:after="50"/>
        <w:ind w:left="142"/>
        <w:jc w:val="center"/>
        <w:rPr>
          <w:rFonts w:hint="eastAsia" w:hAnsi="宋体"/>
          <w:b/>
          <w:color w:val="auto"/>
          <w:sz w:val="24"/>
          <w:highlight w:val="none"/>
        </w:rPr>
      </w:pPr>
    </w:p>
    <w:p>
      <w:pPr>
        <w:snapToGrid w:val="0"/>
        <w:spacing w:before="120" w:beforeLines="50" w:after="50"/>
        <w:ind w:left="142"/>
        <w:jc w:val="center"/>
        <w:rPr>
          <w:rFonts w:hint="eastAsia" w:hAnsi="宋体"/>
          <w:b/>
          <w:color w:val="auto"/>
          <w:sz w:val="24"/>
          <w:highlight w:val="none"/>
        </w:rPr>
      </w:pPr>
    </w:p>
    <w:p>
      <w:pPr>
        <w:snapToGrid w:val="0"/>
        <w:spacing w:before="120" w:beforeLines="50" w:after="50"/>
        <w:ind w:left="142"/>
        <w:jc w:val="center"/>
        <w:rPr>
          <w:rFonts w:hint="eastAsia" w:hAnsi="宋体"/>
          <w:b/>
          <w:color w:val="auto"/>
          <w:sz w:val="24"/>
          <w:highlight w:val="none"/>
        </w:rPr>
      </w:pPr>
      <w:r>
        <w:rPr>
          <w:rFonts w:hint="eastAsia" w:hAnsi="宋体"/>
          <w:b/>
          <w:color w:val="auto"/>
          <w:sz w:val="24"/>
          <w:highlight w:val="none"/>
        </w:rPr>
        <w:t>2.磋商报价一览表</w:t>
      </w:r>
    </w:p>
    <w:p>
      <w:pPr>
        <w:snapToGrid w:val="0"/>
        <w:spacing w:before="120" w:beforeLines="50" w:after="50"/>
        <w:ind w:left="142"/>
        <w:rPr>
          <w:rFonts w:hint="eastAsia" w:hAnsi="宋体"/>
          <w:b/>
          <w:color w:val="auto"/>
          <w:sz w:val="24"/>
          <w:highlight w:val="none"/>
        </w:rPr>
      </w:pPr>
    </w:p>
    <w:p>
      <w:pPr>
        <w:snapToGrid w:val="0"/>
        <w:spacing w:before="120" w:beforeLines="50" w:after="50"/>
        <w:ind w:firstLine="720"/>
        <w:jc w:val="both"/>
        <w:rPr>
          <w:rFonts w:hint="eastAsia" w:hAnsi="宋体"/>
          <w:b/>
          <w:color w:val="auto"/>
          <w:sz w:val="24"/>
          <w:highlight w:val="none"/>
        </w:rPr>
      </w:pPr>
      <w:r>
        <w:rPr>
          <w:rFonts w:hint="eastAsia" w:hAnsi="宋体"/>
          <w:color w:val="auto"/>
          <w:sz w:val="24"/>
          <w:highlight w:val="none"/>
        </w:rPr>
        <w:t xml:space="preserve">                                                       项目编号：</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0"/>
        <w:gridCol w:w="1656"/>
        <w:gridCol w:w="7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079" w:hRule="atLeast"/>
        </w:trPr>
        <w:tc>
          <w:tcPr>
            <w:tcW w:w="780" w:type="dxa"/>
            <w:tcBorders>
              <w:right w:val="single" w:color="auto" w:sz="4" w:space="0"/>
            </w:tcBorders>
            <w:noWrap w:val="0"/>
            <w:vAlign w:val="center"/>
          </w:tcPr>
          <w:p>
            <w:pPr>
              <w:jc w:val="center"/>
              <w:rPr>
                <w:rFonts w:hint="eastAsia" w:hAnsi="宋体"/>
                <w:color w:val="auto"/>
                <w:sz w:val="24"/>
                <w:highlight w:val="none"/>
              </w:rPr>
            </w:pPr>
            <w:r>
              <w:rPr>
                <w:rFonts w:hint="eastAsia" w:hAnsi="宋体"/>
                <w:color w:val="auto"/>
                <w:sz w:val="24"/>
                <w:highlight w:val="none"/>
              </w:rPr>
              <w:t>序号</w:t>
            </w:r>
          </w:p>
        </w:tc>
        <w:tc>
          <w:tcPr>
            <w:tcW w:w="1656" w:type="dxa"/>
            <w:tcBorders>
              <w:left w:val="single" w:color="auto" w:sz="4" w:space="0"/>
            </w:tcBorders>
            <w:noWrap w:val="0"/>
            <w:vAlign w:val="center"/>
          </w:tcPr>
          <w:p>
            <w:pPr>
              <w:jc w:val="center"/>
              <w:rPr>
                <w:rFonts w:hint="eastAsia" w:hAnsi="宋体"/>
                <w:color w:val="auto"/>
                <w:sz w:val="24"/>
                <w:highlight w:val="none"/>
              </w:rPr>
            </w:pPr>
            <w:r>
              <w:rPr>
                <w:rFonts w:hint="eastAsia" w:hAnsi="宋体"/>
                <w:color w:val="auto"/>
                <w:sz w:val="21"/>
                <w:szCs w:val="21"/>
                <w:highlight w:val="none"/>
              </w:rPr>
              <w:t>项目内容</w:t>
            </w:r>
          </w:p>
        </w:tc>
        <w:tc>
          <w:tcPr>
            <w:tcW w:w="7221" w:type="dxa"/>
            <w:noWrap w:val="0"/>
            <w:vAlign w:val="center"/>
          </w:tcPr>
          <w:p>
            <w:pPr>
              <w:widowControl/>
              <w:spacing w:line="280" w:lineRule="exact"/>
              <w:jc w:val="center"/>
              <w:rPr>
                <w:rFonts w:hint="eastAsia" w:hAnsi="宋体"/>
                <w:color w:val="auto"/>
                <w:sz w:val="21"/>
                <w:szCs w:val="21"/>
                <w:highlight w:val="none"/>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644" w:hRule="atLeast"/>
        </w:trPr>
        <w:tc>
          <w:tcPr>
            <w:tcW w:w="780" w:type="dxa"/>
            <w:tcBorders>
              <w:right w:val="single" w:color="auto" w:sz="4" w:space="0"/>
            </w:tcBorders>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1</w:t>
            </w:r>
          </w:p>
        </w:tc>
        <w:tc>
          <w:tcPr>
            <w:tcW w:w="1656" w:type="dxa"/>
            <w:tcBorders>
              <w:left w:val="single" w:color="auto" w:sz="4" w:space="0"/>
            </w:tcBorders>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首次磋商报价</w:t>
            </w:r>
          </w:p>
        </w:tc>
        <w:tc>
          <w:tcPr>
            <w:tcW w:w="7221" w:type="dxa"/>
            <w:noWrap w:val="0"/>
            <w:vAlign w:val="center"/>
          </w:tcPr>
          <w:p>
            <w:pPr>
              <w:ind w:left="210"/>
              <w:rPr>
                <w:rFonts w:hint="eastAsia" w:hAnsi="宋体"/>
                <w:color w:val="auto"/>
                <w:sz w:val="21"/>
                <w:szCs w:val="21"/>
                <w:highlight w:val="none"/>
              </w:rPr>
            </w:pPr>
            <w:r>
              <w:rPr>
                <w:rFonts w:hint="eastAsia" w:hAnsi="宋体"/>
                <w:color w:val="auto"/>
                <w:sz w:val="21"/>
                <w:szCs w:val="21"/>
                <w:highlight w:val="none"/>
              </w:rPr>
              <w:t>我方首次磋商报价￥：     元</w:t>
            </w:r>
          </w:p>
          <w:p>
            <w:pPr>
              <w:jc w:val="center"/>
              <w:rPr>
                <w:rFonts w:hint="eastAsia" w:hAnsi="宋体"/>
                <w:color w:val="auto"/>
                <w:sz w:val="21"/>
                <w:szCs w:val="21"/>
                <w:highlight w:val="none"/>
              </w:rPr>
            </w:pPr>
          </w:p>
          <w:p>
            <w:pPr>
              <w:ind w:left="210"/>
              <w:rPr>
                <w:rFonts w:hint="eastAsia" w:hAnsi="宋体"/>
                <w:color w:val="auto"/>
                <w:sz w:val="21"/>
                <w:szCs w:val="21"/>
                <w:highlight w:val="none"/>
                <w:u w:val="single"/>
              </w:rPr>
            </w:pPr>
            <w:r>
              <w:rPr>
                <w:rFonts w:hint="eastAsia" w:hAnsi="宋体"/>
                <w:color w:val="auto"/>
                <w:sz w:val="21"/>
                <w:szCs w:val="21"/>
                <w:highlight w:val="none"/>
              </w:rPr>
              <w:t>（大写）人民币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271" w:hRule="atLeast"/>
        </w:trPr>
        <w:tc>
          <w:tcPr>
            <w:tcW w:w="780" w:type="dxa"/>
            <w:tcBorders>
              <w:right w:val="single" w:color="auto" w:sz="4" w:space="0"/>
            </w:tcBorders>
            <w:noWrap w:val="0"/>
            <w:vAlign w:val="center"/>
          </w:tcPr>
          <w:p>
            <w:pPr>
              <w:jc w:val="center"/>
              <w:rPr>
                <w:rFonts w:hint="eastAsia" w:hAnsi="宋体"/>
                <w:color w:val="auto"/>
                <w:sz w:val="24"/>
                <w:highlight w:val="none"/>
              </w:rPr>
            </w:pPr>
            <w:r>
              <w:rPr>
                <w:rFonts w:hint="eastAsia" w:hAnsi="宋体"/>
                <w:color w:val="auto"/>
                <w:sz w:val="24"/>
                <w:highlight w:val="none"/>
              </w:rPr>
              <w:t>2</w:t>
            </w:r>
          </w:p>
        </w:tc>
        <w:tc>
          <w:tcPr>
            <w:tcW w:w="1656" w:type="dxa"/>
            <w:tcBorders>
              <w:left w:val="single" w:color="auto" w:sz="4" w:space="0"/>
            </w:tcBorders>
            <w:noWrap w:val="0"/>
            <w:vAlign w:val="center"/>
          </w:tcPr>
          <w:p>
            <w:pPr>
              <w:jc w:val="center"/>
              <w:rPr>
                <w:rFonts w:hint="eastAsia" w:hAnsi="宋体"/>
                <w:color w:val="auto"/>
                <w:sz w:val="24"/>
                <w:highlight w:val="none"/>
              </w:rPr>
            </w:pPr>
            <w:r>
              <w:rPr>
                <w:rFonts w:hint="eastAsia" w:hAnsi="宋体"/>
                <w:color w:val="auto"/>
                <w:sz w:val="21"/>
                <w:szCs w:val="21"/>
                <w:highlight w:val="none"/>
              </w:rPr>
              <w:t>报价说明</w:t>
            </w:r>
          </w:p>
        </w:tc>
        <w:tc>
          <w:tcPr>
            <w:tcW w:w="7221" w:type="dxa"/>
            <w:noWrap w:val="0"/>
            <w:vAlign w:val="center"/>
          </w:tcPr>
          <w:p>
            <w:pPr>
              <w:widowControl/>
              <w:spacing w:line="280" w:lineRule="exact"/>
              <w:jc w:val="both"/>
              <w:rPr>
                <w:rFonts w:hint="eastAsia" w:hAnsi="宋体"/>
                <w:color w:val="auto"/>
                <w:sz w:val="21"/>
                <w:szCs w:val="21"/>
                <w:highlight w:val="none"/>
                <w:u w:val="single"/>
              </w:rPr>
            </w:pPr>
            <w:r>
              <w:rPr>
                <w:rFonts w:hint="eastAsia" w:hAnsi="宋体"/>
                <w:color w:val="auto"/>
                <w:sz w:val="21"/>
                <w:szCs w:val="21"/>
                <w:highlight w:val="none"/>
              </w:rPr>
              <w:t>本供应商已知悉并同意，供应商成交后应根据磋商文件中约定的金额向本项目的政府采购代理机构计算支付采购代理服务费，为此，我方已根据财政部财库〔2018〕2号《政府采购代理机构管理暂行办法》的规定并按本次招标的报价要求，将应支付的采购代理服务费包含在上述的项目报价中。</w:t>
            </w:r>
          </w:p>
        </w:tc>
      </w:tr>
    </w:tbl>
    <w:p>
      <w:pPr>
        <w:ind w:firstLine="720" w:firstLineChars="300"/>
        <w:rPr>
          <w:rFonts w:hint="eastAsia" w:hAnsi="宋体"/>
          <w:color w:val="auto"/>
          <w:sz w:val="24"/>
          <w:highlight w:val="none"/>
        </w:rPr>
      </w:pPr>
      <w:r>
        <w:rPr>
          <w:rFonts w:hint="eastAsia"/>
          <w:color w:val="auto"/>
          <w:sz w:val="24"/>
          <w:szCs w:val="24"/>
          <w:highlight w:val="none"/>
          <w:lang w:bidi="ar"/>
        </w:rPr>
        <w:t xml:space="preserve"> </w:t>
      </w:r>
      <w:r>
        <w:rPr>
          <w:rFonts w:hint="eastAsia" w:hAnsi="宋体"/>
          <w:color w:val="auto"/>
          <w:sz w:val="24"/>
          <w:highlight w:val="none"/>
        </w:rPr>
        <w:t xml:space="preserve"> </w:t>
      </w:r>
    </w:p>
    <w:p>
      <w:pPr>
        <w:ind w:firstLine="960" w:firstLineChars="400"/>
        <w:rPr>
          <w:rFonts w:hint="eastAsia" w:hAnsi="宋体"/>
          <w:color w:val="auto"/>
          <w:sz w:val="24"/>
          <w:highlight w:val="none"/>
        </w:rPr>
      </w:pPr>
      <w:r>
        <w:rPr>
          <w:rFonts w:hint="eastAsia" w:hAnsi="宋体"/>
          <w:color w:val="auto"/>
          <w:sz w:val="24"/>
          <w:highlight w:val="none"/>
        </w:rPr>
        <w:t>供应商全称（加盖公章）：</w:t>
      </w:r>
    </w:p>
    <w:p>
      <w:pPr>
        <w:jc w:val="center"/>
        <w:rPr>
          <w:rFonts w:hint="eastAsia" w:hAnsi="宋体"/>
          <w:color w:val="auto"/>
          <w:sz w:val="24"/>
          <w:highlight w:val="none"/>
        </w:rPr>
      </w:pPr>
    </w:p>
    <w:p>
      <w:pPr>
        <w:ind w:firstLine="720" w:firstLineChars="300"/>
        <w:rPr>
          <w:rFonts w:hint="eastAsia" w:hAnsi="宋体"/>
          <w:color w:val="auto"/>
          <w:sz w:val="24"/>
          <w:highlight w:val="none"/>
        </w:rPr>
      </w:pPr>
      <w:r>
        <w:rPr>
          <w:rFonts w:hint="eastAsia" w:hAnsi="宋体"/>
          <w:color w:val="auto"/>
          <w:sz w:val="24"/>
          <w:highlight w:val="none"/>
        </w:rPr>
        <w:t>法定代表人或其授权代表签字：</w:t>
      </w:r>
    </w:p>
    <w:p>
      <w:pPr>
        <w:rPr>
          <w:rFonts w:hint="eastAsia"/>
          <w:smallCaps/>
          <w:color w:val="auto"/>
          <w:szCs w:val="21"/>
          <w:highlight w:val="none"/>
        </w:rPr>
      </w:pPr>
    </w:p>
    <w:p>
      <w:pPr>
        <w:ind w:firstLine="3360" w:firstLineChars="1400"/>
        <w:rPr>
          <w:rFonts w:hint="eastAsia" w:hAnsi="宋体"/>
          <w:color w:val="auto"/>
          <w:sz w:val="24"/>
          <w:highlight w:val="none"/>
        </w:rPr>
      </w:pPr>
      <w:r>
        <w:rPr>
          <w:rFonts w:hint="eastAsia" w:hAnsi="宋体"/>
          <w:color w:val="auto"/>
          <w:sz w:val="24"/>
          <w:highlight w:val="none"/>
        </w:rPr>
        <w:t xml:space="preserve">日期：   年      月      日 </w:t>
      </w:r>
    </w:p>
    <w:p>
      <w:pPr>
        <w:ind w:firstLine="4800" w:firstLineChars="2000"/>
        <w:rPr>
          <w:rFonts w:hint="eastAsia" w:hAnsi="宋体"/>
          <w:color w:val="auto"/>
          <w:sz w:val="24"/>
          <w:highlight w:val="none"/>
        </w:rPr>
      </w:pPr>
    </w:p>
    <w:p>
      <w:pPr>
        <w:rPr>
          <w:rFonts w:hint="eastAsia" w:hAnsi="宋体"/>
          <w:b/>
          <w:color w:val="auto"/>
          <w:sz w:val="24"/>
          <w:highlight w:val="none"/>
        </w:rPr>
      </w:pPr>
    </w:p>
    <w:p>
      <w:pPr>
        <w:pStyle w:val="24"/>
        <w:snapToGrid w:val="0"/>
        <w:spacing w:line="500" w:lineRule="exact"/>
        <w:jc w:val="both"/>
        <w:rPr>
          <w:color w:val="auto"/>
          <w:highlight w:val="none"/>
        </w:rPr>
      </w:pPr>
    </w:p>
    <w:p>
      <w:pPr>
        <w:pStyle w:val="24"/>
        <w:snapToGrid w:val="0"/>
        <w:spacing w:line="500" w:lineRule="exact"/>
        <w:jc w:val="both"/>
        <w:rPr>
          <w:rFonts w:hAnsi="宋体" w:cs="宋体"/>
          <w:color w:val="auto"/>
          <w:sz w:val="21"/>
          <w:highlight w:val="none"/>
        </w:rPr>
      </w:pPr>
      <w:r>
        <w:rPr>
          <w:color w:val="auto"/>
          <w:highlight w:val="none"/>
        </w:rPr>
        <w:br w:type="page"/>
      </w:r>
      <w:r>
        <w:rPr>
          <w:rFonts w:hint="eastAsia" w:hAnsi="宋体" w:cs="宋体"/>
          <w:color w:val="auto"/>
          <w:sz w:val="21"/>
          <w:highlight w:val="none"/>
        </w:rPr>
        <w:t xml:space="preserve">3.磋商报价明细表格式：            </w:t>
      </w:r>
    </w:p>
    <w:p>
      <w:pPr>
        <w:pStyle w:val="24"/>
        <w:snapToGrid w:val="0"/>
        <w:spacing w:line="500" w:lineRule="exact"/>
        <w:jc w:val="center"/>
        <w:rPr>
          <w:rFonts w:hAnsi="宋体" w:cs="宋体"/>
          <w:b/>
          <w:color w:val="auto"/>
          <w:sz w:val="21"/>
          <w:highlight w:val="none"/>
        </w:rPr>
      </w:pPr>
      <w:r>
        <w:rPr>
          <w:rFonts w:hint="eastAsia" w:hAnsi="宋体" w:cs="宋体"/>
          <w:b/>
          <w:color w:val="auto"/>
          <w:sz w:val="21"/>
          <w:highlight w:val="none"/>
        </w:rPr>
        <w:t>报价明细表</w:t>
      </w:r>
    </w:p>
    <w:p>
      <w:pPr>
        <w:pStyle w:val="24"/>
        <w:snapToGrid w:val="0"/>
        <w:spacing w:line="300" w:lineRule="exact"/>
        <w:jc w:val="right"/>
        <w:rPr>
          <w:rFonts w:hAnsi="宋体" w:cs="宋体"/>
          <w:color w:val="auto"/>
          <w:sz w:val="21"/>
          <w:highlight w:val="none"/>
        </w:rPr>
      </w:pPr>
      <w:r>
        <w:rPr>
          <w:rFonts w:hint="eastAsia" w:hAnsi="宋体" w:cs="宋体"/>
          <w:color w:val="auto"/>
          <w:sz w:val="21"/>
          <w:highlight w:val="none"/>
        </w:rPr>
        <w:t>金额单位：人民币（元）</w:t>
      </w:r>
    </w:p>
    <w:tbl>
      <w:tblPr>
        <w:tblStyle w:val="43"/>
        <w:tblpPr w:leftFromText="180" w:rightFromText="180" w:vertAnchor="text" w:horzAnchor="page" w:tblpX="1095" w:tblpY="489"/>
        <w:tblOverlap w:val="never"/>
        <w:tblW w:w="9747" w:type="dxa"/>
        <w:tblInd w:w="0" w:type="dxa"/>
        <w:tblLayout w:type="fixed"/>
        <w:tblCellMar>
          <w:top w:w="0" w:type="dxa"/>
          <w:left w:w="108" w:type="dxa"/>
          <w:bottom w:w="0" w:type="dxa"/>
          <w:right w:w="108" w:type="dxa"/>
        </w:tblCellMar>
      </w:tblPr>
      <w:tblGrid>
        <w:gridCol w:w="636"/>
        <w:gridCol w:w="1879"/>
        <w:gridCol w:w="1704"/>
        <w:gridCol w:w="1843"/>
        <w:gridCol w:w="2268"/>
        <w:gridCol w:w="1417"/>
      </w:tblGrid>
      <w:tr>
        <w:tblPrEx>
          <w:tblCellMar>
            <w:top w:w="0" w:type="dxa"/>
            <w:left w:w="108" w:type="dxa"/>
            <w:bottom w:w="0" w:type="dxa"/>
            <w:right w:w="108" w:type="dxa"/>
          </w:tblCellMar>
        </w:tblPrEx>
        <w:trPr>
          <w:wBefore w:w="0" w:type="dxa"/>
          <w:wAfter w:w="0" w:type="dxa"/>
          <w:trHeight w:val="36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Ansi="宋体" w:cs="宋体"/>
                <w:color w:val="auto"/>
                <w:sz w:val="21"/>
                <w:szCs w:val="21"/>
                <w:highlight w:val="none"/>
              </w:rPr>
            </w:pPr>
            <w:r>
              <w:rPr>
                <w:rFonts w:hint="eastAsia" w:hAnsi="宋体" w:cs="宋体"/>
                <w:color w:val="auto"/>
                <w:sz w:val="21"/>
                <w:szCs w:val="21"/>
                <w:highlight w:val="none"/>
              </w:rPr>
              <w:t>序号</w:t>
            </w:r>
          </w:p>
        </w:tc>
        <w:tc>
          <w:tcPr>
            <w:tcW w:w="187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Ansi="宋体" w:cs="宋体"/>
                <w:color w:val="auto"/>
                <w:sz w:val="21"/>
                <w:szCs w:val="21"/>
                <w:highlight w:val="none"/>
              </w:rPr>
            </w:pPr>
            <w:r>
              <w:rPr>
                <w:rFonts w:hint="eastAsia" w:hAnsi="宋体" w:cs="宋体"/>
                <w:color w:val="auto"/>
                <w:sz w:val="21"/>
                <w:szCs w:val="21"/>
                <w:highlight w:val="none"/>
              </w:rPr>
              <w:t>项目名称</w:t>
            </w:r>
          </w:p>
        </w:tc>
        <w:tc>
          <w:tcPr>
            <w:tcW w:w="170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Ansi="宋体" w:cs="宋体"/>
                <w:color w:val="auto"/>
                <w:sz w:val="21"/>
                <w:szCs w:val="21"/>
                <w:highlight w:val="none"/>
              </w:rPr>
            </w:pPr>
            <w:r>
              <w:rPr>
                <w:rFonts w:hint="eastAsia" w:hAnsi="宋体" w:cs="宋体"/>
                <w:color w:val="auto"/>
                <w:sz w:val="21"/>
                <w:szCs w:val="21"/>
                <w:highlight w:val="none"/>
              </w:rPr>
              <w:t>数量</w:t>
            </w:r>
          </w:p>
        </w:tc>
        <w:tc>
          <w:tcPr>
            <w:tcW w:w="184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Ansi="宋体" w:cs="宋体"/>
                <w:color w:val="auto"/>
                <w:sz w:val="21"/>
                <w:szCs w:val="21"/>
                <w:highlight w:val="none"/>
              </w:rPr>
            </w:pPr>
            <w:r>
              <w:rPr>
                <w:rFonts w:hint="eastAsia" w:hAnsi="宋体" w:cs="宋体"/>
                <w:color w:val="auto"/>
                <w:sz w:val="21"/>
                <w:szCs w:val="21"/>
                <w:highlight w:val="none"/>
              </w:rPr>
              <w:t>单价（元）</w:t>
            </w:r>
          </w:p>
        </w:tc>
        <w:tc>
          <w:tcPr>
            <w:tcW w:w="226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Ansi="宋体" w:cs="宋体"/>
                <w:color w:val="auto"/>
                <w:sz w:val="21"/>
                <w:szCs w:val="21"/>
                <w:highlight w:val="none"/>
              </w:rPr>
            </w:pPr>
            <w:r>
              <w:rPr>
                <w:rFonts w:hint="eastAsia" w:hAnsi="宋体" w:cs="宋体"/>
                <w:color w:val="auto"/>
                <w:sz w:val="21"/>
                <w:szCs w:val="21"/>
                <w:highlight w:val="none"/>
              </w:rPr>
              <w:t>磋商报价（元）</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Ansi="宋体" w:cs="宋体"/>
                <w:color w:val="auto"/>
                <w:sz w:val="21"/>
                <w:szCs w:val="21"/>
                <w:highlight w:val="none"/>
              </w:rPr>
            </w:pPr>
            <w:r>
              <w:rPr>
                <w:rFonts w:hint="eastAsia" w:hAnsi="宋体" w:cs="宋体"/>
                <w:color w:val="auto"/>
                <w:sz w:val="21"/>
                <w:szCs w:val="21"/>
                <w:highlight w:val="none"/>
              </w:rPr>
              <w:t>备注</w:t>
            </w:r>
          </w:p>
        </w:tc>
      </w:tr>
      <w:tr>
        <w:tblPrEx>
          <w:tblCellMar>
            <w:top w:w="0" w:type="dxa"/>
            <w:left w:w="108" w:type="dxa"/>
            <w:bottom w:w="0" w:type="dxa"/>
            <w:right w:w="108" w:type="dxa"/>
          </w:tblCellMar>
        </w:tblPrEx>
        <w:trPr>
          <w:wBefore w:w="0" w:type="dxa"/>
          <w:wAfter w:w="0" w:type="dxa"/>
          <w:trHeight w:val="400" w:hRule="atLeast"/>
        </w:trPr>
        <w:tc>
          <w:tcPr>
            <w:tcW w:w="636" w:type="dxa"/>
            <w:tcBorders>
              <w:top w:val="nil"/>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1</w:t>
            </w:r>
          </w:p>
        </w:tc>
        <w:tc>
          <w:tcPr>
            <w:tcW w:w="1879"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xml:space="preserve">  </w:t>
            </w:r>
          </w:p>
        </w:tc>
        <w:tc>
          <w:tcPr>
            <w:tcW w:w="1704"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c>
          <w:tcPr>
            <w:tcW w:w="1843"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2268"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c>
          <w:tcPr>
            <w:tcW w:w="1417"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r>
      <w:tr>
        <w:tblPrEx>
          <w:tblCellMar>
            <w:top w:w="0" w:type="dxa"/>
            <w:left w:w="108" w:type="dxa"/>
            <w:bottom w:w="0" w:type="dxa"/>
            <w:right w:w="108" w:type="dxa"/>
          </w:tblCellMar>
        </w:tblPrEx>
        <w:trPr>
          <w:wBefore w:w="0" w:type="dxa"/>
          <w:wAfter w:w="0" w:type="dxa"/>
          <w:trHeight w:val="380" w:hRule="atLeast"/>
        </w:trPr>
        <w:tc>
          <w:tcPr>
            <w:tcW w:w="636" w:type="dxa"/>
            <w:tcBorders>
              <w:top w:val="nil"/>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2</w:t>
            </w:r>
          </w:p>
        </w:tc>
        <w:tc>
          <w:tcPr>
            <w:tcW w:w="1879"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1704"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c>
          <w:tcPr>
            <w:tcW w:w="1843"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2268"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c>
          <w:tcPr>
            <w:tcW w:w="1417"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r>
      <w:tr>
        <w:tblPrEx>
          <w:tblCellMar>
            <w:top w:w="0" w:type="dxa"/>
            <w:left w:w="108" w:type="dxa"/>
            <w:bottom w:w="0" w:type="dxa"/>
            <w:right w:w="108" w:type="dxa"/>
          </w:tblCellMar>
        </w:tblPrEx>
        <w:trPr>
          <w:wBefore w:w="0" w:type="dxa"/>
          <w:wAfter w:w="0" w:type="dxa"/>
          <w:trHeight w:val="380" w:hRule="atLeast"/>
        </w:trPr>
        <w:tc>
          <w:tcPr>
            <w:tcW w:w="636" w:type="dxa"/>
            <w:tcBorders>
              <w:top w:val="nil"/>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3</w:t>
            </w:r>
          </w:p>
        </w:tc>
        <w:tc>
          <w:tcPr>
            <w:tcW w:w="1879"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1704"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c>
          <w:tcPr>
            <w:tcW w:w="1843"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2268"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c>
          <w:tcPr>
            <w:tcW w:w="1417"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r>
      <w:tr>
        <w:tblPrEx>
          <w:tblCellMar>
            <w:top w:w="0" w:type="dxa"/>
            <w:left w:w="108" w:type="dxa"/>
            <w:bottom w:w="0" w:type="dxa"/>
            <w:right w:w="108" w:type="dxa"/>
          </w:tblCellMar>
        </w:tblPrEx>
        <w:trPr>
          <w:wBefore w:w="0" w:type="dxa"/>
          <w:wAfter w:w="0" w:type="dxa"/>
          <w:trHeight w:val="360" w:hRule="atLeast"/>
        </w:trPr>
        <w:tc>
          <w:tcPr>
            <w:tcW w:w="636" w:type="dxa"/>
            <w:tcBorders>
              <w:top w:val="nil"/>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4</w:t>
            </w:r>
          </w:p>
        </w:tc>
        <w:tc>
          <w:tcPr>
            <w:tcW w:w="1879"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1704"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c>
          <w:tcPr>
            <w:tcW w:w="1843"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2268"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c>
          <w:tcPr>
            <w:tcW w:w="1417"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r>
      <w:tr>
        <w:tblPrEx>
          <w:tblCellMar>
            <w:top w:w="0" w:type="dxa"/>
            <w:left w:w="108" w:type="dxa"/>
            <w:bottom w:w="0" w:type="dxa"/>
            <w:right w:w="108" w:type="dxa"/>
          </w:tblCellMar>
        </w:tblPrEx>
        <w:trPr>
          <w:wBefore w:w="0" w:type="dxa"/>
          <w:wAfter w:w="0" w:type="dxa"/>
          <w:trHeight w:val="360" w:hRule="atLeast"/>
        </w:trPr>
        <w:tc>
          <w:tcPr>
            <w:tcW w:w="636" w:type="dxa"/>
            <w:tcBorders>
              <w:top w:val="nil"/>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5</w:t>
            </w:r>
          </w:p>
        </w:tc>
        <w:tc>
          <w:tcPr>
            <w:tcW w:w="1879"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1704"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c>
          <w:tcPr>
            <w:tcW w:w="1843"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2268"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c>
          <w:tcPr>
            <w:tcW w:w="1417"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r>
      <w:tr>
        <w:tblPrEx>
          <w:tblCellMar>
            <w:top w:w="0" w:type="dxa"/>
            <w:left w:w="108" w:type="dxa"/>
            <w:bottom w:w="0" w:type="dxa"/>
            <w:right w:w="108" w:type="dxa"/>
          </w:tblCellMar>
        </w:tblPrEx>
        <w:trPr>
          <w:wBefore w:w="0" w:type="dxa"/>
          <w:wAfter w:w="0" w:type="dxa"/>
          <w:trHeight w:val="360" w:hRule="atLeast"/>
        </w:trPr>
        <w:tc>
          <w:tcPr>
            <w:tcW w:w="636" w:type="dxa"/>
            <w:tcBorders>
              <w:top w:val="nil"/>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6</w:t>
            </w:r>
          </w:p>
        </w:tc>
        <w:tc>
          <w:tcPr>
            <w:tcW w:w="1879"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1704"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c>
          <w:tcPr>
            <w:tcW w:w="1843"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2268"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c>
          <w:tcPr>
            <w:tcW w:w="1417"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r>
      <w:tr>
        <w:tblPrEx>
          <w:tblCellMar>
            <w:top w:w="0" w:type="dxa"/>
            <w:left w:w="108" w:type="dxa"/>
            <w:bottom w:w="0" w:type="dxa"/>
            <w:right w:w="108" w:type="dxa"/>
          </w:tblCellMar>
        </w:tblPrEx>
        <w:trPr>
          <w:wBefore w:w="0" w:type="dxa"/>
          <w:wAfter w:w="0" w:type="dxa"/>
          <w:trHeight w:val="360" w:hRule="atLeast"/>
        </w:trPr>
        <w:tc>
          <w:tcPr>
            <w:tcW w:w="636" w:type="dxa"/>
            <w:tcBorders>
              <w:top w:val="nil"/>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7</w:t>
            </w:r>
          </w:p>
        </w:tc>
        <w:tc>
          <w:tcPr>
            <w:tcW w:w="1879"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1704"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c>
          <w:tcPr>
            <w:tcW w:w="1843"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2268"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c>
          <w:tcPr>
            <w:tcW w:w="1417"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r>
      <w:tr>
        <w:tblPrEx>
          <w:tblCellMar>
            <w:top w:w="0" w:type="dxa"/>
            <w:left w:w="108" w:type="dxa"/>
            <w:bottom w:w="0" w:type="dxa"/>
            <w:right w:w="108" w:type="dxa"/>
          </w:tblCellMar>
        </w:tblPrEx>
        <w:trPr>
          <w:wBefore w:w="0" w:type="dxa"/>
          <w:wAfter w:w="0" w:type="dxa"/>
          <w:trHeight w:val="36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w:t>
            </w:r>
          </w:p>
        </w:tc>
        <w:tc>
          <w:tcPr>
            <w:tcW w:w="187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r>
      <w:tr>
        <w:tblPrEx>
          <w:tblCellMar>
            <w:top w:w="0" w:type="dxa"/>
            <w:left w:w="108" w:type="dxa"/>
            <w:bottom w:w="0" w:type="dxa"/>
            <w:right w:w="108" w:type="dxa"/>
          </w:tblCellMar>
        </w:tblPrEx>
        <w:trPr>
          <w:wBefore w:w="0" w:type="dxa"/>
          <w:wAfter w:w="0" w:type="dxa"/>
          <w:trHeight w:val="36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187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r>
      <w:tr>
        <w:tblPrEx>
          <w:tblCellMar>
            <w:top w:w="0" w:type="dxa"/>
            <w:left w:w="108" w:type="dxa"/>
            <w:bottom w:w="0" w:type="dxa"/>
            <w:right w:w="108" w:type="dxa"/>
          </w:tblCellMar>
        </w:tblPrEx>
        <w:trPr>
          <w:wBefore w:w="0" w:type="dxa"/>
          <w:wAfter w:w="0" w:type="dxa"/>
          <w:trHeight w:val="36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187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合计</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Ansi="宋体" w:cs="宋体"/>
                <w:color w:val="auto"/>
                <w:sz w:val="21"/>
                <w:szCs w:val="21"/>
                <w:highlight w:val="none"/>
              </w:rPr>
            </w:pPr>
            <w:r>
              <w:rPr>
                <w:rFonts w:hint="eastAsia" w:hAnsi="宋体" w:cs="宋体"/>
                <w:color w:val="auto"/>
                <w:sz w:val="21"/>
                <w:szCs w:val="21"/>
                <w:highlight w:val="none"/>
              </w:rPr>
              <w:t>　</w:t>
            </w:r>
          </w:p>
        </w:tc>
      </w:tr>
    </w:tbl>
    <w:p>
      <w:pPr>
        <w:pStyle w:val="24"/>
        <w:snapToGrid w:val="0"/>
        <w:spacing w:line="500" w:lineRule="exact"/>
        <w:ind w:firstLine="1575" w:firstLineChars="750"/>
        <w:jc w:val="both"/>
        <w:rPr>
          <w:rFonts w:hAnsi="宋体" w:cs="宋体"/>
          <w:color w:val="auto"/>
          <w:sz w:val="21"/>
          <w:highlight w:val="none"/>
        </w:rPr>
      </w:pPr>
      <w:r>
        <w:rPr>
          <w:rFonts w:hint="eastAsia" w:hAnsi="宋体" w:cs="宋体"/>
          <w:color w:val="auto"/>
          <w:sz w:val="21"/>
          <w:highlight w:val="none"/>
        </w:rPr>
        <w:t xml:space="preserve">                             </w:t>
      </w:r>
    </w:p>
    <w:p>
      <w:pPr>
        <w:spacing w:line="460" w:lineRule="exact"/>
        <w:rPr>
          <w:rFonts w:hAnsi="宋体" w:cs="宋体"/>
          <w:b/>
          <w:bCs/>
          <w:color w:val="auto"/>
          <w:sz w:val="21"/>
          <w:szCs w:val="21"/>
          <w:highlight w:val="none"/>
        </w:rPr>
      </w:pPr>
      <w:r>
        <w:rPr>
          <w:rFonts w:hint="eastAsia" w:hAnsi="宋体" w:cs="宋体"/>
          <w:b/>
          <w:bCs/>
          <w:color w:val="auto"/>
          <w:sz w:val="21"/>
          <w:szCs w:val="21"/>
          <w:highlight w:val="none"/>
        </w:rPr>
        <w:t>说明：在不进行实质性修改的基础上，本表可自行修改调整。</w:t>
      </w:r>
    </w:p>
    <w:p>
      <w:pPr>
        <w:pStyle w:val="134"/>
        <w:spacing w:line="500" w:lineRule="exact"/>
        <w:jc w:val="both"/>
        <w:rPr>
          <w:rFonts w:hAnsi="宋体" w:cs="宋体"/>
          <w:color w:val="auto"/>
          <w:sz w:val="21"/>
          <w:szCs w:val="21"/>
          <w:highlight w:val="none"/>
        </w:rPr>
      </w:pPr>
    </w:p>
    <w:p>
      <w:pPr>
        <w:spacing w:line="500" w:lineRule="exact"/>
        <w:ind w:firstLine="4758" w:firstLineChars="2266"/>
        <w:rPr>
          <w:rFonts w:hAnsi="宋体" w:cs="宋体"/>
          <w:color w:val="auto"/>
          <w:sz w:val="21"/>
          <w:szCs w:val="21"/>
          <w:highlight w:val="none"/>
        </w:rPr>
      </w:pPr>
      <w:r>
        <w:rPr>
          <w:rFonts w:hint="eastAsia" w:hAnsi="宋体"/>
          <w:color w:val="auto"/>
          <w:sz w:val="21"/>
          <w:szCs w:val="21"/>
          <w:highlight w:val="none"/>
        </w:rPr>
        <w:t>响应供应商名称</w:t>
      </w:r>
      <w:r>
        <w:rPr>
          <w:rFonts w:hint="eastAsia" w:hAnsi="宋体" w:cs="宋体"/>
          <w:color w:val="auto"/>
          <w:sz w:val="21"/>
          <w:szCs w:val="21"/>
          <w:highlight w:val="none"/>
        </w:rPr>
        <w:t xml:space="preserve">（盖章）：                </w:t>
      </w:r>
    </w:p>
    <w:p>
      <w:pPr>
        <w:spacing w:line="500" w:lineRule="exact"/>
        <w:ind w:firstLine="4758" w:firstLineChars="2266"/>
        <w:rPr>
          <w:rFonts w:hAnsi="宋体" w:cs="宋体"/>
          <w:color w:val="auto"/>
          <w:sz w:val="21"/>
          <w:szCs w:val="21"/>
          <w:highlight w:val="none"/>
        </w:rPr>
      </w:pPr>
      <w:r>
        <w:rPr>
          <w:rFonts w:hint="eastAsia" w:hAnsi="宋体" w:cs="宋体"/>
          <w:color w:val="auto"/>
          <w:sz w:val="21"/>
          <w:szCs w:val="21"/>
          <w:highlight w:val="none"/>
        </w:rPr>
        <w:t>法定代表人或其授权代表签字：</w:t>
      </w:r>
    </w:p>
    <w:p>
      <w:pPr>
        <w:spacing w:line="500" w:lineRule="exact"/>
        <w:ind w:firstLine="630" w:firstLineChars="300"/>
        <w:rPr>
          <w:rFonts w:hAnsi="宋体" w:cs="宋体"/>
          <w:color w:val="auto"/>
          <w:sz w:val="21"/>
          <w:szCs w:val="21"/>
          <w:highlight w:val="none"/>
        </w:rPr>
      </w:pPr>
      <w:r>
        <w:rPr>
          <w:rFonts w:hint="eastAsia" w:hAnsi="宋体" w:cs="宋体"/>
          <w:color w:val="auto"/>
          <w:sz w:val="21"/>
          <w:szCs w:val="21"/>
          <w:highlight w:val="none"/>
        </w:rPr>
        <w:t xml:space="preserve">                                              年    月    日</w:t>
      </w:r>
    </w:p>
    <w:p>
      <w:pPr>
        <w:pStyle w:val="85"/>
        <w:ind w:firstLine="480"/>
        <w:rPr>
          <w:rFonts w:hint="eastAsia"/>
          <w:color w:val="auto"/>
          <w:highlight w:val="none"/>
        </w:rPr>
      </w:pPr>
    </w:p>
    <w:p>
      <w:pPr>
        <w:pStyle w:val="42"/>
        <w:ind w:left="0" w:leftChars="0" w:firstLine="0"/>
        <w:rPr>
          <w:color w:val="auto"/>
          <w:highlight w:val="none"/>
        </w:rPr>
      </w:pPr>
    </w:p>
    <w:sectPr>
      <w:pgSz w:w="11907" w:h="16840"/>
      <w:pgMar w:top="689" w:right="1027" w:bottom="689" w:left="1418"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PingFang SC">
    <w:altName w:val="宋体"/>
    <w:panose1 w:val="00000000000000000000"/>
    <w:charset w:val="00"/>
    <w:family w:val="auto"/>
    <w:pitch w:val="default"/>
    <w:sig w:usb0="00000000" w:usb1="00000000" w:usb2="00000000" w:usb3="00000000" w:csb0="00040001" w:csb1="00000000"/>
  </w:font>
  <w:font w:name="汉仪仿宋简">
    <w:altName w:val="仿宋"/>
    <w:panose1 w:val="00000000000000000000"/>
    <w:charset w:val="86"/>
    <w:family w:val="modern"/>
    <w:pitch w:val="default"/>
    <w:sig w:usb0="00000000" w:usb1="00000000" w:usb2="00000012"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使用中文字体)">
    <w:altName w:val="宋体"/>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昆仑楷体">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roman"/>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1" w:usb1="080E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Courier">
    <w:altName w:val="Courier New"/>
    <w:panose1 w:val="02070409020205020404"/>
    <w:charset w:val="00"/>
    <w:family w:val="modern"/>
    <w:pitch w:val="default"/>
    <w:sig w:usb0="00000003" w:usb1="00000000" w:usb2="00000000" w:usb3="00000000" w:csb0="00000001" w:csb1="00000000"/>
  </w:font>
  <w:font w:name="MingLiU">
    <w:altName w:val="PMingLiU-ExtB"/>
    <w:panose1 w:val="02010609000101010101"/>
    <w:charset w:val="88"/>
    <w:family w:val="modern"/>
    <w:pitch w:val="default"/>
    <w:sig w:usb0="A00002FF" w:usb1="28CFFCFA" w:usb2="00000016" w:usb3="00000000" w:csb0="00100001" w:csb1="00000000"/>
  </w:font>
  <w:font w:name="楷体_GB2312">
    <w:altName w:val="楷体"/>
    <w:panose1 w:val="02010609030101010101"/>
    <w:charset w:val="86"/>
    <w:family w:val="modern"/>
    <w:pitch w:val="default"/>
    <w:sig w:usb0="00000001" w:usb1="080E0000" w:usb2="00000010" w:usb3="00000000" w:csb0="00040000" w:csb1="00000000"/>
  </w:font>
  <w:font w:name="Helvetica">
    <w:altName w:val="Arial"/>
    <w:panose1 w:val="020B0604020202020204"/>
    <w:charset w:val="00"/>
    <w:family w:val="swiss"/>
    <w:pitch w:val="default"/>
    <w:sig w:usb0="E0002EFF" w:usb1="C000785B" w:usb2="00000009" w:usb3="00000000" w:csb0="000001F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1"/>
      </w:pBdr>
      <w:ind w:right="5"/>
      <w:jc w:val="center"/>
    </w:pPr>
    <w:r>
      <w:rPr>
        <w:szCs w:val="21"/>
      </w:rPr>
      <w:fldChar w:fldCharType="begin"/>
    </w:r>
    <w:r>
      <w:rPr>
        <w:szCs w:val="21"/>
      </w:rPr>
      <w:instrText xml:space="preserve"> PAGE </w:instrText>
    </w:r>
    <w:r>
      <w:rPr>
        <w:szCs w:val="21"/>
      </w:rPr>
      <w:fldChar w:fldCharType="separate"/>
    </w:r>
    <w:r>
      <w:rPr>
        <w:szCs w:val="21"/>
        <w:lang/>
      </w:rPr>
      <w:t>2</w:t>
    </w:r>
    <w:r>
      <w:rPr>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7"/>
      </w:rPr>
    </w:pPr>
    <w:r>
      <w:fldChar w:fldCharType="begin"/>
    </w:r>
    <w:r>
      <w:rPr>
        <w:rStyle w:val="47"/>
      </w:rPr>
      <w:instrText xml:space="preserve">PAGE  </w:instrTex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PowerPlusWaterMarkObject33506845" o:spid="_x0000_s1027" o:spt="136" type="#_x0000_t136" style="position:absolute;left:0pt;height:47.6pt;width:619.3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t" xscale="f" string="金华市天盈财务咨询有限公司" style="font-family:宋体;font-size:8pt;v-text-align:center;"/>
        </v:shape>
      </w:pict>
    </w:r>
    <w:r>
      <w:rPr>
        <w:rFonts w:hint="eastAsia"/>
      </w:rPr>
      <w:t>金华市天盈财务咨询有限公司</w:t>
    </w:r>
  </w:p>
  <w:p>
    <w:pPr>
      <w:pStyle w:val="30"/>
      <w:rPr>
        <w:rFonts w:hint="default" w:eastAsia="宋体"/>
        <w:lang w:val="en-US" w:eastAsia="zh-CN"/>
      </w:rPr>
    </w:pPr>
    <w:r>
      <w:rPr>
        <w:rFonts w:hint="eastAsia"/>
      </w:rPr>
      <w:t>项目编号：</w:t>
    </w:r>
    <w:r>
      <w:t>TY2022-FW</w:t>
    </w:r>
    <w:r>
      <w:rPr>
        <w:rFonts w:hint="eastAsia"/>
        <w:lang w:val="en-US" w:eastAsia="zh-CN"/>
      </w:rPr>
      <w:t>365</w:t>
    </w:r>
    <w:r>
      <w:t>-ZFCG</w:t>
    </w:r>
    <w:r>
      <w:rPr>
        <w:rFonts w:hint="eastAsia"/>
        <w:lang w:val="en-US" w:eastAsia="zh-CN"/>
      </w:rPr>
      <w:t>365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PowerPlusWaterMarkObject33506844" o:spid="_x0000_s1026" o:spt="136" type="#_x0000_t136" style="position:absolute;left:0pt;height:47.6pt;width:619.3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金华市天盈财务咨询有限公司"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PowerPlusWaterMarkObject33506843" o:spid="_x0000_s1025" o:spt="136" type="#_x0000_t136" style="position:absolute;left:0pt;height:47.6pt;width:619.3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金华市天盈财务咨询有限公司" style="font-family:宋体;font-size:8pt;v-text-align:center;"/>
        </v:shape>
      </w:pict>
    </w:r>
    <w:r>
      <w:rPr>
        <w:rFonts w:hint="eastAsia"/>
      </w:rPr>
      <w:t>金华市天盈财务咨询有限公司</w:t>
    </w:r>
  </w:p>
  <w:p>
    <w:pPr>
      <w:pStyle w:val="30"/>
    </w:pPr>
    <w:r>
      <w:rPr>
        <w:rFonts w:hint="eastAsia"/>
      </w:rPr>
      <w:t>项目编号：</w:t>
    </w:r>
    <w:r>
      <w:t>TY2015-</w:t>
    </w:r>
    <w:r>
      <w:rPr>
        <w:rFonts w:hint="eastAsia"/>
      </w:rPr>
      <w:t>FW079</w:t>
    </w:r>
    <w:r>
      <w:t>-ZFCG</w:t>
    </w:r>
    <w:r>
      <w:rPr>
        <w:rFonts w:hint="eastAsia"/>
      </w:rPr>
      <w:t xml:space="preserve">079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2149D"/>
    <w:multiLevelType w:val="singleLevel"/>
    <w:tmpl w:val="8F72149D"/>
    <w:lvl w:ilvl="0" w:tentative="0">
      <w:start w:val="5"/>
      <w:numFmt w:val="chineseCounting"/>
      <w:suff w:val="space"/>
      <w:lvlText w:val="第%1部分"/>
      <w:lvlJc w:val="left"/>
      <w:rPr>
        <w:rFonts w:hint="eastAsia"/>
      </w:rPr>
    </w:lvl>
  </w:abstractNum>
  <w:abstractNum w:abstractNumId="1">
    <w:nsid w:val="0CC061D9"/>
    <w:multiLevelType w:val="multilevel"/>
    <w:tmpl w:val="0CC061D9"/>
    <w:lvl w:ilvl="0" w:tentative="0">
      <w:start w:val="1"/>
      <w:numFmt w:val="japaneseCounting"/>
      <w:lvlText w:val="（%1）"/>
      <w:lvlJc w:val="left"/>
      <w:pPr>
        <w:ind w:left="1036" w:hanging="720"/>
      </w:pPr>
      <w:rPr>
        <w:rFonts w:hint="default"/>
      </w:rPr>
    </w:lvl>
    <w:lvl w:ilvl="1" w:tentative="0">
      <w:start w:val="1"/>
      <w:numFmt w:val="lowerLetter"/>
      <w:lvlText w:val="%2)"/>
      <w:lvlJc w:val="left"/>
      <w:pPr>
        <w:ind w:left="1156" w:hanging="420"/>
      </w:pPr>
    </w:lvl>
    <w:lvl w:ilvl="2" w:tentative="0">
      <w:start w:val="1"/>
      <w:numFmt w:val="lowerRoman"/>
      <w:lvlText w:val="%3."/>
      <w:lvlJc w:val="right"/>
      <w:pPr>
        <w:ind w:left="1576" w:hanging="420"/>
      </w:pPr>
    </w:lvl>
    <w:lvl w:ilvl="3" w:tentative="0">
      <w:start w:val="1"/>
      <w:numFmt w:val="decimal"/>
      <w:lvlText w:val="%4."/>
      <w:lvlJc w:val="left"/>
      <w:pPr>
        <w:ind w:left="1996" w:hanging="420"/>
      </w:pPr>
    </w:lvl>
    <w:lvl w:ilvl="4" w:tentative="0">
      <w:start w:val="1"/>
      <w:numFmt w:val="lowerLetter"/>
      <w:lvlText w:val="%5)"/>
      <w:lvlJc w:val="left"/>
      <w:pPr>
        <w:ind w:left="2416" w:hanging="420"/>
      </w:pPr>
    </w:lvl>
    <w:lvl w:ilvl="5" w:tentative="0">
      <w:start w:val="1"/>
      <w:numFmt w:val="lowerRoman"/>
      <w:lvlText w:val="%6."/>
      <w:lvlJc w:val="right"/>
      <w:pPr>
        <w:ind w:left="2836" w:hanging="420"/>
      </w:pPr>
    </w:lvl>
    <w:lvl w:ilvl="6" w:tentative="0">
      <w:start w:val="1"/>
      <w:numFmt w:val="decimal"/>
      <w:lvlText w:val="%7."/>
      <w:lvlJc w:val="left"/>
      <w:pPr>
        <w:ind w:left="3256" w:hanging="420"/>
      </w:pPr>
    </w:lvl>
    <w:lvl w:ilvl="7" w:tentative="0">
      <w:start w:val="1"/>
      <w:numFmt w:val="lowerLetter"/>
      <w:lvlText w:val="%8)"/>
      <w:lvlJc w:val="left"/>
      <w:pPr>
        <w:ind w:left="3676" w:hanging="420"/>
      </w:pPr>
    </w:lvl>
    <w:lvl w:ilvl="8" w:tentative="0">
      <w:start w:val="1"/>
      <w:numFmt w:val="lowerRoman"/>
      <w:lvlText w:val="%9."/>
      <w:lvlJc w:val="right"/>
      <w:pPr>
        <w:ind w:left="4096" w:hanging="420"/>
      </w:pPr>
    </w:lvl>
  </w:abstractNum>
  <w:abstractNum w:abstractNumId="2">
    <w:nsid w:val="41A878F0"/>
    <w:multiLevelType w:val="multilevel"/>
    <w:tmpl w:val="41A878F0"/>
    <w:lvl w:ilvl="0" w:tentative="0">
      <w:start w:val="1"/>
      <w:numFmt w:val="decimal"/>
      <w:lvlText w:val="第%1章 "/>
      <w:lvlJc w:val="left"/>
      <w:rPr>
        <w:rFonts w:hint="eastAsia" w:cs="Times New Roman"/>
        <w:b/>
        <w:bCs w:val="0"/>
        <w:i w:val="0"/>
        <w:iCs w:val="0"/>
        <w:caps w:val="0"/>
        <w:smallCaps w:val="0"/>
        <w:strike w:val="0"/>
        <w:dstrike w:val="0"/>
        <w:vanish w:val="0"/>
        <w:color w:val="000000"/>
        <w:spacing w:val="0"/>
        <w:kern w:val="0"/>
        <w:position w:val="0"/>
        <w:u w:val="none"/>
        <w:vertAlign w:val="baseline"/>
        <w:lang w:val="zh-CN" w:eastAsia="zh-CN"/>
      </w:rPr>
    </w:lvl>
    <w:lvl w:ilvl="1" w:tentative="0">
      <w:start w:val="1"/>
      <w:numFmt w:val="decimal"/>
      <w:lvlText w:val="%1.%2 "/>
      <w:lvlJc w:val="left"/>
      <w:pPr>
        <w:tabs>
          <w:tab w:val="left" w:pos="646"/>
        </w:tabs>
        <w:ind w:left="567" w:hanging="113"/>
      </w:pPr>
      <w:rPr>
        <w:rFonts w:hint="eastAsia"/>
      </w:rPr>
    </w:lvl>
    <w:lvl w:ilvl="2" w:tentative="0">
      <w:start w:val="1"/>
      <w:numFmt w:val="decimal"/>
      <w:lvlText w:val="%1.%2.%3"/>
      <w:lvlJc w:val="left"/>
      <w:rPr>
        <w:rFonts w:hint="eastAsia" w:cs="Times New Roman"/>
        <w:b/>
        <w:bCs w:val="0"/>
        <w:i w:val="0"/>
        <w:iCs w:val="0"/>
        <w:caps w:val="0"/>
        <w:smallCaps w:val="0"/>
        <w:strike w:val="0"/>
        <w:dstrike w:val="0"/>
        <w:vanish w:val="0"/>
        <w:color w:val="000000"/>
        <w:spacing w:val="0"/>
        <w:kern w:val="0"/>
        <w:position w:val="0"/>
        <w:u w:val="none"/>
        <w:vertAlign w:val="baseline"/>
        <w:lang w:val="zh-CN" w:eastAsia="zh-CN"/>
      </w:rPr>
    </w:lvl>
    <w:lvl w:ilvl="3" w:tentative="0">
      <w:start w:val="1"/>
      <w:numFmt w:val="decimal"/>
      <w:lvlText w:val="%1.%2.%3.%4 "/>
      <w:lvlJc w:val="left"/>
      <w:pPr>
        <w:tabs>
          <w:tab w:val="left" w:pos="794"/>
        </w:tabs>
        <w:ind w:left="2155" w:hanging="1531"/>
      </w:pPr>
      <w:rPr>
        <w:rFonts w:hint="default" w:ascii="Arial" w:hAnsi="Arial" w:eastAsia="宋体"/>
      </w:rPr>
    </w:lvl>
    <w:lvl w:ilvl="4" w:tentative="0">
      <w:start w:val="1"/>
      <w:numFmt w:val="upperLetter"/>
      <w:lvlText w:val="(%5)"/>
      <w:lvlJc w:val="left"/>
      <w:pPr>
        <w:tabs>
          <w:tab w:val="left" w:pos="4247"/>
        </w:tabs>
        <w:ind w:left="3822" w:firstLine="0"/>
      </w:pPr>
      <w:rPr>
        <w:rFonts w:hint="default" w:ascii="Arial" w:hAnsi="Arial" w:eastAsia="宋体"/>
      </w:rPr>
    </w:lvl>
    <w:lvl w:ilvl="5" w:tentative="0">
      <w:start w:val="1"/>
      <w:numFmt w:val="upperRoman"/>
      <w:lvlText w:val="(%6)"/>
      <w:lvlJc w:val="left"/>
      <w:pPr>
        <w:tabs>
          <w:tab w:val="left" w:pos="5097"/>
        </w:tabs>
        <w:ind w:left="4672" w:firstLine="0"/>
      </w:pPr>
      <w:rPr>
        <w:rFonts w:hint="eastAsia"/>
      </w:rPr>
    </w:lvl>
    <w:lvl w:ilvl="6" w:tentative="0">
      <w:start w:val="1"/>
      <w:numFmt w:val="lowerRoman"/>
      <w:lvlText w:val="(%7)"/>
      <w:lvlJc w:val="left"/>
      <w:pPr>
        <w:tabs>
          <w:tab w:val="left" w:pos="5948"/>
        </w:tabs>
        <w:ind w:left="5522" w:firstLine="0"/>
      </w:pPr>
      <w:rPr>
        <w:rFonts w:hint="eastAsia"/>
      </w:rPr>
    </w:lvl>
    <w:lvl w:ilvl="7" w:tentative="0">
      <w:start w:val="1"/>
      <w:numFmt w:val="lowerLetter"/>
      <w:lvlText w:val="(%8)"/>
      <w:lvlJc w:val="left"/>
      <w:pPr>
        <w:tabs>
          <w:tab w:val="left" w:pos="6798"/>
        </w:tabs>
        <w:ind w:left="6373" w:firstLine="0"/>
      </w:pPr>
      <w:rPr>
        <w:rFonts w:hint="eastAsia"/>
      </w:rPr>
    </w:lvl>
    <w:lvl w:ilvl="8" w:tentative="0">
      <w:start w:val="1"/>
      <w:numFmt w:val="lowerRoman"/>
      <w:lvlText w:val="(%9)"/>
      <w:lvlJc w:val="left"/>
      <w:pPr>
        <w:tabs>
          <w:tab w:val="left" w:pos="7648"/>
        </w:tabs>
        <w:ind w:left="7223" w:firstLine="0"/>
      </w:pPr>
      <w:rPr>
        <w:rFonts w:hint="eastAsia"/>
      </w:rPr>
    </w:lvl>
  </w:abstractNum>
  <w:abstractNum w:abstractNumId="3">
    <w:nsid w:val="5A34E2AA"/>
    <w:multiLevelType w:val="multilevel"/>
    <w:tmpl w:val="5A34E2AA"/>
    <w:lvl w:ilvl="0" w:tentative="0">
      <w:start w:val="1"/>
      <w:numFmt w:val="decimal"/>
      <w:lvlText w:val="%1."/>
      <w:lvlJc w:val="left"/>
      <w:pPr>
        <w:tabs>
          <w:tab w:val="left" w:pos="0"/>
        </w:tabs>
        <w:ind w:left="562"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70"/>
  <w:drawingGridVerticalSpacing w:val="230"/>
  <w:displayHorizontalDrawingGridEvery w:val="1"/>
  <w:displayVerticalDrawingGridEvery w:val="1"/>
  <w:doNotShadeFormData w:val="1"/>
  <w:noPunctuationKerning w:val="1"/>
  <w:characterSpacingControl w:val="doNotCompress"/>
  <w:doNotValidateAgainstSchema/>
  <w:doNotDemarcateInvalidXml/>
  <w:hdrShapeDefaults>
    <o:shapelayout v:ext="edit">
      <o:idmap v:ext="edit" data="1"/>
    </o:shapelayout>
  </w:hdrShapeDefaults>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xY2JhM2JjMzgwNjlhYmI0ZGQwYTQ4ZmNhYjRhZjYifQ=="/>
  </w:docVars>
  <w:rsids>
    <w:rsidRoot w:val="00172A27"/>
    <w:rsid w:val="00001EB6"/>
    <w:rsid w:val="00003500"/>
    <w:rsid w:val="0000622A"/>
    <w:rsid w:val="000065BD"/>
    <w:rsid w:val="00007516"/>
    <w:rsid w:val="00007883"/>
    <w:rsid w:val="000101BA"/>
    <w:rsid w:val="000143CE"/>
    <w:rsid w:val="00015486"/>
    <w:rsid w:val="000154EA"/>
    <w:rsid w:val="00017C3C"/>
    <w:rsid w:val="000206FF"/>
    <w:rsid w:val="00020F52"/>
    <w:rsid w:val="0002178E"/>
    <w:rsid w:val="00021D75"/>
    <w:rsid w:val="00022C7D"/>
    <w:rsid w:val="000238C4"/>
    <w:rsid w:val="00030FF3"/>
    <w:rsid w:val="000310DD"/>
    <w:rsid w:val="00032231"/>
    <w:rsid w:val="00032297"/>
    <w:rsid w:val="00035DAE"/>
    <w:rsid w:val="00035E1A"/>
    <w:rsid w:val="00036921"/>
    <w:rsid w:val="000369B0"/>
    <w:rsid w:val="00036CDB"/>
    <w:rsid w:val="0003754C"/>
    <w:rsid w:val="00045EB0"/>
    <w:rsid w:val="000467D2"/>
    <w:rsid w:val="00046A60"/>
    <w:rsid w:val="00046B00"/>
    <w:rsid w:val="00046D0B"/>
    <w:rsid w:val="00050626"/>
    <w:rsid w:val="00050C78"/>
    <w:rsid w:val="0005498B"/>
    <w:rsid w:val="00061A27"/>
    <w:rsid w:val="00062C3F"/>
    <w:rsid w:val="00063A59"/>
    <w:rsid w:val="000648FC"/>
    <w:rsid w:val="000668ED"/>
    <w:rsid w:val="00067B6D"/>
    <w:rsid w:val="00070FD8"/>
    <w:rsid w:val="000714CD"/>
    <w:rsid w:val="0007366B"/>
    <w:rsid w:val="000742F5"/>
    <w:rsid w:val="00074798"/>
    <w:rsid w:val="000751EF"/>
    <w:rsid w:val="0007591B"/>
    <w:rsid w:val="00075CCD"/>
    <w:rsid w:val="00077C8B"/>
    <w:rsid w:val="00084135"/>
    <w:rsid w:val="00085B6A"/>
    <w:rsid w:val="00085D72"/>
    <w:rsid w:val="000864C0"/>
    <w:rsid w:val="0008675E"/>
    <w:rsid w:val="00086E5E"/>
    <w:rsid w:val="000906D8"/>
    <w:rsid w:val="000908B3"/>
    <w:rsid w:val="00091FB1"/>
    <w:rsid w:val="000939FE"/>
    <w:rsid w:val="00095059"/>
    <w:rsid w:val="000961EF"/>
    <w:rsid w:val="000978B2"/>
    <w:rsid w:val="000A07BD"/>
    <w:rsid w:val="000A203F"/>
    <w:rsid w:val="000A2319"/>
    <w:rsid w:val="000A3250"/>
    <w:rsid w:val="000A406D"/>
    <w:rsid w:val="000A4350"/>
    <w:rsid w:val="000A50BB"/>
    <w:rsid w:val="000A6B3A"/>
    <w:rsid w:val="000A6C29"/>
    <w:rsid w:val="000B088A"/>
    <w:rsid w:val="000B2786"/>
    <w:rsid w:val="000B2B42"/>
    <w:rsid w:val="000B3B89"/>
    <w:rsid w:val="000B4210"/>
    <w:rsid w:val="000B7D41"/>
    <w:rsid w:val="000C027A"/>
    <w:rsid w:val="000C1604"/>
    <w:rsid w:val="000C350F"/>
    <w:rsid w:val="000C49BF"/>
    <w:rsid w:val="000C56E9"/>
    <w:rsid w:val="000C6587"/>
    <w:rsid w:val="000D0496"/>
    <w:rsid w:val="000D0D41"/>
    <w:rsid w:val="000D5A60"/>
    <w:rsid w:val="000D6D5A"/>
    <w:rsid w:val="000E16C7"/>
    <w:rsid w:val="000E4D83"/>
    <w:rsid w:val="000F0EB5"/>
    <w:rsid w:val="000F1633"/>
    <w:rsid w:val="000F2066"/>
    <w:rsid w:val="000F20FF"/>
    <w:rsid w:val="000F38AA"/>
    <w:rsid w:val="000F57B3"/>
    <w:rsid w:val="000F6D7E"/>
    <w:rsid w:val="00101C5B"/>
    <w:rsid w:val="00103546"/>
    <w:rsid w:val="00104C83"/>
    <w:rsid w:val="00105015"/>
    <w:rsid w:val="00111403"/>
    <w:rsid w:val="00112938"/>
    <w:rsid w:val="00114C86"/>
    <w:rsid w:val="00116098"/>
    <w:rsid w:val="00116B60"/>
    <w:rsid w:val="001170E1"/>
    <w:rsid w:val="0011732B"/>
    <w:rsid w:val="001174C3"/>
    <w:rsid w:val="0012271B"/>
    <w:rsid w:val="0012683A"/>
    <w:rsid w:val="00126E54"/>
    <w:rsid w:val="00127EC3"/>
    <w:rsid w:val="00130D15"/>
    <w:rsid w:val="00131681"/>
    <w:rsid w:val="0013218C"/>
    <w:rsid w:val="0013570A"/>
    <w:rsid w:val="00135CAD"/>
    <w:rsid w:val="001366F1"/>
    <w:rsid w:val="00136F94"/>
    <w:rsid w:val="00137E5A"/>
    <w:rsid w:val="0014043C"/>
    <w:rsid w:val="00140803"/>
    <w:rsid w:val="00141D49"/>
    <w:rsid w:val="00141E7C"/>
    <w:rsid w:val="001430BE"/>
    <w:rsid w:val="00152A88"/>
    <w:rsid w:val="00161E40"/>
    <w:rsid w:val="00162ACA"/>
    <w:rsid w:val="00164762"/>
    <w:rsid w:val="00165EA4"/>
    <w:rsid w:val="00172A27"/>
    <w:rsid w:val="00174962"/>
    <w:rsid w:val="0018376C"/>
    <w:rsid w:val="00184F1F"/>
    <w:rsid w:val="001903F3"/>
    <w:rsid w:val="00192B7D"/>
    <w:rsid w:val="001935A3"/>
    <w:rsid w:val="00193CA7"/>
    <w:rsid w:val="00193CF1"/>
    <w:rsid w:val="00195926"/>
    <w:rsid w:val="00197623"/>
    <w:rsid w:val="00197BE3"/>
    <w:rsid w:val="001A09C3"/>
    <w:rsid w:val="001A150A"/>
    <w:rsid w:val="001A1683"/>
    <w:rsid w:val="001A27A0"/>
    <w:rsid w:val="001A379F"/>
    <w:rsid w:val="001A40BE"/>
    <w:rsid w:val="001A6382"/>
    <w:rsid w:val="001A704E"/>
    <w:rsid w:val="001A7908"/>
    <w:rsid w:val="001B0673"/>
    <w:rsid w:val="001B3108"/>
    <w:rsid w:val="001B37AE"/>
    <w:rsid w:val="001B39B5"/>
    <w:rsid w:val="001B4220"/>
    <w:rsid w:val="001B7930"/>
    <w:rsid w:val="001C21A1"/>
    <w:rsid w:val="001C26EA"/>
    <w:rsid w:val="001C4F64"/>
    <w:rsid w:val="001C5EF2"/>
    <w:rsid w:val="001D0FCB"/>
    <w:rsid w:val="001D1627"/>
    <w:rsid w:val="001D1EF7"/>
    <w:rsid w:val="001D36C3"/>
    <w:rsid w:val="001D3993"/>
    <w:rsid w:val="001D5481"/>
    <w:rsid w:val="001D5D60"/>
    <w:rsid w:val="001D69E3"/>
    <w:rsid w:val="001D6E79"/>
    <w:rsid w:val="001D7531"/>
    <w:rsid w:val="001D78EF"/>
    <w:rsid w:val="001E2C3A"/>
    <w:rsid w:val="001E32B4"/>
    <w:rsid w:val="001E43F7"/>
    <w:rsid w:val="001E5D1D"/>
    <w:rsid w:val="001E6C59"/>
    <w:rsid w:val="001E7281"/>
    <w:rsid w:val="001F201B"/>
    <w:rsid w:val="001F2BBD"/>
    <w:rsid w:val="001F36D0"/>
    <w:rsid w:val="001F62E5"/>
    <w:rsid w:val="001F72D7"/>
    <w:rsid w:val="001F7311"/>
    <w:rsid w:val="002009A6"/>
    <w:rsid w:val="00201051"/>
    <w:rsid w:val="00202CBB"/>
    <w:rsid w:val="00203D41"/>
    <w:rsid w:val="00203D82"/>
    <w:rsid w:val="00205C76"/>
    <w:rsid w:val="00215850"/>
    <w:rsid w:val="00217A5A"/>
    <w:rsid w:val="002215EF"/>
    <w:rsid w:val="00222E49"/>
    <w:rsid w:val="00222E6E"/>
    <w:rsid w:val="00223679"/>
    <w:rsid w:val="00226DBA"/>
    <w:rsid w:val="0023048D"/>
    <w:rsid w:val="00230717"/>
    <w:rsid w:val="00231433"/>
    <w:rsid w:val="00231E68"/>
    <w:rsid w:val="0023215A"/>
    <w:rsid w:val="002343FB"/>
    <w:rsid w:val="002344AE"/>
    <w:rsid w:val="0023746D"/>
    <w:rsid w:val="00237ED5"/>
    <w:rsid w:val="002416C3"/>
    <w:rsid w:val="002469C8"/>
    <w:rsid w:val="0024716E"/>
    <w:rsid w:val="00250BD5"/>
    <w:rsid w:val="0025414B"/>
    <w:rsid w:val="002542F5"/>
    <w:rsid w:val="002546BA"/>
    <w:rsid w:val="002574DA"/>
    <w:rsid w:val="00260BAB"/>
    <w:rsid w:val="00260EA8"/>
    <w:rsid w:val="00261367"/>
    <w:rsid w:val="00261DDC"/>
    <w:rsid w:val="00262AEE"/>
    <w:rsid w:val="00263E5A"/>
    <w:rsid w:val="002705DA"/>
    <w:rsid w:val="00270A71"/>
    <w:rsid w:val="00271A81"/>
    <w:rsid w:val="00271A99"/>
    <w:rsid w:val="00273A5A"/>
    <w:rsid w:val="00274DC6"/>
    <w:rsid w:val="0027585D"/>
    <w:rsid w:val="00276306"/>
    <w:rsid w:val="00276BA1"/>
    <w:rsid w:val="00281757"/>
    <w:rsid w:val="00284C5E"/>
    <w:rsid w:val="00284DE2"/>
    <w:rsid w:val="00287C08"/>
    <w:rsid w:val="00290FE7"/>
    <w:rsid w:val="0029172B"/>
    <w:rsid w:val="00291DC2"/>
    <w:rsid w:val="00294432"/>
    <w:rsid w:val="0029615A"/>
    <w:rsid w:val="002A19AC"/>
    <w:rsid w:val="002A2A0C"/>
    <w:rsid w:val="002A3EDA"/>
    <w:rsid w:val="002A5DDA"/>
    <w:rsid w:val="002B030F"/>
    <w:rsid w:val="002B04B6"/>
    <w:rsid w:val="002B2487"/>
    <w:rsid w:val="002B5049"/>
    <w:rsid w:val="002C0D7E"/>
    <w:rsid w:val="002C303E"/>
    <w:rsid w:val="002C59B2"/>
    <w:rsid w:val="002D6F1F"/>
    <w:rsid w:val="002D75D0"/>
    <w:rsid w:val="002E04C3"/>
    <w:rsid w:val="002E0B6F"/>
    <w:rsid w:val="002E18B8"/>
    <w:rsid w:val="002E1C9E"/>
    <w:rsid w:val="002E3AEE"/>
    <w:rsid w:val="002E3B24"/>
    <w:rsid w:val="002E4D39"/>
    <w:rsid w:val="002E5CB8"/>
    <w:rsid w:val="002E7967"/>
    <w:rsid w:val="002F1C45"/>
    <w:rsid w:val="002F25C3"/>
    <w:rsid w:val="002F2A62"/>
    <w:rsid w:val="002F3F36"/>
    <w:rsid w:val="002F4B1F"/>
    <w:rsid w:val="002F6620"/>
    <w:rsid w:val="00300AE4"/>
    <w:rsid w:val="003014AC"/>
    <w:rsid w:val="00303AC7"/>
    <w:rsid w:val="00305D86"/>
    <w:rsid w:val="00306456"/>
    <w:rsid w:val="00306502"/>
    <w:rsid w:val="00310915"/>
    <w:rsid w:val="0031166B"/>
    <w:rsid w:val="00311DB4"/>
    <w:rsid w:val="00312331"/>
    <w:rsid w:val="00313AAC"/>
    <w:rsid w:val="00317AE0"/>
    <w:rsid w:val="00321428"/>
    <w:rsid w:val="00327B20"/>
    <w:rsid w:val="00330409"/>
    <w:rsid w:val="0033131B"/>
    <w:rsid w:val="00331E71"/>
    <w:rsid w:val="003338D0"/>
    <w:rsid w:val="003362FE"/>
    <w:rsid w:val="003400FD"/>
    <w:rsid w:val="00342DCC"/>
    <w:rsid w:val="00343D6A"/>
    <w:rsid w:val="00345BA2"/>
    <w:rsid w:val="00346506"/>
    <w:rsid w:val="00346AE1"/>
    <w:rsid w:val="003478A9"/>
    <w:rsid w:val="003528E8"/>
    <w:rsid w:val="00353E8D"/>
    <w:rsid w:val="00356207"/>
    <w:rsid w:val="00357F2B"/>
    <w:rsid w:val="00362FF6"/>
    <w:rsid w:val="003650BB"/>
    <w:rsid w:val="00366516"/>
    <w:rsid w:val="00366538"/>
    <w:rsid w:val="00372939"/>
    <w:rsid w:val="003739BD"/>
    <w:rsid w:val="00374336"/>
    <w:rsid w:val="00375E11"/>
    <w:rsid w:val="0037738E"/>
    <w:rsid w:val="003801B8"/>
    <w:rsid w:val="0038192E"/>
    <w:rsid w:val="00382814"/>
    <w:rsid w:val="00382909"/>
    <w:rsid w:val="003852DA"/>
    <w:rsid w:val="00386275"/>
    <w:rsid w:val="00386D0F"/>
    <w:rsid w:val="003872FA"/>
    <w:rsid w:val="00390EA5"/>
    <w:rsid w:val="003914F5"/>
    <w:rsid w:val="00392AF1"/>
    <w:rsid w:val="00393475"/>
    <w:rsid w:val="00394DF8"/>
    <w:rsid w:val="0039541F"/>
    <w:rsid w:val="00397032"/>
    <w:rsid w:val="003A0359"/>
    <w:rsid w:val="003A3379"/>
    <w:rsid w:val="003A5170"/>
    <w:rsid w:val="003A6B42"/>
    <w:rsid w:val="003A74E8"/>
    <w:rsid w:val="003B5387"/>
    <w:rsid w:val="003B77B9"/>
    <w:rsid w:val="003C2004"/>
    <w:rsid w:val="003C4B45"/>
    <w:rsid w:val="003C7BD4"/>
    <w:rsid w:val="003D01D5"/>
    <w:rsid w:val="003D07C8"/>
    <w:rsid w:val="003D4C19"/>
    <w:rsid w:val="003D7543"/>
    <w:rsid w:val="003E1D28"/>
    <w:rsid w:val="003E2563"/>
    <w:rsid w:val="003E5A21"/>
    <w:rsid w:val="003E7A4E"/>
    <w:rsid w:val="003F106A"/>
    <w:rsid w:val="003F2FCD"/>
    <w:rsid w:val="003F3033"/>
    <w:rsid w:val="003F3A34"/>
    <w:rsid w:val="003F6EF4"/>
    <w:rsid w:val="00401FD1"/>
    <w:rsid w:val="0040204C"/>
    <w:rsid w:val="00402AF3"/>
    <w:rsid w:val="004070DE"/>
    <w:rsid w:val="00407454"/>
    <w:rsid w:val="004106D9"/>
    <w:rsid w:val="00412220"/>
    <w:rsid w:val="004155C6"/>
    <w:rsid w:val="00416A3C"/>
    <w:rsid w:val="00417BD4"/>
    <w:rsid w:val="0042166E"/>
    <w:rsid w:val="00424D60"/>
    <w:rsid w:val="00426C06"/>
    <w:rsid w:val="00426FA4"/>
    <w:rsid w:val="00430AB9"/>
    <w:rsid w:val="004332D9"/>
    <w:rsid w:val="00433B9F"/>
    <w:rsid w:val="00436641"/>
    <w:rsid w:val="004431E0"/>
    <w:rsid w:val="004440E4"/>
    <w:rsid w:val="00444889"/>
    <w:rsid w:val="004470E3"/>
    <w:rsid w:val="00447768"/>
    <w:rsid w:val="00450B4B"/>
    <w:rsid w:val="00452225"/>
    <w:rsid w:val="004528BE"/>
    <w:rsid w:val="0045315C"/>
    <w:rsid w:val="004543DC"/>
    <w:rsid w:val="004614D2"/>
    <w:rsid w:val="00462C4A"/>
    <w:rsid w:val="00463B40"/>
    <w:rsid w:val="00463BA2"/>
    <w:rsid w:val="00464B74"/>
    <w:rsid w:val="0046505F"/>
    <w:rsid w:val="00465A2E"/>
    <w:rsid w:val="00470274"/>
    <w:rsid w:val="00470E2E"/>
    <w:rsid w:val="004747B7"/>
    <w:rsid w:val="00476E28"/>
    <w:rsid w:val="00481699"/>
    <w:rsid w:val="00485F27"/>
    <w:rsid w:val="00486CE9"/>
    <w:rsid w:val="00486E76"/>
    <w:rsid w:val="004904F2"/>
    <w:rsid w:val="0049275C"/>
    <w:rsid w:val="00492F5E"/>
    <w:rsid w:val="00494C65"/>
    <w:rsid w:val="00496D3C"/>
    <w:rsid w:val="004975C5"/>
    <w:rsid w:val="00497A28"/>
    <w:rsid w:val="004A0436"/>
    <w:rsid w:val="004A0AA9"/>
    <w:rsid w:val="004A1DAD"/>
    <w:rsid w:val="004A768F"/>
    <w:rsid w:val="004A7AD0"/>
    <w:rsid w:val="004B12CB"/>
    <w:rsid w:val="004B2121"/>
    <w:rsid w:val="004B537A"/>
    <w:rsid w:val="004B7FA3"/>
    <w:rsid w:val="004C0271"/>
    <w:rsid w:val="004C3372"/>
    <w:rsid w:val="004C36D3"/>
    <w:rsid w:val="004C4070"/>
    <w:rsid w:val="004C431C"/>
    <w:rsid w:val="004C6289"/>
    <w:rsid w:val="004C63F1"/>
    <w:rsid w:val="004C708B"/>
    <w:rsid w:val="004D040B"/>
    <w:rsid w:val="004D19E1"/>
    <w:rsid w:val="004D35F2"/>
    <w:rsid w:val="004D5504"/>
    <w:rsid w:val="004D6A4C"/>
    <w:rsid w:val="004E2838"/>
    <w:rsid w:val="004E29BF"/>
    <w:rsid w:val="004E3ACD"/>
    <w:rsid w:val="004E3EB2"/>
    <w:rsid w:val="004E498F"/>
    <w:rsid w:val="004E51F9"/>
    <w:rsid w:val="004E5228"/>
    <w:rsid w:val="004E7FCE"/>
    <w:rsid w:val="004F3611"/>
    <w:rsid w:val="004F592F"/>
    <w:rsid w:val="004F73F2"/>
    <w:rsid w:val="0050056C"/>
    <w:rsid w:val="00501960"/>
    <w:rsid w:val="005019A0"/>
    <w:rsid w:val="0050209A"/>
    <w:rsid w:val="00503594"/>
    <w:rsid w:val="0050415E"/>
    <w:rsid w:val="005048AD"/>
    <w:rsid w:val="00504A97"/>
    <w:rsid w:val="00507880"/>
    <w:rsid w:val="00507D8B"/>
    <w:rsid w:val="00511CF9"/>
    <w:rsid w:val="00511E27"/>
    <w:rsid w:val="0051219F"/>
    <w:rsid w:val="00513F92"/>
    <w:rsid w:val="00514A50"/>
    <w:rsid w:val="00514B68"/>
    <w:rsid w:val="00514CCA"/>
    <w:rsid w:val="00516201"/>
    <w:rsid w:val="00516C78"/>
    <w:rsid w:val="00517FEC"/>
    <w:rsid w:val="0052006D"/>
    <w:rsid w:val="005209F4"/>
    <w:rsid w:val="00523168"/>
    <w:rsid w:val="005241CB"/>
    <w:rsid w:val="00526881"/>
    <w:rsid w:val="005325EC"/>
    <w:rsid w:val="00532A02"/>
    <w:rsid w:val="00534613"/>
    <w:rsid w:val="00537327"/>
    <w:rsid w:val="005375B9"/>
    <w:rsid w:val="00540628"/>
    <w:rsid w:val="00540A99"/>
    <w:rsid w:val="00546B5C"/>
    <w:rsid w:val="00547541"/>
    <w:rsid w:val="0055156A"/>
    <w:rsid w:val="00554231"/>
    <w:rsid w:val="00554462"/>
    <w:rsid w:val="00556DF7"/>
    <w:rsid w:val="0056382A"/>
    <w:rsid w:val="00563E43"/>
    <w:rsid w:val="00564E0D"/>
    <w:rsid w:val="00565B3A"/>
    <w:rsid w:val="0056679F"/>
    <w:rsid w:val="00566ABA"/>
    <w:rsid w:val="00567685"/>
    <w:rsid w:val="00567B7C"/>
    <w:rsid w:val="00571CD6"/>
    <w:rsid w:val="0057247B"/>
    <w:rsid w:val="005724C9"/>
    <w:rsid w:val="00573E7C"/>
    <w:rsid w:val="00573F99"/>
    <w:rsid w:val="00576613"/>
    <w:rsid w:val="00576DBD"/>
    <w:rsid w:val="005806B7"/>
    <w:rsid w:val="0058108A"/>
    <w:rsid w:val="00581E5E"/>
    <w:rsid w:val="00582D63"/>
    <w:rsid w:val="00583253"/>
    <w:rsid w:val="005834DF"/>
    <w:rsid w:val="00585066"/>
    <w:rsid w:val="0058625A"/>
    <w:rsid w:val="00586E71"/>
    <w:rsid w:val="00586FFE"/>
    <w:rsid w:val="00590534"/>
    <w:rsid w:val="00592FB0"/>
    <w:rsid w:val="00593BDE"/>
    <w:rsid w:val="00595DF2"/>
    <w:rsid w:val="005978A9"/>
    <w:rsid w:val="005A048F"/>
    <w:rsid w:val="005A0655"/>
    <w:rsid w:val="005A1E79"/>
    <w:rsid w:val="005A44B8"/>
    <w:rsid w:val="005A4569"/>
    <w:rsid w:val="005A50B3"/>
    <w:rsid w:val="005B47AF"/>
    <w:rsid w:val="005B4878"/>
    <w:rsid w:val="005B5822"/>
    <w:rsid w:val="005B66D7"/>
    <w:rsid w:val="005C276E"/>
    <w:rsid w:val="005C554E"/>
    <w:rsid w:val="005C5EE7"/>
    <w:rsid w:val="005D2E83"/>
    <w:rsid w:val="005D3D72"/>
    <w:rsid w:val="005D562F"/>
    <w:rsid w:val="005D6A25"/>
    <w:rsid w:val="005D6C05"/>
    <w:rsid w:val="005D740C"/>
    <w:rsid w:val="005E1EDB"/>
    <w:rsid w:val="005E2BE8"/>
    <w:rsid w:val="005E50FB"/>
    <w:rsid w:val="005E7F2F"/>
    <w:rsid w:val="005F0793"/>
    <w:rsid w:val="005F092D"/>
    <w:rsid w:val="005F21ED"/>
    <w:rsid w:val="005F3274"/>
    <w:rsid w:val="005F447A"/>
    <w:rsid w:val="005F5723"/>
    <w:rsid w:val="005F62C7"/>
    <w:rsid w:val="005F6F3F"/>
    <w:rsid w:val="0060269E"/>
    <w:rsid w:val="00602992"/>
    <w:rsid w:val="00605E14"/>
    <w:rsid w:val="00606BE1"/>
    <w:rsid w:val="00610662"/>
    <w:rsid w:val="00610F81"/>
    <w:rsid w:val="006117B5"/>
    <w:rsid w:val="00612249"/>
    <w:rsid w:val="0061453E"/>
    <w:rsid w:val="00615B28"/>
    <w:rsid w:val="00617546"/>
    <w:rsid w:val="00623A84"/>
    <w:rsid w:val="0062739C"/>
    <w:rsid w:val="0063114E"/>
    <w:rsid w:val="00631E03"/>
    <w:rsid w:val="00633E25"/>
    <w:rsid w:val="00634A0F"/>
    <w:rsid w:val="00634D61"/>
    <w:rsid w:val="0063685C"/>
    <w:rsid w:val="0064070E"/>
    <w:rsid w:val="00642A49"/>
    <w:rsid w:val="006468B1"/>
    <w:rsid w:val="00647BBB"/>
    <w:rsid w:val="00651D31"/>
    <w:rsid w:val="006524CA"/>
    <w:rsid w:val="006546CE"/>
    <w:rsid w:val="00654823"/>
    <w:rsid w:val="00655BFF"/>
    <w:rsid w:val="006600A0"/>
    <w:rsid w:val="00664E65"/>
    <w:rsid w:val="0066508E"/>
    <w:rsid w:val="0066569F"/>
    <w:rsid w:val="00665CCF"/>
    <w:rsid w:val="006661C9"/>
    <w:rsid w:val="0067287C"/>
    <w:rsid w:val="006755F3"/>
    <w:rsid w:val="006771AC"/>
    <w:rsid w:val="006800E4"/>
    <w:rsid w:val="006807C2"/>
    <w:rsid w:val="00680E9F"/>
    <w:rsid w:val="00681BD4"/>
    <w:rsid w:val="00682305"/>
    <w:rsid w:val="006867A0"/>
    <w:rsid w:val="0069260D"/>
    <w:rsid w:val="0069693C"/>
    <w:rsid w:val="00697EDF"/>
    <w:rsid w:val="006A149B"/>
    <w:rsid w:val="006A2A50"/>
    <w:rsid w:val="006A3534"/>
    <w:rsid w:val="006A42BF"/>
    <w:rsid w:val="006B072F"/>
    <w:rsid w:val="006B34D8"/>
    <w:rsid w:val="006B4103"/>
    <w:rsid w:val="006B4853"/>
    <w:rsid w:val="006C1372"/>
    <w:rsid w:val="006C2CE7"/>
    <w:rsid w:val="006C335D"/>
    <w:rsid w:val="006C3980"/>
    <w:rsid w:val="006C51D1"/>
    <w:rsid w:val="006C550F"/>
    <w:rsid w:val="006C6151"/>
    <w:rsid w:val="006D159C"/>
    <w:rsid w:val="006D1670"/>
    <w:rsid w:val="006D1959"/>
    <w:rsid w:val="006D3D50"/>
    <w:rsid w:val="006D788B"/>
    <w:rsid w:val="006E0874"/>
    <w:rsid w:val="006E14E4"/>
    <w:rsid w:val="006E209D"/>
    <w:rsid w:val="006E2B9F"/>
    <w:rsid w:val="006E470D"/>
    <w:rsid w:val="006E590A"/>
    <w:rsid w:val="006E5EF7"/>
    <w:rsid w:val="006E7352"/>
    <w:rsid w:val="006F1D7A"/>
    <w:rsid w:val="006F2126"/>
    <w:rsid w:val="006F2962"/>
    <w:rsid w:val="006F58BE"/>
    <w:rsid w:val="006F7170"/>
    <w:rsid w:val="00702142"/>
    <w:rsid w:val="007032A8"/>
    <w:rsid w:val="0070424A"/>
    <w:rsid w:val="00705653"/>
    <w:rsid w:val="007061CE"/>
    <w:rsid w:val="00712E38"/>
    <w:rsid w:val="0071385D"/>
    <w:rsid w:val="00714250"/>
    <w:rsid w:val="007153CD"/>
    <w:rsid w:val="00716084"/>
    <w:rsid w:val="00716B43"/>
    <w:rsid w:val="00717E84"/>
    <w:rsid w:val="0072009B"/>
    <w:rsid w:val="007212E9"/>
    <w:rsid w:val="00721B60"/>
    <w:rsid w:val="007220B8"/>
    <w:rsid w:val="007233C9"/>
    <w:rsid w:val="00723485"/>
    <w:rsid w:val="0072374E"/>
    <w:rsid w:val="00723F96"/>
    <w:rsid w:val="00724FFA"/>
    <w:rsid w:val="00726143"/>
    <w:rsid w:val="00726743"/>
    <w:rsid w:val="00726A5D"/>
    <w:rsid w:val="007271C6"/>
    <w:rsid w:val="007273AA"/>
    <w:rsid w:val="007274B5"/>
    <w:rsid w:val="00727D15"/>
    <w:rsid w:val="00727D32"/>
    <w:rsid w:val="007304E1"/>
    <w:rsid w:val="007366C0"/>
    <w:rsid w:val="00737E5F"/>
    <w:rsid w:val="007400E6"/>
    <w:rsid w:val="00743CA3"/>
    <w:rsid w:val="00744E12"/>
    <w:rsid w:val="007452D1"/>
    <w:rsid w:val="00745B94"/>
    <w:rsid w:val="00751477"/>
    <w:rsid w:val="00752E7A"/>
    <w:rsid w:val="00754170"/>
    <w:rsid w:val="00755BA3"/>
    <w:rsid w:val="00761000"/>
    <w:rsid w:val="00766959"/>
    <w:rsid w:val="00767BA7"/>
    <w:rsid w:val="00772925"/>
    <w:rsid w:val="007737CB"/>
    <w:rsid w:val="007764B2"/>
    <w:rsid w:val="00777067"/>
    <w:rsid w:val="00777B53"/>
    <w:rsid w:val="00780618"/>
    <w:rsid w:val="007813D7"/>
    <w:rsid w:val="00781CBB"/>
    <w:rsid w:val="00782449"/>
    <w:rsid w:val="007826AA"/>
    <w:rsid w:val="00782FD2"/>
    <w:rsid w:val="00783E41"/>
    <w:rsid w:val="0078543A"/>
    <w:rsid w:val="00786C89"/>
    <w:rsid w:val="00787527"/>
    <w:rsid w:val="00787F21"/>
    <w:rsid w:val="0079055D"/>
    <w:rsid w:val="00792B4B"/>
    <w:rsid w:val="007949A5"/>
    <w:rsid w:val="0079720B"/>
    <w:rsid w:val="00797249"/>
    <w:rsid w:val="007A199D"/>
    <w:rsid w:val="007A19A7"/>
    <w:rsid w:val="007A32C8"/>
    <w:rsid w:val="007A4513"/>
    <w:rsid w:val="007A5990"/>
    <w:rsid w:val="007B0998"/>
    <w:rsid w:val="007B463F"/>
    <w:rsid w:val="007B4E59"/>
    <w:rsid w:val="007B5352"/>
    <w:rsid w:val="007B580E"/>
    <w:rsid w:val="007B7673"/>
    <w:rsid w:val="007C09AE"/>
    <w:rsid w:val="007C1315"/>
    <w:rsid w:val="007C318D"/>
    <w:rsid w:val="007C31F9"/>
    <w:rsid w:val="007C33B0"/>
    <w:rsid w:val="007C4721"/>
    <w:rsid w:val="007D0B48"/>
    <w:rsid w:val="007D0FCC"/>
    <w:rsid w:val="007D1DAC"/>
    <w:rsid w:val="007D56DE"/>
    <w:rsid w:val="007D707E"/>
    <w:rsid w:val="007E047A"/>
    <w:rsid w:val="007E4394"/>
    <w:rsid w:val="007E5768"/>
    <w:rsid w:val="007E65B2"/>
    <w:rsid w:val="007F0989"/>
    <w:rsid w:val="007F0DD9"/>
    <w:rsid w:val="007F102B"/>
    <w:rsid w:val="007F145C"/>
    <w:rsid w:val="007F5BDB"/>
    <w:rsid w:val="007F5D9C"/>
    <w:rsid w:val="0080115A"/>
    <w:rsid w:val="00802DF8"/>
    <w:rsid w:val="0080641C"/>
    <w:rsid w:val="00810935"/>
    <w:rsid w:val="00810E4F"/>
    <w:rsid w:val="00811837"/>
    <w:rsid w:val="00814DEB"/>
    <w:rsid w:val="00815F10"/>
    <w:rsid w:val="00821FB5"/>
    <w:rsid w:val="00823181"/>
    <w:rsid w:val="008242FC"/>
    <w:rsid w:val="00825B7E"/>
    <w:rsid w:val="00826E17"/>
    <w:rsid w:val="008319C9"/>
    <w:rsid w:val="008352EB"/>
    <w:rsid w:val="00840062"/>
    <w:rsid w:val="008419CE"/>
    <w:rsid w:val="00841B1E"/>
    <w:rsid w:val="0084325B"/>
    <w:rsid w:val="00846B89"/>
    <w:rsid w:val="00850FEE"/>
    <w:rsid w:val="0085116A"/>
    <w:rsid w:val="00851913"/>
    <w:rsid w:val="00853B35"/>
    <w:rsid w:val="00854950"/>
    <w:rsid w:val="008560DA"/>
    <w:rsid w:val="00856B20"/>
    <w:rsid w:val="00860073"/>
    <w:rsid w:val="00872666"/>
    <w:rsid w:val="00873317"/>
    <w:rsid w:val="00876DFF"/>
    <w:rsid w:val="00884073"/>
    <w:rsid w:val="00887068"/>
    <w:rsid w:val="00891602"/>
    <w:rsid w:val="008956D3"/>
    <w:rsid w:val="008A2150"/>
    <w:rsid w:val="008A3185"/>
    <w:rsid w:val="008A4315"/>
    <w:rsid w:val="008A46B8"/>
    <w:rsid w:val="008A6FD6"/>
    <w:rsid w:val="008A79BA"/>
    <w:rsid w:val="008A7A01"/>
    <w:rsid w:val="008B4CB4"/>
    <w:rsid w:val="008B610F"/>
    <w:rsid w:val="008B6C80"/>
    <w:rsid w:val="008B70D8"/>
    <w:rsid w:val="008C0267"/>
    <w:rsid w:val="008C119A"/>
    <w:rsid w:val="008C29EE"/>
    <w:rsid w:val="008C519C"/>
    <w:rsid w:val="008C59BB"/>
    <w:rsid w:val="008C5AD3"/>
    <w:rsid w:val="008C6C03"/>
    <w:rsid w:val="008D3B38"/>
    <w:rsid w:val="008D44DA"/>
    <w:rsid w:val="008E046A"/>
    <w:rsid w:val="008E066B"/>
    <w:rsid w:val="008E3AC0"/>
    <w:rsid w:val="008E408C"/>
    <w:rsid w:val="008E4E1E"/>
    <w:rsid w:val="008E5D4D"/>
    <w:rsid w:val="008E63AC"/>
    <w:rsid w:val="008F15FD"/>
    <w:rsid w:val="008F2289"/>
    <w:rsid w:val="008F35BD"/>
    <w:rsid w:val="008F41F8"/>
    <w:rsid w:val="008F6517"/>
    <w:rsid w:val="008F70C4"/>
    <w:rsid w:val="00900159"/>
    <w:rsid w:val="00900313"/>
    <w:rsid w:val="0090450A"/>
    <w:rsid w:val="00906977"/>
    <w:rsid w:val="00906FCE"/>
    <w:rsid w:val="00914601"/>
    <w:rsid w:val="00915D11"/>
    <w:rsid w:val="0092583B"/>
    <w:rsid w:val="0092757B"/>
    <w:rsid w:val="00927F9D"/>
    <w:rsid w:val="009301FF"/>
    <w:rsid w:val="00930930"/>
    <w:rsid w:val="009311E9"/>
    <w:rsid w:val="009324B6"/>
    <w:rsid w:val="009368B4"/>
    <w:rsid w:val="00940EB1"/>
    <w:rsid w:val="009417E7"/>
    <w:rsid w:val="0094184C"/>
    <w:rsid w:val="00941DE6"/>
    <w:rsid w:val="0094289F"/>
    <w:rsid w:val="0095193E"/>
    <w:rsid w:val="00951D8B"/>
    <w:rsid w:val="0095527B"/>
    <w:rsid w:val="009554B0"/>
    <w:rsid w:val="0095569F"/>
    <w:rsid w:val="009558C0"/>
    <w:rsid w:val="009574DA"/>
    <w:rsid w:val="00957E20"/>
    <w:rsid w:val="00961FDE"/>
    <w:rsid w:val="009658B1"/>
    <w:rsid w:val="009739FB"/>
    <w:rsid w:val="00973E6C"/>
    <w:rsid w:val="00976042"/>
    <w:rsid w:val="0097726D"/>
    <w:rsid w:val="009825B4"/>
    <w:rsid w:val="00982665"/>
    <w:rsid w:val="009830A0"/>
    <w:rsid w:val="00983B40"/>
    <w:rsid w:val="0099451F"/>
    <w:rsid w:val="0099495F"/>
    <w:rsid w:val="00995A9D"/>
    <w:rsid w:val="00996BF8"/>
    <w:rsid w:val="009A0660"/>
    <w:rsid w:val="009A2806"/>
    <w:rsid w:val="009A66D6"/>
    <w:rsid w:val="009A7DB1"/>
    <w:rsid w:val="009B0249"/>
    <w:rsid w:val="009B2501"/>
    <w:rsid w:val="009B285A"/>
    <w:rsid w:val="009B3DA0"/>
    <w:rsid w:val="009B556C"/>
    <w:rsid w:val="009B6249"/>
    <w:rsid w:val="009C146E"/>
    <w:rsid w:val="009C5112"/>
    <w:rsid w:val="009D0FFA"/>
    <w:rsid w:val="009D1AB3"/>
    <w:rsid w:val="009D38B1"/>
    <w:rsid w:val="009D5B98"/>
    <w:rsid w:val="009D603A"/>
    <w:rsid w:val="009D6733"/>
    <w:rsid w:val="009D6DE3"/>
    <w:rsid w:val="009D790E"/>
    <w:rsid w:val="009E0D91"/>
    <w:rsid w:val="009E2DD3"/>
    <w:rsid w:val="009E4D33"/>
    <w:rsid w:val="009E6158"/>
    <w:rsid w:val="009F0ECA"/>
    <w:rsid w:val="009F5B59"/>
    <w:rsid w:val="009F5DBE"/>
    <w:rsid w:val="009F6AFE"/>
    <w:rsid w:val="00A01FB9"/>
    <w:rsid w:val="00A03681"/>
    <w:rsid w:val="00A03EAD"/>
    <w:rsid w:val="00A0753D"/>
    <w:rsid w:val="00A10FA8"/>
    <w:rsid w:val="00A112B9"/>
    <w:rsid w:val="00A113ED"/>
    <w:rsid w:val="00A14111"/>
    <w:rsid w:val="00A14679"/>
    <w:rsid w:val="00A1589B"/>
    <w:rsid w:val="00A204FC"/>
    <w:rsid w:val="00A220BF"/>
    <w:rsid w:val="00A22AE3"/>
    <w:rsid w:val="00A24211"/>
    <w:rsid w:val="00A2434F"/>
    <w:rsid w:val="00A2516D"/>
    <w:rsid w:val="00A27E3A"/>
    <w:rsid w:val="00A27EA5"/>
    <w:rsid w:val="00A31C72"/>
    <w:rsid w:val="00A31C92"/>
    <w:rsid w:val="00A33AB4"/>
    <w:rsid w:val="00A369E2"/>
    <w:rsid w:val="00A375F6"/>
    <w:rsid w:val="00A40DBA"/>
    <w:rsid w:val="00A41B8D"/>
    <w:rsid w:val="00A4389B"/>
    <w:rsid w:val="00A469F6"/>
    <w:rsid w:val="00A47E29"/>
    <w:rsid w:val="00A50617"/>
    <w:rsid w:val="00A52B97"/>
    <w:rsid w:val="00A543C4"/>
    <w:rsid w:val="00A56330"/>
    <w:rsid w:val="00A570DA"/>
    <w:rsid w:val="00A60072"/>
    <w:rsid w:val="00A63A4F"/>
    <w:rsid w:val="00A644B4"/>
    <w:rsid w:val="00A656F2"/>
    <w:rsid w:val="00A6751D"/>
    <w:rsid w:val="00A67C81"/>
    <w:rsid w:val="00A70F50"/>
    <w:rsid w:val="00A73D97"/>
    <w:rsid w:val="00A75056"/>
    <w:rsid w:val="00A75694"/>
    <w:rsid w:val="00A75809"/>
    <w:rsid w:val="00A77051"/>
    <w:rsid w:val="00A77146"/>
    <w:rsid w:val="00A814B5"/>
    <w:rsid w:val="00A87871"/>
    <w:rsid w:val="00A900C0"/>
    <w:rsid w:val="00A909B7"/>
    <w:rsid w:val="00A935D7"/>
    <w:rsid w:val="00A93FF0"/>
    <w:rsid w:val="00AA04D2"/>
    <w:rsid w:val="00AA3991"/>
    <w:rsid w:val="00AB2A2A"/>
    <w:rsid w:val="00AB4264"/>
    <w:rsid w:val="00AB50E5"/>
    <w:rsid w:val="00AC07E8"/>
    <w:rsid w:val="00AC2FEC"/>
    <w:rsid w:val="00AC3B8B"/>
    <w:rsid w:val="00AC7362"/>
    <w:rsid w:val="00AD0513"/>
    <w:rsid w:val="00AD1E9C"/>
    <w:rsid w:val="00AD5199"/>
    <w:rsid w:val="00AD5D9D"/>
    <w:rsid w:val="00AD713E"/>
    <w:rsid w:val="00AE13F4"/>
    <w:rsid w:val="00AE15AB"/>
    <w:rsid w:val="00AE46B6"/>
    <w:rsid w:val="00AE614D"/>
    <w:rsid w:val="00AE6C74"/>
    <w:rsid w:val="00AF0D9C"/>
    <w:rsid w:val="00AF3A81"/>
    <w:rsid w:val="00AF4196"/>
    <w:rsid w:val="00AF6BEC"/>
    <w:rsid w:val="00AF6D03"/>
    <w:rsid w:val="00AF7F93"/>
    <w:rsid w:val="00B00808"/>
    <w:rsid w:val="00B012E7"/>
    <w:rsid w:val="00B01D56"/>
    <w:rsid w:val="00B02A26"/>
    <w:rsid w:val="00B05BA3"/>
    <w:rsid w:val="00B075EA"/>
    <w:rsid w:val="00B10D75"/>
    <w:rsid w:val="00B1182B"/>
    <w:rsid w:val="00B11B39"/>
    <w:rsid w:val="00B136A1"/>
    <w:rsid w:val="00B15948"/>
    <w:rsid w:val="00B17C27"/>
    <w:rsid w:val="00B22150"/>
    <w:rsid w:val="00B22522"/>
    <w:rsid w:val="00B22747"/>
    <w:rsid w:val="00B25F1F"/>
    <w:rsid w:val="00B26203"/>
    <w:rsid w:val="00B274EB"/>
    <w:rsid w:val="00B32EBC"/>
    <w:rsid w:val="00B3502C"/>
    <w:rsid w:val="00B3599E"/>
    <w:rsid w:val="00B362E6"/>
    <w:rsid w:val="00B36AEB"/>
    <w:rsid w:val="00B36D58"/>
    <w:rsid w:val="00B37B07"/>
    <w:rsid w:val="00B42D40"/>
    <w:rsid w:val="00B46C3C"/>
    <w:rsid w:val="00B46FC9"/>
    <w:rsid w:val="00B4714F"/>
    <w:rsid w:val="00B50CB2"/>
    <w:rsid w:val="00B51670"/>
    <w:rsid w:val="00B518C1"/>
    <w:rsid w:val="00B52142"/>
    <w:rsid w:val="00B52CD3"/>
    <w:rsid w:val="00B54C27"/>
    <w:rsid w:val="00B55B3D"/>
    <w:rsid w:val="00B568AF"/>
    <w:rsid w:val="00B56E38"/>
    <w:rsid w:val="00B57448"/>
    <w:rsid w:val="00B6086B"/>
    <w:rsid w:val="00B643DE"/>
    <w:rsid w:val="00B643F5"/>
    <w:rsid w:val="00B649B0"/>
    <w:rsid w:val="00B6718C"/>
    <w:rsid w:val="00B67AC7"/>
    <w:rsid w:val="00B72C0C"/>
    <w:rsid w:val="00B73450"/>
    <w:rsid w:val="00B74148"/>
    <w:rsid w:val="00B75E94"/>
    <w:rsid w:val="00B80E0F"/>
    <w:rsid w:val="00B82378"/>
    <w:rsid w:val="00B8240A"/>
    <w:rsid w:val="00B84442"/>
    <w:rsid w:val="00B861D0"/>
    <w:rsid w:val="00B87155"/>
    <w:rsid w:val="00B90D4F"/>
    <w:rsid w:val="00B91449"/>
    <w:rsid w:val="00B9394C"/>
    <w:rsid w:val="00B94A27"/>
    <w:rsid w:val="00B94AF1"/>
    <w:rsid w:val="00B96605"/>
    <w:rsid w:val="00BA0CB5"/>
    <w:rsid w:val="00BA1A70"/>
    <w:rsid w:val="00BA1AE2"/>
    <w:rsid w:val="00BA1DD3"/>
    <w:rsid w:val="00BA355E"/>
    <w:rsid w:val="00BA3A71"/>
    <w:rsid w:val="00BA41B3"/>
    <w:rsid w:val="00BA4DD0"/>
    <w:rsid w:val="00BA5979"/>
    <w:rsid w:val="00BA5FCA"/>
    <w:rsid w:val="00BA64F6"/>
    <w:rsid w:val="00BB00C1"/>
    <w:rsid w:val="00BB0F98"/>
    <w:rsid w:val="00BB40C9"/>
    <w:rsid w:val="00BB5B76"/>
    <w:rsid w:val="00BB768F"/>
    <w:rsid w:val="00BB7A07"/>
    <w:rsid w:val="00BC1937"/>
    <w:rsid w:val="00BC4B9E"/>
    <w:rsid w:val="00BC5ECD"/>
    <w:rsid w:val="00BC6C03"/>
    <w:rsid w:val="00BC6C9C"/>
    <w:rsid w:val="00BC7217"/>
    <w:rsid w:val="00BC7DF8"/>
    <w:rsid w:val="00BD02FA"/>
    <w:rsid w:val="00BD3B1D"/>
    <w:rsid w:val="00BD4323"/>
    <w:rsid w:val="00BD4CD7"/>
    <w:rsid w:val="00BD5869"/>
    <w:rsid w:val="00BD7AFE"/>
    <w:rsid w:val="00BD7B33"/>
    <w:rsid w:val="00BD7CB2"/>
    <w:rsid w:val="00BE48A5"/>
    <w:rsid w:val="00BE4C9F"/>
    <w:rsid w:val="00BE5726"/>
    <w:rsid w:val="00BE6263"/>
    <w:rsid w:val="00BE6A3D"/>
    <w:rsid w:val="00BF065E"/>
    <w:rsid w:val="00BF0F17"/>
    <w:rsid w:val="00BF6266"/>
    <w:rsid w:val="00BF628D"/>
    <w:rsid w:val="00C00BD7"/>
    <w:rsid w:val="00C029C3"/>
    <w:rsid w:val="00C03864"/>
    <w:rsid w:val="00C04111"/>
    <w:rsid w:val="00C0557A"/>
    <w:rsid w:val="00C07026"/>
    <w:rsid w:val="00C1257C"/>
    <w:rsid w:val="00C15D81"/>
    <w:rsid w:val="00C15FC3"/>
    <w:rsid w:val="00C1604A"/>
    <w:rsid w:val="00C200C9"/>
    <w:rsid w:val="00C21011"/>
    <w:rsid w:val="00C2109F"/>
    <w:rsid w:val="00C258A4"/>
    <w:rsid w:val="00C26305"/>
    <w:rsid w:val="00C3221E"/>
    <w:rsid w:val="00C3232B"/>
    <w:rsid w:val="00C34E90"/>
    <w:rsid w:val="00C37D44"/>
    <w:rsid w:val="00C406BA"/>
    <w:rsid w:val="00C40E07"/>
    <w:rsid w:val="00C41000"/>
    <w:rsid w:val="00C43D5A"/>
    <w:rsid w:val="00C5424C"/>
    <w:rsid w:val="00C554A2"/>
    <w:rsid w:val="00C564FF"/>
    <w:rsid w:val="00C56E68"/>
    <w:rsid w:val="00C60499"/>
    <w:rsid w:val="00C62D37"/>
    <w:rsid w:val="00C636C2"/>
    <w:rsid w:val="00C63F51"/>
    <w:rsid w:val="00C644C9"/>
    <w:rsid w:val="00C64E29"/>
    <w:rsid w:val="00C6503C"/>
    <w:rsid w:val="00C70C55"/>
    <w:rsid w:val="00C74092"/>
    <w:rsid w:val="00C752A0"/>
    <w:rsid w:val="00C763B5"/>
    <w:rsid w:val="00C77106"/>
    <w:rsid w:val="00C77308"/>
    <w:rsid w:val="00C8292C"/>
    <w:rsid w:val="00C8620C"/>
    <w:rsid w:val="00C86CFF"/>
    <w:rsid w:val="00C90579"/>
    <w:rsid w:val="00C90BEE"/>
    <w:rsid w:val="00C91FAB"/>
    <w:rsid w:val="00C93127"/>
    <w:rsid w:val="00C95DF2"/>
    <w:rsid w:val="00C96271"/>
    <w:rsid w:val="00C977AE"/>
    <w:rsid w:val="00CA2548"/>
    <w:rsid w:val="00CA3FE6"/>
    <w:rsid w:val="00CA7FA3"/>
    <w:rsid w:val="00CB596A"/>
    <w:rsid w:val="00CB59A4"/>
    <w:rsid w:val="00CB5ABB"/>
    <w:rsid w:val="00CB5BC4"/>
    <w:rsid w:val="00CC0716"/>
    <w:rsid w:val="00CC1291"/>
    <w:rsid w:val="00CC34C2"/>
    <w:rsid w:val="00CC5081"/>
    <w:rsid w:val="00CC76A7"/>
    <w:rsid w:val="00CC7FB1"/>
    <w:rsid w:val="00CD0B41"/>
    <w:rsid w:val="00CE0527"/>
    <w:rsid w:val="00CE35B3"/>
    <w:rsid w:val="00CE6191"/>
    <w:rsid w:val="00CF0198"/>
    <w:rsid w:val="00CF1C2F"/>
    <w:rsid w:val="00CF40E3"/>
    <w:rsid w:val="00CF576C"/>
    <w:rsid w:val="00D0263A"/>
    <w:rsid w:val="00D02712"/>
    <w:rsid w:val="00D0453D"/>
    <w:rsid w:val="00D04655"/>
    <w:rsid w:val="00D04BD0"/>
    <w:rsid w:val="00D05486"/>
    <w:rsid w:val="00D059B9"/>
    <w:rsid w:val="00D07128"/>
    <w:rsid w:val="00D07B0E"/>
    <w:rsid w:val="00D101AF"/>
    <w:rsid w:val="00D122D5"/>
    <w:rsid w:val="00D1391A"/>
    <w:rsid w:val="00D159E7"/>
    <w:rsid w:val="00D15DEA"/>
    <w:rsid w:val="00D169EB"/>
    <w:rsid w:val="00D172D5"/>
    <w:rsid w:val="00D209BA"/>
    <w:rsid w:val="00D2320E"/>
    <w:rsid w:val="00D23F06"/>
    <w:rsid w:val="00D24934"/>
    <w:rsid w:val="00D25AE2"/>
    <w:rsid w:val="00D26461"/>
    <w:rsid w:val="00D268B0"/>
    <w:rsid w:val="00D27F68"/>
    <w:rsid w:val="00D3073C"/>
    <w:rsid w:val="00D30E70"/>
    <w:rsid w:val="00D32EBD"/>
    <w:rsid w:val="00D336DE"/>
    <w:rsid w:val="00D3464A"/>
    <w:rsid w:val="00D373C2"/>
    <w:rsid w:val="00D37742"/>
    <w:rsid w:val="00D408BC"/>
    <w:rsid w:val="00D44008"/>
    <w:rsid w:val="00D4452F"/>
    <w:rsid w:val="00D47E54"/>
    <w:rsid w:val="00D500AC"/>
    <w:rsid w:val="00D50650"/>
    <w:rsid w:val="00D543E5"/>
    <w:rsid w:val="00D55027"/>
    <w:rsid w:val="00D557F0"/>
    <w:rsid w:val="00D5595B"/>
    <w:rsid w:val="00D6106E"/>
    <w:rsid w:val="00D62527"/>
    <w:rsid w:val="00D646A7"/>
    <w:rsid w:val="00D671DF"/>
    <w:rsid w:val="00D7085D"/>
    <w:rsid w:val="00D725A8"/>
    <w:rsid w:val="00D73766"/>
    <w:rsid w:val="00D74EF3"/>
    <w:rsid w:val="00D75E97"/>
    <w:rsid w:val="00D76D73"/>
    <w:rsid w:val="00D804BD"/>
    <w:rsid w:val="00D81F76"/>
    <w:rsid w:val="00D830BE"/>
    <w:rsid w:val="00D8338A"/>
    <w:rsid w:val="00D8352D"/>
    <w:rsid w:val="00D859A4"/>
    <w:rsid w:val="00D87F5B"/>
    <w:rsid w:val="00D92D85"/>
    <w:rsid w:val="00D94353"/>
    <w:rsid w:val="00D97983"/>
    <w:rsid w:val="00D97E48"/>
    <w:rsid w:val="00DA036E"/>
    <w:rsid w:val="00DA3208"/>
    <w:rsid w:val="00DA64BD"/>
    <w:rsid w:val="00DA6DC3"/>
    <w:rsid w:val="00DA6F93"/>
    <w:rsid w:val="00DA70EC"/>
    <w:rsid w:val="00DB4A42"/>
    <w:rsid w:val="00DB5891"/>
    <w:rsid w:val="00DB58D3"/>
    <w:rsid w:val="00DB639C"/>
    <w:rsid w:val="00DC0FEF"/>
    <w:rsid w:val="00DC13AB"/>
    <w:rsid w:val="00DC2340"/>
    <w:rsid w:val="00DC5346"/>
    <w:rsid w:val="00DC5806"/>
    <w:rsid w:val="00DC738E"/>
    <w:rsid w:val="00DD266D"/>
    <w:rsid w:val="00DD344E"/>
    <w:rsid w:val="00DD3ADB"/>
    <w:rsid w:val="00DD4142"/>
    <w:rsid w:val="00DD5D84"/>
    <w:rsid w:val="00DD5DF6"/>
    <w:rsid w:val="00DD68B9"/>
    <w:rsid w:val="00DD7206"/>
    <w:rsid w:val="00DD7976"/>
    <w:rsid w:val="00DD7B71"/>
    <w:rsid w:val="00DE09D3"/>
    <w:rsid w:val="00DE0C86"/>
    <w:rsid w:val="00DE2327"/>
    <w:rsid w:val="00DE329A"/>
    <w:rsid w:val="00DE35E5"/>
    <w:rsid w:val="00DE48F0"/>
    <w:rsid w:val="00DE4EB4"/>
    <w:rsid w:val="00DE5FCB"/>
    <w:rsid w:val="00DE62E5"/>
    <w:rsid w:val="00DE6C5A"/>
    <w:rsid w:val="00DE7757"/>
    <w:rsid w:val="00DF0251"/>
    <w:rsid w:val="00DF5D8A"/>
    <w:rsid w:val="00DF6FFD"/>
    <w:rsid w:val="00DF729B"/>
    <w:rsid w:val="00DF7944"/>
    <w:rsid w:val="00E01927"/>
    <w:rsid w:val="00E02348"/>
    <w:rsid w:val="00E02911"/>
    <w:rsid w:val="00E049C1"/>
    <w:rsid w:val="00E05227"/>
    <w:rsid w:val="00E07998"/>
    <w:rsid w:val="00E10337"/>
    <w:rsid w:val="00E10A7E"/>
    <w:rsid w:val="00E13B53"/>
    <w:rsid w:val="00E14370"/>
    <w:rsid w:val="00E15BE4"/>
    <w:rsid w:val="00E2082C"/>
    <w:rsid w:val="00E21259"/>
    <w:rsid w:val="00E21A84"/>
    <w:rsid w:val="00E26452"/>
    <w:rsid w:val="00E2664C"/>
    <w:rsid w:val="00E2700B"/>
    <w:rsid w:val="00E306F3"/>
    <w:rsid w:val="00E308FC"/>
    <w:rsid w:val="00E3172D"/>
    <w:rsid w:val="00E31932"/>
    <w:rsid w:val="00E31A25"/>
    <w:rsid w:val="00E336BD"/>
    <w:rsid w:val="00E42488"/>
    <w:rsid w:val="00E441B5"/>
    <w:rsid w:val="00E44CEA"/>
    <w:rsid w:val="00E45658"/>
    <w:rsid w:val="00E46131"/>
    <w:rsid w:val="00E46A3F"/>
    <w:rsid w:val="00E46C62"/>
    <w:rsid w:val="00E477D5"/>
    <w:rsid w:val="00E47B40"/>
    <w:rsid w:val="00E51D4B"/>
    <w:rsid w:val="00E51D72"/>
    <w:rsid w:val="00E51E3A"/>
    <w:rsid w:val="00E53234"/>
    <w:rsid w:val="00E54223"/>
    <w:rsid w:val="00E54763"/>
    <w:rsid w:val="00E55F70"/>
    <w:rsid w:val="00E57C04"/>
    <w:rsid w:val="00E60AD8"/>
    <w:rsid w:val="00E614B4"/>
    <w:rsid w:val="00E6177C"/>
    <w:rsid w:val="00E61853"/>
    <w:rsid w:val="00E62D13"/>
    <w:rsid w:val="00E630C1"/>
    <w:rsid w:val="00E642CB"/>
    <w:rsid w:val="00E6504F"/>
    <w:rsid w:val="00E66DFF"/>
    <w:rsid w:val="00E679BC"/>
    <w:rsid w:val="00E70D85"/>
    <w:rsid w:val="00E711B5"/>
    <w:rsid w:val="00E7205E"/>
    <w:rsid w:val="00E725B9"/>
    <w:rsid w:val="00E7320E"/>
    <w:rsid w:val="00E7435D"/>
    <w:rsid w:val="00E76106"/>
    <w:rsid w:val="00E779D8"/>
    <w:rsid w:val="00E77A29"/>
    <w:rsid w:val="00E802DD"/>
    <w:rsid w:val="00E8250E"/>
    <w:rsid w:val="00E837FF"/>
    <w:rsid w:val="00E83A62"/>
    <w:rsid w:val="00E85464"/>
    <w:rsid w:val="00E8570D"/>
    <w:rsid w:val="00E8640F"/>
    <w:rsid w:val="00E8648F"/>
    <w:rsid w:val="00E87BD1"/>
    <w:rsid w:val="00E90C57"/>
    <w:rsid w:val="00E93D2D"/>
    <w:rsid w:val="00E94B50"/>
    <w:rsid w:val="00E95EA6"/>
    <w:rsid w:val="00E968C8"/>
    <w:rsid w:val="00EA0A3C"/>
    <w:rsid w:val="00EA0F27"/>
    <w:rsid w:val="00EA102E"/>
    <w:rsid w:val="00EA2C86"/>
    <w:rsid w:val="00EA3EDF"/>
    <w:rsid w:val="00EA44E8"/>
    <w:rsid w:val="00EA499B"/>
    <w:rsid w:val="00EA63F1"/>
    <w:rsid w:val="00EB04FB"/>
    <w:rsid w:val="00EB3161"/>
    <w:rsid w:val="00EB7DC3"/>
    <w:rsid w:val="00EC20B9"/>
    <w:rsid w:val="00EC234A"/>
    <w:rsid w:val="00EC29F8"/>
    <w:rsid w:val="00EC6C41"/>
    <w:rsid w:val="00ED046F"/>
    <w:rsid w:val="00ED0C36"/>
    <w:rsid w:val="00ED0E53"/>
    <w:rsid w:val="00ED0E6C"/>
    <w:rsid w:val="00ED2EB7"/>
    <w:rsid w:val="00ED38BB"/>
    <w:rsid w:val="00ED6E6C"/>
    <w:rsid w:val="00ED7282"/>
    <w:rsid w:val="00EE032D"/>
    <w:rsid w:val="00EE0F22"/>
    <w:rsid w:val="00EE2376"/>
    <w:rsid w:val="00EE244D"/>
    <w:rsid w:val="00EE2A41"/>
    <w:rsid w:val="00EE38EC"/>
    <w:rsid w:val="00EE3D74"/>
    <w:rsid w:val="00EE553A"/>
    <w:rsid w:val="00EE5DB3"/>
    <w:rsid w:val="00EE631B"/>
    <w:rsid w:val="00EE7924"/>
    <w:rsid w:val="00EF062F"/>
    <w:rsid w:val="00EF1DFE"/>
    <w:rsid w:val="00EF1E34"/>
    <w:rsid w:val="00EF40ED"/>
    <w:rsid w:val="00EF48E5"/>
    <w:rsid w:val="00EF4E3A"/>
    <w:rsid w:val="00EF6F75"/>
    <w:rsid w:val="00EF7441"/>
    <w:rsid w:val="00F0719C"/>
    <w:rsid w:val="00F11064"/>
    <w:rsid w:val="00F141BA"/>
    <w:rsid w:val="00F15B22"/>
    <w:rsid w:val="00F163DB"/>
    <w:rsid w:val="00F17527"/>
    <w:rsid w:val="00F23A4D"/>
    <w:rsid w:val="00F250A2"/>
    <w:rsid w:val="00F27449"/>
    <w:rsid w:val="00F30856"/>
    <w:rsid w:val="00F31221"/>
    <w:rsid w:val="00F316CB"/>
    <w:rsid w:val="00F322A3"/>
    <w:rsid w:val="00F3343F"/>
    <w:rsid w:val="00F34D75"/>
    <w:rsid w:val="00F355BB"/>
    <w:rsid w:val="00F35A9F"/>
    <w:rsid w:val="00F37C1E"/>
    <w:rsid w:val="00F407A7"/>
    <w:rsid w:val="00F43209"/>
    <w:rsid w:val="00F43B5B"/>
    <w:rsid w:val="00F43D16"/>
    <w:rsid w:val="00F475AB"/>
    <w:rsid w:val="00F505D4"/>
    <w:rsid w:val="00F50B47"/>
    <w:rsid w:val="00F51AC2"/>
    <w:rsid w:val="00F54387"/>
    <w:rsid w:val="00F54546"/>
    <w:rsid w:val="00F61331"/>
    <w:rsid w:val="00F61397"/>
    <w:rsid w:val="00F6198C"/>
    <w:rsid w:val="00F62F71"/>
    <w:rsid w:val="00F650CA"/>
    <w:rsid w:val="00F658BC"/>
    <w:rsid w:val="00F70CA4"/>
    <w:rsid w:val="00F731A7"/>
    <w:rsid w:val="00F7330F"/>
    <w:rsid w:val="00F752BA"/>
    <w:rsid w:val="00F77702"/>
    <w:rsid w:val="00F77B27"/>
    <w:rsid w:val="00F8347F"/>
    <w:rsid w:val="00F83E38"/>
    <w:rsid w:val="00F85857"/>
    <w:rsid w:val="00F87C4C"/>
    <w:rsid w:val="00F91FEE"/>
    <w:rsid w:val="00F944C5"/>
    <w:rsid w:val="00FA11F1"/>
    <w:rsid w:val="00FA36AE"/>
    <w:rsid w:val="00FA394C"/>
    <w:rsid w:val="00FA4B38"/>
    <w:rsid w:val="00FA5A03"/>
    <w:rsid w:val="00FA7177"/>
    <w:rsid w:val="00FA739B"/>
    <w:rsid w:val="00FB068F"/>
    <w:rsid w:val="00FB0851"/>
    <w:rsid w:val="00FB4790"/>
    <w:rsid w:val="00FB5935"/>
    <w:rsid w:val="00FB788A"/>
    <w:rsid w:val="00FC06E0"/>
    <w:rsid w:val="00FC33E5"/>
    <w:rsid w:val="00FC3EAB"/>
    <w:rsid w:val="00FC73C6"/>
    <w:rsid w:val="00FD39D2"/>
    <w:rsid w:val="00FD499D"/>
    <w:rsid w:val="00FD61BB"/>
    <w:rsid w:val="00FD6A96"/>
    <w:rsid w:val="00FE02AD"/>
    <w:rsid w:val="00FE0AF5"/>
    <w:rsid w:val="00FE27E1"/>
    <w:rsid w:val="00FE32A4"/>
    <w:rsid w:val="00FE6E23"/>
    <w:rsid w:val="00FF1BA5"/>
    <w:rsid w:val="00FF2790"/>
    <w:rsid w:val="00FF5864"/>
    <w:rsid w:val="013F4164"/>
    <w:rsid w:val="01434AD3"/>
    <w:rsid w:val="016949E7"/>
    <w:rsid w:val="01734DAB"/>
    <w:rsid w:val="017B3677"/>
    <w:rsid w:val="018A0E5E"/>
    <w:rsid w:val="018F20D6"/>
    <w:rsid w:val="01953125"/>
    <w:rsid w:val="01CA78BB"/>
    <w:rsid w:val="01D34171"/>
    <w:rsid w:val="01E47A7E"/>
    <w:rsid w:val="01F62607"/>
    <w:rsid w:val="02030E71"/>
    <w:rsid w:val="02341E7B"/>
    <w:rsid w:val="023D3D99"/>
    <w:rsid w:val="02564524"/>
    <w:rsid w:val="0273205A"/>
    <w:rsid w:val="0278029E"/>
    <w:rsid w:val="02842BCE"/>
    <w:rsid w:val="028C69AB"/>
    <w:rsid w:val="028F51C0"/>
    <w:rsid w:val="029150D4"/>
    <w:rsid w:val="0294280F"/>
    <w:rsid w:val="02946CC1"/>
    <w:rsid w:val="02961F6E"/>
    <w:rsid w:val="029E7E05"/>
    <w:rsid w:val="02A566C9"/>
    <w:rsid w:val="02AA57DB"/>
    <w:rsid w:val="02B600DD"/>
    <w:rsid w:val="02FA16E3"/>
    <w:rsid w:val="02FB7EC3"/>
    <w:rsid w:val="02FC2DD5"/>
    <w:rsid w:val="02FE3C3C"/>
    <w:rsid w:val="03106583"/>
    <w:rsid w:val="03194541"/>
    <w:rsid w:val="032B04D1"/>
    <w:rsid w:val="03335FDE"/>
    <w:rsid w:val="03494F1F"/>
    <w:rsid w:val="0364031B"/>
    <w:rsid w:val="03643187"/>
    <w:rsid w:val="036C15A2"/>
    <w:rsid w:val="03717160"/>
    <w:rsid w:val="037457A4"/>
    <w:rsid w:val="03AE3237"/>
    <w:rsid w:val="03BA08E5"/>
    <w:rsid w:val="03DF6D80"/>
    <w:rsid w:val="03E052D2"/>
    <w:rsid w:val="03EC1CAA"/>
    <w:rsid w:val="03EC2B96"/>
    <w:rsid w:val="03FA0E92"/>
    <w:rsid w:val="042B571C"/>
    <w:rsid w:val="043736A5"/>
    <w:rsid w:val="043A025B"/>
    <w:rsid w:val="04401AB0"/>
    <w:rsid w:val="044A2F7E"/>
    <w:rsid w:val="04633B21"/>
    <w:rsid w:val="04635A7C"/>
    <w:rsid w:val="04844F69"/>
    <w:rsid w:val="048A00AF"/>
    <w:rsid w:val="04A16C66"/>
    <w:rsid w:val="04B319A7"/>
    <w:rsid w:val="04D0585E"/>
    <w:rsid w:val="04E957DD"/>
    <w:rsid w:val="04FD1B25"/>
    <w:rsid w:val="05054F93"/>
    <w:rsid w:val="051B6E64"/>
    <w:rsid w:val="0529206C"/>
    <w:rsid w:val="053414CE"/>
    <w:rsid w:val="05555ECA"/>
    <w:rsid w:val="055915EE"/>
    <w:rsid w:val="055B0B6A"/>
    <w:rsid w:val="0560344F"/>
    <w:rsid w:val="05735C85"/>
    <w:rsid w:val="057400FD"/>
    <w:rsid w:val="05770FE5"/>
    <w:rsid w:val="057923FD"/>
    <w:rsid w:val="058C67CD"/>
    <w:rsid w:val="059A1691"/>
    <w:rsid w:val="05AF7823"/>
    <w:rsid w:val="05CE6FF7"/>
    <w:rsid w:val="05F80D33"/>
    <w:rsid w:val="060E4FA9"/>
    <w:rsid w:val="060F5985"/>
    <w:rsid w:val="062C135E"/>
    <w:rsid w:val="06315081"/>
    <w:rsid w:val="063711D3"/>
    <w:rsid w:val="066D1756"/>
    <w:rsid w:val="06721467"/>
    <w:rsid w:val="06770910"/>
    <w:rsid w:val="068F09FF"/>
    <w:rsid w:val="06955EA7"/>
    <w:rsid w:val="06996E4A"/>
    <w:rsid w:val="069A5670"/>
    <w:rsid w:val="06A04DA0"/>
    <w:rsid w:val="06B00F0D"/>
    <w:rsid w:val="06C07412"/>
    <w:rsid w:val="06C264EF"/>
    <w:rsid w:val="06C930EE"/>
    <w:rsid w:val="06E26BB5"/>
    <w:rsid w:val="06E55C36"/>
    <w:rsid w:val="071238FC"/>
    <w:rsid w:val="074129B6"/>
    <w:rsid w:val="074C1D96"/>
    <w:rsid w:val="074E41AF"/>
    <w:rsid w:val="07530BBA"/>
    <w:rsid w:val="0756081C"/>
    <w:rsid w:val="075973D9"/>
    <w:rsid w:val="076035A3"/>
    <w:rsid w:val="07730C2A"/>
    <w:rsid w:val="07755E90"/>
    <w:rsid w:val="077C207F"/>
    <w:rsid w:val="0787367D"/>
    <w:rsid w:val="07A47E33"/>
    <w:rsid w:val="07A80422"/>
    <w:rsid w:val="07C0648E"/>
    <w:rsid w:val="07C078D9"/>
    <w:rsid w:val="07E80EC5"/>
    <w:rsid w:val="07EF5391"/>
    <w:rsid w:val="07F51AE4"/>
    <w:rsid w:val="07FD56ED"/>
    <w:rsid w:val="080272FB"/>
    <w:rsid w:val="08413377"/>
    <w:rsid w:val="08687F8A"/>
    <w:rsid w:val="087A440F"/>
    <w:rsid w:val="089D634B"/>
    <w:rsid w:val="08A60920"/>
    <w:rsid w:val="08A77C81"/>
    <w:rsid w:val="08AF0B75"/>
    <w:rsid w:val="08B4260E"/>
    <w:rsid w:val="08BC17A8"/>
    <w:rsid w:val="08BC2FE7"/>
    <w:rsid w:val="08DC2018"/>
    <w:rsid w:val="08E32552"/>
    <w:rsid w:val="08EC36F0"/>
    <w:rsid w:val="08F00A1A"/>
    <w:rsid w:val="08FA5638"/>
    <w:rsid w:val="08FF7371"/>
    <w:rsid w:val="09072573"/>
    <w:rsid w:val="091837CC"/>
    <w:rsid w:val="09183B6E"/>
    <w:rsid w:val="093D226E"/>
    <w:rsid w:val="09455FEF"/>
    <w:rsid w:val="0951340A"/>
    <w:rsid w:val="09570A16"/>
    <w:rsid w:val="09665D4A"/>
    <w:rsid w:val="096870DD"/>
    <w:rsid w:val="096D0F91"/>
    <w:rsid w:val="097E025B"/>
    <w:rsid w:val="09823BA6"/>
    <w:rsid w:val="098526FC"/>
    <w:rsid w:val="0989221F"/>
    <w:rsid w:val="09954B1D"/>
    <w:rsid w:val="09DE03A7"/>
    <w:rsid w:val="09E8720A"/>
    <w:rsid w:val="09FE16AA"/>
    <w:rsid w:val="0A1023B1"/>
    <w:rsid w:val="0A135E59"/>
    <w:rsid w:val="0A1E5D60"/>
    <w:rsid w:val="0A4240D3"/>
    <w:rsid w:val="0A5B5D1A"/>
    <w:rsid w:val="0A676E37"/>
    <w:rsid w:val="0A6835E3"/>
    <w:rsid w:val="0A687562"/>
    <w:rsid w:val="0A76200F"/>
    <w:rsid w:val="0A7D179B"/>
    <w:rsid w:val="0A9671AE"/>
    <w:rsid w:val="0A9C6E3D"/>
    <w:rsid w:val="0A9F0CBB"/>
    <w:rsid w:val="0AC03645"/>
    <w:rsid w:val="0AC96BB9"/>
    <w:rsid w:val="0AD142D9"/>
    <w:rsid w:val="0AD60A9A"/>
    <w:rsid w:val="0ADA18C7"/>
    <w:rsid w:val="0AE21D06"/>
    <w:rsid w:val="0AED76B0"/>
    <w:rsid w:val="0B20279E"/>
    <w:rsid w:val="0B236CEE"/>
    <w:rsid w:val="0B2627E0"/>
    <w:rsid w:val="0B436B46"/>
    <w:rsid w:val="0B4B6464"/>
    <w:rsid w:val="0B9747CC"/>
    <w:rsid w:val="0B9B04C1"/>
    <w:rsid w:val="0BC97AB4"/>
    <w:rsid w:val="0BCD401B"/>
    <w:rsid w:val="0BD103ED"/>
    <w:rsid w:val="0BD371A7"/>
    <w:rsid w:val="0BD86659"/>
    <w:rsid w:val="0BE373FF"/>
    <w:rsid w:val="0BF1351A"/>
    <w:rsid w:val="0C072491"/>
    <w:rsid w:val="0C1254F9"/>
    <w:rsid w:val="0C184C2A"/>
    <w:rsid w:val="0C1B2146"/>
    <w:rsid w:val="0C540D7E"/>
    <w:rsid w:val="0C5B2854"/>
    <w:rsid w:val="0C5D42AA"/>
    <w:rsid w:val="0C6466F7"/>
    <w:rsid w:val="0C7C7E3C"/>
    <w:rsid w:val="0C821352"/>
    <w:rsid w:val="0C9753D9"/>
    <w:rsid w:val="0C990E33"/>
    <w:rsid w:val="0CBB116C"/>
    <w:rsid w:val="0CE372CF"/>
    <w:rsid w:val="0CE441DF"/>
    <w:rsid w:val="0CEA0B90"/>
    <w:rsid w:val="0CF3148B"/>
    <w:rsid w:val="0CF8628B"/>
    <w:rsid w:val="0CFB03EB"/>
    <w:rsid w:val="0CFE11E7"/>
    <w:rsid w:val="0CFF6B2C"/>
    <w:rsid w:val="0D027D99"/>
    <w:rsid w:val="0D163416"/>
    <w:rsid w:val="0D2070E4"/>
    <w:rsid w:val="0D330D1C"/>
    <w:rsid w:val="0D517C72"/>
    <w:rsid w:val="0D5B3A74"/>
    <w:rsid w:val="0D817290"/>
    <w:rsid w:val="0D877F15"/>
    <w:rsid w:val="0D8812E7"/>
    <w:rsid w:val="0D925F6D"/>
    <w:rsid w:val="0DAF2995"/>
    <w:rsid w:val="0DC0380B"/>
    <w:rsid w:val="0DE17DE3"/>
    <w:rsid w:val="0DF543CA"/>
    <w:rsid w:val="0E0D3E8D"/>
    <w:rsid w:val="0E140ED4"/>
    <w:rsid w:val="0E23444A"/>
    <w:rsid w:val="0E276C79"/>
    <w:rsid w:val="0E356A61"/>
    <w:rsid w:val="0E461454"/>
    <w:rsid w:val="0E521921"/>
    <w:rsid w:val="0E5F6792"/>
    <w:rsid w:val="0E657BCE"/>
    <w:rsid w:val="0E683F2B"/>
    <w:rsid w:val="0E77A2EF"/>
    <w:rsid w:val="0E7E77C6"/>
    <w:rsid w:val="0E862585"/>
    <w:rsid w:val="0E8A4D90"/>
    <w:rsid w:val="0E8A5BD5"/>
    <w:rsid w:val="0E966D8D"/>
    <w:rsid w:val="0EC578DF"/>
    <w:rsid w:val="0EDB5889"/>
    <w:rsid w:val="0EE236FE"/>
    <w:rsid w:val="0EE41E64"/>
    <w:rsid w:val="0EEC0923"/>
    <w:rsid w:val="0F031BCB"/>
    <w:rsid w:val="0F0F6E45"/>
    <w:rsid w:val="0F162A90"/>
    <w:rsid w:val="0F200EA0"/>
    <w:rsid w:val="0F3448DB"/>
    <w:rsid w:val="0F353C75"/>
    <w:rsid w:val="0F507929"/>
    <w:rsid w:val="0F51557C"/>
    <w:rsid w:val="0F9111B9"/>
    <w:rsid w:val="0FB80777"/>
    <w:rsid w:val="0FB94F18"/>
    <w:rsid w:val="0FBB3872"/>
    <w:rsid w:val="0FC07123"/>
    <w:rsid w:val="0FD34ECD"/>
    <w:rsid w:val="0FE77046"/>
    <w:rsid w:val="0FF55C4D"/>
    <w:rsid w:val="10412248"/>
    <w:rsid w:val="10520DE1"/>
    <w:rsid w:val="10530BDB"/>
    <w:rsid w:val="10533CEF"/>
    <w:rsid w:val="1061039F"/>
    <w:rsid w:val="106F1572"/>
    <w:rsid w:val="10742B14"/>
    <w:rsid w:val="108232A7"/>
    <w:rsid w:val="1089475E"/>
    <w:rsid w:val="109A4DF4"/>
    <w:rsid w:val="10A00058"/>
    <w:rsid w:val="10B461D4"/>
    <w:rsid w:val="10B506D3"/>
    <w:rsid w:val="10C321D3"/>
    <w:rsid w:val="10C35F00"/>
    <w:rsid w:val="10D72BBE"/>
    <w:rsid w:val="10D81154"/>
    <w:rsid w:val="10D82617"/>
    <w:rsid w:val="10EA6C8F"/>
    <w:rsid w:val="10F93C93"/>
    <w:rsid w:val="10FC1961"/>
    <w:rsid w:val="112651E3"/>
    <w:rsid w:val="112910FE"/>
    <w:rsid w:val="114D3420"/>
    <w:rsid w:val="11562756"/>
    <w:rsid w:val="115E0527"/>
    <w:rsid w:val="1169359E"/>
    <w:rsid w:val="116D7DE2"/>
    <w:rsid w:val="11864495"/>
    <w:rsid w:val="118A4FD3"/>
    <w:rsid w:val="119E6D63"/>
    <w:rsid w:val="11A16F37"/>
    <w:rsid w:val="11C0051C"/>
    <w:rsid w:val="11DA49B1"/>
    <w:rsid w:val="11E20B23"/>
    <w:rsid w:val="11F86A69"/>
    <w:rsid w:val="11FE1FD1"/>
    <w:rsid w:val="1210083D"/>
    <w:rsid w:val="12104880"/>
    <w:rsid w:val="12180114"/>
    <w:rsid w:val="1220002A"/>
    <w:rsid w:val="12260CF8"/>
    <w:rsid w:val="122F5F9F"/>
    <w:rsid w:val="12326F4A"/>
    <w:rsid w:val="1262157D"/>
    <w:rsid w:val="128436B3"/>
    <w:rsid w:val="12857798"/>
    <w:rsid w:val="12D60ED8"/>
    <w:rsid w:val="12FB03B8"/>
    <w:rsid w:val="130C3547"/>
    <w:rsid w:val="13117F44"/>
    <w:rsid w:val="13324ABC"/>
    <w:rsid w:val="133C5C04"/>
    <w:rsid w:val="13771606"/>
    <w:rsid w:val="13791216"/>
    <w:rsid w:val="137C69E3"/>
    <w:rsid w:val="13800409"/>
    <w:rsid w:val="13871B28"/>
    <w:rsid w:val="139275EB"/>
    <w:rsid w:val="13982D2F"/>
    <w:rsid w:val="13993BCA"/>
    <w:rsid w:val="13B01631"/>
    <w:rsid w:val="13B10B61"/>
    <w:rsid w:val="13B5244D"/>
    <w:rsid w:val="13CE11DB"/>
    <w:rsid w:val="13E53A59"/>
    <w:rsid w:val="13FD3D3F"/>
    <w:rsid w:val="140A4CFE"/>
    <w:rsid w:val="140E0F59"/>
    <w:rsid w:val="143209BC"/>
    <w:rsid w:val="143556D7"/>
    <w:rsid w:val="143A207F"/>
    <w:rsid w:val="1440440B"/>
    <w:rsid w:val="14573E83"/>
    <w:rsid w:val="1458335F"/>
    <w:rsid w:val="148F0FF7"/>
    <w:rsid w:val="1504486B"/>
    <w:rsid w:val="150C08B4"/>
    <w:rsid w:val="151031FD"/>
    <w:rsid w:val="151E75AA"/>
    <w:rsid w:val="152D2C19"/>
    <w:rsid w:val="152D4A01"/>
    <w:rsid w:val="15384F61"/>
    <w:rsid w:val="15421BBC"/>
    <w:rsid w:val="15431777"/>
    <w:rsid w:val="154619E3"/>
    <w:rsid w:val="155C2EF1"/>
    <w:rsid w:val="1568296D"/>
    <w:rsid w:val="15712BD2"/>
    <w:rsid w:val="157D50B8"/>
    <w:rsid w:val="158526F1"/>
    <w:rsid w:val="158C52D2"/>
    <w:rsid w:val="15905890"/>
    <w:rsid w:val="15A30B70"/>
    <w:rsid w:val="15B13EC5"/>
    <w:rsid w:val="15B90D20"/>
    <w:rsid w:val="15B956C1"/>
    <w:rsid w:val="15BF4074"/>
    <w:rsid w:val="15C0407A"/>
    <w:rsid w:val="15D57DBF"/>
    <w:rsid w:val="15D619FC"/>
    <w:rsid w:val="15E239E6"/>
    <w:rsid w:val="15F61ECB"/>
    <w:rsid w:val="15F61F11"/>
    <w:rsid w:val="15F9447B"/>
    <w:rsid w:val="15FB2F50"/>
    <w:rsid w:val="16060020"/>
    <w:rsid w:val="160D3A22"/>
    <w:rsid w:val="16174398"/>
    <w:rsid w:val="16260378"/>
    <w:rsid w:val="162C1B87"/>
    <w:rsid w:val="16391B6E"/>
    <w:rsid w:val="163A471F"/>
    <w:rsid w:val="163F3577"/>
    <w:rsid w:val="16415B6D"/>
    <w:rsid w:val="16465D81"/>
    <w:rsid w:val="16575422"/>
    <w:rsid w:val="165E67A5"/>
    <w:rsid w:val="166211A8"/>
    <w:rsid w:val="16633CB5"/>
    <w:rsid w:val="16727D6D"/>
    <w:rsid w:val="16754456"/>
    <w:rsid w:val="168923B3"/>
    <w:rsid w:val="168A4A26"/>
    <w:rsid w:val="16932AB6"/>
    <w:rsid w:val="16A20A57"/>
    <w:rsid w:val="16CD6667"/>
    <w:rsid w:val="16DC1409"/>
    <w:rsid w:val="16E41640"/>
    <w:rsid w:val="16F63D5C"/>
    <w:rsid w:val="172931FC"/>
    <w:rsid w:val="17335573"/>
    <w:rsid w:val="17363569"/>
    <w:rsid w:val="173C52ED"/>
    <w:rsid w:val="175C42A1"/>
    <w:rsid w:val="176B12AD"/>
    <w:rsid w:val="176C3C0B"/>
    <w:rsid w:val="17735153"/>
    <w:rsid w:val="177F18D9"/>
    <w:rsid w:val="178658BE"/>
    <w:rsid w:val="178D6324"/>
    <w:rsid w:val="17F17872"/>
    <w:rsid w:val="17F21171"/>
    <w:rsid w:val="17F22C5E"/>
    <w:rsid w:val="180D4844"/>
    <w:rsid w:val="1825393F"/>
    <w:rsid w:val="18372D88"/>
    <w:rsid w:val="1877189C"/>
    <w:rsid w:val="187C043D"/>
    <w:rsid w:val="18912134"/>
    <w:rsid w:val="189B2289"/>
    <w:rsid w:val="18AE383A"/>
    <w:rsid w:val="18BA0140"/>
    <w:rsid w:val="18C043B0"/>
    <w:rsid w:val="18C1324A"/>
    <w:rsid w:val="18C271D4"/>
    <w:rsid w:val="18CE7A5D"/>
    <w:rsid w:val="18D45D71"/>
    <w:rsid w:val="18D968AD"/>
    <w:rsid w:val="18E95D10"/>
    <w:rsid w:val="18FA4ED4"/>
    <w:rsid w:val="18FC634A"/>
    <w:rsid w:val="19012F3D"/>
    <w:rsid w:val="191A2B36"/>
    <w:rsid w:val="191F17A4"/>
    <w:rsid w:val="19520C98"/>
    <w:rsid w:val="19752987"/>
    <w:rsid w:val="197C584D"/>
    <w:rsid w:val="198A5993"/>
    <w:rsid w:val="198B1066"/>
    <w:rsid w:val="19A23057"/>
    <w:rsid w:val="19AC041D"/>
    <w:rsid w:val="19D47BC3"/>
    <w:rsid w:val="19DE7A17"/>
    <w:rsid w:val="19F30BCF"/>
    <w:rsid w:val="19F52961"/>
    <w:rsid w:val="1A0514EE"/>
    <w:rsid w:val="1A0751B2"/>
    <w:rsid w:val="1A0B7A9D"/>
    <w:rsid w:val="1A110117"/>
    <w:rsid w:val="1A435F0D"/>
    <w:rsid w:val="1A43725A"/>
    <w:rsid w:val="1A4A7732"/>
    <w:rsid w:val="1A5951DD"/>
    <w:rsid w:val="1A5D4B74"/>
    <w:rsid w:val="1A5D58DB"/>
    <w:rsid w:val="1A654FD7"/>
    <w:rsid w:val="1A725A9A"/>
    <w:rsid w:val="1AA00D3D"/>
    <w:rsid w:val="1AA6227B"/>
    <w:rsid w:val="1AAD2EC9"/>
    <w:rsid w:val="1AB4275B"/>
    <w:rsid w:val="1ACC56CD"/>
    <w:rsid w:val="1AF6448C"/>
    <w:rsid w:val="1AFE3F19"/>
    <w:rsid w:val="1B077E2B"/>
    <w:rsid w:val="1B351D35"/>
    <w:rsid w:val="1B356AAA"/>
    <w:rsid w:val="1B370583"/>
    <w:rsid w:val="1B4C3483"/>
    <w:rsid w:val="1B573C61"/>
    <w:rsid w:val="1B6800C1"/>
    <w:rsid w:val="1B691BD0"/>
    <w:rsid w:val="1B7B5DFF"/>
    <w:rsid w:val="1B8D45E5"/>
    <w:rsid w:val="1BA43CEA"/>
    <w:rsid w:val="1BAA53E5"/>
    <w:rsid w:val="1BAF5064"/>
    <w:rsid w:val="1BD46B84"/>
    <w:rsid w:val="1C011148"/>
    <w:rsid w:val="1C03516D"/>
    <w:rsid w:val="1C2D7746"/>
    <w:rsid w:val="1C3B5149"/>
    <w:rsid w:val="1C531EE0"/>
    <w:rsid w:val="1C6319B0"/>
    <w:rsid w:val="1C6C494B"/>
    <w:rsid w:val="1C6E3821"/>
    <w:rsid w:val="1C7F7827"/>
    <w:rsid w:val="1C840B99"/>
    <w:rsid w:val="1CA80D63"/>
    <w:rsid w:val="1CAA51CD"/>
    <w:rsid w:val="1CBE4C5D"/>
    <w:rsid w:val="1CC97729"/>
    <w:rsid w:val="1CD56768"/>
    <w:rsid w:val="1D0203F8"/>
    <w:rsid w:val="1D145898"/>
    <w:rsid w:val="1D223855"/>
    <w:rsid w:val="1D2728A8"/>
    <w:rsid w:val="1D3E504B"/>
    <w:rsid w:val="1D3E53FC"/>
    <w:rsid w:val="1D412E8A"/>
    <w:rsid w:val="1D493568"/>
    <w:rsid w:val="1D67579B"/>
    <w:rsid w:val="1D7875D1"/>
    <w:rsid w:val="1D794210"/>
    <w:rsid w:val="1D8036A7"/>
    <w:rsid w:val="1D86129B"/>
    <w:rsid w:val="1DB13C18"/>
    <w:rsid w:val="1DD739FC"/>
    <w:rsid w:val="1DDD3195"/>
    <w:rsid w:val="1DDD5ECE"/>
    <w:rsid w:val="1DEB7A61"/>
    <w:rsid w:val="1E142FFE"/>
    <w:rsid w:val="1E1F0F32"/>
    <w:rsid w:val="1E2A3208"/>
    <w:rsid w:val="1E3E054A"/>
    <w:rsid w:val="1E583B81"/>
    <w:rsid w:val="1E6B54E7"/>
    <w:rsid w:val="1E6C3394"/>
    <w:rsid w:val="1E915CC9"/>
    <w:rsid w:val="1E924E8E"/>
    <w:rsid w:val="1E93243D"/>
    <w:rsid w:val="1E997443"/>
    <w:rsid w:val="1EB87D27"/>
    <w:rsid w:val="1EBA7C8F"/>
    <w:rsid w:val="1EBF5BDF"/>
    <w:rsid w:val="1EBF689D"/>
    <w:rsid w:val="1EF566B1"/>
    <w:rsid w:val="1F1052D4"/>
    <w:rsid w:val="1F165689"/>
    <w:rsid w:val="1F1A5B34"/>
    <w:rsid w:val="1F1F601D"/>
    <w:rsid w:val="1F6C03B8"/>
    <w:rsid w:val="1F6D5E3E"/>
    <w:rsid w:val="1F791059"/>
    <w:rsid w:val="1F7C33DF"/>
    <w:rsid w:val="1F902AD1"/>
    <w:rsid w:val="1F904072"/>
    <w:rsid w:val="1FBF1693"/>
    <w:rsid w:val="1FD27D32"/>
    <w:rsid w:val="1FD84CF8"/>
    <w:rsid w:val="1FEA5A19"/>
    <w:rsid w:val="1FF902F4"/>
    <w:rsid w:val="1FFD1312"/>
    <w:rsid w:val="200A2ABE"/>
    <w:rsid w:val="200C669F"/>
    <w:rsid w:val="202A4AC3"/>
    <w:rsid w:val="203416EC"/>
    <w:rsid w:val="205259A1"/>
    <w:rsid w:val="20596F5F"/>
    <w:rsid w:val="205B28F5"/>
    <w:rsid w:val="20636D97"/>
    <w:rsid w:val="20783007"/>
    <w:rsid w:val="208E392E"/>
    <w:rsid w:val="20A0315E"/>
    <w:rsid w:val="20BF1C01"/>
    <w:rsid w:val="20D15FFF"/>
    <w:rsid w:val="20D23376"/>
    <w:rsid w:val="20D6091B"/>
    <w:rsid w:val="20D60D61"/>
    <w:rsid w:val="20E05B20"/>
    <w:rsid w:val="211C4A69"/>
    <w:rsid w:val="2122071E"/>
    <w:rsid w:val="212A4EF7"/>
    <w:rsid w:val="2146794D"/>
    <w:rsid w:val="21585315"/>
    <w:rsid w:val="216E2D17"/>
    <w:rsid w:val="21713B81"/>
    <w:rsid w:val="21791475"/>
    <w:rsid w:val="218A0A2C"/>
    <w:rsid w:val="218E1E0B"/>
    <w:rsid w:val="21923018"/>
    <w:rsid w:val="21A33E79"/>
    <w:rsid w:val="21AC36C7"/>
    <w:rsid w:val="21B63215"/>
    <w:rsid w:val="21BD7407"/>
    <w:rsid w:val="21EF7B8F"/>
    <w:rsid w:val="21F17314"/>
    <w:rsid w:val="2210047F"/>
    <w:rsid w:val="22115AD0"/>
    <w:rsid w:val="2212149F"/>
    <w:rsid w:val="222E727D"/>
    <w:rsid w:val="223E5A1D"/>
    <w:rsid w:val="223F3826"/>
    <w:rsid w:val="22417D87"/>
    <w:rsid w:val="226620A6"/>
    <w:rsid w:val="226655EB"/>
    <w:rsid w:val="226E0C8B"/>
    <w:rsid w:val="22750AEE"/>
    <w:rsid w:val="22766A1B"/>
    <w:rsid w:val="227B6F23"/>
    <w:rsid w:val="227D63FF"/>
    <w:rsid w:val="228146F9"/>
    <w:rsid w:val="229F62E4"/>
    <w:rsid w:val="22A10EBA"/>
    <w:rsid w:val="22B75FA0"/>
    <w:rsid w:val="22C07A85"/>
    <w:rsid w:val="23012B23"/>
    <w:rsid w:val="23032EC5"/>
    <w:rsid w:val="23277E52"/>
    <w:rsid w:val="232B6639"/>
    <w:rsid w:val="234B2708"/>
    <w:rsid w:val="2350002B"/>
    <w:rsid w:val="2353571C"/>
    <w:rsid w:val="23761BEE"/>
    <w:rsid w:val="23780F99"/>
    <w:rsid w:val="23881DC2"/>
    <w:rsid w:val="23A31F79"/>
    <w:rsid w:val="23AA5050"/>
    <w:rsid w:val="23C762BF"/>
    <w:rsid w:val="23CF31E1"/>
    <w:rsid w:val="23D44A42"/>
    <w:rsid w:val="23D701D2"/>
    <w:rsid w:val="23DE1014"/>
    <w:rsid w:val="23FA38A2"/>
    <w:rsid w:val="23FF1FFA"/>
    <w:rsid w:val="24116EBD"/>
    <w:rsid w:val="24181ECE"/>
    <w:rsid w:val="241A219B"/>
    <w:rsid w:val="2444434B"/>
    <w:rsid w:val="244B3893"/>
    <w:rsid w:val="24505744"/>
    <w:rsid w:val="24607EC9"/>
    <w:rsid w:val="24737F6C"/>
    <w:rsid w:val="249C0839"/>
    <w:rsid w:val="24A04BAC"/>
    <w:rsid w:val="24A2642C"/>
    <w:rsid w:val="24AE5FA8"/>
    <w:rsid w:val="24AF45D9"/>
    <w:rsid w:val="24BB0E38"/>
    <w:rsid w:val="24CE58FB"/>
    <w:rsid w:val="24CF26F9"/>
    <w:rsid w:val="24EB168B"/>
    <w:rsid w:val="251001BD"/>
    <w:rsid w:val="251A4D22"/>
    <w:rsid w:val="252A365F"/>
    <w:rsid w:val="253B7938"/>
    <w:rsid w:val="25631055"/>
    <w:rsid w:val="259778BF"/>
    <w:rsid w:val="25DB61E8"/>
    <w:rsid w:val="25DF5976"/>
    <w:rsid w:val="25E4591B"/>
    <w:rsid w:val="260918DD"/>
    <w:rsid w:val="262032DF"/>
    <w:rsid w:val="26247612"/>
    <w:rsid w:val="2634304C"/>
    <w:rsid w:val="263F50C1"/>
    <w:rsid w:val="2645071D"/>
    <w:rsid w:val="2648528D"/>
    <w:rsid w:val="26501303"/>
    <w:rsid w:val="26825492"/>
    <w:rsid w:val="26847D56"/>
    <w:rsid w:val="26A3166F"/>
    <w:rsid w:val="26AB0A32"/>
    <w:rsid w:val="26B50290"/>
    <w:rsid w:val="26C542ED"/>
    <w:rsid w:val="26C621EE"/>
    <w:rsid w:val="26DE0C3E"/>
    <w:rsid w:val="26E60C75"/>
    <w:rsid w:val="26FB2F54"/>
    <w:rsid w:val="26FC1B5C"/>
    <w:rsid w:val="26FF67FB"/>
    <w:rsid w:val="270C20D5"/>
    <w:rsid w:val="270E6E8E"/>
    <w:rsid w:val="271117C4"/>
    <w:rsid w:val="27117110"/>
    <w:rsid w:val="271E056B"/>
    <w:rsid w:val="27207C67"/>
    <w:rsid w:val="27241365"/>
    <w:rsid w:val="273D3A5D"/>
    <w:rsid w:val="27665193"/>
    <w:rsid w:val="27815BFF"/>
    <w:rsid w:val="27A5793A"/>
    <w:rsid w:val="27B350DB"/>
    <w:rsid w:val="27DF3EEC"/>
    <w:rsid w:val="27E6158A"/>
    <w:rsid w:val="27FF370C"/>
    <w:rsid w:val="2801585E"/>
    <w:rsid w:val="280D2302"/>
    <w:rsid w:val="282D4A41"/>
    <w:rsid w:val="282E78E4"/>
    <w:rsid w:val="282F427C"/>
    <w:rsid w:val="2845605D"/>
    <w:rsid w:val="284D47CA"/>
    <w:rsid w:val="28621E5A"/>
    <w:rsid w:val="2867128C"/>
    <w:rsid w:val="288D4546"/>
    <w:rsid w:val="289F09B5"/>
    <w:rsid w:val="28A80D38"/>
    <w:rsid w:val="28CB16BF"/>
    <w:rsid w:val="28D840B4"/>
    <w:rsid w:val="28DA1D16"/>
    <w:rsid w:val="28EC5313"/>
    <w:rsid w:val="28FC128A"/>
    <w:rsid w:val="29134D85"/>
    <w:rsid w:val="292162AE"/>
    <w:rsid w:val="292A50F2"/>
    <w:rsid w:val="294571A6"/>
    <w:rsid w:val="295137AB"/>
    <w:rsid w:val="295228C4"/>
    <w:rsid w:val="29746EEA"/>
    <w:rsid w:val="298403D2"/>
    <w:rsid w:val="298502BC"/>
    <w:rsid w:val="29856728"/>
    <w:rsid w:val="299B7B37"/>
    <w:rsid w:val="299D4ED8"/>
    <w:rsid w:val="29C508B8"/>
    <w:rsid w:val="29D06CC6"/>
    <w:rsid w:val="29D355F3"/>
    <w:rsid w:val="29F259D8"/>
    <w:rsid w:val="2A2029E3"/>
    <w:rsid w:val="2A2B3839"/>
    <w:rsid w:val="2A2E6505"/>
    <w:rsid w:val="2A3B6487"/>
    <w:rsid w:val="2A3D18A8"/>
    <w:rsid w:val="2A4773AA"/>
    <w:rsid w:val="2A7E0C1C"/>
    <w:rsid w:val="2A7F459C"/>
    <w:rsid w:val="2A961941"/>
    <w:rsid w:val="2AB95FC9"/>
    <w:rsid w:val="2AC321F7"/>
    <w:rsid w:val="2AC500F9"/>
    <w:rsid w:val="2ACF4BC5"/>
    <w:rsid w:val="2ADD15F6"/>
    <w:rsid w:val="2AED6BFD"/>
    <w:rsid w:val="2B0138F1"/>
    <w:rsid w:val="2B0C4CDA"/>
    <w:rsid w:val="2B1F3134"/>
    <w:rsid w:val="2B3A40AC"/>
    <w:rsid w:val="2B3C5F4C"/>
    <w:rsid w:val="2B592ED2"/>
    <w:rsid w:val="2B717030"/>
    <w:rsid w:val="2BA17A28"/>
    <w:rsid w:val="2BA850EF"/>
    <w:rsid w:val="2BCB0752"/>
    <w:rsid w:val="2BE40492"/>
    <w:rsid w:val="2BF337DF"/>
    <w:rsid w:val="2C166697"/>
    <w:rsid w:val="2C32281B"/>
    <w:rsid w:val="2C333D5B"/>
    <w:rsid w:val="2C424D54"/>
    <w:rsid w:val="2C4D01C8"/>
    <w:rsid w:val="2C5D4FF1"/>
    <w:rsid w:val="2C67280B"/>
    <w:rsid w:val="2C6A5041"/>
    <w:rsid w:val="2C9F4F0B"/>
    <w:rsid w:val="2CA01096"/>
    <w:rsid w:val="2CA02CA8"/>
    <w:rsid w:val="2CBA7D83"/>
    <w:rsid w:val="2CC63E36"/>
    <w:rsid w:val="2CCA6D3E"/>
    <w:rsid w:val="2CCE2650"/>
    <w:rsid w:val="2CF3558B"/>
    <w:rsid w:val="2D021D41"/>
    <w:rsid w:val="2D0B29A2"/>
    <w:rsid w:val="2D174711"/>
    <w:rsid w:val="2D1F4F0B"/>
    <w:rsid w:val="2D2B2C4B"/>
    <w:rsid w:val="2D33065B"/>
    <w:rsid w:val="2D52611B"/>
    <w:rsid w:val="2D5C25D9"/>
    <w:rsid w:val="2D67002B"/>
    <w:rsid w:val="2D6A769E"/>
    <w:rsid w:val="2D810D41"/>
    <w:rsid w:val="2D825168"/>
    <w:rsid w:val="2D92186A"/>
    <w:rsid w:val="2D970A9D"/>
    <w:rsid w:val="2DA50050"/>
    <w:rsid w:val="2DEB23EE"/>
    <w:rsid w:val="2DEE4599"/>
    <w:rsid w:val="2DEE780E"/>
    <w:rsid w:val="2E1864F5"/>
    <w:rsid w:val="2E21435D"/>
    <w:rsid w:val="2E29191C"/>
    <w:rsid w:val="2E330CFD"/>
    <w:rsid w:val="2E341CAB"/>
    <w:rsid w:val="2E344E12"/>
    <w:rsid w:val="2E5F68D8"/>
    <w:rsid w:val="2E600F45"/>
    <w:rsid w:val="2E6A6EB1"/>
    <w:rsid w:val="2E6B2086"/>
    <w:rsid w:val="2E807350"/>
    <w:rsid w:val="2E814085"/>
    <w:rsid w:val="2E8D621B"/>
    <w:rsid w:val="2E9C60A9"/>
    <w:rsid w:val="2EBF2AED"/>
    <w:rsid w:val="2EC51E44"/>
    <w:rsid w:val="2ED22B19"/>
    <w:rsid w:val="2ED603FF"/>
    <w:rsid w:val="2ED95665"/>
    <w:rsid w:val="2EEE78DB"/>
    <w:rsid w:val="2F0E2484"/>
    <w:rsid w:val="2F1213CF"/>
    <w:rsid w:val="2F1E2A54"/>
    <w:rsid w:val="2F243632"/>
    <w:rsid w:val="2F6400BD"/>
    <w:rsid w:val="2F6538D7"/>
    <w:rsid w:val="2F765444"/>
    <w:rsid w:val="2F845298"/>
    <w:rsid w:val="2FA307F6"/>
    <w:rsid w:val="2FA61E01"/>
    <w:rsid w:val="2FBA5DA5"/>
    <w:rsid w:val="2FED3890"/>
    <w:rsid w:val="30005F8D"/>
    <w:rsid w:val="30052604"/>
    <w:rsid w:val="301B0781"/>
    <w:rsid w:val="301C1AB8"/>
    <w:rsid w:val="30373D99"/>
    <w:rsid w:val="30540A0F"/>
    <w:rsid w:val="306B265C"/>
    <w:rsid w:val="306C387C"/>
    <w:rsid w:val="307C17F4"/>
    <w:rsid w:val="307F1448"/>
    <w:rsid w:val="308D2ADA"/>
    <w:rsid w:val="308F08CF"/>
    <w:rsid w:val="30B70D0B"/>
    <w:rsid w:val="30BF18CC"/>
    <w:rsid w:val="30CD7CC6"/>
    <w:rsid w:val="30D00268"/>
    <w:rsid w:val="30F55F1F"/>
    <w:rsid w:val="30F77620"/>
    <w:rsid w:val="310C52C6"/>
    <w:rsid w:val="3111033B"/>
    <w:rsid w:val="3112001B"/>
    <w:rsid w:val="31160660"/>
    <w:rsid w:val="3118256F"/>
    <w:rsid w:val="311D715B"/>
    <w:rsid w:val="312B7E2A"/>
    <w:rsid w:val="3133217E"/>
    <w:rsid w:val="31387339"/>
    <w:rsid w:val="314F3BE9"/>
    <w:rsid w:val="317642B0"/>
    <w:rsid w:val="317C3E85"/>
    <w:rsid w:val="3188540B"/>
    <w:rsid w:val="319637D2"/>
    <w:rsid w:val="319A51E4"/>
    <w:rsid w:val="31AC7976"/>
    <w:rsid w:val="31C51445"/>
    <w:rsid w:val="31FC4EE1"/>
    <w:rsid w:val="32106ABE"/>
    <w:rsid w:val="321D53D2"/>
    <w:rsid w:val="322347B7"/>
    <w:rsid w:val="325572E3"/>
    <w:rsid w:val="32566D1A"/>
    <w:rsid w:val="325F2F28"/>
    <w:rsid w:val="32671992"/>
    <w:rsid w:val="326C387A"/>
    <w:rsid w:val="326D439E"/>
    <w:rsid w:val="3274346C"/>
    <w:rsid w:val="328D0A7B"/>
    <w:rsid w:val="32983CDC"/>
    <w:rsid w:val="329E7818"/>
    <w:rsid w:val="32A00BEC"/>
    <w:rsid w:val="32AE04E0"/>
    <w:rsid w:val="32AE21B2"/>
    <w:rsid w:val="32B97B51"/>
    <w:rsid w:val="32C03BDF"/>
    <w:rsid w:val="32C14E64"/>
    <w:rsid w:val="32CA4C86"/>
    <w:rsid w:val="32FC5E0E"/>
    <w:rsid w:val="330608B2"/>
    <w:rsid w:val="330E57C7"/>
    <w:rsid w:val="3315363E"/>
    <w:rsid w:val="33264D19"/>
    <w:rsid w:val="332A4831"/>
    <w:rsid w:val="33500B26"/>
    <w:rsid w:val="335A17D4"/>
    <w:rsid w:val="3372399F"/>
    <w:rsid w:val="33816BE1"/>
    <w:rsid w:val="33821360"/>
    <w:rsid w:val="33A15A42"/>
    <w:rsid w:val="33A82A53"/>
    <w:rsid w:val="33A8656B"/>
    <w:rsid w:val="33BC028D"/>
    <w:rsid w:val="33CE3A82"/>
    <w:rsid w:val="33D2045C"/>
    <w:rsid w:val="33D84BF8"/>
    <w:rsid w:val="33E355BE"/>
    <w:rsid w:val="33F24EE9"/>
    <w:rsid w:val="340B6076"/>
    <w:rsid w:val="34272EC5"/>
    <w:rsid w:val="34277394"/>
    <w:rsid w:val="34366969"/>
    <w:rsid w:val="343B7F0E"/>
    <w:rsid w:val="34707208"/>
    <w:rsid w:val="347158F1"/>
    <w:rsid w:val="34770645"/>
    <w:rsid w:val="347854E0"/>
    <w:rsid w:val="347A0879"/>
    <w:rsid w:val="34831B82"/>
    <w:rsid w:val="34891089"/>
    <w:rsid w:val="348E145F"/>
    <w:rsid w:val="348F4D09"/>
    <w:rsid w:val="349C55BC"/>
    <w:rsid w:val="34B0277A"/>
    <w:rsid w:val="34CB078C"/>
    <w:rsid w:val="34CD4990"/>
    <w:rsid w:val="34E036EC"/>
    <w:rsid w:val="34F311E1"/>
    <w:rsid w:val="35182898"/>
    <w:rsid w:val="351A2EBB"/>
    <w:rsid w:val="355F13E4"/>
    <w:rsid w:val="35615C2F"/>
    <w:rsid w:val="356A4753"/>
    <w:rsid w:val="35A42085"/>
    <w:rsid w:val="35B0539E"/>
    <w:rsid w:val="35B83CDF"/>
    <w:rsid w:val="35BE31CE"/>
    <w:rsid w:val="35C35D7C"/>
    <w:rsid w:val="35D33AF4"/>
    <w:rsid w:val="35D35B97"/>
    <w:rsid w:val="35EE2A23"/>
    <w:rsid w:val="35F275FE"/>
    <w:rsid w:val="360919F9"/>
    <w:rsid w:val="361247DD"/>
    <w:rsid w:val="36506615"/>
    <w:rsid w:val="366F162A"/>
    <w:rsid w:val="36780E9B"/>
    <w:rsid w:val="36845765"/>
    <w:rsid w:val="368F70CF"/>
    <w:rsid w:val="36A46727"/>
    <w:rsid w:val="36A77C5F"/>
    <w:rsid w:val="36CA39E1"/>
    <w:rsid w:val="36F23520"/>
    <w:rsid w:val="3703203F"/>
    <w:rsid w:val="37224033"/>
    <w:rsid w:val="373830F8"/>
    <w:rsid w:val="37394FE1"/>
    <w:rsid w:val="37402719"/>
    <w:rsid w:val="374E0EB8"/>
    <w:rsid w:val="375504CC"/>
    <w:rsid w:val="376C1ADB"/>
    <w:rsid w:val="377A25AA"/>
    <w:rsid w:val="37887F8E"/>
    <w:rsid w:val="3794396D"/>
    <w:rsid w:val="37991A3A"/>
    <w:rsid w:val="37AD6D78"/>
    <w:rsid w:val="37D55350"/>
    <w:rsid w:val="37D92E37"/>
    <w:rsid w:val="37DF23C4"/>
    <w:rsid w:val="37F958E2"/>
    <w:rsid w:val="38016679"/>
    <w:rsid w:val="380B23A3"/>
    <w:rsid w:val="380C5B88"/>
    <w:rsid w:val="38243AAD"/>
    <w:rsid w:val="38404DBF"/>
    <w:rsid w:val="385570DE"/>
    <w:rsid w:val="386B3C66"/>
    <w:rsid w:val="388B642A"/>
    <w:rsid w:val="38950563"/>
    <w:rsid w:val="38B87AF7"/>
    <w:rsid w:val="38C17464"/>
    <w:rsid w:val="38CB4351"/>
    <w:rsid w:val="38D26974"/>
    <w:rsid w:val="38F87E07"/>
    <w:rsid w:val="38FD342B"/>
    <w:rsid w:val="390D466B"/>
    <w:rsid w:val="391A0F10"/>
    <w:rsid w:val="3921521C"/>
    <w:rsid w:val="39316613"/>
    <w:rsid w:val="3933029B"/>
    <w:rsid w:val="39455885"/>
    <w:rsid w:val="394E2C59"/>
    <w:rsid w:val="39606400"/>
    <w:rsid w:val="396524D0"/>
    <w:rsid w:val="3970468B"/>
    <w:rsid w:val="39835367"/>
    <w:rsid w:val="39994CD4"/>
    <w:rsid w:val="39A363F7"/>
    <w:rsid w:val="39B603AE"/>
    <w:rsid w:val="39C048C4"/>
    <w:rsid w:val="39D93A48"/>
    <w:rsid w:val="39DE03F3"/>
    <w:rsid w:val="39EF1C57"/>
    <w:rsid w:val="39FF3C51"/>
    <w:rsid w:val="3A006864"/>
    <w:rsid w:val="3A14675A"/>
    <w:rsid w:val="3A175A4A"/>
    <w:rsid w:val="3A194F31"/>
    <w:rsid w:val="3A225D53"/>
    <w:rsid w:val="3A343F3F"/>
    <w:rsid w:val="3A424A6B"/>
    <w:rsid w:val="3A446243"/>
    <w:rsid w:val="3A4E73CB"/>
    <w:rsid w:val="3A547980"/>
    <w:rsid w:val="3A555DD8"/>
    <w:rsid w:val="3A5F520C"/>
    <w:rsid w:val="3A66157D"/>
    <w:rsid w:val="3A84386A"/>
    <w:rsid w:val="3A8A13C5"/>
    <w:rsid w:val="3A9F3C14"/>
    <w:rsid w:val="3AA37634"/>
    <w:rsid w:val="3AAD63FD"/>
    <w:rsid w:val="3AB53E3A"/>
    <w:rsid w:val="3ABA54D5"/>
    <w:rsid w:val="3ABF2365"/>
    <w:rsid w:val="3ACC546D"/>
    <w:rsid w:val="3AD0533E"/>
    <w:rsid w:val="3AFA432C"/>
    <w:rsid w:val="3AFD6677"/>
    <w:rsid w:val="3B0B74F8"/>
    <w:rsid w:val="3B1434B2"/>
    <w:rsid w:val="3B29137E"/>
    <w:rsid w:val="3B3003A3"/>
    <w:rsid w:val="3B4867ED"/>
    <w:rsid w:val="3B547259"/>
    <w:rsid w:val="3B5515ED"/>
    <w:rsid w:val="3B5B24C7"/>
    <w:rsid w:val="3B634B32"/>
    <w:rsid w:val="3B6C369B"/>
    <w:rsid w:val="3B793215"/>
    <w:rsid w:val="3B957209"/>
    <w:rsid w:val="3B9637B8"/>
    <w:rsid w:val="3B9638F3"/>
    <w:rsid w:val="3B9A10BF"/>
    <w:rsid w:val="3BD13CFD"/>
    <w:rsid w:val="3BDE77AB"/>
    <w:rsid w:val="3BEC6CE2"/>
    <w:rsid w:val="3BFB431C"/>
    <w:rsid w:val="3C1E3299"/>
    <w:rsid w:val="3C37773F"/>
    <w:rsid w:val="3C3E1632"/>
    <w:rsid w:val="3C4D1D85"/>
    <w:rsid w:val="3C671D22"/>
    <w:rsid w:val="3C7F46AF"/>
    <w:rsid w:val="3C89360B"/>
    <w:rsid w:val="3C943849"/>
    <w:rsid w:val="3C9D11E3"/>
    <w:rsid w:val="3CA55CEA"/>
    <w:rsid w:val="3CB133AA"/>
    <w:rsid w:val="3CB37F6B"/>
    <w:rsid w:val="3CC048C9"/>
    <w:rsid w:val="3CC76E62"/>
    <w:rsid w:val="3CDD000A"/>
    <w:rsid w:val="3D023382"/>
    <w:rsid w:val="3D083E00"/>
    <w:rsid w:val="3D261AD1"/>
    <w:rsid w:val="3D2F4E76"/>
    <w:rsid w:val="3D492867"/>
    <w:rsid w:val="3D4E0AA9"/>
    <w:rsid w:val="3D510D12"/>
    <w:rsid w:val="3D5A08D4"/>
    <w:rsid w:val="3D5C76E5"/>
    <w:rsid w:val="3D5E3563"/>
    <w:rsid w:val="3D64012E"/>
    <w:rsid w:val="3D654DED"/>
    <w:rsid w:val="3D6B5FD4"/>
    <w:rsid w:val="3D74517B"/>
    <w:rsid w:val="3DAA60A6"/>
    <w:rsid w:val="3DD90117"/>
    <w:rsid w:val="3DDA0054"/>
    <w:rsid w:val="3DE62A35"/>
    <w:rsid w:val="3DE853D9"/>
    <w:rsid w:val="3DEA7C2E"/>
    <w:rsid w:val="3DF11B42"/>
    <w:rsid w:val="3DFE0DAC"/>
    <w:rsid w:val="3E0136A8"/>
    <w:rsid w:val="3E0E3F7B"/>
    <w:rsid w:val="3E2A4059"/>
    <w:rsid w:val="3E482D6F"/>
    <w:rsid w:val="3E53540C"/>
    <w:rsid w:val="3E6F314F"/>
    <w:rsid w:val="3E6F3A22"/>
    <w:rsid w:val="3E714ACA"/>
    <w:rsid w:val="3E971EF9"/>
    <w:rsid w:val="3E996811"/>
    <w:rsid w:val="3EE72A62"/>
    <w:rsid w:val="3EE92E78"/>
    <w:rsid w:val="3EFF0157"/>
    <w:rsid w:val="3F0C0360"/>
    <w:rsid w:val="3F0C57AC"/>
    <w:rsid w:val="3F200C4C"/>
    <w:rsid w:val="3F266CE5"/>
    <w:rsid w:val="3F2E0EF7"/>
    <w:rsid w:val="3F357B2E"/>
    <w:rsid w:val="3F370FAF"/>
    <w:rsid w:val="3F4D2858"/>
    <w:rsid w:val="3F5166FD"/>
    <w:rsid w:val="3F62393D"/>
    <w:rsid w:val="3F6A1794"/>
    <w:rsid w:val="3F772C0B"/>
    <w:rsid w:val="3F8F7DA5"/>
    <w:rsid w:val="3F95243E"/>
    <w:rsid w:val="3F9D2F9F"/>
    <w:rsid w:val="3FAF1751"/>
    <w:rsid w:val="3FB55392"/>
    <w:rsid w:val="3FDB1917"/>
    <w:rsid w:val="3FF81996"/>
    <w:rsid w:val="40136580"/>
    <w:rsid w:val="401B3206"/>
    <w:rsid w:val="402D061A"/>
    <w:rsid w:val="40401979"/>
    <w:rsid w:val="404310BD"/>
    <w:rsid w:val="405C7551"/>
    <w:rsid w:val="4061507F"/>
    <w:rsid w:val="40732FF4"/>
    <w:rsid w:val="407B5A44"/>
    <w:rsid w:val="407B7E17"/>
    <w:rsid w:val="40866143"/>
    <w:rsid w:val="40B41CB2"/>
    <w:rsid w:val="40BC771A"/>
    <w:rsid w:val="40C266C7"/>
    <w:rsid w:val="40DF18E1"/>
    <w:rsid w:val="412B646A"/>
    <w:rsid w:val="41343D76"/>
    <w:rsid w:val="413756D9"/>
    <w:rsid w:val="41375FEE"/>
    <w:rsid w:val="413E6BE5"/>
    <w:rsid w:val="413E6D88"/>
    <w:rsid w:val="414D5887"/>
    <w:rsid w:val="41526139"/>
    <w:rsid w:val="41695ACB"/>
    <w:rsid w:val="417B2909"/>
    <w:rsid w:val="418E0A5A"/>
    <w:rsid w:val="41A548E4"/>
    <w:rsid w:val="41AB1176"/>
    <w:rsid w:val="41BB2B18"/>
    <w:rsid w:val="41BB7DD9"/>
    <w:rsid w:val="41BE77D0"/>
    <w:rsid w:val="41CA05EB"/>
    <w:rsid w:val="41F57C36"/>
    <w:rsid w:val="41FD1831"/>
    <w:rsid w:val="422C2766"/>
    <w:rsid w:val="42391D6C"/>
    <w:rsid w:val="423925D5"/>
    <w:rsid w:val="42393834"/>
    <w:rsid w:val="423A4157"/>
    <w:rsid w:val="42421150"/>
    <w:rsid w:val="424E6494"/>
    <w:rsid w:val="426820C0"/>
    <w:rsid w:val="426C1302"/>
    <w:rsid w:val="427375F1"/>
    <w:rsid w:val="4276445B"/>
    <w:rsid w:val="427B4217"/>
    <w:rsid w:val="428005CC"/>
    <w:rsid w:val="42946318"/>
    <w:rsid w:val="42A3722D"/>
    <w:rsid w:val="42B14124"/>
    <w:rsid w:val="42BC1174"/>
    <w:rsid w:val="42BF207B"/>
    <w:rsid w:val="42CB56EB"/>
    <w:rsid w:val="42DB2A62"/>
    <w:rsid w:val="42EA1786"/>
    <w:rsid w:val="42F12C7C"/>
    <w:rsid w:val="42F63C10"/>
    <w:rsid w:val="42FD1317"/>
    <w:rsid w:val="42FF3C63"/>
    <w:rsid w:val="430B6FE1"/>
    <w:rsid w:val="43153E4B"/>
    <w:rsid w:val="43177985"/>
    <w:rsid w:val="431A0048"/>
    <w:rsid w:val="431B127C"/>
    <w:rsid w:val="432B6679"/>
    <w:rsid w:val="4330270A"/>
    <w:rsid w:val="435525AB"/>
    <w:rsid w:val="43582A9F"/>
    <w:rsid w:val="435E3515"/>
    <w:rsid w:val="437674CE"/>
    <w:rsid w:val="438F02E6"/>
    <w:rsid w:val="43A17823"/>
    <w:rsid w:val="43A55671"/>
    <w:rsid w:val="43B66D1E"/>
    <w:rsid w:val="43BA5FE3"/>
    <w:rsid w:val="43BB5787"/>
    <w:rsid w:val="43CA7D65"/>
    <w:rsid w:val="43DC3A49"/>
    <w:rsid w:val="440E6EBC"/>
    <w:rsid w:val="44140274"/>
    <w:rsid w:val="4416046D"/>
    <w:rsid w:val="443173BC"/>
    <w:rsid w:val="44407CB4"/>
    <w:rsid w:val="44457BA9"/>
    <w:rsid w:val="444B57D5"/>
    <w:rsid w:val="444D78EC"/>
    <w:rsid w:val="44514168"/>
    <w:rsid w:val="44531A82"/>
    <w:rsid w:val="44540DB5"/>
    <w:rsid w:val="445A7E01"/>
    <w:rsid w:val="447C7D9D"/>
    <w:rsid w:val="448544D6"/>
    <w:rsid w:val="44990B1B"/>
    <w:rsid w:val="44A771C7"/>
    <w:rsid w:val="44C73FE9"/>
    <w:rsid w:val="44F67ABE"/>
    <w:rsid w:val="451E7A54"/>
    <w:rsid w:val="452D6DC5"/>
    <w:rsid w:val="452E51BA"/>
    <w:rsid w:val="45360C12"/>
    <w:rsid w:val="453736DC"/>
    <w:rsid w:val="45445778"/>
    <w:rsid w:val="45465117"/>
    <w:rsid w:val="455B2D94"/>
    <w:rsid w:val="45634737"/>
    <w:rsid w:val="45781686"/>
    <w:rsid w:val="459421E6"/>
    <w:rsid w:val="459C2538"/>
    <w:rsid w:val="45A20398"/>
    <w:rsid w:val="45A703BF"/>
    <w:rsid w:val="45A7261D"/>
    <w:rsid w:val="45D101E1"/>
    <w:rsid w:val="45F07BA9"/>
    <w:rsid w:val="45F52441"/>
    <w:rsid w:val="46137A13"/>
    <w:rsid w:val="46181BCD"/>
    <w:rsid w:val="461D0830"/>
    <w:rsid w:val="461F2840"/>
    <w:rsid w:val="462A17A0"/>
    <w:rsid w:val="4631280C"/>
    <w:rsid w:val="46675BD8"/>
    <w:rsid w:val="466A4A79"/>
    <w:rsid w:val="467A4126"/>
    <w:rsid w:val="468D7353"/>
    <w:rsid w:val="46A377D3"/>
    <w:rsid w:val="46AB3CC2"/>
    <w:rsid w:val="46C83274"/>
    <w:rsid w:val="46CB0966"/>
    <w:rsid w:val="46E058B6"/>
    <w:rsid w:val="46E31C67"/>
    <w:rsid w:val="46E40B01"/>
    <w:rsid w:val="46F159EF"/>
    <w:rsid w:val="46F919BB"/>
    <w:rsid w:val="46FD47A3"/>
    <w:rsid w:val="47094699"/>
    <w:rsid w:val="470D6E13"/>
    <w:rsid w:val="47146709"/>
    <w:rsid w:val="4719582E"/>
    <w:rsid w:val="47456300"/>
    <w:rsid w:val="476479E4"/>
    <w:rsid w:val="4774740D"/>
    <w:rsid w:val="4775613A"/>
    <w:rsid w:val="478B5C0B"/>
    <w:rsid w:val="479D4478"/>
    <w:rsid w:val="47B94610"/>
    <w:rsid w:val="47D0285E"/>
    <w:rsid w:val="47EC59B4"/>
    <w:rsid w:val="47FE1C98"/>
    <w:rsid w:val="480E213B"/>
    <w:rsid w:val="48191128"/>
    <w:rsid w:val="48253532"/>
    <w:rsid w:val="483212F6"/>
    <w:rsid w:val="4836623D"/>
    <w:rsid w:val="484A1FBC"/>
    <w:rsid w:val="484A517B"/>
    <w:rsid w:val="484F4F77"/>
    <w:rsid w:val="485D1948"/>
    <w:rsid w:val="486A20EB"/>
    <w:rsid w:val="4871112A"/>
    <w:rsid w:val="48722F6A"/>
    <w:rsid w:val="4890556B"/>
    <w:rsid w:val="48955D09"/>
    <w:rsid w:val="48986FC5"/>
    <w:rsid w:val="48CD7EB9"/>
    <w:rsid w:val="48DF53E9"/>
    <w:rsid w:val="48FA2966"/>
    <w:rsid w:val="493A5060"/>
    <w:rsid w:val="49407402"/>
    <w:rsid w:val="49771179"/>
    <w:rsid w:val="497767B0"/>
    <w:rsid w:val="497C1E2D"/>
    <w:rsid w:val="49930A82"/>
    <w:rsid w:val="49967063"/>
    <w:rsid w:val="49A06537"/>
    <w:rsid w:val="49A161FF"/>
    <w:rsid w:val="49B955E3"/>
    <w:rsid w:val="49BD11C6"/>
    <w:rsid w:val="49CE6938"/>
    <w:rsid w:val="49D16CFE"/>
    <w:rsid w:val="49D5464C"/>
    <w:rsid w:val="49D9620B"/>
    <w:rsid w:val="49DD22E2"/>
    <w:rsid w:val="49E231B4"/>
    <w:rsid w:val="49EC5F6F"/>
    <w:rsid w:val="49FC4B59"/>
    <w:rsid w:val="49FF70F3"/>
    <w:rsid w:val="4A0C5505"/>
    <w:rsid w:val="4A0C6CD1"/>
    <w:rsid w:val="4A200DDF"/>
    <w:rsid w:val="4A3D4856"/>
    <w:rsid w:val="4A9A31C6"/>
    <w:rsid w:val="4AD26BA2"/>
    <w:rsid w:val="4AD46648"/>
    <w:rsid w:val="4ADC38AC"/>
    <w:rsid w:val="4ADE2A69"/>
    <w:rsid w:val="4AE322CC"/>
    <w:rsid w:val="4AE66F1C"/>
    <w:rsid w:val="4AEF5369"/>
    <w:rsid w:val="4B0C5F41"/>
    <w:rsid w:val="4B315BD1"/>
    <w:rsid w:val="4B325E09"/>
    <w:rsid w:val="4B3309A0"/>
    <w:rsid w:val="4B3407C5"/>
    <w:rsid w:val="4B5B06A3"/>
    <w:rsid w:val="4B630968"/>
    <w:rsid w:val="4B72473C"/>
    <w:rsid w:val="4BD53352"/>
    <w:rsid w:val="4BD55583"/>
    <w:rsid w:val="4BE535E7"/>
    <w:rsid w:val="4BE62E69"/>
    <w:rsid w:val="4C2018D3"/>
    <w:rsid w:val="4C2931ED"/>
    <w:rsid w:val="4C2D7C86"/>
    <w:rsid w:val="4C4C6DD5"/>
    <w:rsid w:val="4C7A72F2"/>
    <w:rsid w:val="4C7F12BF"/>
    <w:rsid w:val="4C8F5D8B"/>
    <w:rsid w:val="4C9F20EA"/>
    <w:rsid w:val="4CA94D08"/>
    <w:rsid w:val="4CCB5FA2"/>
    <w:rsid w:val="4CD15B3B"/>
    <w:rsid w:val="4CD834E8"/>
    <w:rsid w:val="4CDC2A8A"/>
    <w:rsid w:val="4CFEAB97"/>
    <w:rsid w:val="4D132095"/>
    <w:rsid w:val="4D193866"/>
    <w:rsid w:val="4D1F1BC7"/>
    <w:rsid w:val="4D2B7B1A"/>
    <w:rsid w:val="4D3E3723"/>
    <w:rsid w:val="4D3F2D74"/>
    <w:rsid w:val="4D41273F"/>
    <w:rsid w:val="4D415880"/>
    <w:rsid w:val="4D4F0292"/>
    <w:rsid w:val="4D545F20"/>
    <w:rsid w:val="4D634D6A"/>
    <w:rsid w:val="4D665C9B"/>
    <w:rsid w:val="4D8E7820"/>
    <w:rsid w:val="4D9E4D59"/>
    <w:rsid w:val="4DA0532D"/>
    <w:rsid w:val="4DA53310"/>
    <w:rsid w:val="4DA76625"/>
    <w:rsid w:val="4DBB5312"/>
    <w:rsid w:val="4DC00D85"/>
    <w:rsid w:val="4DCC2358"/>
    <w:rsid w:val="4DDF73D3"/>
    <w:rsid w:val="4E0429C6"/>
    <w:rsid w:val="4E31085E"/>
    <w:rsid w:val="4E475EAC"/>
    <w:rsid w:val="4E5E09FC"/>
    <w:rsid w:val="4EAF0434"/>
    <w:rsid w:val="4EB6616B"/>
    <w:rsid w:val="4EC42E5A"/>
    <w:rsid w:val="4ECE50E5"/>
    <w:rsid w:val="4EDB27FC"/>
    <w:rsid w:val="4EEE12EE"/>
    <w:rsid w:val="4F002F0F"/>
    <w:rsid w:val="4F0376CF"/>
    <w:rsid w:val="4F1C1CAD"/>
    <w:rsid w:val="4F3C0EEF"/>
    <w:rsid w:val="4F4A6501"/>
    <w:rsid w:val="4F5A07CB"/>
    <w:rsid w:val="4F6C10F8"/>
    <w:rsid w:val="4F765002"/>
    <w:rsid w:val="4F767067"/>
    <w:rsid w:val="4F7C375F"/>
    <w:rsid w:val="4F933494"/>
    <w:rsid w:val="4F992A35"/>
    <w:rsid w:val="4FA2422A"/>
    <w:rsid w:val="4FB00ED1"/>
    <w:rsid w:val="4FC71212"/>
    <w:rsid w:val="4FEB6B66"/>
    <w:rsid w:val="4FEDB192"/>
    <w:rsid w:val="501377EB"/>
    <w:rsid w:val="50177E9B"/>
    <w:rsid w:val="501B1019"/>
    <w:rsid w:val="503226C7"/>
    <w:rsid w:val="505C22BB"/>
    <w:rsid w:val="50782AA7"/>
    <w:rsid w:val="509F3FCE"/>
    <w:rsid w:val="50A57E1E"/>
    <w:rsid w:val="50BB57BD"/>
    <w:rsid w:val="50C52890"/>
    <w:rsid w:val="50D27B3B"/>
    <w:rsid w:val="50D80204"/>
    <w:rsid w:val="51174BFC"/>
    <w:rsid w:val="51236D4A"/>
    <w:rsid w:val="51335B12"/>
    <w:rsid w:val="514D0DD3"/>
    <w:rsid w:val="51533398"/>
    <w:rsid w:val="51642CC8"/>
    <w:rsid w:val="51721DE4"/>
    <w:rsid w:val="517E771E"/>
    <w:rsid w:val="51800637"/>
    <w:rsid w:val="51940AAE"/>
    <w:rsid w:val="51A03D7C"/>
    <w:rsid w:val="51A64E5E"/>
    <w:rsid w:val="51CD43D7"/>
    <w:rsid w:val="520164C3"/>
    <w:rsid w:val="520455B8"/>
    <w:rsid w:val="523D116B"/>
    <w:rsid w:val="52521A8E"/>
    <w:rsid w:val="525865D6"/>
    <w:rsid w:val="52594368"/>
    <w:rsid w:val="525B05A6"/>
    <w:rsid w:val="526E6AB9"/>
    <w:rsid w:val="527024DC"/>
    <w:rsid w:val="52711B5C"/>
    <w:rsid w:val="52726400"/>
    <w:rsid w:val="527C3E78"/>
    <w:rsid w:val="52945B9F"/>
    <w:rsid w:val="52DE6426"/>
    <w:rsid w:val="52DF1CD3"/>
    <w:rsid w:val="52F77E17"/>
    <w:rsid w:val="530D10B9"/>
    <w:rsid w:val="53171AE5"/>
    <w:rsid w:val="532320DD"/>
    <w:rsid w:val="532916D5"/>
    <w:rsid w:val="53363582"/>
    <w:rsid w:val="53384917"/>
    <w:rsid w:val="53553D51"/>
    <w:rsid w:val="53826DD1"/>
    <w:rsid w:val="53944891"/>
    <w:rsid w:val="53BB4A3D"/>
    <w:rsid w:val="53C61799"/>
    <w:rsid w:val="53C61EEE"/>
    <w:rsid w:val="53E157A3"/>
    <w:rsid w:val="54030016"/>
    <w:rsid w:val="541C2EEA"/>
    <w:rsid w:val="542C5A8F"/>
    <w:rsid w:val="54324B2C"/>
    <w:rsid w:val="544523CC"/>
    <w:rsid w:val="5449422A"/>
    <w:rsid w:val="54587A68"/>
    <w:rsid w:val="545B52E4"/>
    <w:rsid w:val="546F7392"/>
    <w:rsid w:val="54715A0C"/>
    <w:rsid w:val="54766D7E"/>
    <w:rsid w:val="54805928"/>
    <w:rsid w:val="54885E44"/>
    <w:rsid w:val="54957D6D"/>
    <w:rsid w:val="54AF16A7"/>
    <w:rsid w:val="54BC5EE1"/>
    <w:rsid w:val="54DB31D7"/>
    <w:rsid w:val="54E33B89"/>
    <w:rsid w:val="54EB5C76"/>
    <w:rsid w:val="54EC7B85"/>
    <w:rsid w:val="54F70632"/>
    <w:rsid w:val="550615BA"/>
    <w:rsid w:val="553470C4"/>
    <w:rsid w:val="55366B6E"/>
    <w:rsid w:val="554467C6"/>
    <w:rsid w:val="55455773"/>
    <w:rsid w:val="55553710"/>
    <w:rsid w:val="55583150"/>
    <w:rsid w:val="55586820"/>
    <w:rsid w:val="555F7455"/>
    <w:rsid w:val="5563328B"/>
    <w:rsid w:val="558B693E"/>
    <w:rsid w:val="559E6CDF"/>
    <w:rsid w:val="55A417E8"/>
    <w:rsid w:val="55A43508"/>
    <w:rsid w:val="55AD7910"/>
    <w:rsid w:val="55AE2CD8"/>
    <w:rsid w:val="55AF3687"/>
    <w:rsid w:val="55B476CE"/>
    <w:rsid w:val="55C31EB2"/>
    <w:rsid w:val="55C832D3"/>
    <w:rsid w:val="55C975ED"/>
    <w:rsid w:val="55DB2057"/>
    <w:rsid w:val="55DC2F6E"/>
    <w:rsid w:val="55E2653B"/>
    <w:rsid w:val="55E874ED"/>
    <w:rsid w:val="55F64092"/>
    <w:rsid w:val="5602194C"/>
    <w:rsid w:val="56132165"/>
    <w:rsid w:val="562A4256"/>
    <w:rsid w:val="564A402D"/>
    <w:rsid w:val="5678019F"/>
    <w:rsid w:val="5681265D"/>
    <w:rsid w:val="56874C3E"/>
    <w:rsid w:val="56B83F91"/>
    <w:rsid w:val="56CD591A"/>
    <w:rsid w:val="56D51A59"/>
    <w:rsid w:val="56D5693C"/>
    <w:rsid w:val="56D917EF"/>
    <w:rsid w:val="56FA0841"/>
    <w:rsid w:val="57081CCA"/>
    <w:rsid w:val="5709237E"/>
    <w:rsid w:val="57143140"/>
    <w:rsid w:val="57385AF6"/>
    <w:rsid w:val="57453490"/>
    <w:rsid w:val="574E2ABF"/>
    <w:rsid w:val="575134C4"/>
    <w:rsid w:val="57902F2F"/>
    <w:rsid w:val="57B8644E"/>
    <w:rsid w:val="57D1229F"/>
    <w:rsid w:val="57EE4B6F"/>
    <w:rsid w:val="57F4654C"/>
    <w:rsid w:val="57FFE894"/>
    <w:rsid w:val="580629DC"/>
    <w:rsid w:val="581804DF"/>
    <w:rsid w:val="5835051E"/>
    <w:rsid w:val="583A795C"/>
    <w:rsid w:val="583E0374"/>
    <w:rsid w:val="58493AFB"/>
    <w:rsid w:val="587C50A4"/>
    <w:rsid w:val="58874588"/>
    <w:rsid w:val="588B106E"/>
    <w:rsid w:val="58915C5F"/>
    <w:rsid w:val="58983780"/>
    <w:rsid w:val="58B535CF"/>
    <w:rsid w:val="58BE20BA"/>
    <w:rsid w:val="58CB10B1"/>
    <w:rsid w:val="58DA498F"/>
    <w:rsid w:val="58E50518"/>
    <w:rsid w:val="59170C11"/>
    <w:rsid w:val="591B34C2"/>
    <w:rsid w:val="592C1080"/>
    <w:rsid w:val="592E6870"/>
    <w:rsid w:val="5939245A"/>
    <w:rsid w:val="59397FCA"/>
    <w:rsid w:val="594F5548"/>
    <w:rsid w:val="59540C67"/>
    <w:rsid w:val="597826C5"/>
    <w:rsid w:val="59B2539A"/>
    <w:rsid w:val="59C218B9"/>
    <w:rsid w:val="59C273AC"/>
    <w:rsid w:val="59C37B2C"/>
    <w:rsid w:val="59C50DD7"/>
    <w:rsid w:val="59DC032B"/>
    <w:rsid w:val="59DD2CA6"/>
    <w:rsid w:val="59F17F77"/>
    <w:rsid w:val="5A263EE6"/>
    <w:rsid w:val="5A2652DE"/>
    <w:rsid w:val="5A383797"/>
    <w:rsid w:val="5A58002E"/>
    <w:rsid w:val="5A8A484D"/>
    <w:rsid w:val="5ABA3DCA"/>
    <w:rsid w:val="5ACC3BB6"/>
    <w:rsid w:val="5AD5433C"/>
    <w:rsid w:val="5ADA7B33"/>
    <w:rsid w:val="5AED5D4B"/>
    <w:rsid w:val="5AEF376B"/>
    <w:rsid w:val="5AF44FA8"/>
    <w:rsid w:val="5B0C6D84"/>
    <w:rsid w:val="5B0D1B44"/>
    <w:rsid w:val="5B172637"/>
    <w:rsid w:val="5B1E0B89"/>
    <w:rsid w:val="5B25128D"/>
    <w:rsid w:val="5B3F0F96"/>
    <w:rsid w:val="5B450222"/>
    <w:rsid w:val="5B4A4315"/>
    <w:rsid w:val="5B7A3768"/>
    <w:rsid w:val="5B7B37A0"/>
    <w:rsid w:val="5B7F4A24"/>
    <w:rsid w:val="5BB3081E"/>
    <w:rsid w:val="5BC942F1"/>
    <w:rsid w:val="5BCF2AE5"/>
    <w:rsid w:val="5BF618DC"/>
    <w:rsid w:val="5C2A28A9"/>
    <w:rsid w:val="5C3E2081"/>
    <w:rsid w:val="5C4634AA"/>
    <w:rsid w:val="5C46589B"/>
    <w:rsid w:val="5C513D30"/>
    <w:rsid w:val="5C515405"/>
    <w:rsid w:val="5C5850CD"/>
    <w:rsid w:val="5C6F77D7"/>
    <w:rsid w:val="5C7925EB"/>
    <w:rsid w:val="5C8065EF"/>
    <w:rsid w:val="5C853EB2"/>
    <w:rsid w:val="5CA26E57"/>
    <w:rsid w:val="5CA6628A"/>
    <w:rsid w:val="5CBE763E"/>
    <w:rsid w:val="5CCF48DD"/>
    <w:rsid w:val="5CD87A1B"/>
    <w:rsid w:val="5CDA0066"/>
    <w:rsid w:val="5CDB77D4"/>
    <w:rsid w:val="5CE240E8"/>
    <w:rsid w:val="5CF51130"/>
    <w:rsid w:val="5D0142C3"/>
    <w:rsid w:val="5D06697D"/>
    <w:rsid w:val="5D07613D"/>
    <w:rsid w:val="5D1E3E07"/>
    <w:rsid w:val="5D1F2F61"/>
    <w:rsid w:val="5D27535D"/>
    <w:rsid w:val="5D3708EE"/>
    <w:rsid w:val="5D4424A4"/>
    <w:rsid w:val="5D5A29C3"/>
    <w:rsid w:val="5D5B5F49"/>
    <w:rsid w:val="5D67015B"/>
    <w:rsid w:val="5D6F7A0F"/>
    <w:rsid w:val="5D7C514F"/>
    <w:rsid w:val="5D7F1712"/>
    <w:rsid w:val="5D80199A"/>
    <w:rsid w:val="5D927FA0"/>
    <w:rsid w:val="5D933F7F"/>
    <w:rsid w:val="5DAC59B9"/>
    <w:rsid w:val="5DBD4DB7"/>
    <w:rsid w:val="5DC433C7"/>
    <w:rsid w:val="5DD05B2E"/>
    <w:rsid w:val="5DEA3E25"/>
    <w:rsid w:val="5DF97801"/>
    <w:rsid w:val="5E100BF7"/>
    <w:rsid w:val="5E160818"/>
    <w:rsid w:val="5E280626"/>
    <w:rsid w:val="5E3A4719"/>
    <w:rsid w:val="5E63359B"/>
    <w:rsid w:val="5E680DA6"/>
    <w:rsid w:val="5E7EF743"/>
    <w:rsid w:val="5E85514B"/>
    <w:rsid w:val="5E9822D3"/>
    <w:rsid w:val="5EA14CB8"/>
    <w:rsid w:val="5EB05D07"/>
    <w:rsid w:val="5EB33A22"/>
    <w:rsid w:val="5EBC734C"/>
    <w:rsid w:val="5EBFF9D9"/>
    <w:rsid w:val="5EC141B8"/>
    <w:rsid w:val="5ED25F03"/>
    <w:rsid w:val="5EDF1BBA"/>
    <w:rsid w:val="5EE412EC"/>
    <w:rsid w:val="5EE71369"/>
    <w:rsid w:val="5EFB6A1A"/>
    <w:rsid w:val="5F03202F"/>
    <w:rsid w:val="5F100189"/>
    <w:rsid w:val="5F16702E"/>
    <w:rsid w:val="5F2555BD"/>
    <w:rsid w:val="5F332823"/>
    <w:rsid w:val="5F4E0AB7"/>
    <w:rsid w:val="5F545D0C"/>
    <w:rsid w:val="5F586FE8"/>
    <w:rsid w:val="5F683CCB"/>
    <w:rsid w:val="5F69647F"/>
    <w:rsid w:val="5F6B4CBA"/>
    <w:rsid w:val="5F7A4BAE"/>
    <w:rsid w:val="5F865ECD"/>
    <w:rsid w:val="5F923D57"/>
    <w:rsid w:val="5F964730"/>
    <w:rsid w:val="5FAD31E0"/>
    <w:rsid w:val="5FC96645"/>
    <w:rsid w:val="5FCE7A1C"/>
    <w:rsid w:val="5FF16A40"/>
    <w:rsid w:val="6022032C"/>
    <w:rsid w:val="60425F30"/>
    <w:rsid w:val="605F372B"/>
    <w:rsid w:val="60690A4E"/>
    <w:rsid w:val="60B5338B"/>
    <w:rsid w:val="60B83021"/>
    <w:rsid w:val="60B94777"/>
    <w:rsid w:val="60C80C5C"/>
    <w:rsid w:val="60CC23B3"/>
    <w:rsid w:val="60DD1F5E"/>
    <w:rsid w:val="60E35190"/>
    <w:rsid w:val="60F757DC"/>
    <w:rsid w:val="61027222"/>
    <w:rsid w:val="611141B2"/>
    <w:rsid w:val="611516A9"/>
    <w:rsid w:val="611B3A9D"/>
    <w:rsid w:val="612832E5"/>
    <w:rsid w:val="612952D1"/>
    <w:rsid w:val="6140011E"/>
    <w:rsid w:val="615022BA"/>
    <w:rsid w:val="616403B2"/>
    <w:rsid w:val="61950BBC"/>
    <w:rsid w:val="61996D95"/>
    <w:rsid w:val="619F13F7"/>
    <w:rsid w:val="61CA2F5F"/>
    <w:rsid w:val="61CE5B6C"/>
    <w:rsid w:val="61E60DA7"/>
    <w:rsid w:val="620663BE"/>
    <w:rsid w:val="620A1E37"/>
    <w:rsid w:val="62115B27"/>
    <w:rsid w:val="622443D2"/>
    <w:rsid w:val="62311D12"/>
    <w:rsid w:val="62397BE2"/>
    <w:rsid w:val="623E6C6D"/>
    <w:rsid w:val="62413FEA"/>
    <w:rsid w:val="624572AA"/>
    <w:rsid w:val="624B4476"/>
    <w:rsid w:val="62681B9B"/>
    <w:rsid w:val="627003FD"/>
    <w:rsid w:val="62800FC5"/>
    <w:rsid w:val="62A56F72"/>
    <w:rsid w:val="62A67384"/>
    <w:rsid w:val="62AA4383"/>
    <w:rsid w:val="62C77F8A"/>
    <w:rsid w:val="62D11AE9"/>
    <w:rsid w:val="62D32EC1"/>
    <w:rsid w:val="62D56D84"/>
    <w:rsid w:val="62D83966"/>
    <w:rsid w:val="62DF529B"/>
    <w:rsid w:val="62E65681"/>
    <w:rsid w:val="62EF3A94"/>
    <w:rsid w:val="62FA5B71"/>
    <w:rsid w:val="63245261"/>
    <w:rsid w:val="633256FE"/>
    <w:rsid w:val="63343897"/>
    <w:rsid w:val="635824F2"/>
    <w:rsid w:val="637C089E"/>
    <w:rsid w:val="63924F4B"/>
    <w:rsid w:val="63A52D52"/>
    <w:rsid w:val="63B12EA2"/>
    <w:rsid w:val="63C93267"/>
    <w:rsid w:val="63DA06BC"/>
    <w:rsid w:val="63E8614F"/>
    <w:rsid w:val="63F57296"/>
    <w:rsid w:val="63F710F8"/>
    <w:rsid w:val="640D56B2"/>
    <w:rsid w:val="64127474"/>
    <w:rsid w:val="64203500"/>
    <w:rsid w:val="643F4305"/>
    <w:rsid w:val="64571E4C"/>
    <w:rsid w:val="64681B7B"/>
    <w:rsid w:val="64705613"/>
    <w:rsid w:val="64AE502C"/>
    <w:rsid w:val="64B20A3E"/>
    <w:rsid w:val="64EF0C42"/>
    <w:rsid w:val="64EF179D"/>
    <w:rsid w:val="64F21AE4"/>
    <w:rsid w:val="650320A6"/>
    <w:rsid w:val="652F4715"/>
    <w:rsid w:val="65331BD4"/>
    <w:rsid w:val="654D3E5B"/>
    <w:rsid w:val="655D1A12"/>
    <w:rsid w:val="655D602A"/>
    <w:rsid w:val="65802A2E"/>
    <w:rsid w:val="659C21A8"/>
    <w:rsid w:val="65A90584"/>
    <w:rsid w:val="65FA20C2"/>
    <w:rsid w:val="6603604A"/>
    <w:rsid w:val="660E3AF5"/>
    <w:rsid w:val="662375E6"/>
    <w:rsid w:val="662B21B3"/>
    <w:rsid w:val="662B585B"/>
    <w:rsid w:val="663859C3"/>
    <w:rsid w:val="663D0D41"/>
    <w:rsid w:val="665036EA"/>
    <w:rsid w:val="666060B5"/>
    <w:rsid w:val="667410B0"/>
    <w:rsid w:val="66763665"/>
    <w:rsid w:val="667B688E"/>
    <w:rsid w:val="668A1F8A"/>
    <w:rsid w:val="668B31AC"/>
    <w:rsid w:val="669F2DA3"/>
    <w:rsid w:val="66A870A3"/>
    <w:rsid w:val="66BE3C17"/>
    <w:rsid w:val="66DC07D6"/>
    <w:rsid w:val="66EB3DC8"/>
    <w:rsid w:val="671F58F4"/>
    <w:rsid w:val="67293AD2"/>
    <w:rsid w:val="67337C19"/>
    <w:rsid w:val="6739604A"/>
    <w:rsid w:val="673D7641"/>
    <w:rsid w:val="675D0918"/>
    <w:rsid w:val="675D1DBB"/>
    <w:rsid w:val="676D5315"/>
    <w:rsid w:val="678E6A20"/>
    <w:rsid w:val="6791323A"/>
    <w:rsid w:val="67B125DA"/>
    <w:rsid w:val="67B8011E"/>
    <w:rsid w:val="67BD7FBB"/>
    <w:rsid w:val="67C123A4"/>
    <w:rsid w:val="67C54D66"/>
    <w:rsid w:val="67DC6CB9"/>
    <w:rsid w:val="67FE0393"/>
    <w:rsid w:val="68017CF4"/>
    <w:rsid w:val="68121BDD"/>
    <w:rsid w:val="68392068"/>
    <w:rsid w:val="686A75EA"/>
    <w:rsid w:val="6877255B"/>
    <w:rsid w:val="689634CE"/>
    <w:rsid w:val="68991DFA"/>
    <w:rsid w:val="68BE1CE7"/>
    <w:rsid w:val="68D90CB1"/>
    <w:rsid w:val="68E1354D"/>
    <w:rsid w:val="68EF7EFA"/>
    <w:rsid w:val="69037FD9"/>
    <w:rsid w:val="69066FFD"/>
    <w:rsid w:val="690E4F71"/>
    <w:rsid w:val="69135766"/>
    <w:rsid w:val="69151D3F"/>
    <w:rsid w:val="6916794C"/>
    <w:rsid w:val="691F6C4B"/>
    <w:rsid w:val="692E1336"/>
    <w:rsid w:val="69345426"/>
    <w:rsid w:val="694C6E62"/>
    <w:rsid w:val="694C7D6D"/>
    <w:rsid w:val="694E6222"/>
    <w:rsid w:val="695646E1"/>
    <w:rsid w:val="695741A5"/>
    <w:rsid w:val="69796826"/>
    <w:rsid w:val="6986327C"/>
    <w:rsid w:val="699A0615"/>
    <w:rsid w:val="699E176B"/>
    <w:rsid w:val="69B0580D"/>
    <w:rsid w:val="69B84B47"/>
    <w:rsid w:val="69F62B54"/>
    <w:rsid w:val="6A070119"/>
    <w:rsid w:val="6A0C6980"/>
    <w:rsid w:val="6A1222C5"/>
    <w:rsid w:val="6A1F238E"/>
    <w:rsid w:val="6A1F63BC"/>
    <w:rsid w:val="6A344C00"/>
    <w:rsid w:val="6A3A661C"/>
    <w:rsid w:val="6A3B30E5"/>
    <w:rsid w:val="6A3C6CA5"/>
    <w:rsid w:val="6A4944F7"/>
    <w:rsid w:val="6A66049B"/>
    <w:rsid w:val="6A68491C"/>
    <w:rsid w:val="6A782D07"/>
    <w:rsid w:val="6A790EE5"/>
    <w:rsid w:val="6A7D4A3A"/>
    <w:rsid w:val="6A8743F3"/>
    <w:rsid w:val="6AAA5BEE"/>
    <w:rsid w:val="6AAF248B"/>
    <w:rsid w:val="6AD20196"/>
    <w:rsid w:val="6AD60E95"/>
    <w:rsid w:val="6ADE655F"/>
    <w:rsid w:val="6AE57688"/>
    <w:rsid w:val="6AE65033"/>
    <w:rsid w:val="6AEB7FE0"/>
    <w:rsid w:val="6AEC236B"/>
    <w:rsid w:val="6B0A0F82"/>
    <w:rsid w:val="6B0C0877"/>
    <w:rsid w:val="6B0E3934"/>
    <w:rsid w:val="6B0F1BCA"/>
    <w:rsid w:val="6B167245"/>
    <w:rsid w:val="6B332E46"/>
    <w:rsid w:val="6B33677F"/>
    <w:rsid w:val="6B38022A"/>
    <w:rsid w:val="6B496779"/>
    <w:rsid w:val="6B770ED4"/>
    <w:rsid w:val="6B82581E"/>
    <w:rsid w:val="6B9B47F7"/>
    <w:rsid w:val="6B9C391C"/>
    <w:rsid w:val="6B9E086E"/>
    <w:rsid w:val="6B9F5034"/>
    <w:rsid w:val="6BA332A4"/>
    <w:rsid w:val="6BC01EBA"/>
    <w:rsid w:val="6BCD31A9"/>
    <w:rsid w:val="6BD9428F"/>
    <w:rsid w:val="6BF12470"/>
    <w:rsid w:val="6BF4113C"/>
    <w:rsid w:val="6BFF04EA"/>
    <w:rsid w:val="6C0E085A"/>
    <w:rsid w:val="6C13028B"/>
    <w:rsid w:val="6C3243CE"/>
    <w:rsid w:val="6C333784"/>
    <w:rsid w:val="6C3E6192"/>
    <w:rsid w:val="6C591A49"/>
    <w:rsid w:val="6C597DC7"/>
    <w:rsid w:val="6C770163"/>
    <w:rsid w:val="6C893C40"/>
    <w:rsid w:val="6CA527D4"/>
    <w:rsid w:val="6CA66159"/>
    <w:rsid w:val="6CB02E82"/>
    <w:rsid w:val="6CBD17B6"/>
    <w:rsid w:val="6CBE7C3C"/>
    <w:rsid w:val="6CC46F9B"/>
    <w:rsid w:val="6CD47737"/>
    <w:rsid w:val="6CD61121"/>
    <w:rsid w:val="6CDA3495"/>
    <w:rsid w:val="6CE9101C"/>
    <w:rsid w:val="6CEE72D4"/>
    <w:rsid w:val="6D2B3554"/>
    <w:rsid w:val="6D2D610F"/>
    <w:rsid w:val="6D2F2571"/>
    <w:rsid w:val="6D320513"/>
    <w:rsid w:val="6D3F3B90"/>
    <w:rsid w:val="6D69594D"/>
    <w:rsid w:val="6D696921"/>
    <w:rsid w:val="6D6A4DCB"/>
    <w:rsid w:val="6D6D4C33"/>
    <w:rsid w:val="6D73667F"/>
    <w:rsid w:val="6D86741D"/>
    <w:rsid w:val="6D8744EB"/>
    <w:rsid w:val="6D8D38D3"/>
    <w:rsid w:val="6D9B1DA6"/>
    <w:rsid w:val="6DDB1B51"/>
    <w:rsid w:val="6DE13C05"/>
    <w:rsid w:val="6DE86C99"/>
    <w:rsid w:val="6DF34C42"/>
    <w:rsid w:val="6E237F57"/>
    <w:rsid w:val="6E303779"/>
    <w:rsid w:val="6E3E2BB9"/>
    <w:rsid w:val="6E4351B0"/>
    <w:rsid w:val="6E4B0771"/>
    <w:rsid w:val="6E5325ED"/>
    <w:rsid w:val="6E54090D"/>
    <w:rsid w:val="6E554CD5"/>
    <w:rsid w:val="6E6A4916"/>
    <w:rsid w:val="6E751E49"/>
    <w:rsid w:val="6E7562A0"/>
    <w:rsid w:val="6E7EB49F"/>
    <w:rsid w:val="6EA17F64"/>
    <w:rsid w:val="6EB8216B"/>
    <w:rsid w:val="6EC15A61"/>
    <w:rsid w:val="6ECF3F90"/>
    <w:rsid w:val="6ECF42AF"/>
    <w:rsid w:val="6F1C1C1F"/>
    <w:rsid w:val="6F336E9D"/>
    <w:rsid w:val="6F445955"/>
    <w:rsid w:val="6F4A141A"/>
    <w:rsid w:val="6F5F168C"/>
    <w:rsid w:val="6F606477"/>
    <w:rsid w:val="6F6A24B7"/>
    <w:rsid w:val="6F75FC3D"/>
    <w:rsid w:val="6F76109C"/>
    <w:rsid w:val="6F873000"/>
    <w:rsid w:val="6F8D2234"/>
    <w:rsid w:val="6F9612CC"/>
    <w:rsid w:val="6F9771A1"/>
    <w:rsid w:val="6F983915"/>
    <w:rsid w:val="6FA0552A"/>
    <w:rsid w:val="6FBA7236"/>
    <w:rsid w:val="6FBE56D3"/>
    <w:rsid w:val="6FBF3027"/>
    <w:rsid w:val="6FC82039"/>
    <w:rsid w:val="6FDB0320"/>
    <w:rsid w:val="6FDB1FD4"/>
    <w:rsid w:val="6FEC3CCF"/>
    <w:rsid w:val="6FF67EE2"/>
    <w:rsid w:val="701C08F6"/>
    <w:rsid w:val="702A2D2E"/>
    <w:rsid w:val="70346FC6"/>
    <w:rsid w:val="705B1651"/>
    <w:rsid w:val="706610D5"/>
    <w:rsid w:val="7075479A"/>
    <w:rsid w:val="70854911"/>
    <w:rsid w:val="708E66D7"/>
    <w:rsid w:val="7091466D"/>
    <w:rsid w:val="709A3BB1"/>
    <w:rsid w:val="709D06B8"/>
    <w:rsid w:val="709D331E"/>
    <w:rsid w:val="70A23F82"/>
    <w:rsid w:val="70BD405B"/>
    <w:rsid w:val="70C321B2"/>
    <w:rsid w:val="70E45341"/>
    <w:rsid w:val="70E83261"/>
    <w:rsid w:val="70F31743"/>
    <w:rsid w:val="70F73C20"/>
    <w:rsid w:val="70FA5CF2"/>
    <w:rsid w:val="7109588E"/>
    <w:rsid w:val="712414BC"/>
    <w:rsid w:val="71293B1D"/>
    <w:rsid w:val="71384DB4"/>
    <w:rsid w:val="71830263"/>
    <w:rsid w:val="718834AC"/>
    <w:rsid w:val="71890FBB"/>
    <w:rsid w:val="718C5071"/>
    <w:rsid w:val="719E371E"/>
    <w:rsid w:val="71A15D17"/>
    <w:rsid w:val="71A779E8"/>
    <w:rsid w:val="71BB2783"/>
    <w:rsid w:val="71F354F0"/>
    <w:rsid w:val="71F40E63"/>
    <w:rsid w:val="71F954E1"/>
    <w:rsid w:val="72016B89"/>
    <w:rsid w:val="72041E69"/>
    <w:rsid w:val="72283E8D"/>
    <w:rsid w:val="724F1886"/>
    <w:rsid w:val="725C482F"/>
    <w:rsid w:val="725E6771"/>
    <w:rsid w:val="72625111"/>
    <w:rsid w:val="726423DD"/>
    <w:rsid w:val="72750566"/>
    <w:rsid w:val="72757320"/>
    <w:rsid w:val="727E90A8"/>
    <w:rsid w:val="72817E96"/>
    <w:rsid w:val="728565B7"/>
    <w:rsid w:val="728F7777"/>
    <w:rsid w:val="72984B19"/>
    <w:rsid w:val="729B03EC"/>
    <w:rsid w:val="72B66671"/>
    <w:rsid w:val="72D40690"/>
    <w:rsid w:val="72E63731"/>
    <w:rsid w:val="72EC05A1"/>
    <w:rsid w:val="73101482"/>
    <w:rsid w:val="735E64CE"/>
    <w:rsid w:val="736D17FD"/>
    <w:rsid w:val="7370721A"/>
    <w:rsid w:val="738A42F0"/>
    <w:rsid w:val="73B22402"/>
    <w:rsid w:val="73B30E8D"/>
    <w:rsid w:val="73B32422"/>
    <w:rsid w:val="73C26616"/>
    <w:rsid w:val="73CD71DE"/>
    <w:rsid w:val="73D66695"/>
    <w:rsid w:val="73D95BDD"/>
    <w:rsid w:val="73DD7D97"/>
    <w:rsid w:val="73E32C2E"/>
    <w:rsid w:val="73E557C8"/>
    <w:rsid w:val="73F213DE"/>
    <w:rsid w:val="73FC7557"/>
    <w:rsid w:val="74060899"/>
    <w:rsid w:val="740648E9"/>
    <w:rsid w:val="740E3D1A"/>
    <w:rsid w:val="74127EB4"/>
    <w:rsid w:val="74130B46"/>
    <w:rsid w:val="741D79CF"/>
    <w:rsid w:val="74236E0E"/>
    <w:rsid w:val="74260190"/>
    <w:rsid w:val="74354FEF"/>
    <w:rsid w:val="744D3038"/>
    <w:rsid w:val="744E3915"/>
    <w:rsid w:val="7460290E"/>
    <w:rsid w:val="746444AA"/>
    <w:rsid w:val="746C11A8"/>
    <w:rsid w:val="747A7529"/>
    <w:rsid w:val="74906A4A"/>
    <w:rsid w:val="749A313A"/>
    <w:rsid w:val="74B4548A"/>
    <w:rsid w:val="74D34712"/>
    <w:rsid w:val="74D55F31"/>
    <w:rsid w:val="74DE3D8F"/>
    <w:rsid w:val="74E85248"/>
    <w:rsid w:val="74EC3EBA"/>
    <w:rsid w:val="74EE7FC7"/>
    <w:rsid w:val="75003FD1"/>
    <w:rsid w:val="750521E6"/>
    <w:rsid w:val="750668E9"/>
    <w:rsid w:val="7508655C"/>
    <w:rsid w:val="7511562E"/>
    <w:rsid w:val="752718FC"/>
    <w:rsid w:val="752960C0"/>
    <w:rsid w:val="753221BC"/>
    <w:rsid w:val="75354403"/>
    <w:rsid w:val="753B3485"/>
    <w:rsid w:val="755629AA"/>
    <w:rsid w:val="75675F30"/>
    <w:rsid w:val="75702133"/>
    <w:rsid w:val="75773DCD"/>
    <w:rsid w:val="7581670E"/>
    <w:rsid w:val="758816D2"/>
    <w:rsid w:val="75986FDE"/>
    <w:rsid w:val="75D67792"/>
    <w:rsid w:val="75F33F3B"/>
    <w:rsid w:val="763075C6"/>
    <w:rsid w:val="76310642"/>
    <w:rsid w:val="764121AE"/>
    <w:rsid w:val="7677772B"/>
    <w:rsid w:val="76810192"/>
    <w:rsid w:val="768B276E"/>
    <w:rsid w:val="76931A3E"/>
    <w:rsid w:val="769F5804"/>
    <w:rsid w:val="76B13D52"/>
    <w:rsid w:val="76E52E38"/>
    <w:rsid w:val="76F34CE3"/>
    <w:rsid w:val="77113453"/>
    <w:rsid w:val="772B573D"/>
    <w:rsid w:val="77583BE0"/>
    <w:rsid w:val="776C15C2"/>
    <w:rsid w:val="776E32E9"/>
    <w:rsid w:val="776F46EE"/>
    <w:rsid w:val="77797B38"/>
    <w:rsid w:val="778C6B31"/>
    <w:rsid w:val="778F3735"/>
    <w:rsid w:val="778F63DA"/>
    <w:rsid w:val="778F86AB"/>
    <w:rsid w:val="77BA3540"/>
    <w:rsid w:val="77CF210E"/>
    <w:rsid w:val="77CFEAE0"/>
    <w:rsid w:val="77F80DF9"/>
    <w:rsid w:val="782161B3"/>
    <w:rsid w:val="78241CD9"/>
    <w:rsid w:val="78242DF7"/>
    <w:rsid w:val="782E795F"/>
    <w:rsid w:val="783863BB"/>
    <w:rsid w:val="783B0D02"/>
    <w:rsid w:val="78405A26"/>
    <w:rsid w:val="78493FEF"/>
    <w:rsid w:val="78530A6D"/>
    <w:rsid w:val="785F4803"/>
    <w:rsid w:val="786F3238"/>
    <w:rsid w:val="786F5C62"/>
    <w:rsid w:val="788E57E1"/>
    <w:rsid w:val="78907CBE"/>
    <w:rsid w:val="78A1633C"/>
    <w:rsid w:val="78A7633F"/>
    <w:rsid w:val="78AE6559"/>
    <w:rsid w:val="78BF0127"/>
    <w:rsid w:val="78C04478"/>
    <w:rsid w:val="78C86110"/>
    <w:rsid w:val="78C87CBC"/>
    <w:rsid w:val="78EE53B7"/>
    <w:rsid w:val="78F14C35"/>
    <w:rsid w:val="78F47ED2"/>
    <w:rsid w:val="791866F7"/>
    <w:rsid w:val="7921582D"/>
    <w:rsid w:val="79285DCD"/>
    <w:rsid w:val="793644D9"/>
    <w:rsid w:val="793E2383"/>
    <w:rsid w:val="79433A54"/>
    <w:rsid w:val="79664D72"/>
    <w:rsid w:val="7968676E"/>
    <w:rsid w:val="796C175D"/>
    <w:rsid w:val="796D75F2"/>
    <w:rsid w:val="79822149"/>
    <w:rsid w:val="79823C6D"/>
    <w:rsid w:val="79A50FF1"/>
    <w:rsid w:val="79B5266D"/>
    <w:rsid w:val="79C345B8"/>
    <w:rsid w:val="79C80084"/>
    <w:rsid w:val="79D10C11"/>
    <w:rsid w:val="79DB4D33"/>
    <w:rsid w:val="79EB35D5"/>
    <w:rsid w:val="7A007D46"/>
    <w:rsid w:val="7A020A74"/>
    <w:rsid w:val="7A0B07F7"/>
    <w:rsid w:val="7A5F18AD"/>
    <w:rsid w:val="7A842B44"/>
    <w:rsid w:val="7AB30BAA"/>
    <w:rsid w:val="7AB46925"/>
    <w:rsid w:val="7ACB0D92"/>
    <w:rsid w:val="7ADF4229"/>
    <w:rsid w:val="7AEC16F4"/>
    <w:rsid w:val="7B1212DD"/>
    <w:rsid w:val="7B3158E0"/>
    <w:rsid w:val="7B4A2E8B"/>
    <w:rsid w:val="7B636A62"/>
    <w:rsid w:val="7B73C473"/>
    <w:rsid w:val="7B7D13A0"/>
    <w:rsid w:val="7B9211CA"/>
    <w:rsid w:val="7B9A137D"/>
    <w:rsid w:val="7B9F3A52"/>
    <w:rsid w:val="7BA0038B"/>
    <w:rsid w:val="7BAE01E1"/>
    <w:rsid w:val="7BC504B6"/>
    <w:rsid w:val="7BC61444"/>
    <w:rsid w:val="7BC71ABE"/>
    <w:rsid w:val="7BCA6931"/>
    <w:rsid w:val="7BE117EB"/>
    <w:rsid w:val="7BEA7E0E"/>
    <w:rsid w:val="7BFB7C87"/>
    <w:rsid w:val="7C022104"/>
    <w:rsid w:val="7C1A55E7"/>
    <w:rsid w:val="7C1D014E"/>
    <w:rsid w:val="7C235BB5"/>
    <w:rsid w:val="7C415867"/>
    <w:rsid w:val="7C4A63CD"/>
    <w:rsid w:val="7C4D34A2"/>
    <w:rsid w:val="7C535D3A"/>
    <w:rsid w:val="7C551D34"/>
    <w:rsid w:val="7C743558"/>
    <w:rsid w:val="7C822CC6"/>
    <w:rsid w:val="7CAD23B7"/>
    <w:rsid w:val="7CB01BA0"/>
    <w:rsid w:val="7CB879EE"/>
    <w:rsid w:val="7CCA1DF5"/>
    <w:rsid w:val="7CCB3DBC"/>
    <w:rsid w:val="7CCE037C"/>
    <w:rsid w:val="7CD644A0"/>
    <w:rsid w:val="7CE64110"/>
    <w:rsid w:val="7CE75558"/>
    <w:rsid w:val="7CED12D8"/>
    <w:rsid w:val="7D072A9E"/>
    <w:rsid w:val="7D077C9D"/>
    <w:rsid w:val="7D117E5A"/>
    <w:rsid w:val="7D1914E7"/>
    <w:rsid w:val="7D203E1C"/>
    <w:rsid w:val="7D314052"/>
    <w:rsid w:val="7D3D35A9"/>
    <w:rsid w:val="7D57238A"/>
    <w:rsid w:val="7D5C7A99"/>
    <w:rsid w:val="7D697CBA"/>
    <w:rsid w:val="7D6E2CC8"/>
    <w:rsid w:val="7D8E30F2"/>
    <w:rsid w:val="7DCD70FF"/>
    <w:rsid w:val="7DFC5E77"/>
    <w:rsid w:val="7E071138"/>
    <w:rsid w:val="7E0A3347"/>
    <w:rsid w:val="7E0F75CB"/>
    <w:rsid w:val="7E1B0115"/>
    <w:rsid w:val="7E286319"/>
    <w:rsid w:val="7E3B3D7D"/>
    <w:rsid w:val="7E3F6B2C"/>
    <w:rsid w:val="7E5E0863"/>
    <w:rsid w:val="7E6414E1"/>
    <w:rsid w:val="7E7F1102"/>
    <w:rsid w:val="7E9D411E"/>
    <w:rsid w:val="7EB70100"/>
    <w:rsid w:val="7EC354C6"/>
    <w:rsid w:val="7ECC3EA8"/>
    <w:rsid w:val="7ECD656B"/>
    <w:rsid w:val="7EDC0900"/>
    <w:rsid w:val="7F0376F0"/>
    <w:rsid w:val="7F0C55A5"/>
    <w:rsid w:val="7F27889A"/>
    <w:rsid w:val="7F341835"/>
    <w:rsid w:val="7F3E1484"/>
    <w:rsid w:val="7F42659F"/>
    <w:rsid w:val="7F4E5827"/>
    <w:rsid w:val="7F500AAA"/>
    <w:rsid w:val="7F8E71B6"/>
    <w:rsid w:val="7F9B7FE6"/>
    <w:rsid w:val="7F9E7680"/>
    <w:rsid w:val="7FA40B10"/>
    <w:rsid w:val="7FBD6824"/>
    <w:rsid w:val="7FBD7E41"/>
    <w:rsid w:val="7FC07A50"/>
    <w:rsid w:val="7FD755BD"/>
    <w:rsid w:val="7FF601CC"/>
    <w:rsid w:val="96DDC54A"/>
    <w:rsid w:val="9A7F2FB3"/>
    <w:rsid w:val="A9EFDF91"/>
    <w:rsid w:val="B7FED91B"/>
    <w:rsid w:val="BBBF8DB2"/>
    <w:rsid w:val="BF7FF8B3"/>
    <w:rsid w:val="CAAF23DA"/>
    <w:rsid w:val="D7B3AB18"/>
    <w:rsid w:val="DEE9D21D"/>
    <w:rsid w:val="E1F2CD59"/>
    <w:rsid w:val="E27782D5"/>
    <w:rsid w:val="FBFED674"/>
    <w:rsid w:val="FD6EA56A"/>
    <w:rsid w:val="FEDF3144"/>
    <w:rsid w:val="FF2700BA"/>
    <w:rsid w:val="FFBEBDE7"/>
    <w:rsid w:val="FFCE6D95"/>
    <w:rsid w:val="FFDEDE97"/>
    <w:rsid w:val="FFE886F2"/>
    <w:rsid w:val="FFF764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textAlignment w:val="baseline"/>
    </w:pPr>
    <w:rPr>
      <w:rFonts w:ascii="宋体"/>
      <w:sz w:val="34"/>
      <w:lang w:val="en-US" w:eastAsia="zh-CN" w:bidi="ar-SA"/>
    </w:rPr>
  </w:style>
  <w:style w:type="paragraph" w:styleId="2">
    <w:name w:val="heading 1"/>
    <w:basedOn w:val="1"/>
    <w:next w:val="1"/>
    <w:link w:val="59"/>
    <w:qFormat/>
    <w:uiPriority w:val="0"/>
    <w:pPr>
      <w:keepNext/>
      <w:outlineLvl w:val="0"/>
    </w:pPr>
    <w:rPr>
      <w:b/>
      <w:color w:val="000000"/>
      <w:sz w:val="24"/>
    </w:rPr>
  </w:style>
  <w:style w:type="paragraph" w:styleId="3">
    <w:name w:val="heading 2"/>
    <w:basedOn w:val="1"/>
    <w:next w:val="1"/>
    <w:link w:val="6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1"/>
    <w:qFormat/>
    <w:uiPriority w:val="0"/>
    <w:pPr>
      <w:keepNext/>
      <w:keepLines/>
      <w:autoSpaceDE/>
      <w:autoSpaceDN/>
      <w:spacing w:before="260" w:after="260" w:line="416" w:lineRule="atLeast"/>
      <w:jc w:val="both"/>
      <w:outlineLvl w:val="2"/>
    </w:pPr>
    <w:rPr>
      <w:rFonts w:ascii="Times New Roman"/>
      <w:b/>
      <w:sz w:val="32"/>
    </w:rPr>
  </w:style>
  <w:style w:type="paragraph" w:styleId="5">
    <w:name w:val="heading 4"/>
    <w:basedOn w:val="1"/>
    <w:next w:val="6"/>
    <w:link w:val="62"/>
    <w:qFormat/>
    <w:uiPriority w:val="9"/>
    <w:pPr>
      <w:keepNext/>
      <w:keepLines/>
      <w:autoSpaceDE/>
      <w:autoSpaceDN/>
      <w:adjustRightInd/>
      <w:spacing w:before="280" w:after="290" w:line="376" w:lineRule="auto"/>
      <w:jc w:val="both"/>
      <w:textAlignment w:val="auto"/>
      <w:outlineLvl w:val="3"/>
    </w:pPr>
    <w:rPr>
      <w:rFonts w:ascii="Arial" w:hAnsi="Arial" w:eastAsia="黑体"/>
      <w:b/>
      <w:kern w:val="2"/>
      <w:sz w:val="28"/>
    </w:rPr>
  </w:style>
  <w:style w:type="paragraph" w:styleId="8">
    <w:name w:val="heading 5"/>
    <w:basedOn w:val="1"/>
    <w:next w:val="6"/>
    <w:link w:val="65"/>
    <w:qFormat/>
    <w:uiPriority w:val="0"/>
    <w:pPr>
      <w:keepNext/>
      <w:keepLines/>
      <w:autoSpaceDE/>
      <w:autoSpaceDN/>
      <w:adjustRightInd/>
      <w:spacing w:before="280" w:after="290" w:line="376" w:lineRule="auto"/>
      <w:jc w:val="both"/>
      <w:textAlignment w:val="auto"/>
      <w:outlineLvl w:val="4"/>
    </w:pPr>
    <w:rPr>
      <w:rFonts w:ascii="Times New Roman"/>
      <w:b/>
      <w:kern w:val="2"/>
      <w:sz w:val="28"/>
    </w:rPr>
  </w:style>
  <w:style w:type="paragraph" w:styleId="9">
    <w:name w:val="heading 6"/>
    <w:basedOn w:val="1"/>
    <w:next w:val="6"/>
    <w:link w:val="66"/>
    <w:qFormat/>
    <w:uiPriority w:val="0"/>
    <w:pPr>
      <w:keepNext/>
      <w:keepLines/>
      <w:autoSpaceDE/>
      <w:autoSpaceDN/>
      <w:adjustRightInd/>
      <w:spacing w:before="240" w:after="64" w:line="320" w:lineRule="auto"/>
      <w:jc w:val="both"/>
      <w:textAlignment w:val="auto"/>
      <w:outlineLvl w:val="5"/>
    </w:pPr>
    <w:rPr>
      <w:rFonts w:ascii="Arial" w:hAnsi="Arial" w:eastAsia="黑体"/>
      <w:b/>
      <w:kern w:val="2"/>
      <w:sz w:val="24"/>
    </w:rPr>
  </w:style>
  <w:style w:type="paragraph" w:styleId="10">
    <w:name w:val="heading 7"/>
    <w:basedOn w:val="1"/>
    <w:next w:val="6"/>
    <w:link w:val="67"/>
    <w:qFormat/>
    <w:uiPriority w:val="0"/>
    <w:pPr>
      <w:keepNext/>
      <w:keepLines/>
      <w:autoSpaceDE/>
      <w:autoSpaceDN/>
      <w:adjustRightInd/>
      <w:spacing w:before="240" w:after="64" w:line="320" w:lineRule="auto"/>
      <w:jc w:val="both"/>
      <w:textAlignment w:val="auto"/>
      <w:outlineLvl w:val="6"/>
    </w:pPr>
    <w:rPr>
      <w:rFonts w:ascii="Times New Roman"/>
      <w:b/>
      <w:kern w:val="2"/>
      <w:sz w:val="24"/>
    </w:rPr>
  </w:style>
  <w:style w:type="paragraph" w:styleId="11">
    <w:name w:val="heading 8"/>
    <w:basedOn w:val="1"/>
    <w:next w:val="6"/>
    <w:link w:val="68"/>
    <w:qFormat/>
    <w:uiPriority w:val="0"/>
    <w:pPr>
      <w:keepNext/>
      <w:keepLines/>
      <w:autoSpaceDE/>
      <w:autoSpaceDN/>
      <w:adjustRightInd/>
      <w:spacing w:before="240" w:after="64" w:line="320" w:lineRule="auto"/>
      <w:jc w:val="both"/>
      <w:textAlignment w:val="auto"/>
      <w:outlineLvl w:val="7"/>
    </w:pPr>
    <w:rPr>
      <w:rFonts w:ascii="Arial" w:hAnsi="Arial" w:eastAsia="黑体"/>
      <w:kern w:val="2"/>
      <w:sz w:val="24"/>
    </w:rPr>
  </w:style>
  <w:style w:type="paragraph" w:styleId="12">
    <w:name w:val="heading 9"/>
    <w:basedOn w:val="1"/>
    <w:next w:val="6"/>
    <w:link w:val="69"/>
    <w:qFormat/>
    <w:uiPriority w:val="0"/>
    <w:pPr>
      <w:keepNext/>
      <w:keepLines/>
      <w:autoSpaceDE/>
      <w:autoSpaceDN/>
      <w:adjustRightInd/>
      <w:spacing w:before="240" w:after="64" w:line="320" w:lineRule="auto"/>
      <w:jc w:val="both"/>
      <w:textAlignment w:val="auto"/>
      <w:outlineLvl w:val="8"/>
    </w:pPr>
    <w:rPr>
      <w:rFonts w:ascii="Arial" w:hAnsi="Arial" w:eastAsia="黑体"/>
      <w:kern w:val="2"/>
      <w:sz w:val="21"/>
    </w:rPr>
  </w:style>
  <w:style w:type="character" w:default="1" w:styleId="45">
    <w:name w:val="Default Paragraph Font"/>
    <w:unhideWhenUsed/>
    <w:uiPriority w:val="1"/>
  </w:style>
  <w:style w:type="table" w:default="1" w:styleId="43">
    <w:name w:val="Normal Table"/>
    <w:unhideWhenUsed/>
    <w:qFormat/>
    <w:uiPriority w:val="99"/>
    <w:tblPr>
      <w:tblStyle w:val="43"/>
      <w:tblCellMar>
        <w:top w:w="0" w:type="dxa"/>
        <w:left w:w="108" w:type="dxa"/>
        <w:bottom w:w="0" w:type="dxa"/>
        <w:right w:w="108" w:type="dxa"/>
      </w:tblCellMar>
    </w:tblPr>
  </w:style>
  <w:style w:type="paragraph" w:styleId="6">
    <w:name w:val="Normal Indent"/>
    <w:basedOn w:val="1"/>
    <w:next w:val="7"/>
    <w:link w:val="63"/>
    <w:qFormat/>
    <w:uiPriority w:val="0"/>
    <w:pPr>
      <w:autoSpaceDE/>
      <w:autoSpaceDN/>
      <w:adjustRightInd/>
      <w:ind w:firstLine="420"/>
      <w:jc w:val="both"/>
      <w:textAlignment w:val="auto"/>
    </w:pPr>
    <w:rPr>
      <w:rFonts w:ascii="Times New Roman"/>
      <w:kern w:val="2"/>
      <w:sz w:val="21"/>
    </w:rPr>
  </w:style>
  <w:style w:type="paragraph" w:styleId="7">
    <w:name w:val="Body Text Indent"/>
    <w:basedOn w:val="1"/>
    <w:next w:val="6"/>
    <w:link w:val="64"/>
    <w:qFormat/>
    <w:uiPriority w:val="99"/>
    <w:pPr>
      <w:autoSpaceDE/>
      <w:autoSpaceDN/>
      <w:adjustRightInd/>
      <w:ind w:firstLine="900"/>
      <w:jc w:val="both"/>
      <w:textAlignment w:val="auto"/>
    </w:pPr>
    <w:rPr>
      <w:rFonts w:ascii="Times New Roman"/>
      <w:kern w:val="2"/>
      <w:sz w:val="28"/>
    </w:rPr>
  </w:style>
  <w:style w:type="paragraph" w:styleId="13">
    <w:name w:val="toc 7"/>
    <w:basedOn w:val="1"/>
    <w:next w:val="1"/>
    <w:qFormat/>
    <w:uiPriority w:val="39"/>
    <w:pPr>
      <w:ind w:left="2040"/>
    </w:pPr>
    <w:rPr>
      <w:rFonts w:ascii="Times New Roman"/>
      <w:sz w:val="18"/>
      <w:szCs w:val="18"/>
    </w:rPr>
  </w:style>
  <w:style w:type="paragraph" w:styleId="14">
    <w:name w:val="caption"/>
    <w:basedOn w:val="1"/>
    <w:next w:val="1"/>
    <w:qFormat/>
    <w:uiPriority w:val="0"/>
    <w:pPr>
      <w:spacing w:before="152" w:after="160"/>
    </w:pPr>
    <w:rPr>
      <w:rFonts w:ascii="Arial" w:hAnsi="Arial" w:eastAsia="黑体"/>
    </w:rPr>
  </w:style>
  <w:style w:type="paragraph" w:styleId="15">
    <w:name w:val="Document Map"/>
    <w:basedOn w:val="1"/>
    <w:link w:val="70"/>
    <w:uiPriority w:val="0"/>
    <w:rPr>
      <w:sz w:val="18"/>
      <w:szCs w:val="18"/>
    </w:rPr>
  </w:style>
  <w:style w:type="paragraph" w:styleId="16">
    <w:name w:val="annotation text"/>
    <w:basedOn w:val="1"/>
    <w:link w:val="71"/>
    <w:qFormat/>
    <w:uiPriority w:val="99"/>
  </w:style>
  <w:style w:type="paragraph" w:styleId="17">
    <w:name w:val="Body Text 3"/>
    <w:basedOn w:val="1"/>
    <w:link w:val="72"/>
    <w:qFormat/>
    <w:uiPriority w:val="99"/>
    <w:pPr>
      <w:spacing w:line="640" w:lineRule="exact"/>
    </w:pPr>
    <w:rPr>
      <w:color w:val="000000"/>
      <w:sz w:val="28"/>
    </w:rPr>
  </w:style>
  <w:style w:type="paragraph" w:styleId="18">
    <w:name w:val="Body Text"/>
    <w:basedOn w:val="1"/>
    <w:next w:val="19"/>
    <w:link w:val="73"/>
    <w:qFormat/>
    <w:uiPriority w:val="99"/>
    <w:rPr>
      <w:sz w:val="28"/>
    </w:rPr>
  </w:style>
  <w:style w:type="paragraph" w:styleId="19">
    <w:name w:val="Body Text First Indent"/>
    <w:basedOn w:val="18"/>
    <w:next w:val="20"/>
    <w:link w:val="74"/>
    <w:qFormat/>
    <w:uiPriority w:val="0"/>
    <w:pPr>
      <w:spacing w:after="120"/>
      <w:ind w:firstLine="420" w:firstLineChars="100"/>
    </w:pPr>
    <w:rPr>
      <w:sz w:val="34"/>
    </w:rPr>
  </w:style>
  <w:style w:type="paragraph" w:styleId="20">
    <w:name w:val="toc 6"/>
    <w:basedOn w:val="1"/>
    <w:next w:val="1"/>
    <w:qFormat/>
    <w:uiPriority w:val="39"/>
    <w:pPr>
      <w:ind w:left="1700"/>
    </w:pPr>
    <w:rPr>
      <w:rFonts w:ascii="Times New Roman"/>
      <w:sz w:val="18"/>
      <w:szCs w:val="18"/>
    </w:rPr>
  </w:style>
  <w:style w:type="paragraph" w:styleId="21">
    <w:name w:val="List 2"/>
    <w:basedOn w:val="1"/>
    <w:qFormat/>
    <w:uiPriority w:val="0"/>
    <w:pPr>
      <w:ind w:left="100" w:leftChars="200" w:hanging="200" w:hangingChars="200"/>
    </w:pPr>
  </w:style>
  <w:style w:type="paragraph" w:styleId="22">
    <w:name w:val="toc 5"/>
    <w:basedOn w:val="1"/>
    <w:next w:val="1"/>
    <w:qFormat/>
    <w:uiPriority w:val="39"/>
    <w:pPr>
      <w:ind w:left="1360"/>
    </w:pPr>
    <w:rPr>
      <w:rFonts w:ascii="Times New Roman"/>
      <w:sz w:val="18"/>
      <w:szCs w:val="18"/>
    </w:rPr>
  </w:style>
  <w:style w:type="paragraph" w:styleId="23">
    <w:name w:val="toc 3"/>
    <w:basedOn w:val="1"/>
    <w:next w:val="1"/>
    <w:qFormat/>
    <w:uiPriority w:val="39"/>
    <w:pPr>
      <w:ind w:left="680"/>
    </w:pPr>
    <w:rPr>
      <w:rFonts w:ascii="Times New Roman"/>
      <w:i/>
      <w:iCs/>
      <w:sz w:val="20"/>
    </w:rPr>
  </w:style>
  <w:style w:type="paragraph" w:styleId="24">
    <w:name w:val="Plain Text"/>
    <w:basedOn w:val="1"/>
    <w:link w:val="75"/>
    <w:qFormat/>
    <w:uiPriority w:val="0"/>
    <w:rPr>
      <w:rFonts w:hAnsi="Courier New" w:cs="Courier New"/>
      <w:szCs w:val="21"/>
    </w:rPr>
  </w:style>
  <w:style w:type="paragraph" w:styleId="25">
    <w:name w:val="toc 8"/>
    <w:basedOn w:val="1"/>
    <w:next w:val="1"/>
    <w:qFormat/>
    <w:uiPriority w:val="39"/>
    <w:pPr>
      <w:ind w:left="2380"/>
    </w:pPr>
    <w:rPr>
      <w:rFonts w:ascii="Times New Roman"/>
      <w:sz w:val="18"/>
      <w:szCs w:val="18"/>
    </w:rPr>
  </w:style>
  <w:style w:type="paragraph" w:styleId="26">
    <w:name w:val="Date"/>
    <w:basedOn w:val="1"/>
    <w:next w:val="1"/>
    <w:link w:val="76"/>
    <w:qFormat/>
    <w:uiPriority w:val="99"/>
    <w:pPr>
      <w:jc w:val="both"/>
    </w:pPr>
    <w:rPr>
      <w:sz w:val="28"/>
    </w:rPr>
  </w:style>
  <w:style w:type="paragraph" w:styleId="27">
    <w:name w:val="Body Text Indent 2"/>
    <w:basedOn w:val="1"/>
    <w:qFormat/>
    <w:uiPriority w:val="0"/>
    <w:pPr>
      <w:autoSpaceDE/>
      <w:autoSpaceDN/>
      <w:adjustRightInd/>
      <w:spacing w:line="360" w:lineRule="auto"/>
      <w:ind w:firstLine="720"/>
      <w:jc w:val="both"/>
      <w:textAlignment w:val="auto"/>
    </w:pPr>
    <w:rPr>
      <w:kern w:val="2"/>
      <w:sz w:val="28"/>
    </w:rPr>
  </w:style>
  <w:style w:type="paragraph" w:styleId="28">
    <w:name w:val="Balloon Text"/>
    <w:basedOn w:val="1"/>
    <w:link w:val="77"/>
    <w:qFormat/>
    <w:uiPriority w:val="0"/>
    <w:rPr>
      <w:sz w:val="18"/>
      <w:szCs w:val="18"/>
    </w:rPr>
  </w:style>
  <w:style w:type="paragraph" w:styleId="29">
    <w:name w:val="footer"/>
    <w:basedOn w:val="1"/>
    <w:link w:val="78"/>
    <w:qFormat/>
    <w:uiPriority w:val="0"/>
    <w:pPr>
      <w:tabs>
        <w:tab w:val="center" w:pos="4153"/>
        <w:tab w:val="right" w:pos="8306"/>
      </w:tabs>
      <w:snapToGrid w:val="0"/>
    </w:pPr>
    <w:rPr>
      <w:sz w:val="18"/>
    </w:rPr>
  </w:style>
  <w:style w:type="paragraph" w:styleId="30">
    <w:name w:val="header"/>
    <w:basedOn w:val="1"/>
    <w:link w:val="79"/>
    <w:qFormat/>
    <w:uiPriority w:val="0"/>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39"/>
    <w:pPr>
      <w:spacing w:before="120" w:after="120"/>
    </w:pPr>
    <w:rPr>
      <w:rFonts w:ascii="Times New Roman"/>
      <w:b/>
      <w:bCs/>
      <w:caps/>
      <w:sz w:val="20"/>
    </w:rPr>
  </w:style>
  <w:style w:type="paragraph" w:styleId="32">
    <w:name w:val="toc 4"/>
    <w:basedOn w:val="1"/>
    <w:next w:val="1"/>
    <w:qFormat/>
    <w:uiPriority w:val="39"/>
    <w:pPr>
      <w:ind w:left="1020"/>
    </w:pPr>
    <w:rPr>
      <w:rFonts w:ascii="Times New Roman"/>
      <w:sz w:val="18"/>
      <w:szCs w:val="18"/>
    </w:rPr>
  </w:style>
  <w:style w:type="paragraph" w:styleId="33">
    <w:name w:val="footnote text"/>
    <w:basedOn w:val="1"/>
    <w:semiHidden/>
    <w:qFormat/>
    <w:uiPriority w:val="0"/>
    <w:pPr>
      <w:snapToGrid w:val="0"/>
    </w:pPr>
    <w:rPr>
      <w:sz w:val="18"/>
    </w:rPr>
  </w:style>
  <w:style w:type="paragraph" w:styleId="34">
    <w:name w:val="Body Text Indent 3"/>
    <w:basedOn w:val="1"/>
    <w:qFormat/>
    <w:uiPriority w:val="99"/>
    <w:pPr>
      <w:autoSpaceDE/>
      <w:autoSpaceDN/>
      <w:adjustRightInd/>
      <w:spacing w:line="360" w:lineRule="auto"/>
      <w:ind w:firstLine="540"/>
      <w:jc w:val="both"/>
      <w:textAlignment w:val="auto"/>
    </w:pPr>
    <w:rPr>
      <w:kern w:val="2"/>
      <w:sz w:val="28"/>
    </w:rPr>
  </w:style>
  <w:style w:type="paragraph" w:styleId="35">
    <w:name w:val="toc 2"/>
    <w:basedOn w:val="1"/>
    <w:next w:val="1"/>
    <w:qFormat/>
    <w:uiPriority w:val="39"/>
    <w:pPr>
      <w:ind w:left="105" w:leftChars="31" w:right="-133" w:rightChars="-39"/>
    </w:pPr>
    <w:rPr>
      <w:rFonts w:ascii="Times New Roman"/>
      <w:smallCaps/>
      <w:sz w:val="20"/>
    </w:rPr>
  </w:style>
  <w:style w:type="paragraph" w:styleId="36">
    <w:name w:val="toc 9"/>
    <w:basedOn w:val="1"/>
    <w:next w:val="1"/>
    <w:qFormat/>
    <w:uiPriority w:val="39"/>
    <w:pPr>
      <w:ind w:left="2720"/>
    </w:pPr>
    <w:rPr>
      <w:rFonts w:ascii="Times New Roman"/>
      <w:sz w:val="18"/>
      <w:szCs w:val="18"/>
    </w:rPr>
  </w:style>
  <w:style w:type="paragraph" w:styleId="37">
    <w:name w:val="Body Text 2"/>
    <w:basedOn w:val="1"/>
    <w:link w:val="80"/>
    <w:qFormat/>
    <w:uiPriority w:val="99"/>
    <w:pPr>
      <w:jc w:val="both"/>
    </w:pPr>
    <w:rPr>
      <w:sz w:val="28"/>
    </w:rPr>
  </w:style>
  <w:style w:type="paragraph" w:styleId="3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textAlignment w:val="auto"/>
    </w:pPr>
    <w:rPr>
      <w:rFonts w:ascii="Arial" w:hAnsi="Arial" w:cs="Arial"/>
      <w:sz w:val="21"/>
      <w:szCs w:val="21"/>
    </w:rPr>
  </w:style>
  <w:style w:type="paragraph" w:styleId="39">
    <w:name w:val="Normal (Web)"/>
    <w:basedOn w:val="1"/>
    <w:next w:val="1"/>
    <w:link w:val="81"/>
    <w:qFormat/>
    <w:uiPriority w:val="99"/>
    <w:pPr>
      <w:widowControl/>
      <w:autoSpaceDE/>
      <w:autoSpaceDN/>
      <w:adjustRightInd/>
      <w:spacing w:before="100" w:beforeAutospacing="1" w:after="100" w:afterAutospacing="1"/>
      <w:textAlignment w:val="auto"/>
    </w:pPr>
    <w:rPr>
      <w:rFonts w:hAnsi="宋体"/>
      <w:sz w:val="24"/>
      <w:szCs w:val="24"/>
    </w:rPr>
  </w:style>
  <w:style w:type="paragraph" w:styleId="40">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41">
    <w:name w:val="annotation subject"/>
    <w:basedOn w:val="16"/>
    <w:next w:val="16"/>
    <w:semiHidden/>
    <w:qFormat/>
    <w:uiPriority w:val="0"/>
    <w:rPr>
      <w:b/>
      <w:bCs/>
    </w:rPr>
  </w:style>
  <w:style w:type="paragraph" w:styleId="42">
    <w:name w:val="Body Text First Indent 2"/>
    <w:basedOn w:val="7"/>
    <w:next w:val="1"/>
    <w:link w:val="82"/>
    <w:qFormat/>
    <w:uiPriority w:val="0"/>
    <w:pPr>
      <w:spacing w:after="120"/>
      <w:ind w:left="420" w:leftChars="200" w:firstLine="420"/>
    </w:pPr>
    <w:rPr>
      <w:rFonts w:cs="宋体"/>
      <w:sz w:val="21"/>
      <w:szCs w:val="21"/>
    </w:rPr>
  </w:style>
  <w:style w:type="table" w:styleId="44">
    <w:name w:val="Table Grid"/>
    <w:basedOn w:val="43"/>
    <w:unhideWhenUsed/>
    <w:qFormat/>
    <w:uiPriority w:val="0"/>
    <w:tblPr>
      <w:tblStyle w:val="4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99"/>
    <w:rPr>
      <w:color w:val="3F88BF"/>
      <w:u w:val="none"/>
    </w:rPr>
  </w:style>
  <w:style w:type="character" w:styleId="49">
    <w:name w:val="Emphasis"/>
    <w:qFormat/>
    <w:uiPriority w:val="0"/>
  </w:style>
  <w:style w:type="character" w:styleId="50">
    <w:name w:val="HTML Definition"/>
    <w:qFormat/>
    <w:uiPriority w:val="0"/>
  </w:style>
  <w:style w:type="character" w:styleId="51">
    <w:name w:val="HTML Variable"/>
    <w:qFormat/>
    <w:uiPriority w:val="0"/>
  </w:style>
  <w:style w:type="character" w:styleId="52">
    <w:name w:val="Hyperlink"/>
    <w:qFormat/>
    <w:uiPriority w:val="0"/>
    <w:rPr>
      <w:color w:val="3F88BF"/>
      <w:u w:val="none"/>
    </w:rPr>
  </w:style>
  <w:style w:type="character" w:styleId="53">
    <w:name w:val="HTML Code"/>
    <w:qFormat/>
    <w:uiPriority w:val="0"/>
    <w:rPr>
      <w:rFonts w:hint="default" w:ascii="PingFang SC" w:hAnsi="PingFang SC" w:eastAsia="PingFang SC" w:cs="PingFang SC"/>
      <w:sz w:val="20"/>
    </w:rPr>
  </w:style>
  <w:style w:type="character" w:styleId="54">
    <w:name w:val="annotation reference"/>
    <w:semiHidden/>
    <w:qFormat/>
    <w:uiPriority w:val="0"/>
    <w:rPr>
      <w:sz w:val="21"/>
    </w:rPr>
  </w:style>
  <w:style w:type="character" w:styleId="55">
    <w:name w:val="HTML Cite"/>
    <w:qFormat/>
    <w:uiPriority w:val="0"/>
  </w:style>
  <w:style w:type="character" w:styleId="56">
    <w:name w:val="footnote reference"/>
    <w:semiHidden/>
    <w:qFormat/>
    <w:uiPriority w:val="0"/>
    <w:rPr>
      <w:vertAlign w:val="superscript"/>
    </w:rPr>
  </w:style>
  <w:style w:type="character" w:styleId="57">
    <w:name w:val="HTML Keyboard"/>
    <w:qFormat/>
    <w:uiPriority w:val="0"/>
    <w:rPr>
      <w:rFonts w:hint="default" w:ascii="PingFang SC" w:hAnsi="PingFang SC" w:eastAsia="PingFang SC" w:cs="PingFang SC"/>
      <w:sz w:val="20"/>
    </w:rPr>
  </w:style>
  <w:style w:type="character" w:styleId="58">
    <w:name w:val="HTML Sample"/>
    <w:qFormat/>
    <w:uiPriority w:val="0"/>
    <w:rPr>
      <w:rFonts w:hint="default" w:ascii="PingFang SC" w:hAnsi="PingFang SC" w:eastAsia="PingFang SC" w:cs="PingFang SC"/>
    </w:rPr>
  </w:style>
  <w:style w:type="character" w:customStyle="1" w:styleId="59">
    <w:name w:val="标题 1 字符"/>
    <w:link w:val="2"/>
    <w:qFormat/>
    <w:uiPriority w:val="0"/>
    <w:rPr>
      <w:rFonts w:ascii="宋体"/>
      <w:b/>
      <w:color w:val="000000"/>
      <w:sz w:val="24"/>
    </w:rPr>
  </w:style>
  <w:style w:type="character" w:customStyle="1" w:styleId="60">
    <w:name w:val="标题 2 字符"/>
    <w:link w:val="3"/>
    <w:qFormat/>
    <w:uiPriority w:val="0"/>
    <w:rPr>
      <w:rFonts w:ascii="Arial" w:hAnsi="Arial" w:eastAsia="黑体"/>
      <w:b/>
      <w:bCs/>
      <w:sz w:val="32"/>
      <w:szCs w:val="32"/>
    </w:rPr>
  </w:style>
  <w:style w:type="character" w:customStyle="1" w:styleId="61">
    <w:name w:val="标题 3 字符"/>
    <w:link w:val="4"/>
    <w:qFormat/>
    <w:uiPriority w:val="0"/>
    <w:rPr>
      <w:b/>
      <w:sz w:val="32"/>
    </w:rPr>
  </w:style>
  <w:style w:type="character" w:customStyle="1" w:styleId="62">
    <w:name w:val="标题 4 字符"/>
    <w:link w:val="5"/>
    <w:qFormat/>
    <w:uiPriority w:val="9"/>
    <w:rPr>
      <w:rFonts w:ascii="Arial" w:hAnsi="Arial" w:eastAsia="黑体"/>
      <w:b/>
      <w:kern w:val="2"/>
      <w:sz w:val="28"/>
    </w:rPr>
  </w:style>
  <w:style w:type="character" w:customStyle="1" w:styleId="63">
    <w:name w:val="正文缩进 字符"/>
    <w:link w:val="6"/>
    <w:qFormat/>
    <w:uiPriority w:val="0"/>
    <w:rPr>
      <w:rFonts w:eastAsia="宋体"/>
      <w:kern w:val="2"/>
      <w:sz w:val="21"/>
      <w:lang w:val="en-US" w:eastAsia="zh-CN" w:bidi="ar-SA"/>
    </w:rPr>
  </w:style>
  <w:style w:type="character" w:customStyle="1" w:styleId="64">
    <w:name w:val="正文文本缩进 字符"/>
    <w:link w:val="7"/>
    <w:qFormat/>
    <w:uiPriority w:val="99"/>
    <w:rPr>
      <w:kern w:val="2"/>
      <w:sz w:val="28"/>
    </w:rPr>
  </w:style>
  <w:style w:type="character" w:customStyle="1" w:styleId="65">
    <w:name w:val="标题 5 字符"/>
    <w:link w:val="8"/>
    <w:qFormat/>
    <w:uiPriority w:val="0"/>
    <w:rPr>
      <w:b/>
      <w:kern w:val="2"/>
      <w:sz w:val="28"/>
    </w:rPr>
  </w:style>
  <w:style w:type="character" w:customStyle="1" w:styleId="66">
    <w:name w:val="标题 6 字符"/>
    <w:link w:val="9"/>
    <w:qFormat/>
    <w:uiPriority w:val="0"/>
    <w:rPr>
      <w:rFonts w:ascii="Arial" w:hAnsi="Arial" w:eastAsia="黑体"/>
      <w:b/>
      <w:kern w:val="2"/>
      <w:sz w:val="24"/>
    </w:rPr>
  </w:style>
  <w:style w:type="character" w:customStyle="1" w:styleId="67">
    <w:name w:val="标题 7 字符"/>
    <w:link w:val="10"/>
    <w:qFormat/>
    <w:uiPriority w:val="0"/>
    <w:rPr>
      <w:b/>
      <w:kern w:val="2"/>
      <w:sz w:val="24"/>
    </w:rPr>
  </w:style>
  <w:style w:type="character" w:customStyle="1" w:styleId="68">
    <w:name w:val="标题 8 字符"/>
    <w:link w:val="11"/>
    <w:qFormat/>
    <w:uiPriority w:val="0"/>
    <w:rPr>
      <w:rFonts w:ascii="Arial" w:hAnsi="Arial" w:eastAsia="黑体"/>
      <w:kern w:val="2"/>
      <w:sz w:val="24"/>
    </w:rPr>
  </w:style>
  <w:style w:type="character" w:customStyle="1" w:styleId="69">
    <w:name w:val="标题 9 字符"/>
    <w:link w:val="12"/>
    <w:qFormat/>
    <w:uiPriority w:val="0"/>
    <w:rPr>
      <w:rFonts w:ascii="Arial" w:hAnsi="Arial" w:eastAsia="黑体"/>
      <w:kern w:val="2"/>
      <w:sz w:val="21"/>
    </w:rPr>
  </w:style>
  <w:style w:type="character" w:customStyle="1" w:styleId="70">
    <w:name w:val="文档结构图 字符"/>
    <w:link w:val="15"/>
    <w:uiPriority w:val="0"/>
    <w:rPr>
      <w:rFonts w:ascii="宋体"/>
      <w:sz w:val="18"/>
      <w:szCs w:val="18"/>
    </w:rPr>
  </w:style>
  <w:style w:type="character" w:customStyle="1" w:styleId="71">
    <w:name w:val="批注文字 字符"/>
    <w:link w:val="16"/>
    <w:uiPriority w:val="99"/>
    <w:rPr>
      <w:rFonts w:ascii="宋体"/>
      <w:sz w:val="34"/>
    </w:rPr>
  </w:style>
  <w:style w:type="character" w:customStyle="1" w:styleId="72">
    <w:name w:val="正文文本 3 字符"/>
    <w:link w:val="17"/>
    <w:qFormat/>
    <w:uiPriority w:val="99"/>
    <w:rPr>
      <w:rFonts w:ascii="宋体"/>
      <w:color w:val="000000"/>
      <w:sz w:val="28"/>
    </w:rPr>
  </w:style>
  <w:style w:type="character" w:customStyle="1" w:styleId="73">
    <w:name w:val="正文文本 字符"/>
    <w:link w:val="18"/>
    <w:uiPriority w:val="99"/>
    <w:rPr>
      <w:rFonts w:ascii="宋体"/>
      <w:sz w:val="28"/>
    </w:rPr>
  </w:style>
  <w:style w:type="character" w:customStyle="1" w:styleId="74">
    <w:name w:val="正文文本首行缩进 字符"/>
    <w:link w:val="19"/>
    <w:uiPriority w:val="0"/>
    <w:rPr>
      <w:rFonts w:ascii="宋体"/>
      <w:sz w:val="34"/>
    </w:rPr>
  </w:style>
  <w:style w:type="character" w:customStyle="1" w:styleId="75">
    <w:name w:val="纯文本 字符"/>
    <w:link w:val="24"/>
    <w:qFormat/>
    <w:uiPriority w:val="0"/>
    <w:rPr>
      <w:rFonts w:ascii="宋体" w:hAnsi="Courier New" w:eastAsia="宋体" w:cs="Courier New"/>
      <w:sz w:val="34"/>
      <w:szCs w:val="21"/>
      <w:lang w:val="en-US" w:eastAsia="zh-CN" w:bidi="ar-SA"/>
    </w:rPr>
  </w:style>
  <w:style w:type="character" w:customStyle="1" w:styleId="76">
    <w:name w:val="日期 字符"/>
    <w:link w:val="26"/>
    <w:uiPriority w:val="99"/>
    <w:rPr>
      <w:rFonts w:ascii="宋体"/>
      <w:sz w:val="28"/>
    </w:rPr>
  </w:style>
  <w:style w:type="character" w:customStyle="1" w:styleId="77">
    <w:name w:val="批注框文本 字符"/>
    <w:link w:val="28"/>
    <w:qFormat/>
    <w:uiPriority w:val="0"/>
    <w:rPr>
      <w:rFonts w:ascii="宋体"/>
      <w:sz w:val="18"/>
      <w:szCs w:val="18"/>
    </w:rPr>
  </w:style>
  <w:style w:type="character" w:customStyle="1" w:styleId="78">
    <w:name w:val="页脚 字符"/>
    <w:link w:val="29"/>
    <w:qFormat/>
    <w:uiPriority w:val="0"/>
    <w:rPr>
      <w:rFonts w:ascii="宋体"/>
      <w:sz w:val="18"/>
    </w:rPr>
  </w:style>
  <w:style w:type="character" w:customStyle="1" w:styleId="79">
    <w:name w:val="页眉 字符"/>
    <w:link w:val="30"/>
    <w:qFormat/>
    <w:uiPriority w:val="0"/>
    <w:rPr>
      <w:rFonts w:ascii="宋体"/>
      <w:sz w:val="18"/>
    </w:rPr>
  </w:style>
  <w:style w:type="character" w:customStyle="1" w:styleId="80">
    <w:name w:val="正文文本 2 字符"/>
    <w:link w:val="37"/>
    <w:uiPriority w:val="99"/>
    <w:rPr>
      <w:rFonts w:ascii="宋体"/>
      <w:sz w:val="28"/>
    </w:rPr>
  </w:style>
  <w:style w:type="character" w:customStyle="1" w:styleId="81">
    <w:name w:val="普通(网站) 字符"/>
    <w:link w:val="39"/>
    <w:qFormat/>
    <w:uiPriority w:val="99"/>
    <w:rPr>
      <w:rFonts w:ascii="宋体" w:hAnsi="宋体" w:cs="宋体"/>
      <w:sz w:val="24"/>
      <w:szCs w:val="24"/>
    </w:rPr>
  </w:style>
  <w:style w:type="character" w:customStyle="1" w:styleId="82">
    <w:name w:val="正文文本首行缩进 2 字符"/>
    <w:link w:val="42"/>
    <w:uiPriority w:val="0"/>
    <w:rPr>
      <w:rFonts w:cs="宋体"/>
      <w:kern w:val="2"/>
      <w:sz w:val="21"/>
      <w:szCs w:val="21"/>
    </w:rPr>
  </w:style>
  <w:style w:type="character" w:customStyle="1" w:styleId="83">
    <w:name w:val="on"/>
    <w:qFormat/>
    <w:uiPriority w:val="0"/>
    <w:rPr>
      <w:color w:val="FFFFFF"/>
      <w:bdr w:val="single" w:color="D51D13" w:sz="4" w:space="0"/>
      <w:shd w:val="clear" w:color="auto" w:fill="D51D13"/>
    </w:rPr>
  </w:style>
  <w:style w:type="character" w:customStyle="1" w:styleId="84">
    <w:name w:val="0-正文 Char"/>
    <w:link w:val="85"/>
    <w:qFormat/>
    <w:uiPriority w:val="0"/>
    <w:rPr>
      <w:rFonts w:ascii="汉仪仿宋简" w:hAnsi="仿宋"/>
      <w:sz w:val="24"/>
      <w:szCs w:val="28"/>
    </w:rPr>
  </w:style>
  <w:style w:type="paragraph" w:customStyle="1" w:styleId="85">
    <w:name w:val="0-正文"/>
    <w:basedOn w:val="1"/>
    <w:link w:val="84"/>
    <w:qFormat/>
    <w:uiPriority w:val="0"/>
    <w:pPr>
      <w:autoSpaceDE/>
      <w:autoSpaceDN/>
      <w:adjustRightInd/>
      <w:spacing w:line="360" w:lineRule="auto"/>
      <w:ind w:firstLine="420" w:firstLineChars="200"/>
      <w:jc w:val="both"/>
      <w:textAlignment w:val="auto"/>
    </w:pPr>
    <w:rPr>
      <w:rFonts w:ascii="汉仪仿宋简" w:hAnsi="仿宋"/>
      <w:sz w:val="24"/>
      <w:szCs w:val="28"/>
    </w:rPr>
  </w:style>
  <w:style w:type="character" w:customStyle="1" w:styleId="86">
    <w:name w:val="NormalCharacter"/>
    <w:semiHidden/>
    <w:qFormat/>
    <w:uiPriority w:val="0"/>
    <w:rPr>
      <w:rFonts w:ascii="Calibri" w:hAnsi="Calibri"/>
      <w:kern w:val="2"/>
      <w:sz w:val="21"/>
      <w:szCs w:val="24"/>
      <w:lang w:val="en-US" w:eastAsia="zh-CN" w:bidi="ar-SA"/>
    </w:rPr>
  </w:style>
  <w:style w:type="character" w:customStyle="1" w:styleId="87">
    <w:name w:val="普通文字 Char Char1"/>
    <w:qFormat/>
    <w:uiPriority w:val="0"/>
    <w:rPr>
      <w:rFonts w:ascii="宋体" w:hAnsi="Courier New" w:eastAsia="宋体" w:cs="Courier New"/>
      <w:sz w:val="34"/>
      <w:szCs w:val="21"/>
      <w:lang w:val="en-US" w:eastAsia="zh-CN" w:bidi="ar-SA"/>
    </w:rPr>
  </w:style>
  <w:style w:type="character" w:customStyle="1" w:styleId="88">
    <w:name w:val="纯文本 Char2"/>
    <w:qFormat/>
    <w:uiPriority w:val="0"/>
    <w:rPr>
      <w:rFonts w:ascii="??" w:hAnsi="??" w:eastAsia="??" w:cs="宋体"/>
      <w:kern w:val="2"/>
      <w:sz w:val="21"/>
      <w:szCs w:val="21"/>
      <w:lang w:val="en-US" w:eastAsia="zh-CN" w:bidi="ar-SA"/>
    </w:rPr>
  </w:style>
  <w:style w:type="character" w:customStyle="1" w:styleId="89">
    <w:name w:val="Char Char"/>
    <w:qFormat/>
    <w:uiPriority w:val="0"/>
    <w:rPr>
      <w:rFonts w:eastAsia="宋体"/>
      <w:kern w:val="2"/>
      <w:sz w:val="21"/>
      <w:lang w:val="en-US" w:eastAsia="zh-CN" w:bidi="ar-SA"/>
    </w:rPr>
  </w:style>
  <w:style w:type="character" w:customStyle="1" w:styleId="90">
    <w:name w:val="sub"/>
    <w:qFormat/>
    <w:uiPriority w:val="0"/>
  </w:style>
  <w:style w:type="character" w:customStyle="1" w:styleId="91">
    <w:name w:val="bookmark-item"/>
    <w:qFormat/>
    <w:uiPriority w:val="0"/>
  </w:style>
  <w:style w:type="character" w:customStyle="1" w:styleId="92">
    <w:name w:val="answer-title12"/>
    <w:qFormat/>
    <w:uiPriority w:val="0"/>
  </w:style>
  <w:style w:type="character" w:customStyle="1" w:styleId="93">
    <w:name w:val="on1"/>
    <w:qFormat/>
    <w:uiPriority w:val="0"/>
    <w:rPr>
      <w:color w:val="FFFFFF"/>
      <w:bdr w:val="single" w:color="D51D13" w:sz="4" w:space="0"/>
      <w:shd w:val="clear" w:color="auto" w:fill="D51D13"/>
    </w:rPr>
  </w:style>
  <w:style w:type="character" w:customStyle="1" w:styleId="94">
    <w:name w:val="font51"/>
    <w:qFormat/>
    <w:uiPriority w:val="0"/>
    <w:rPr>
      <w:rFonts w:hint="default" w:ascii="Calibri" w:hAnsi="Calibri" w:cs="Calibri"/>
      <w:color w:val="000000"/>
      <w:sz w:val="16"/>
      <w:szCs w:val="16"/>
      <w:u w:val="none"/>
    </w:rPr>
  </w:style>
  <w:style w:type="character" w:customStyle="1" w:styleId="95">
    <w:name w:val="font11"/>
    <w:qFormat/>
    <w:uiPriority w:val="0"/>
    <w:rPr>
      <w:rFonts w:hint="default" w:ascii="华文宋体" w:hAnsi="华文宋体" w:eastAsia="华文宋体" w:cs="华文宋体"/>
      <w:color w:val="000000"/>
      <w:sz w:val="16"/>
      <w:szCs w:val="16"/>
      <w:u w:val="none"/>
    </w:rPr>
  </w:style>
  <w:style w:type="character" w:customStyle="1" w:styleId="96">
    <w:name w:val="标题 2 Char1"/>
    <w:qFormat/>
    <w:uiPriority w:val="0"/>
    <w:rPr>
      <w:rFonts w:ascii="Arial" w:hAnsi="Arial" w:eastAsia="黑体"/>
      <w:b/>
      <w:bCs/>
      <w:kern w:val="2"/>
      <w:sz w:val="32"/>
      <w:szCs w:val="32"/>
      <w:lang w:val="en-US" w:eastAsia="zh-CN" w:bidi="ar-SA"/>
    </w:rPr>
  </w:style>
  <w:style w:type="character" w:customStyle="1" w:styleId="97">
    <w:name w:val="fabu"/>
    <w:qFormat/>
    <w:uiPriority w:val="0"/>
  </w:style>
  <w:style w:type="character" w:customStyle="1" w:styleId="98">
    <w:name w:val="表正文 Char"/>
    <w:qFormat/>
    <w:uiPriority w:val="0"/>
    <w:rPr>
      <w:rFonts w:eastAsia="宋体"/>
      <w:kern w:val="2"/>
      <w:sz w:val="21"/>
      <w:lang w:val="en-US" w:eastAsia="zh-CN" w:bidi="ar-SA"/>
    </w:rPr>
  </w:style>
  <w:style w:type="character" w:customStyle="1" w:styleId="99">
    <w:name w:val="kshs"/>
    <w:qFormat/>
    <w:uiPriority w:val="0"/>
  </w:style>
  <w:style w:type="character" w:customStyle="1" w:styleId="100">
    <w:name w:val="列表段落 字符"/>
    <w:link w:val="101"/>
    <w:qFormat/>
    <w:uiPriority w:val="34"/>
    <w:rPr>
      <w:rFonts w:ascii="Calibri" w:hAnsi="Calibri"/>
      <w:kern w:val="2"/>
      <w:sz w:val="21"/>
      <w:szCs w:val="22"/>
    </w:rPr>
  </w:style>
  <w:style w:type="paragraph" w:styleId="101">
    <w:name w:val="List Paragraph"/>
    <w:basedOn w:val="1"/>
    <w:link w:val="100"/>
    <w:qFormat/>
    <w:uiPriority w:val="34"/>
    <w:pPr>
      <w:autoSpaceDE/>
      <w:autoSpaceDN/>
      <w:adjustRightInd/>
      <w:ind w:firstLine="420" w:firstLineChars="200"/>
      <w:jc w:val="both"/>
      <w:textAlignment w:val="auto"/>
    </w:pPr>
    <w:rPr>
      <w:rFonts w:ascii="Calibri" w:hAnsi="Calibri"/>
      <w:kern w:val="2"/>
      <w:sz w:val="21"/>
      <w:szCs w:val="22"/>
    </w:rPr>
  </w:style>
  <w:style w:type="character" w:customStyle="1" w:styleId="102">
    <w:name w:val="hits"/>
    <w:qFormat/>
    <w:uiPriority w:val="0"/>
  </w:style>
  <w:style w:type="character" w:customStyle="1" w:styleId="103">
    <w:name w:val="正文2 Char Char"/>
    <w:link w:val="104"/>
    <w:qFormat/>
    <w:uiPriority w:val="0"/>
    <w:rPr>
      <w:rFonts w:eastAsia="??"/>
      <w:kern w:val="2"/>
      <w:sz w:val="24"/>
      <w:szCs w:val="28"/>
    </w:rPr>
  </w:style>
  <w:style w:type="paragraph" w:customStyle="1" w:styleId="104">
    <w:name w:val="正文2"/>
    <w:basedOn w:val="1"/>
    <w:link w:val="103"/>
    <w:qFormat/>
    <w:uiPriority w:val="0"/>
    <w:pPr>
      <w:autoSpaceDE/>
      <w:autoSpaceDN/>
      <w:adjustRightInd/>
      <w:spacing w:before="156" w:line="360" w:lineRule="auto"/>
      <w:ind w:firstLine="200" w:firstLineChars="200"/>
      <w:jc w:val="both"/>
      <w:textAlignment w:val="auto"/>
    </w:pPr>
    <w:rPr>
      <w:rFonts w:ascii="Times New Roman" w:eastAsia="??"/>
      <w:kern w:val="2"/>
      <w:sz w:val="24"/>
      <w:szCs w:val="28"/>
    </w:rPr>
  </w:style>
  <w:style w:type="character" w:customStyle="1" w:styleId="105">
    <w:name w:val="font31"/>
    <w:qFormat/>
    <w:uiPriority w:val="0"/>
    <w:rPr>
      <w:rFonts w:hint="eastAsia" w:ascii="宋体" w:hAnsi="宋体" w:eastAsia="宋体" w:cs="宋体"/>
      <w:color w:val="000000"/>
      <w:sz w:val="16"/>
      <w:szCs w:val="16"/>
      <w:u w:val="none"/>
    </w:rPr>
  </w:style>
  <w:style w:type="character" w:customStyle="1" w:styleId="106">
    <w:name w:val="release-day"/>
    <w:qFormat/>
    <w:uiPriority w:val="0"/>
    <w:rPr>
      <w:bdr w:val="single" w:color="BDEBB0" w:sz="6" w:space="0"/>
      <w:shd w:val="clear" w:color="auto" w:fill="F5FFF1"/>
    </w:rPr>
  </w:style>
  <w:style w:type="character" w:customStyle="1" w:styleId="107">
    <w:name w:val="样式 标题 3节内1级标记Heading 3 - oldh3H3level_3PIM 3Level 3 Head...1 Char"/>
    <w:link w:val="108"/>
    <w:qFormat/>
    <w:uiPriority w:val="0"/>
    <w:rPr>
      <w:rFonts w:ascii="Arial" w:hAnsi="Arial" w:eastAsia="黑体"/>
      <w:b/>
      <w:bCs/>
      <w:kern w:val="2"/>
      <w:sz w:val="30"/>
      <w:szCs w:val="30"/>
    </w:rPr>
  </w:style>
  <w:style w:type="paragraph" w:customStyle="1" w:styleId="108">
    <w:name w:val="样式 标题 3节内1级标记Heading 3 - oldh3H3level_3PIM 3Level 3 Head...1"/>
    <w:basedOn w:val="4"/>
    <w:link w:val="107"/>
    <w:qFormat/>
    <w:uiPriority w:val="0"/>
    <w:pPr>
      <w:widowControl/>
      <w:adjustRightInd/>
      <w:spacing w:before="120" w:after="120" w:line="360" w:lineRule="auto"/>
      <w:ind w:left="1806"/>
      <w:jc w:val="left"/>
      <w:textAlignment w:val="auto"/>
    </w:pPr>
    <w:rPr>
      <w:rFonts w:ascii="Arial" w:hAnsi="Arial" w:eastAsia="黑体"/>
      <w:bCs/>
      <w:kern w:val="2"/>
      <w:sz w:val="30"/>
      <w:szCs w:val="30"/>
    </w:rPr>
  </w:style>
  <w:style w:type="character" w:customStyle="1" w:styleId="109">
    <w:name w:val="legend"/>
    <w:qFormat/>
    <w:uiPriority w:val="0"/>
    <w:rPr>
      <w:rFonts w:ascii="Arial" w:hAnsi="Arial" w:cs="Arial"/>
      <w:b/>
      <w:color w:val="73B304"/>
      <w:sz w:val="21"/>
      <w:szCs w:val="21"/>
      <w:shd w:val="clear" w:color="auto" w:fill="FFFFFF"/>
    </w:rPr>
  </w:style>
  <w:style w:type="character" w:customStyle="1" w:styleId="110">
    <w:name w:val="num4"/>
    <w:qFormat/>
    <w:uiPriority w:val="0"/>
    <w:rPr>
      <w:b/>
      <w:color w:val="FF7800"/>
    </w:rPr>
  </w:style>
  <w:style w:type="character" w:customStyle="1" w:styleId="111">
    <w:name w:val="font71"/>
    <w:qFormat/>
    <w:uiPriority w:val="0"/>
    <w:rPr>
      <w:rFonts w:hint="default" w:ascii="Calibri" w:hAnsi="Calibri" w:cs="Calibri"/>
      <w:color w:val="000000"/>
      <w:sz w:val="16"/>
      <w:szCs w:val="16"/>
      <w:u w:val="none"/>
    </w:rPr>
  </w:style>
  <w:style w:type="paragraph" w:customStyle="1" w:styleId="112">
    <w:name w:val=" Char"/>
    <w:basedOn w:val="1"/>
    <w:qFormat/>
    <w:uiPriority w:val="0"/>
    <w:pPr>
      <w:widowControl/>
      <w:spacing w:after="160" w:line="240" w:lineRule="exact"/>
      <w:jc w:val="left"/>
    </w:pPr>
    <w:rPr>
      <w:rFonts w:ascii="(使用中文字体)" w:hAnsi="(使用中文字体)" w:eastAsia="(使用中文字体)" w:cs="(使用中文字体)"/>
      <w:szCs w:val="20"/>
    </w:rPr>
  </w:style>
  <w:style w:type="paragraph" w:customStyle="1" w:styleId="113">
    <w:name w:val="Char"/>
    <w:basedOn w:val="1"/>
    <w:qFormat/>
    <w:uiPriority w:val="0"/>
    <w:pPr>
      <w:autoSpaceDE/>
      <w:autoSpaceDN/>
      <w:adjustRightInd/>
      <w:jc w:val="both"/>
      <w:textAlignment w:val="auto"/>
    </w:pPr>
    <w:rPr>
      <w:rFonts w:ascii="Tahoma" w:hAnsi="Tahoma"/>
      <w:kern w:val="2"/>
      <w:sz w:val="24"/>
    </w:rPr>
  </w:style>
  <w:style w:type="paragraph" w:customStyle="1" w:styleId="114">
    <w:name w:val="WPSOffice手动目录 2"/>
    <w:qFormat/>
    <w:uiPriority w:val="0"/>
    <w:pPr>
      <w:ind w:left="200" w:leftChars="200"/>
    </w:pPr>
    <w:rPr>
      <w:lang w:val="en-US" w:eastAsia="zh-CN" w:bidi="ar-SA"/>
    </w:rPr>
  </w:style>
  <w:style w:type="paragraph" w:customStyle="1" w:styleId="115">
    <w:name w:val="3"/>
    <w:basedOn w:val="1"/>
    <w:qFormat/>
    <w:uiPriority w:val="0"/>
    <w:pPr>
      <w:autoSpaceDN/>
      <w:spacing w:before="100" w:beforeAutospacing="1" w:after="100" w:afterAutospacing="1" w:line="312" w:lineRule="atLeast"/>
      <w:ind w:left="1134" w:hanging="566"/>
      <w:jc w:val="both"/>
    </w:pPr>
    <w:rPr>
      <w:rFonts w:ascii="昆仑楷体" w:hAnsi="昆仑楷体" w:cs="宋体"/>
      <w:sz w:val="24"/>
      <w:szCs w:val="24"/>
    </w:rPr>
  </w:style>
  <w:style w:type="paragraph" w:customStyle="1" w:styleId="116">
    <w:name w:val="List Paragraph"/>
    <w:basedOn w:val="1"/>
    <w:uiPriority w:val="0"/>
    <w:pPr>
      <w:autoSpaceDE/>
      <w:autoSpaceDN/>
      <w:adjustRightInd/>
      <w:ind w:firstLine="420" w:firstLineChars="200"/>
      <w:jc w:val="both"/>
      <w:textAlignment w:val="auto"/>
    </w:pPr>
    <w:rPr>
      <w:rFonts w:ascii="Times New Roman"/>
      <w:kern w:val="2"/>
      <w:sz w:val="21"/>
      <w:szCs w:val="21"/>
    </w:rPr>
  </w:style>
  <w:style w:type="paragraph" w:customStyle="1" w:styleId="117">
    <w:name w:val="Char Char Char Char Char Char Char Char Char Char"/>
    <w:basedOn w:val="1"/>
    <w:qFormat/>
    <w:uiPriority w:val="0"/>
    <w:pPr>
      <w:autoSpaceDE/>
      <w:autoSpaceDN/>
      <w:adjustRightInd/>
      <w:jc w:val="both"/>
      <w:textAlignment w:val="auto"/>
    </w:pPr>
    <w:rPr>
      <w:rFonts w:ascii="Tahoma" w:hAnsi="Tahoma"/>
      <w:kern w:val="2"/>
      <w:sz w:val="24"/>
    </w:rPr>
  </w:style>
  <w:style w:type="paragraph" w:customStyle="1" w:styleId="118">
    <w:name w:val="Char Char Char Char Char Char Char Char Char"/>
    <w:basedOn w:val="1"/>
    <w:qFormat/>
    <w:uiPriority w:val="0"/>
    <w:pPr>
      <w:autoSpaceDE/>
      <w:autoSpaceDN/>
      <w:adjustRightInd/>
      <w:jc w:val="both"/>
      <w:textAlignment w:val="auto"/>
    </w:pPr>
    <w:rPr>
      <w:rFonts w:ascii="Calibri" w:hAnsi="Calibri"/>
      <w:kern w:val="2"/>
      <w:sz w:val="21"/>
      <w:szCs w:val="22"/>
    </w:rPr>
  </w:style>
  <w:style w:type="paragraph" w:customStyle="1" w:styleId="119">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hAnsi="Arial Unicode MS" w:eastAsia="Times New Roman"/>
      <w:color w:val="000000"/>
      <w:kern w:val="2"/>
      <w:sz w:val="21"/>
      <w:szCs w:val="21"/>
      <w:lang w:val="en-US" w:eastAsia="zh-CN" w:bidi="ar-SA"/>
    </w:rPr>
  </w:style>
  <w:style w:type="paragraph" w:customStyle="1" w:styleId="120">
    <w:name w:val="正文（缩进）"/>
    <w:basedOn w:val="1"/>
    <w:qFormat/>
    <w:uiPriority w:val="0"/>
    <w:pPr>
      <w:autoSpaceDE/>
      <w:autoSpaceDN/>
      <w:adjustRightInd/>
      <w:ind w:firstLine="480"/>
      <w:jc w:val="both"/>
      <w:textAlignment w:val="auto"/>
    </w:pPr>
    <w:rPr>
      <w:rFonts w:ascii="Calibri" w:hAnsi="Calibri" w:eastAsia="宋体" w:cs="Times New Roman"/>
      <w:kern w:val="2"/>
      <w:sz w:val="21"/>
      <w:szCs w:val="22"/>
      <w:lang w:val="zh-CN"/>
    </w:rPr>
  </w:style>
  <w:style w:type="paragraph" w:customStyle="1" w:styleId="121">
    <w:name w:val="默认段落字体 Para Char Char Char Char Char Char Char Char Char1 Char Char Char Char"/>
    <w:basedOn w:val="1"/>
    <w:qFormat/>
    <w:uiPriority w:val="0"/>
    <w:pPr>
      <w:autoSpaceDE/>
      <w:autoSpaceDN/>
      <w:adjustRightInd/>
      <w:jc w:val="both"/>
      <w:textAlignment w:val="auto"/>
    </w:pPr>
    <w:rPr>
      <w:rFonts w:ascii="Tahoma" w:hAnsi="Tahoma"/>
      <w:kern w:val="2"/>
      <w:sz w:val="24"/>
    </w:rPr>
  </w:style>
  <w:style w:type="paragraph" w:customStyle="1" w:styleId="122">
    <w:name w:val="Char Char Char Char"/>
    <w:basedOn w:val="1"/>
    <w:qFormat/>
    <w:uiPriority w:val="0"/>
    <w:pPr>
      <w:autoSpaceDE/>
      <w:autoSpaceDN/>
      <w:adjustRightInd/>
      <w:jc w:val="both"/>
      <w:textAlignment w:val="auto"/>
    </w:pPr>
  </w:style>
  <w:style w:type="paragraph" w:customStyle="1" w:styleId="123">
    <w:name w:val="样式10"/>
    <w:basedOn w:val="1"/>
    <w:qFormat/>
    <w:uiPriority w:val="0"/>
    <w:pPr>
      <w:keepNext/>
      <w:keepLines/>
      <w:widowControl/>
      <w:autoSpaceDE/>
      <w:autoSpaceDN/>
      <w:adjustRightInd/>
      <w:spacing w:before="200" w:line="360" w:lineRule="auto"/>
      <w:ind w:left="1806" w:hanging="200" w:hangingChars="200"/>
      <w:textAlignment w:val="auto"/>
      <w:outlineLvl w:val="4"/>
    </w:pPr>
    <w:rPr>
      <w:rFonts w:ascii="Times New Roman" w:eastAsia="黑体"/>
      <w:b/>
      <w:bCs/>
      <w:kern w:val="2"/>
      <w:sz w:val="24"/>
      <w:szCs w:val="28"/>
    </w:rPr>
  </w:style>
  <w:style w:type="paragraph" w:customStyle="1" w:styleId="124">
    <w:name w:val="自动更正"/>
    <w:qFormat/>
    <w:uiPriority w:val="0"/>
    <w:pPr>
      <w:widowControl w:val="0"/>
      <w:jc w:val="both"/>
    </w:pPr>
    <w:rPr>
      <w:kern w:val="2"/>
      <w:sz w:val="21"/>
      <w:szCs w:val="24"/>
      <w:lang w:val="en-US" w:eastAsia="zh-CN" w:bidi="ar-SA"/>
    </w:rPr>
  </w:style>
  <w:style w:type="paragraph" w:customStyle="1" w:styleId="125">
    <w:name w:val="2"/>
    <w:basedOn w:val="1"/>
    <w:next w:val="18"/>
    <w:qFormat/>
    <w:uiPriority w:val="0"/>
    <w:rPr>
      <w:sz w:val="28"/>
    </w:rPr>
  </w:style>
  <w:style w:type="paragraph" w:customStyle="1" w:styleId="126">
    <w:name w:val="WPSOffice手动目录 1"/>
    <w:qFormat/>
    <w:uiPriority w:val="0"/>
    <w:rPr>
      <w:lang w:val="en-US" w:eastAsia="zh-CN" w:bidi="ar-SA"/>
    </w:rPr>
  </w:style>
  <w:style w:type="paragraph" w:customStyle="1" w:styleId="127">
    <w:name w:val="无间隔1"/>
    <w:qFormat/>
    <w:uiPriority w:val="0"/>
    <w:pPr>
      <w:adjustRightInd w:val="0"/>
      <w:snapToGrid w:val="0"/>
    </w:pPr>
    <w:rPr>
      <w:rFonts w:ascii="Tahoma" w:hAnsi="Tahoma" w:eastAsia="微软雅黑"/>
      <w:sz w:val="22"/>
      <w:szCs w:val="22"/>
      <w:lang w:val="en-US" w:eastAsia="zh-CN" w:bidi="ar-SA"/>
    </w:rPr>
  </w:style>
  <w:style w:type="paragraph" w:customStyle="1" w:styleId="128">
    <w:name w:val="Body Text First Indent 2"/>
    <w:basedOn w:val="1"/>
    <w:qFormat/>
    <w:uiPriority w:val="0"/>
    <w:pPr>
      <w:autoSpaceDN/>
      <w:adjustRightInd/>
      <w:spacing w:before="100" w:beforeAutospacing="1" w:after="120"/>
      <w:ind w:left="420" w:leftChars="200" w:firstLine="420"/>
      <w:jc w:val="both"/>
      <w:textAlignment w:val="auto"/>
    </w:pPr>
    <w:rPr>
      <w:rFonts w:ascii="??" w:hAnsi="??" w:cs="宋体"/>
      <w:spacing w:val="-4"/>
      <w:szCs w:val="21"/>
    </w:rPr>
  </w:style>
  <w:style w:type="paragraph" w:customStyle="1" w:styleId="129">
    <w:name w:val="列表段落1"/>
    <w:basedOn w:val="1"/>
    <w:qFormat/>
    <w:uiPriority w:val="99"/>
    <w:pPr>
      <w:adjustRightInd/>
      <w:ind w:firstLine="420" w:firstLineChars="200"/>
      <w:textAlignment w:val="auto"/>
    </w:pPr>
    <w:rPr>
      <w:rFonts w:hAnsi="宋体" w:cs="宋体"/>
      <w:sz w:val="22"/>
      <w:szCs w:val="22"/>
      <w:lang w:val="zh-CN" w:bidi="zh-CN"/>
    </w:rPr>
  </w:style>
  <w:style w:type="paragraph" w:customStyle="1" w:styleId="130">
    <w:name w:val="_Style 2"/>
    <w:basedOn w:val="1"/>
    <w:next w:val="101"/>
    <w:qFormat/>
    <w:uiPriority w:val="34"/>
    <w:pPr>
      <w:widowControl w:val="0"/>
      <w:ind w:firstLine="420" w:firstLineChars="200"/>
      <w:jc w:val="both"/>
    </w:pPr>
    <w:rPr>
      <w:rFonts w:ascii="Calibri" w:hAnsi="Calibri"/>
      <w:kern w:val="2"/>
    </w:rPr>
  </w:style>
  <w:style w:type="paragraph" w:customStyle="1" w:styleId="131">
    <w:name w:val="列出段落1"/>
    <w:basedOn w:val="1"/>
    <w:qFormat/>
    <w:uiPriority w:val="34"/>
    <w:pPr>
      <w:adjustRightInd/>
      <w:ind w:left="1182" w:hanging="525"/>
      <w:textAlignment w:val="auto"/>
    </w:pPr>
    <w:rPr>
      <w:rFonts w:hAnsi="宋体" w:cs="宋体"/>
      <w:sz w:val="22"/>
      <w:szCs w:val="22"/>
      <w:lang w:val="zh-CN" w:bidi="zh-CN"/>
    </w:rPr>
  </w:style>
  <w:style w:type="paragraph" w:customStyle="1" w:styleId="132">
    <w:name w:val="Table Paragraph"/>
    <w:basedOn w:val="1"/>
    <w:qFormat/>
    <w:uiPriority w:val="1"/>
    <w:pPr>
      <w:adjustRightInd/>
      <w:textAlignment w:val="auto"/>
    </w:pPr>
    <w:rPr>
      <w:rFonts w:hAnsi="宋体" w:cs="宋体"/>
      <w:sz w:val="22"/>
      <w:szCs w:val="22"/>
      <w:lang w:val="zh-CN" w:bidi="zh-CN"/>
    </w:rPr>
  </w:style>
  <w:style w:type="paragraph" w:customStyle="1" w:styleId="133">
    <w:name w:val="TOC 标题1"/>
    <w:basedOn w:val="2"/>
    <w:next w:val="1"/>
    <w:unhideWhenUsed/>
    <w:qFormat/>
    <w:uiPriority w:val="39"/>
    <w:pPr>
      <w:keepLines/>
      <w:widowControl/>
      <w:autoSpaceDE/>
      <w:autoSpaceDN/>
      <w:adjustRightInd/>
      <w:spacing w:before="480" w:line="276" w:lineRule="auto"/>
      <w:textAlignment w:val="auto"/>
      <w:outlineLvl w:val="9"/>
    </w:pPr>
    <w:rPr>
      <w:rFonts w:ascii="Cambria" w:hAnsi="Cambria" w:eastAsia="宋体" w:cs="Times New Roman"/>
      <w:bCs/>
      <w:color w:val="365F91"/>
      <w:sz w:val="28"/>
      <w:szCs w:val="28"/>
      <w:lang w:val="en-US" w:eastAsia="zh-CN"/>
    </w:rPr>
  </w:style>
  <w:style w:type="paragraph" w:customStyle="1" w:styleId="134">
    <w:name w:val="_正文段落"/>
    <w:basedOn w:val="1"/>
    <w:qFormat/>
    <w:uiPriority w:val="99"/>
    <w:pPr>
      <w:autoSpaceDE w:val="0"/>
      <w:autoSpaceDN w:val="0"/>
      <w:adjustRightInd w:val="0"/>
      <w:jc w:val="left"/>
      <w:textAlignment w:val="baseline"/>
    </w:pPr>
    <w:rPr>
      <w:rFonts w:ascii="宋体" w:hAnsi="Times New Roman"/>
      <w:kern w:val="0"/>
      <w:sz w:val="34"/>
    </w:rPr>
  </w:style>
  <w:style w:type="paragraph" w:customStyle="1" w:styleId="135">
    <w:name w:val="xl53"/>
    <w:basedOn w:val="1"/>
    <w:next w:val="1"/>
    <w:qFormat/>
    <w:uiPriority w:val="0"/>
    <w:pPr>
      <w:spacing w:before="280" w:after="280" w:line="100" w:lineRule="exact"/>
      <w:jc w:val="center"/>
    </w:pPr>
    <w:rPr>
      <w:b/>
      <w:sz w:val="20"/>
    </w:rPr>
  </w:style>
  <w:style w:type="paragraph" w:customStyle="1" w:styleId="136">
    <w:name w:val="Default"/>
    <w:uiPriority w:val="0"/>
    <w:pPr>
      <w:widowControl w:val="0"/>
      <w:autoSpaceDE w:val="0"/>
      <w:autoSpaceDN w:val="0"/>
      <w:adjustRightInd w:val="0"/>
    </w:pPr>
    <w:rPr>
      <w:rFonts w:ascii="仿宋" w:eastAsia="仿宋" w:cs="仿宋"/>
      <w:color w:val="000000"/>
      <w:sz w:val="24"/>
      <w:szCs w:val="24"/>
      <w:lang w:val="en-US" w:eastAsia="zh-CN" w:bidi="ar-SA"/>
    </w:rPr>
  </w:style>
  <w:style w:type="paragraph" w:customStyle="1" w:styleId="137">
    <w:name w:val="Char Char Char Char Char Char Char"/>
    <w:basedOn w:val="1"/>
    <w:qFormat/>
    <w:uiPriority w:val="0"/>
    <w:pPr>
      <w:tabs>
        <w:tab w:val="left" w:pos="432"/>
      </w:tabs>
      <w:autoSpaceDE/>
      <w:autoSpaceDN/>
      <w:adjustRightInd/>
      <w:ind w:left="432" w:hanging="432"/>
      <w:jc w:val="both"/>
      <w:textAlignment w:val="auto"/>
    </w:pPr>
    <w:rPr>
      <w:rFonts w:ascii="Times New Roman"/>
      <w:kern w:val="2"/>
      <w:sz w:val="21"/>
    </w:rPr>
  </w:style>
  <w:style w:type="paragraph" w:customStyle="1" w:styleId="138">
    <w:name w:val="正文首行缩进 21"/>
    <w:basedOn w:val="1"/>
    <w:next w:val="1"/>
    <w:qFormat/>
    <w:uiPriority w:val="99"/>
    <w:pPr>
      <w:autoSpaceDE w:val="0"/>
      <w:autoSpaceDN w:val="0"/>
      <w:adjustRightInd w:val="0"/>
      <w:spacing w:after="120"/>
      <w:ind w:left="420" w:leftChars="200" w:firstLine="420"/>
    </w:pPr>
    <w:rPr>
      <w:rFonts w:cs="宋体"/>
      <w:color w:val="000000"/>
      <w:kern w:val="0"/>
      <w:szCs w:val="21"/>
    </w:rPr>
  </w:style>
  <w:style w:type="paragraph" w:customStyle="1" w:styleId="139">
    <w:name w:val="样式K"/>
    <w:basedOn w:val="18"/>
    <w:qFormat/>
    <w:uiPriority w:val="0"/>
    <w:pPr>
      <w:autoSpaceDE/>
      <w:autoSpaceDN/>
      <w:adjustRightInd/>
      <w:textAlignment w:val="auto"/>
    </w:pPr>
    <w:rPr>
      <w:rFonts w:ascii="仿宋_GB2312" w:hAnsi="Book Antiqua" w:eastAsia="仿宋_GB2312"/>
      <w:kern w:val="2"/>
      <w:sz w:val="24"/>
      <w:szCs w:val="24"/>
    </w:rPr>
  </w:style>
  <w:style w:type="paragraph" w:customStyle="1" w:styleId="140">
    <w:name w:val="正文0"/>
    <w:basedOn w:val="1"/>
    <w:qFormat/>
    <w:uiPriority w:val="0"/>
    <w:pPr>
      <w:spacing w:line="360" w:lineRule="auto"/>
      <w:ind w:firstLine="200" w:firstLineChars="200"/>
    </w:pPr>
    <w:rPr>
      <w:rFonts w:ascii="仿宋_GB2312" w:eastAsia="仿宋_GB2312"/>
      <w:sz w:val="28"/>
    </w:rPr>
  </w:style>
  <w:style w:type="paragraph" w:customStyle="1" w:styleId="141">
    <w:name w:val="正文－恩普"/>
    <w:basedOn w:val="6"/>
    <w:qFormat/>
    <w:uiPriority w:val="0"/>
    <w:pPr>
      <w:widowControl/>
      <w:spacing w:line="360" w:lineRule="auto"/>
      <w:ind w:firstLine="480" w:firstLineChars="200"/>
      <w:jc w:val="left"/>
    </w:pPr>
    <w:rPr>
      <w:kern w:val="0"/>
      <w:sz w:val="24"/>
    </w:rPr>
  </w:style>
  <w:style w:type="paragraph" w:customStyle="1" w:styleId="142">
    <w:name w:val="Char Char2 Char"/>
    <w:basedOn w:val="1"/>
    <w:qFormat/>
    <w:uiPriority w:val="0"/>
    <w:pPr>
      <w:autoSpaceDE/>
      <w:autoSpaceDN/>
      <w:adjustRightInd/>
      <w:jc w:val="both"/>
      <w:textAlignment w:val="auto"/>
    </w:pPr>
    <w:rPr>
      <w:rFonts w:hAnsi="宋体"/>
      <w:b/>
      <w:kern w:val="2"/>
      <w:sz w:val="28"/>
      <w:szCs w:val="28"/>
    </w:rPr>
  </w:style>
  <w:style w:type="paragraph" w:customStyle="1" w:styleId="143">
    <w:name w:val="p0"/>
    <w:basedOn w:val="1"/>
    <w:qFormat/>
    <w:uiPriority w:val="0"/>
    <w:pPr>
      <w:widowControl/>
      <w:autoSpaceDE/>
      <w:autoSpaceDN/>
      <w:adjustRightInd/>
      <w:jc w:val="both"/>
      <w:textAlignment w:val="auto"/>
    </w:pPr>
    <w:rPr>
      <w:rFonts w:hint="eastAsia" w:ascii="Courier" w:hAnsi="Courier" w:eastAsia="MingLiU"/>
      <w:sz w:val="21"/>
      <w:lang w:eastAsia="zh-TW"/>
    </w:rPr>
  </w:style>
  <w:style w:type="paragraph" w:customStyle="1" w:styleId="144">
    <w:name w:val=" Char Char Char Char Char Char"/>
    <w:basedOn w:val="1"/>
    <w:qFormat/>
    <w:uiPriority w:val="0"/>
    <w:pPr>
      <w:widowControl/>
      <w:spacing w:after="160" w:line="240" w:lineRule="exact"/>
      <w:jc w:val="left"/>
    </w:pPr>
    <w:rPr>
      <w:rFonts w:ascii="(使用中文字体)" w:hAnsi="(使用中文字体)"/>
      <w:kern w:val="0"/>
      <w:sz w:val="20"/>
      <w:szCs w:val="20"/>
      <w:lang w:eastAsia="en-US"/>
    </w:rPr>
  </w:style>
  <w:style w:type="paragraph" w:customStyle="1" w:styleId="145">
    <w:name w:val="纯文本1"/>
    <w:basedOn w:val="104"/>
    <w:qFormat/>
    <w:uiPriority w:val="0"/>
    <w:pPr>
      <w:autoSpaceDE/>
      <w:autoSpaceDN/>
      <w:jc w:val="both"/>
    </w:pPr>
    <w:rPr>
      <w:rFonts w:hAnsi="Courier New" w:eastAsia="楷体_GB2312"/>
      <w:kern w:val="2"/>
      <w:sz w:val="26"/>
    </w:rPr>
  </w:style>
  <w:style w:type="character" w:customStyle="1" w:styleId="146">
    <w:name w:val="正文2 字符"/>
    <w:qFormat/>
    <w:uiPriority w:val="0"/>
    <w:rPr>
      <w:kern w:val="2"/>
      <w:sz w:val="21"/>
      <w:szCs w:val="24"/>
    </w:rPr>
  </w:style>
  <w:style w:type="character" w:customStyle="1" w:styleId="147">
    <w:name w:val="未处理的提及1"/>
    <w:unhideWhenUsed/>
    <w:qFormat/>
    <w:uiPriority w:val="99"/>
    <w:rPr>
      <w:color w:val="605E5C"/>
      <w:shd w:val="clear" w:color="auto" w:fill="E1DFDD"/>
    </w:rPr>
  </w:style>
  <w:style w:type="paragraph" w:customStyle="1" w:styleId="148">
    <w:name w:val="样式4"/>
    <w:basedOn w:val="1"/>
    <w:link w:val="149"/>
    <w:qFormat/>
    <w:uiPriority w:val="0"/>
    <w:pPr>
      <w:spacing w:line="480" w:lineRule="auto"/>
      <w:ind w:firstLine="420" w:firstLineChars="200"/>
      <w:textAlignment w:val="auto"/>
    </w:pPr>
    <w:rPr>
      <w:rFonts w:hAnsi="宋体" w:cs="宋体"/>
      <w:sz w:val="24"/>
      <w:szCs w:val="24"/>
    </w:rPr>
  </w:style>
  <w:style w:type="character" w:customStyle="1" w:styleId="149">
    <w:name w:val="样式4 字符"/>
    <w:link w:val="148"/>
    <w:qFormat/>
    <w:uiPriority w:val="0"/>
    <w:rPr>
      <w:rFonts w:ascii="宋体" w:hAnsi="宋体" w:cs="宋体"/>
      <w:sz w:val="24"/>
      <w:szCs w:val="24"/>
    </w:rPr>
  </w:style>
  <w:style w:type="paragraph" w:customStyle="1" w:styleId="150">
    <w:name w:val="章正文"/>
    <w:basedOn w:val="1"/>
    <w:qFormat/>
    <w:uiPriority w:val="0"/>
    <w:pPr>
      <w:spacing w:before="156" w:beforeLines="50" w:after="120" w:line="300" w:lineRule="auto"/>
      <w:ind w:firstLine="480" w:firstLineChars="200"/>
      <w:textAlignment w:val="auto"/>
    </w:pPr>
    <w:rPr>
      <w:rFonts w:ascii="Helvetica" w:hAnsi="Helvetica" w:cs="宋体"/>
      <w:sz w:val="24"/>
      <w:szCs w:val="24"/>
    </w:rPr>
  </w:style>
  <w:style w:type="character" w:customStyle="1" w:styleId="151">
    <w:name w:val="页脚 Char"/>
    <w:uiPriority w:val="0"/>
    <w:rPr>
      <w:kern w:val="2"/>
      <w:sz w:val="18"/>
      <w:szCs w:val="18"/>
    </w:rPr>
  </w:style>
  <w:style w:type="character" w:customStyle="1" w:styleId="152">
    <w:name w:val="批注框文本 Char"/>
    <w:uiPriority w:val="0"/>
    <w:rPr>
      <w:kern w:val="2"/>
      <w:sz w:val="18"/>
      <w:szCs w:val="18"/>
    </w:rPr>
  </w:style>
  <w:style w:type="character" w:customStyle="1" w:styleId="153">
    <w:name w:val="页眉 Char"/>
    <w:uiPriority w:val="0"/>
    <w:rPr>
      <w:kern w:val="2"/>
      <w:sz w:val="18"/>
      <w:szCs w:val="18"/>
    </w:rPr>
  </w:style>
  <w:style w:type="character" w:customStyle="1" w:styleId="154">
    <w:name w:val="font21"/>
    <w:uiPriority w:val="0"/>
    <w:rPr>
      <w:rFonts w:hint="eastAsia" w:ascii="宋体" w:hAnsi="宋体" w:eastAsia="宋体" w:cs="宋体"/>
      <w:b/>
      <w:color w:val="000000"/>
      <w:sz w:val="22"/>
      <w:szCs w:val="22"/>
      <w:u w:val="none"/>
    </w:rPr>
  </w:style>
  <w:style w:type="paragraph" w:customStyle="1" w:styleId="155">
    <w:name w:val="_Style 19"/>
    <w:basedOn w:val="18"/>
    <w:next w:val="19"/>
    <w:unhideWhenUsed/>
    <w:qFormat/>
    <w:uiPriority w:val="99"/>
    <w:pPr>
      <w:autoSpaceDE/>
      <w:autoSpaceDN/>
      <w:adjustRightInd/>
      <w:spacing w:after="120"/>
      <w:ind w:firstLine="100" w:firstLineChars="100"/>
      <w:jc w:val="both"/>
      <w:textAlignment w:val="auto"/>
    </w:pPr>
    <w:rPr>
      <w:rFonts w:ascii="Times New Roman"/>
      <w:kern w:val="2"/>
      <w:sz w:val="20"/>
      <w:szCs w:val="24"/>
    </w:rPr>
  </w:style>
  <w:style w:type="paragraph" w:customStyle="1" w:styleId="156">
    <w:name w:val="正文缩进1"/>
    <w:basedOn w:val="1"/>
    <w:qFormat/>
    <w:uiPriority w:val="0"/>
    <w:pPr>
      <w:autoSpaceDE/>
      <w:autoSpaceDN/>
      <w:adjustRightInd/>
      <w:jc w:val="both"/>
      <w:textAlignment w:val="auto"/>
    </w:pPr>
    <w:rPr>
      <w:rFonts w:ascii="Times New Roman"/>
      <w:kern w:val="2"/>
      <w:sz w:val="21"/>
      <w:szCs w:val="24"/>
    </w:rPr>
  </w:style>
  <w:style w:type="paragraph" w:customStyle="1" w:styleId="157">
    <w:name w:val="页眉1"/>
    <w:basedOn w:val="1"/>
    <w:qFormat/>
    <w:uiPriority w:val="0"/>
    <w:pPr>
      <w:widowControl/>
      <w:pBdr>
        <w:bottom w:val="single" w:color="000000" w:sz="6" w:space="1"/>
      </w:pBdr>
      <w:tabs>
        <w:tab w:val="center" w:pos="4153"/>
        <w:tab w:val="right" w:pos="8306"/>
      </w:tabs>
      <w:autoSpaceDE/>
      <w:autoSpaceDN/>
      <w:adjustRightInd/>
      <w:snapToGrid w:val="0"/>
      <w:jc w:val="center"/>
    </w:pPr>
    <w:rPr>
      <w:rFonts w:hAnsi="宋体"/>
      <w:sz w:val="18"/>
    </w:rPr>
  </w:style>
  <w:style w:type="paragraph" w:customStyle="1" w:styleId="158">
    <w:name w:val="xl35"/>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both"/>
      <w:textAlignment w:val="center"/>
    </w:pPr>
    <w:rPr>
      <w:rFonts w:ascii="Arial Unicode MS" w:hAnsi="Arial Unicode MS" w:eastAsia="Arial Unicode MS"/>
      <w:kern w:val="2"/>
      <w:sz w:val="24"/>
      <w:szCs w:val="24"/>
    </w:rPr>
  </w:style>
  <w:style w:type="paragraph" w:customStyle="1" w:styleId="159">
    <w:name w:val="[Normal]"/>
    <w:qFormat/>
    <w:uiPriority w:val="0"/>
    <w:pPr>
      <w:widowControl w:val="0"/>
      <w:autoSpaceDE w:val="0"/>
      <w:autoSpaceDN w:val="0"/>
      <w:adjustRightInd w:val="0"/>
    </w:pPr>
    <w:rPr>
      <w:rFonts w:ascii="宋体" w:cs="宋体"/>
      <w:sz w:val="24"/>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99</Pages>
  <Words>55235</Words>
  <Characters>58560</Characters>
  <Lines>462</Lines>
  <Paragraphs>130</Paragraphs>
  <TotalTime>1</TotalTime>
  <ScaleCrop>false</ScaleCrop>
  <LinksUpToDate>false</LinksUpToDate>
  <CharactersWithSpaces>59969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2021-09-27T10:33:00Z</dcterms:created>
  <dc:creator>方琦</dc:creator>
  <cp:lastModifiedBy>WPS_1701756769</cp:lastModifiedBy>
  <cp:lastPrinted>2022-12-06T11:24:42Z</cp:lastPrinted>
  <dcterms:modified xsi:type="dcterms:W3CDTF">2024-02-22T02:41:25Z</dcterms:modified>
  <cp:revision>3</cp:revision>
  <dc: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D29ECD9BE8244CA7A6E08423F58017A8_13</vt:lpwstr>
  </property>
</Properties>
</file>