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center" w:pos="4677"/>
          <w:tab w:val="left" w:pos="7365"/>
        </w:tabs>
        <w:rPr>
          <w:rFonts w:ascii="新宋体" w:hAnsi="新宋体" w:eastAsia="新宋体" w:cs="新宋体"/>
          <w:b/>
          <w:bCs/>
          <w:sz w:val="48"/>
          <w:szCs w:val="48"/>
        </w:rPr>
      </w:pPr>
    </w:p>
    <w:p>
      <w:pPr>
        <w:widowControl w:val="0"/>
        <w:tabs>
          <w:tab w:val="center" w:pos="4677"/>
          <w:tab w:val="left" w:pos="7365"/>
        </w:tabs>
        <w:jc w:val="center"/>
        <w:rPr>
          <w:rFonts w:ascii="新宋体" w:hAnsi="新宋体" w:eastAsia="新宋体" w:cs="新宋体"/>
          <w:b/>
          <w:bCs/>
          <w:sz w:val="44"/>
          <w:szCs w:val="44"/>
        </w:rPr>
      </w:pPr>
      <w:r>
        <w:rPr>
          <w:rFonts w:hint="eastAsia" w:ascii="新宋体" w:hAnsi="新宋体" w:eastAsia="新宋体" w:cs="新宋体"/>
          <w:b/>
          <w:bCs/>
          <w:sz w:val="44"/>
          <w:szCs w:val="44"/>
        </w:rPr>
        <w:t>永康市第三中学校园网络监控改造、专用</w:t>
      </w:r>
    </w:p>
    <w:p>
      <w:pPr>
        <w:widowControl w:val="0"/>
        <w:tabs>
          <w:tab w:val="center" w:pos="4677"/>
          <w:tab w:val="left" w:pos="7365"/>
        </w:tabs>
        <w:jc w:val="center"/>
        <w:rPr>
          <w:rFonts w:ascii="新宋体" w:hAnsi="新宋体" w:eastAsia="新宋体" w:cs="Times New Roman"/>
          <w:b/>
          <w:bCs/>
          <w:sz w:val="44"/>
          <w:szCs w:val="44"/>
        </w:rPr>
      </w:pPr>
      <w:r>
        <w:rPr>
          <w:rFonts w:hint="eastAsia" w:ascii="新宋体" w:hAnsi="新宋体" w:eastAsia="新宋体" w:cs="新宋体"/>
          <w:b/>
          <w:bCs/>
          <w:sz w:val="44"/>
          <w:szCs w:val="44"/>
        </w:rPr>
        <w:t>教室装备、路灯采购项目</w:t>
      </w:r>
    </w:p>
    <w:p>
      <w:pPr>
        <w:widowControl w:val="0"/>
        <w:tabs>
          <w:tab w:val="center" w:pos="4677"/>
          <w:tab w:val="left" w:pos="7365"/>
        </w:tabs>
        <w:jc w:val="center"/>
        <w:rPr>
          <w:rFonts w:ascii="Calibri" w:hAnsi="Calibri" w:cs="Times New Roman"/>
          <w:b/>
          <w:bCs/>
          <w:sz w:val="52"/>
          <w:szCs w:val="52"/>
        </w:rPr>
      </w:pPr>
    </w:p>
    <w:p>
      <w:pPr>
        <w:widowControl w:val="0"/>
        <w:tabs>
          <w:tab w:val="center" w:pos="4677"/>
          <w:tab w:val="left" w:pos="7365"/>
        </w:tabs>
        <w:jc w:val="center"/>
        <w:rPr>
          <w:rFonts w:ascii="宋体" w:cs="宋体"/>
          <w:b/>
          <w:bCs/>
          <w:sz w:val="32"/>
          <w:szCs w:val="32"/>
        </w:rPr>
      </w:pPr>
      <w:r>
        <w:rPr>
          <w:rFonts w:hint="eastAsia" w:ascii="黑体" w:hAnsi="Calibri" w:eastAsia="黑体" w:cs="黑体"/>
          <w:b/>
          <w:bCs/>
          <w:sz w:val="72"/>
          <w:szCs w:val="72"/>
        </w:rPr>
        <w:t>招标文件</w:t>
      </w:r>
    </w:p>
    <w:p>
      <w:pPr>
        <w:ind w:firstLine="1285" w:firstLineChars="400"/>
        <w:rPr>
          <w:rFonts w:hint="eastAsia" w:eastAsia="宋体"/>
          <w:lang w:eastAsia="zh-CN"/>
        </w:rPr>
      </w:pPr>
      <w:r>
        <w:rPr>
          <w:rFonts w:hint="eastAsia" w:ascii="宋体" w:cs="宋体"/>
          <w:b/>
          <w:bCs/>
          <w:sz w:val="32"/>
          <w:szCs w:val="32"/>
        </w:rPr>
        <w:t>采购编号：</w:t>
      </w:r>
      <w:r>
        <w:rPr>
          <w:rFonts w:hint="eastAsia" w:ascii="宋体" w:cs="宋体"/>
          <w:b/>
          <w:bCs/>
          <w:sz w:val="32"/>
          <w:szCs w:val="32"/>
          <w:lang w:eastAsia="zh-CN"/>
        </w:rPr>
        <w:t>4017112022009-CJCG22026</w:t>
      </w:r>
    </w:p>
    <w:p>
      <w:pPr>
        <w:widowControl w:val="0"/>
        <w:rPr>
          <w:rFonts w:ascii="宋体" w:hAnsi="Calibri" w:cs="Times New Roman"/>
          <w:b/>
          <w:bCs/>
          <w:color w:val="FF0000"/>
          <w:sz w:val="32"/>
          <w:szCs w:val="32"/>
        </w:rPr>
      </w:pPr>
    </w:p>
    <w:p>
      <w:pPr>
        <w:widowControl w:val="0"/>
        <w:jc w:val="center"/>
        <w:rPr>
          <w:rFonts w:ascii="宋体" w:hAnsi="Calibri" w:cs="Times New Roman"/>
          <w:b/>
          <w:bCs/>
          <w:sz w:val="32"/>
          <w:szCs w:val="32"/>
        </w:rPr>
      </w:pPr>
      <w:r>
        <w:rPr>
          <w:rFonts w:hint="eastAsia" w:ascii="宋体"/>
          <w:b/>
          <w:bCs/>
          <w:sz w:val="32"/>
        </w:rPr>
        <w:drawing>
          <wp:inline distT="0" distB="0" distL="114300" distR="114300">
            <wp:extent cx="3985260" cy="3686175"/>
            <wp:effectExtent l="0" t="0" r="2540" b="9525"/>
            <wp:docPr id="1" name="图片 2" descr="310590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1059076-1"/>
                    <pic:cNvPicPr>
                      <a:picLocks noChangeAspect="1"/>
                    </pic:cNvPicPr>
                  </pic:nvPicPr>
                  <pic:blipFill>
                    <a:blip r:embed="rId9"/>
                    <a:stretch>
                      <a:fillRect/>
                    </a:stretch>
                  </pic:blipFill>
                  <pic:spPr>
                    <a:xfrm>
                      <a:off x="0" y="0"/>
                      <a:ext cx="3985260" cy="3686175"/>
                    </a:xfrm>
                    <a:prstGeom prst="rect">
                      <a:avLst/>
                    </a:prstGeom>
                    <a:noFill/>
                    <a:ln>
                      <a:noFill/>
                    </a:ln>
                  </pic:spPr>
                </pic:pic>
              </a:graphicData>
            </a:graphic>
          </wp:inline>
        </w:drawing>
      </w:r>
    </w:p>
    <w:p>
      <w:pPr>
        <w:widowControl w:val="0"/>
        <w:rPr>
          <w:rFonts w:ascii="宋体" w:hAnsi="Calibri" w:cs="Times New Roman"/>
          <w:b/>
          <w:bCs/>
          <w:sz w:val="36"/>
          <w:szCs w:val="36"/>
        </w:rPr>
      </w:pPr>
    </w:p>
    <w:p>
      <w:pPr>
        <w:widowControl w:val="0"/>
        <w:ind w:firstLine="1807" w:firstLineChars="500"/>
        <w:rPr>
          <w:rFonts w:ascii="仿宋_GB2312" w:hAnsi="华文仿宋" w:eastAsia="仿宋_GB2312" w:cs="Times New Roman"/>
          <w:b/>
          <w:bCs/>
          <w:sz w:val="36"/>
          <w:szCs w:val="36"/>
        </w:rPr>
      </w:pPr>
      <w:r>
        <w:rPr>
          <w:rFonts w:hint="eastAsia" w:ascii="仿宋_GB2312" w:hAnsi="华文仿宋" w:eastAsia="仿宋_GB2312" w:cs="仿宋_GB2312"/>
          <w:b/>
          <w:bCs/>
          <w:sz w:val="36"/>
          <w:szCs w:val="36"/>
        </w:rPr>
        <w:t>采购人：永康市第三中学</w:t>
      </w:r>
    </w:p>
    <w:p>
      <w:pPr>
        <w:widowControl w:val="0"/>
        <w:jc w:val="center"/>
        <w:rPr>
          <w:rFonts w:ascii="仿宋_GB2312" w:hAnsi="华文仿宋" w:eastAsia="仿宋_GB2312" w:cs="Times New Roman"/>
          <w:b/>
          <w:bCs/>
          <w:sz w:val="36"/>
          <w:szCs w:val="36"/>
        </w:rPr>
      </w:pPr>
      <w:r>
        <w:rPr>
          <w:rFonts w:hint="eastAsia" w:ascii="仿宋_GB2312" w:hAnsi="华文仿宋" w:eastAsia="仿宋_GB2312" w:cs="仿宋_GB2312"/>
          <w:b/>
          <w:bCs/>
          <w:sz w:val="36"/>
          <w:szCs w:val="36"/>
        </w:rPr>
        <w:t>采购代理机构：金华市创佳工程项目管理有限公司</w:t>
      </w:r>
    </w:p>
    <w:p>
      <w:pPr>
        <w:widowControl w:val="0"/>
        <w:ind w:firstLine="3253" w:firstLineChars="900"/>
        <w:rPr>
          <w:rFonts w:ascii="宋体" w:hAnsi="华文仿宋" w:cs="宋体"/>
          <w:b/>
          <w:bCs/>
          <w:sz w:val="36"/>
          <w:szCs w:val="36"/>
        </w:rPr>
      </w:pPr>
      <w:r>
        <w:rPr>
          <w:rFonts w:hint="eastAsia" w:ascii="仿宋_GB2312" w:hAnsi="华文仿宋" w:eastAsia="仿宋_GB2312" w:cs="仿宋_GB2312"/>
          <w:b/>
          <w:bCs/>
          <w:sz w:val="36"/>
          <w:szCs w:val="36"/>
        </w:rPr>
        <w:t>二○二二年</w:t>
      </w:r>
      <w:r>
        <w:rPr>
          <w:rFonts w:hint="eastAsia" w:ascii="仿宋_GB2312" w:hAnsi="华文仿宋" w:eastAsia="仿宋_GB2312" w:cs="仿宋_GB2312"/>
          <w:b/>
          <w:bCs/>
          <w:sz w:val="36"/>
          <w:szCs w:val="36"/>
          <w:lang w:eastAsia="zh-CN"/>
        </w:rPr>
        <w:t>六</w:t>
      </w:r>
      <w:r>
        <w:rPr>
          <w:rFonts w:hint="eastAsia" w:ascii="仿宋_GB2312" w:hAnsi="华文仿宋" w:eastAsia="仿宋_GB2312" w:cs="仿宋_GB2312"/>
          <w:b/>
          <w:bCs/>
          <w:sz w:val="36"/>
          <w:szCs w:val="36"/>
        </w:rPr>
        <w:t>月</w:t>
      </w:r>
    </w:p>
    <w:p>
      <w:pPr>
        <w:widowControl w:val="0"/>
        <w:rPr>
          <w:rFonts w:ascii="宋体" w:hAnsi="Calibri" w:cs="Times New Roman"/>
          <w:b/>
          <w:bCs/>
          <w:sz w:val="36"/>
          <w:szCs w:val="36"/>
        </w:rPr>
        <w:sectPr>
          <w:headerReference r:id="rId3" w:type="default"/>
          <w:pgSz w:w="11906" w:h="16838"/>
          <w:pgMar w:top="1440" w:right="1803" w:bottom="1440" w:left="1803" w:header="851" w:footer="992" w:gutter="0"/>
          <w:cols w:space="0" w:num="1"/>
          <w:docGrid w:type="lines" w:linePitch="325" w:charSpace="0"/>
        </w:sectPr>
      </w:pPr>
    </w:p>
    <w:p>
      <w:pPr>
        <w:widowControl w:val="0"/>
        <w:rPr>
          <w:rFonts w:ascii="Calibri" w:hAnsi="Calibri" w:eastAsia="方正黑体简体" w:cs="Times New Roman"/>
          <w:b/>
          <w:bCs/>
          <w:sz w:val="36"/>
          <w:szCs w:val="36"/>
        </w:rPr>
      </w:pPr>
    </w:p>
    <w:p>
      <w:pPr>
        <w:widowControl w:val="0"/>
        <w:jc w:val="center"/>
        <w:rPr>
          <w:rFonts w:ascii="Calibri" w:hAnsi="Calibri" w:eastAsia="方正黑体简体" w:cs="Times New Roman"/>
          <w:b/>
          <w:bCs/>
          <w:sz w:val="36"/>
          <w:szCs w:val="36"/>
        </w:rPr>
      </w:pPr>
    </w:p>
    <w:p>
      <w:pPr>
        <w:keepNext/>
        <w:keepLines/>
        <w:widowControl w:val="0"/>
        <w:spacing w:before="120" w:after="120"/>
        <w:jc w:val="center"/>
        <w:outlineLvl w:val="0"/>
        <w:rPr>
          <w:rFonts w:ascii="Calibri" w:hAnsi="Calibri" w:cs="Times New Roman"/>
          <w:color w:val="000000"/>
          <w:sz w:val="28"/>
          <w:szCs w:val="28"/>
        </w:rPr>
      </w:pPr>
      <w:r>
        <w:rPr>
          <w:rFonts w:hint="eastAsia" w:ascii="Calibri" w:hAnsi="Calibri" w:cs="宋体"/>
          <w:b/>
          <w:bCs/>
          <w:kern w:val="44"/>
          <w:sz w:val="44"/>
          <w:szCs w:val="44"/>
        </w:rPr>
        <w:t>目录</w:t>
      </w:r>
    </w:p>
    <w:p>
      <w:pPr>
        <w:widowControl w:val="0"/>
        <w:numPr>
          <w:ilvl w:val="0"/>
          <w:numId w:val="2"/>
        </w:numPr>
        <w:tabs>
          <w:tab w:val="left" w:pos="0"/>
          <w:tab w:val="left" w:pos="1800"/>
          <w:tab w:val="left" w:pos="6300"/>
        </w:tabs>
        <w:snapToGrid w:val="0"/>
        <w:spacing w:line="900" w:lineRule="exact"/>
        <w:ind w:left="3646" w:hanging="3107"/>
        <w:jc w:val="left"/>
        <w:rPr>
          <w:rFonts w:ascii="Calibri" w:hAnsi="Calibri" w:cs="Times New Roman"/>
          <w:color w:val="000000"/>
          <w:sz w:val="28"/>
          <w:szCs w:val="28"/>
        </w:rPr>
      </w:pPr>
      <w:r>
        <w:rPr>
          <w:rFonts w:hint="eastAsia" w:ascii="Calibri" w:hAnsi="Calibri" w:cs="宋体"/>
          <w:color w:val="000000"/>
          <w:sz w:val="28"/>
          <w:szCs w:val="28"/>
        </w:rPr>
        <w:t>招标公告</w:t>
      </w:r>
    </w:p>
    <w:p>
      <w:pPr>
        <w:widowControl w:val="0"/>
        <w:numPr>
          <w:ilvl w:val="0"/>
          <w:numId w:val="2"/>
        </w:numPr>
        <w:tabs>
          <w:tab w:val="left" w:pos="0"/>
          <w:tab w:val="left" w:pos="1800"/>
          <w:tab w:val="left" w:pos="6300"/>
        </w:tabs>
        <w:snapToGrid w:val="0"/>
        <w:spacing w:line="900" w:lineRule="exact"/>
        <w:ind w:left="3646" w:hanging="3107"/>
        <w:jc w:val="left"/>
        <w:rPr>
          <w:rFonts w:ascii="Calibri" w:hAnsi="Calibri" w:cs="Times New Roman"/>
          <w:color w:val="000000"/>
          <w:sz w:val="28"/>
          <w:szCs w:val="28"/>
        </w:rPr>
      </w:pPr>
      <w:r>
        <w:rPr>
          <w:rFonts w:hint="eastAsia" w:ascii="Calibri" w:hAnsi="Calibri" w:cs="宋体"/>
          <w:color w:val="000000"/>
          <w:sz w:val="28"/>
          <w:szCs w:val="28"/>
        </w:rPr>
        <w:t>前附表、投标人须知</w:t>
      </w:r>
    </w:p>
    <w:p>
      <w:pPr>
        <w:widowControl w:val="0"/>
        <w:numPr>
          <w:ilvl w:val="0"/>
          <w:numId w:val="2"/>
        </w:numPr>
        <w:tabs>
          <w:tab w:val="left" w:pos="0"/>
          <w:tab w:val="left" w:pos="1800"/>
          <w:tab w:val="left" w:pos="6300"/>
        </w:tabs>
        <w:snapToGrid w:val="0"/>
        <w:spacing w:line="900" w:lineRule="exact"/>
        <w:ind w:left="3646" w:hanging="3107"/>
        <w:jc w:val="left"/>
        <w:rPr>
          <w:rFonts w:ascii="Calibri" w:hAnsi="Calibri" w:cs="Times New Roman"/>
          <w:color w:val="000000"/>
          <w:sz w:val="28"/>
          <w:szCs w:val="28"/>
        </w:rPr>
      </w:pPr>
      <w:r>
        <w:rPr>
          <w:rFonts w:hint="eastAsia" w:ascii="Calibri" w:hAnsi="Calibri" w:cs="Times New Roman"/>
          <w:color w:val="000000"/>
          <w:sz w:val="28"/>
          <w:szCs w:val="28"/>
        </w:rPr>
        <w:t>评标定标办法</w:t>
      </w:r>
    </w:p>
    <w:p>
      <w:pPr>
        <w:widowControl w:val="0"/>
        <w:numPr>
          <w:ilvl w:val="0"/>
          <w:numId w:val="2"/>
        </w:numPr>
        <w:tabs>
          <w:tab w:val="left" w:pos="0"/>
          <w:tab w:val="left" w:pos="1800"/>
          <w:tab w:val="left" w:pos="6300"/>
        </w:tabs>
        <w:snapToGrid w:val="0"/>
        <w:spacing w:line="900" w:lineRule="exact"/>
        <w:ind w:left="3646" w:hanging="3107"/>
        <w:jc w:val="left"/>
        <w:rPr>
          <w:rFonts w:ascii="Calibri" w:hAnsi="Calibri" w:cs="Times New Roman"/>
          <w:color w:val="000000"/>
          <w:sz w:val="28"/>
          <w:szCs w:val="28"/>
        </w:rPr>
      </w:pPr>
      <w:r>
        <w:rPr>
          <w:rFonts w:hint="eastAsia" w:ascii="Calibri" w:hAnsi="Calibri" w:cs="宋体"/>
          <w:color w:val="000000"/>
          <w:sz w:val="28"/>
          <w:szCs w:val="28"/>
        </w:rPr>
        <w:t>采购项目技术服务要求及货物需求一览表</w:t>
      </w:r>
    </w:p>
    <w:p>
      <w:pPr>
        <w:widowControl w:val="0"/>
        <w:numPr>
          <w:ilvl w:val="0"/>
          <w:numId w:val="2"/>
        </w:numPr>
        <w:tabs>
          <w:tab w:val="left" w:pos="0"/>
          <w:tab w:val="left" w:pos="1800"/>
          <w:tab w:val="left" w:pos="6300"/>
        </w:tabs>
        <w:snapToGrid w:val="0"/>
        <w:spacing w:line="900" w:lineRule="exact"/>
        <w:ind w:left="3646" w:hanging="3107"/>
        <w:jc w:val="left"/>
        <w:rPr>
          <w:rFonts w:ascii="Calibri" w:hAnsi="Calibri" w:cs="Times New Roman"/>
          <w:color w:val="000000"/>
          <w:sz w:val="28"/>
          <w:szCs w:val="28"/>
        </w:rPr>
      </w:pPr>
      <w:r>
        <w:rPr>
          <w:rFonts w:hint="eastAsia" w:ascii="Calibri" w:hAnsi="Calibri" w:cs="宋体"/>
          <w:color w:val="000000"/>
          <w:sz w:val="28"/>
          <w:szCs w:val="28"/>
        </w:rPr>
        <w:t>投标文件格式</w:t>
      </w:r>
    </w:p>
    <w:p>
      <w:pPr>
        <w:widowControl w:val="0"/>
        <w:numPr>
          <w:ilvl w:val="0"/>
          <w:numId w:val="2"/>
        </w:numPr>
        <w:tabs>
          <w:tab w:val="left" w:pos="0"/>
          <w:tab w:val="left" w:pos="1800"/>
          <w:tab w:val="left" w:pos="6300"/>
        </w:tabs>
        <w:snapToGrid w:val="0"/>
        <w:spacing w:line="900" w:lineRule="exact"/>
        <w:ind w:left="3646" w:hanging="3107"/>
        <w:jc w:val="left"/>
        <w:rPr>
          <w:rFonts w:ascii="Calibri" w:hAnsi="Calibri" w:cs="Times New Roman"/>
          <w:color w:val="000000"/>
          <w:sz w:val="28"/>
          <w:szCs w:val="28"/>
        </w:rPr>
      </w:pPr>
      <w:r>
        <w:rPr>
          <w:rFonts w:hint="eastAsia" w:ascii="Calibri" w:hAnsi="Calibri" w:cs="宋体"/>
          <w:color w:val="000000"/>
          <w:sz w:val="28"/>
          <w:szCs w:val="28"/>
        </w:rPr>
        <w:t>合同主要条款</w:t>
      </w:r>
    </w:p>
    <w:p>
      <w:pPr>
        <w:widowControl w:val="0"/>
        <w:rPr>
          <w:rFonts w:ascii="Calibri" w:hAnsi="Calibri" w:cs="Times New Roman"/>
        </w:rPr>
      </w:pPr>
    </w:p>
    <w:p>
      <w:pPr>
        <w:widowControl w:val="0"/>
        <w:rPr>
          <w:rFonts w:ascii="Calibri" w:hAnsi="Calibri" w:cs="Times New Roman"/>
        </w:rPr>
      </w:pPr>
    </w:p>
    <w:p>
      <w:pPr>
        <w:widowControl w:val="0"/>
        <w:rPr>
          <w:rFonts w:ascii="Calibri" w:hAnsi="Calibri" w:cs="Times New Roman"/>
        </w:rPr>
      </w:pPr>
    </w:p>
    <w:p>
      <w:pPr>
        <w:widowControl w:val="0"/>
        <w:rPr>
          <w:rFonts w:ascii="Calibri" w:hAnsi="Calibri" w:cs="Times New Roman"/>
        </w:rPr>
      </w:pPr>
    </w:p>
    <w:p>
      <w:pPr>
        <w:widowControl w:val="0"/>
        <w:rPr>
          <w:rFonts w:ascii="Calibri" w:hAnsi="Calibri" w:cs="Times New Roman"/>
        </w:rPr>
      </w:pPr>
    </w:p>
    <w:p>
      <w:pPr>
        <w:widowControl w:val="0"/>
        <w:rPr>
          <w:rFonts w:ascii="Calibri" w:hAnsi="Calibri" w:cs="Times New Roman"/>
        </w:rPr>
      </w:pPr>
    </w:p>
    <w:p>
      <w:pPr>
        <w:widowControl w:val="0"/>
        <w:rPr>
          <w:rFonts w:ascii="Calibri" w:hAnsi="Calibri" w:cs="Times New Roman"/>
        </w:rPr>
        <w:sectPr>
          <w:headerReference r:id="rId4" w:type="default"/>
          <w:footerReference r:id="rId5" w:type="default"/>
          <w:pgSz w:w="11906" w:h="16838"/>
          <w:pgMar w:top="1440" w:right="1803" w:bottom="1440" w:left="1803" w:header="851" w:footer="992" w:gutter="0"/>
          <w:pgNumType w:start="0"/>
          <w:cols w:space="0" w:num="1"/>
          <w:docGrid w:type="lines" w:linePitch="325" w:charSpace="0"/>
        </w:sect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780" w:lineRule="exact"/>
        <w:jc w:val="center"/>
        <w:rPr>
          <w:rFonts w:ascii="黑体" w:hAnsi="Calibri" w:eastAsia="黑体" w:cs="Times New Roman"/>
          <w:b/>
          <w:bCs/>
          <w:sz w:val="52"/>
          <w:szCs w:val="52"/>
        </w:rPr>
      </w:pPr>
      <w:r>
        <w:rPr>
          <w:rFonts w:hint="eastAsia" w:ascii="黑体" w:hAnsi="Calibri" w:eastAsia="黑体" w:cs="黑体"/>
          <w:b/>
          <w:bCs/>
          <w:sz w:val="52"/>
          <w:szCs w:val="52"/>
        </w:rPr>
        <w:t>第一章</w:t>
      </w:r>
    </w:p>
    <w:p>
      <w:pPr>
        <w:widowControl w:val="0"/>
        <w:spacing w:line="780" w:lineRule="exact"/>
        <w:jc w:val="center"/>
        <w:rPr>
          <w:rFonts w:ascii="黑体" w:hAnsi="Calibri" w:eastAsia="黑体" w:cs="黑体"/>
          <w:b/>
          <w:bCs/>
          <w:sz w:val="52"/>
          <w:szCs w:val="52"/>
        </w:rPr>
      </w:pPr>
      <w:r>
        <w:rPr>
          <w:rFonts w:hint="eastAsia" w:ascii="黑体" w:hAnsi="Calibri" w:eastAsia="黑体" w:cs="黑体"/>
          <w:b/>
          <w:bCs/>
          <w:sz w:val="52"/>
          <w:szCs w:val="52"/>
        </w:rPr>
        <w:t>招标公告</w:t>
      </w: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widowControl w:val="0"/>
        <w:spacing w:line="400" w:lineRule="exact"/>
        <w:jc w:val="center"/>
        <w:rPr>
          <w:rFonts w:ascii="Calibri" w:hAnsi="Calibri" w:cs="Times New Roman"/>
          <w:b/>
          <w:bCs/>
          <w:sz w:val="32"/>
          <w:szCs w:val="32"/>
        </w:rPr>
      </w:pPr>
    </w:p>
    <w:p>
      <w:pPr>
        <w:keepNext/>
        <w:keepLines/>
        <w:widowControl w:val="0"/>
        <w:spacing w:before="120" w:after="120"/>
        <w:jc w:val="center"/>
        <w:outlineLvl w:val="0"/>
        <w:rPr>
          <w:rFonts w:ascii="宋体" w:hAnsi="Calibri" w:cs="Times New Roman"/>
          <w:color w:val="FF0000"/>
          <w:sz w:val="24"/>
          <w:szCs w:val="24"/>
        </w:rPr>
      </w:pPr>
      <w:r>
        <w:rPr>
          <w:rFonts w:ascii="Calibri" w:hAnsi="Calibri" w:cs="Times New Roman"/>
          <w:kern w:val="44"/>
          <w:sz w:val="32"/>
          <w:szCs w:val="32"/>
        </w:rPr>
        <w:br w:type="page"/>
      </w:r>
      <w:r>
        <w:rPr>
          <w:rFonts w:hint="eastAsia" w:ascii="Calibri" w:hAnsi="Calibri" w:cs="宋体"/>
          <w:b/>
          <w:bCs/>
          <w:kern w:val="44"/>
          <w:sz w:val="44"/>
          <w:szCs w:val="44"/>
        </w:rPr>
        <w:t>招标公告</w:t>
      </w:r>
    </w:p>
    <w:p>
      <w:pPr>
        <w:widowControl w:val="0"/>
        <w:spacing w:line="400" w:lineRule="exact"/>
        <w:ind w:firstLine="540" w:firstLineChars="225"/>
        <w:rPr>
          <w:rFonts w:ascii="Calibri" w:hAnsi="Calibri" w:cs="Times New Roman"/>
          <w:sz w:val="24"/>
          <w:szCs w:val="24"/>
        </w:rPr>
      </w:pPr>
      <w:r>
        <w:rPr>
          <w:rFonts w:hint="eastAsia" w:ascii="Calibri" w:hAnsi="Calibri" w:cs="宋体"/>
          <w:sz w:val="24"/>
          <w:szCs w:val="24"/>
        </w:rPr>
        <w:t>根据《中华人民共和国政府采购法》《中华人民共和国政府采购法实施条例》《政府采购货物和服务招标投标管理办法》等规定，现就下列项目进行公开招标采购，欢迎国内合格的供应商前来投标。</w:t>
      </w:r>
    </w:p>
    <w:p>
      <w:pPr>
        <w:widowControl w:val="0"/>
        <w:spacing w:line="400" w:lineRule="exact"/>
        <w:ind w:firstLine="540" w:firstLineChars="225"/>
        <w:rPr>
          <w:rFonts w:hint="eastAsia" w:ascii="Calibri" w:hAnsi="Calibri" w:eastAsia="宋体" w:cs="Times New Roman"/>
          <w:sz w:val="24"/>
          <w:szCs w:val="24"/>
          <w:lang w:eastAsia="zh-CN"/>
        </w:rPr>
      </w:pPr>
      <w:r>
        <w:rPr>
          <w:rFonts w:hint="eastAsia" w:ascii="Calibri" w:hAnsi="Calibri" w:cs="宋体"/>
          <w:sz w:val="24"/>
          <w:szCs w:val="24"/>
        </w:rPr>
        <w:t>一．招标项目编号</w:t>
      </w:r>
      <w:r>
        <w:rPr>
          <w:rFonts w:ascii="Calibri" w:hAnsi="Calibri" w:cs="Calibri"/>
          <w:sz w:val="24"/>
          <w:szCs w:val="24"/>
        </w:rPr>
        <w:t xml:space="preserve">: </w:t>
      </w:r>
      <w:r>
        <w:rPr>
          <w:rFonts w:hint="eastAsia" w:ascii="Calibri" w:hAnsi="Calibri" w:cs="Calibri"/>
          <w:sz w:val="24"/>
          <w:szCs w:val="24"/>
          <w:lang w:eastAsia="zh-CN"/>
        </w:rPr>
        <w:t>4017112022009-CJCG22026</w:t>
      </w:r>
    </w:p>
    <w:p>
      <w:pPr>
        <w:widowControl w:val="0"/>
        <w:spacing w:line="400" w:lineRule="exact"/>
        <w:ind w:firstLine="540" w:firstLineChars="225"/>
        <w:rPr>
          <w:rFonts w:ascii="Calibri" w:hAnsi="Calibri" w:cs="Times New Roman"/>
          <w:sz w:val="24"/>
          <w:szCs w:val="24"/>
        </w:rPr>
      </w:pPr>
      <w:r>
        <w:rPr>
          <w:rFonts w:hint="eastAsia" w:ascii="Calibri" w:hAnsi="Calibri" w:cs="宋体"/>
          <w:sz w:val="24"/>
          <w:szCs w:val="24"/>
        </w:rPr>
        <w:t>二．采购组织类型：分散采购-分散委托中介</w:t>
      </w:r>
    </w:p>
    <w:p>
      <w:pPr>
        <w:widowControl w:val="0"/>
        <w:spacing w:line="400" w:lineRule="exact"/>
        <w:ind w:firstLine="540" w:firstLineChars="225"/>
        <w:rPr>
          <w:rFonts w:ascii="Calibri" w:hAnsi="Calibri" w:cs="Times New Roman"/>
          <w:sz w:val="24"/>
          <w:szCs w:val="24"/>
        </w:rPr>
      </w:pPr>
      <w:r>
        <w:rPr>
          <w:rFonts w:hint="eastAsia" w:ascii="Calibri" w:hAnsi="Calibri" w:cs="宋体"/>
          <w:sz w:val="24"/>
          <w:szCs w:val="24"/>
        </w:rPr>
        <w:t>三．招标项目概况（内容、数量、预算金额、简要技术要求等）：</w:t>
      </w:r>
    </w:p>
    <w:tbl>
      <w:tblPr>
        <w:tblStyle w:val="36"/>
        <w:tblW w:w="78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2228"/>
        <w:gridCol w:w="784"/>
        <w:gridCol w:w="833"/>
        <w:gridCol w:w="1500"/>
        <w:gridCol w:w="17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12" w:type="dxa"/>
            <w:vAlign w:val="center"/>
          </w:tcPr>
          <w:p>
            <w:pPr>
              <w:widowControl w:val="0"/>
              <w:jc w:val="center"/>
              <w:rPr>
                <w:rFonts w:ascii="宋体" w:hAnsi="Calibri" w:cs="Times New Roman"/>
                <w:b/>
                <w:bCs/>
                <w:sz w:val="24"/>
                <w:szCs w:val="24"/>
              </w:rPr>
            </w:pPr>
            <w:r>
              <w:rPr>
                <w:rFonts w:hint="eastAsia" w:ascii="Calibri" w:hAnsi="Calibri" w:cs="宋体"/>
                <w:b/>
                <w:bCs/>
              </w:rPr>
              <w:t>序号</w:t>
            </w:r>
          </w:p>
        </w:tc>
        <w:tc>
          <w:tcPr>
            <w:tcW w:w="2228" w:type="dxa"/>
            <w:vAlign w:val="center"/>
          </w:tcPr>
          <w:p>
            <w:pPr>
              <w:widowControl w:val="0"/>
              <w:jc w:val="center"/>
              <w:rPr>
                <w:rFonts w:ascii="宋体" w:hAnsi="Calibri" w:cs="Times New Roman"/>
                <w:b/>
                <w:bCs/>
                <w:sz w:val="24"/>
                <w:szCs w:val="24"/>
              </w:rPr>
            </w:pPr>
            <w:r>
              <w:rPr>
                <w:rFonts w:hint="eastAsia" w:ascii="Calibri" w:hAnsi="Calibri" w:cs="宋体"/>
                <w:b/>
                <w:bCs/>
              </w:rPr>
              <w:t>项目名称</w:t>
            </w:r>
          </w:p>
        </w:tc>
        <w:tc>
          <w:tcPr>
            <w:tcW w:w="784" w:type="dxa"/>
            <w:vAlign w:val="center"/>
          </w:tcPr>
          <w:p>
            <w:pPr>
              <w:widowControl w:val="0"/>
              <w:jc w:val="center"/>
              <w:rPr>
                <w:rFonts w:ascii="宋体" w:hAnsi="Calibri" w:cs="Times New Roman"/>
                <w:b/>
                <w:bCs/>
                <w:sz w:val="24"/>
                <w:szCs w:val="24"/>
              </w:rPr>
            </w:pPr>
            <w:r>
              <w:rPr>
                <w:rFonts w:hint="eastAsia" w:ascii="Calibri" w:hAnsi="Calibri" w:cs="宋体"/>
                <w:b/>
                <w:bCs/>
              </w:rPr>
              <w:t>数量</w:t>
            </w:r>
          </w:p>
        </w:tc>
        <w:tc>
          <w:tcPr>
            <w:tcW w:w="833" w:type="dxa"/>
            <w:vAlign w:val="center"/>
          </w:tcPr>
          <w:p>
            <w:pPr>
              <w:widowControl w:val="0"/>
              <w:jc w:val="center"/>
              <w:rPr>
                <w:rFonts w:ascii="宋体" w:hAnsi="Calibri" w:cs="Times New Roman"/>
                <w:b/>
                <w:bCs/>
                <w:sz w:val="24"/>
                <w:szCs w:val="24"/>
              </w:rPr>
            </w:pPr>
            <w:r>
              <w:rPr>
                <w:rFonts w:hint="eastAsia" w:ascii="Calibri" w:hAnsi="Calibri" w:cs="宋体"/>
                <w:b/>
                <w:bCs/>
              </w:rPr>
              <w:t>单位</w:t>
            </w:r>
          </w:p>
        </w:tc>
        <w:tc>
          <w:tcPr>
            <w:tcW w:w="1500" w:type="dxa"/>
            <w:vAlign w:val="center"/>
          </w:tcPr>
          <w:p>
            <w:pPr>
              <w:widowControl w:val="0"/>
              <w:jc w:val="center"/>
              <w:rPr>
                <w:rFonts w:ascii="Calibri" w:hAnsi="Calibri" w:cs="宋体"/>
                <w:b/>
                <w:bCs/>
              </w:rPr>
            </w:pPr>
            <w:r>
              <w:rPr>
                <w:rFonts w:hint="eastAsia" w:ascii="Calibri" w:hAnsi="Calibri" w:cs="宋体"/>
                <w:b/>
                <w:bCs/>
              </w:rPr>
              <w:t>预算金额</w:t>
            </w:r>
          </w:p>
        </w:tc>
        <w:tc>
          <w:tcPr>
            <w:tcW w:w="1748" w:type="dxa"/>
            <w:vAlign w:val="center"/>
          </w:tcPr>
          <w:p>
            <w:pPr>
              <w:widowControl w:val="0"/>
              <w:jc w:val="center"/>
              <w:rPr>
                <w:rFonts w:ascii="宋体" w:hAnsi="Calibri" w:cs="Times New Roman"/>
                <w:b/>
                <w:bCs/>
                <w:sz w:val="24"/>
                <w:szCs w:val="24"/>
              </w:rPr>
            </w:pPr>
            <w:r>
              <w:rPr>
                <w:rFonts w:hint="eastAsia" w:ascii="Calibri" w:hAnsi="Calibri" w:cs="宋体"/>
                <w:b/>
                <w:bCs/>
              </w:rPr>
              <w:t>简要规格描述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12" w:type="dxa"/>
            <w:vAlign w:val="center"/>
          </w:tcPr>
          <w:p>
            <w:pPr>
              <w:pStyle w:val="33"/>
              <w:jc w:val="center"/>
            </w:pPr>
            <w:r>
              <w:rPr>
                <w:rFonts w:hint="eastAsia"/>
              </w:rPr>
              <w:t>1</w:t>
            </w:r>
          </w:p>
        </w:tc>
        <w:tc>
          <w:tcPr>
            <w:tcW w:w="2228" w:type="dxa"/>
            <w:vAlign w:val="center"/>
          </w:tcPr>
          <w:p>
            <w:pPr>
              <w:jc w:val="center"/>
              <w:rPr>
                <w:rFonts w:cs="Times New Roman"/>
              </w:rPr>
            </w:pPr>
            <w:r>
              <w:rPr>
                <w:rFonts w:hint="eastAsia" w:cs="Times New Roman"/>
              </w:rPr>
              <w:t>校园网络监控改造</w:t>
            </w:r>
          </w:p>
        </w:tc>
        <w:tc>
          <w:tcPr>
            <w:tcW w:w="784" w:type="dxa"/>
            <w:vAlign w:val="center"/>
          </w:tcPr>
          <w:p>
            <w:pPr>
              <w:jc w:val="center"/>
            </w:pPr>
            <w:r>
              <w:rPr>
                <w:rFonts w:hint="eastAsia"/>
                <w:sz w:val="24"/>
                <w:szCs w:val="24"/>
              </w:rPr>
              <w:t>1</w:t>
            </w:r>
          </w:p>
        </w:tc>
        <w:tc>
          <w:tcPr>
            <w:tcW w:w="833" w:type="dxa"/>
            <w:vAlign w:val="center"/>
          </w:tcPr>
          <w:p>
            <w:pPr>
              <w:jc w:val="center"/>
              <w:rPr>
                <w:rFonts w:cs="Times New Roman"/>
              </w:rPr>
            </w:pPr>
            <w:r>
              <w:rPr>
                <w:rFonts w:hint="eastAsia" w:cs="宋体"/>
                <w:sz w:val="24"/>
                <w:szCs w:val="24"/>
              </w:rPr>
              <w:t>批</w:t>
            </w:r>
          </w:p>
        </w:tc>
        <w:tc>
          <w:tcPr>
            <w:tcW w:w="1500" w:type="dxa"/>
            <w:vAlign w:val="center"/>
          </w:tcPr>
          <w:p>
            <w:pPr>
              <w:jc w:val="center"/>
              <w:rPr>
                <w:rFonts w:cs="宋体"/>
                <w:sz w:val="24"/>
                <w:szCs w:val="24"/>
              </w:rPr>
            </w:pPr>
            <w:r>
              <w:rPr>
                <w:rFonts w:hint="eastAsia" w:cs="宋体"/>
                <w:sz w:val="24"/>
                <w:szCs w:val="24"/>
              </w:rPr>
              <w:t>78.3万元</w:t>
            </w:r>
          </w:p>
        </w:tc>
        <w:tc>
          <w:tcPr>
            <w:tcW w:w="1748" w:type="dxa"/>
            <w:vMerge w:val="restart"/>
            <w:vAlign w:val="center"/>
          </w:tcPr>
          <w:p>
            <w:pPr>
              <w:pStyle w:val="33"/>
              <w:jc w:val="center"/>
              <w:rPr>
                <w:rFonts w:cs="Times New Roman"/>
              </w:rPr>
            </w:pPr>
            <w:r>
              <w:rPr>
                <w:rFonts w:hint="eastAsia" w:cs="宋体"/>
              </w:rPr>
              <w:t>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12" w:type="dxa"/>
            <w:vAlign w:val="center"/>
          </w:tcPr>
          <w:p>
            <w:pPr>
              <w:pStyle w:val="33"/>
              <w:jc w:val="center"/>
            </w:pPr>
            <w:r>
              <w:rPr>
                <w:rFonts w:hint="eastAsia"/>
              </w:rPr>
              <w:t>2</w:t>
            </w:r>
          </w:p>
        </w:tc>
        <w:tc>
          <w:tcPr>
            <w:tcW w:w="2228" w:type="dxa"/>
            <w:vAlign w:val="center"/>
          </w:tcPr>
          <w:p>
            <w:pPr>
              <w:jc w:val="center"/>
              <w:rPr>
                <w:rFonts w:cs="Times New Roman"/>
              </w:rPr>
            </w:pPr>
            <w:r>
              <w:rPr>
                <w:rFonts w:hint="eastAsia" w:cs="Times New Roman"/>
              </w:rPr>
              <w:t>专用教室装备</w:t>
            </w:r>
          </w:p>
        </w:tc>
        <w:tc>
          <w:tcPr>
            <w:tcW w:w="784" w:type="dxa"/>
            <w:vAlign w:val="center"/>
          </w:tcPr>
          <w:p>
            <w:pPr>
              <w:jc w:val="center"/>
              <w:rPr>
                <w:sz w:val="24"/>
                <w:szCs w:val="24"/>
              </w:rPr>
            </w:pPr>
            <w:r>
              <w:rPr>
                <w:rFonts w:hint="eastAsia"/>
                <w:sz w:val="24"/>
                <w:szCs w:val="24"/>
              </w:rPr>
              <w:t>1</w:t>
            </w:r>
          </w:p>
        </w:tc>
        <w:tc>
          <w:tcPr>
            <w:tcW w:w="833" w:type="dxa"/>
            <w:vAlign w:val="center"/>
          </w:tcPr>
          <w:p>
            <w:pPr>
              <w:jc w:val="center"/>
              <w:rPr>
                <w:rFonts w:cs="宋体"/>
                <w:sz w:val="24"/>
                <w:szCs w:val="24"/>
              </w:rPr>
            </w:pPr>
            <w:r>
              <w:rPr>
                <w:rFonts w:hint="eastAsia" w:cs="宋体"/>
                <w:sz w:val="24"/>
                <w:szCs w:val="24"/>
              </w:rPr>
              <w:t>批</w:t>
            </w:r>
          </w:p>
        </w:tc>
        <w:tc>
          <w:tcPr>
            <w:tcW w:w="1500" w:type="dxa"/>
            <w:vAlign w:val="center"/>
          </w:tcPr>
          <w:p>
            <w:pPr>
              <w:jc w:val="center"/>
              <w:rPr>
                <w:rFonts w:cs="宋体"/>
                <w:sz w:val="24"/>
                <w:szCs w:val="24"/>
              </w:rPr>
            </w:pPr>
            <w:r>
              <w:rPr>
                <w:rFonts w:hint="eastAsia" w:cs="宋体"/>
                <w:sz w:val="24"/>
                <w:szCs w:val="24"/>
              </w:rPr>
              <w:t>10万元</w:t>
            </w:r>
          </w:p>
        </w:tc>
        <w:tc>
          <w:tcPr>
            <w:tcW w:w="1748" w:type="dxa"/>
            <w:vMerge w:val="continue"/>
            <w:vAlign w:val="center"/>
          </w:tcPr>
          <w:p>
            <w:pPr>
              <w:pStyle w:val="33"/>
              <w:jc w:val="center"/>
              <w:rPr>
                <w:rFonts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12" w:type="dxa"/>
            <w:vAlign w:val="center"/>
          </w:tcPr>
          <w:p>
            <w:pPr>
              <w:pStyle w:val="33"/>
              <w:jc w:val="center"/>
            </w:pPr>
            <w:r>
              <w:rPr>
                <w:rFonts w:hint="eastAsia"/>
              </w:rPr>
              <w:t>3</w:t>
            </w:r>
          </w:p>
        </w:tc>
        <w:tc>
          <w:tcPr>
            <w:tcW w:w="2228" w:type="dxa"/>
            <w:vAlign w:val="center"/>
          </w:tcPr>
          <w:p>
            <w:pPr>
              <w:jc w:val="center"/>
              <w:rPr>
                <w:rFonts w:cs="Times New Roman"/>
              </w:rPr>
            </w:pPr>
            <w:r>
              <w:rPr>
                <w:rFonts w:hint="eastAsia" w:cs="Times New Roman"/>
              </w:rPr>
              <w:t>路灯</w:t>
            </w:r>
          </w:p>
        </w:tc>
        <w:tc>
          <w:tcPr>
            <w:tcW w:w="784" w:type="dxa"/>
            <w:vAlign w:val="center"/>
          </w:tcPr>
          <w:p>
            <w:pPr>
              <w:jc w:val="center"/>
              <w:rPr>
                <w:sz w:val="24"/>
                <w:szCs w:val="24"/>
              </w:rPr>
            </w:pPr>
            <w:r>
              <w:rPr>
                <w:rFonts w:hint="eastAsia"/>
                <w:sz w:val="24"/>
                <w:szCs w:val="24"/>
              </w:rPr>
              <w:t>50</w:t>
            </w:r>
          </w:p>
        </w:tc>
        <w:tc>
          <w:tcPr>
            <w:tcW w:w="833" w:type="dxa"/>
            <w:vAlign w:val="center"/>
          </w:tcPr>
          <w:p>
            <w:pPr>
              <w:jc w:val="center"/>
              <w:rPr>
                <w:rFonts w:cs="宋体"/>
                <w:sz w:val="24"/>
                <w:szCs w:val="24"/>
              </w:rPr>
            </w:pPr>
            <w:r>
              <w:rPr>
                <w:rFonts w:hint="eastAsia" w:cs="宋体"/>
                <w:sz w:val="24"/>
                <w:szCs w:val="24"/>
              </w:rPr>
              <w:t>套</w:t>
            </w:r>
          </w:p>
        </w:tc>
        <w:tc>
          <w:tcPr>
            <w:tcW w:w="1500" w:type="dxa"/>
            <w:vAlign w:val="center"/>
          </w:tcPr>
          <w:p>
            <w:pPr>
              <w:jc w:val="center"/>
              <w:rPr>
                <w:rFonts w:cs="宋体"/>
                <w:sz w:val="24"/>
                <w:szCs w:val="24"/>
              </w:rPr>
            </w:pPr>
            <w:r>
              <w:rPr>
                <w:rFonts w:hint="eastAsia" w:cs="宋体"/>
                <w:sz w:val="24"/>
                <w:szCs w:val="24"/>
              </w:rPr>
              <w:t>8万元</w:t>
            </w:r>
          </w:p>
        </w:tc>
        <w:tc>
          <w:tcPr>
            <w:tcW w:w="1748" w:type="dxa"/>
            <w:vMerge w:val="continue"/>
            <w:vAlign w:val="center"/>
          </w:tcPr>
          <w:p>
            <w:pPr>
              <w:pStyle w:val="33"/>
              <w:jc w:val="center"/>
              <w:rPr>
                <w:rFonts w:cs="宋体"/>
              </w:rPr>
            </w:pPr>
          </w:p>
        </w:tc>
      </w:tr>
    </w:tbl>
    <w:p>
      <w:pPr>
        <w:widowControl w:val="0"/>
        <w:spacing w:line="400" w:lineRule="exact"/>
        <w:ind w:firstLine="480" w:firstLineChars="200"/>
        <w:rPr>
          <w:rFonts w:ascii="Calibri" w:hAnsi="Calibri" w:cs="Calibri"/>
          <w:sz w:val="24"/>
          <w:szCs w:val="24"/>
        </w:rPr>
      </w:pPr>
      <w:r>
        <w:rPr>
          <w:rFonts w:hint="eastAsia" w:ascii="Calibri" w:hAnsi="Calibri" w:cs="宋体"/>
          <w:sz w:val="24"/>
          <w:szCs w:val="24"/>
        </w:rPr>
        <w:t>四．投标供应商资格要求</w:t>
      </w:r>
      <w:r>
        <w:rPr>
          <w:rFonts w:ascii="Calibri" w:hAnsi="Calibri" w:cs="Calibri"/>
          <w:sz w:val="24"/>
          <w:szCs w:val="24"/>
        </w:rPr>
        <w:t>:</w:t>
      </w:r>
    </w:p>
    <w:p>
      <w:pPr>
        <w:widowControl w:val="0"/>
        <w:spacing w:line="400" w:lineRule="exact"/>
        <w:ind w:firstLine="540" w:firstLineChars="225"/>
        <w:rPr>
          <w:rFonts w:ascii="Calibri" w:hAnsi="Calibri" w:cs="Times New Roman"/>
          <w:sz w:val="24"/>
          <w:szCs w:val="24"/>
        </w:rPr>
      </w:pPr>
      <w:r>
        <w:rPr>
          <w:rFonts w:hint="eastAsia" w:ascii="Calibri" w:hAnsi="Calibri" w:cs="宋体"/>
          <w:sz w:val="24"/>
          <w:szCs w:val="24"/>
        </w:rPr>
        <w:t>（一）基本条件</w:t>
      </w:r>
    </w:p>
    <w:p>
      <w:pPr>
        <w:widowControl w:val="0"/>
        <w:spacing w:line="400" w:lineRule="exact"/>
        <w:ind w:firstLine="540" w:firstLineChars="225"/>
        <w:rPr>
          <w:rFonts w:ascii="Calibri" w:hAnsi="Calibri" w:cs="宋体"/>
          <w:sz w:val="24"/>
          <w:szCs w:val="24"/>
        </w:rPr>
      </w:pPr>
      <w:r>
        <w:rPr>
          <w:rFonts w:ascii="Calibri" w:hAnsi="Calibri" w:cs="Calibri"/>
          <w:sz w:val="24"/>
          <w:szCs w:val="24"/>
        </w:rPr>
        <w:t>1</w:t>
      </w:r>
      <w:r>
        <w:rPr>
          <w:rFonts w:hint="eastAsia" w:ascii="Calibri" w:hAnsi="Calibri" w:cs="宋体"/>
          <w:sz w:val="24"/>
          <w:szCs w:val="24"/>
        </w:rPr>
        <w:t>、符合《中华人民共和国政府采购法》第二十二条和浙财采监【</w:t>
      </w:r>
      <w:r>
        <w:rPr>
          <w:rFonts w:ascii="Calibri" w:hAnsi="Calibri" w:cs="Calibri"/>
          <w:sz w:val="24"/>
          <w:szCs w:val="24"/>
        </w:rPr>
        <w:t>2013</w:t>
      </w:r>
      <w:r>
        <w:rPr>
          <w:rFonts w:hint="eastAsia" w:ascii="Calibri" w:hAnsi="Calibri" w:cs="宋体"/>
          <w:sz w:val="24"/>
          <w:szCs w:val="24"/>
        </w:rPr>
        <w:t>】</w:t>
      </w:r>
      <w:r>
        <w:rPr>
          <w:rFonts w:ascii="Calibri" w:hAnsi="Calibri" w:cs="Calibri"/>
          <w:sz w:val="24"/>
          <w:szCs w:val="24"/>
        </w:rPr>
        <w:t>24</w:t>
      </w:r>
      <w:r>
        <w:rPr>
          <w:rFonts w:hint="eastAsia" w:ascii="Calibri" w:hAnsi="Calibri" w:cs="宋体"/>
          <w:sz w:val="24"/>
          <w:szCs w:val="24"/>
        </w:rPr>
        <w:t>号《关于规范政府采购供应商资格设定及资格审查的通知》第六条规定</w:t>
      </w:r>
      <w:r>
        <w:rPr>
          <w:rFonts w:hint="eastAsia" w:ascii="Calibri" w:hAnsi="Calibri" w:cs="Calibri"/>
          <w:sz w:val="24"/>
          <w:szCs w:val="24"/>
        </w:rPr>
        <w:t>，</w:t>
      </w:r>
      <w:r>
        <w:rPr>
          <w:rFonts w:hint="eastAsia" w:ascii="Calibri" w:hAnsi="Calibri" w:cs="宋体"/>
          <w:sz w:val="24"/>
          <w:szCs w:val="24"/>
        </w:rPr>
        <w:t>且未被“信用中国”（</w:t>
      </w:r>
      <w:r>
        <w:rPr>
          <w:rFonts w:ascii="Calibri" w:hAnsi="Calibri" w:cs="Calibri"/>
          <w:sz w:val="24"/>
          <w:szCs w:val="24"/>
        </w:rPr>
        <w:t>www.creditchina.gov.cn</w:t>
      </w:r>
      <w:r>
        <w:rPr>
          <w:rFonts w:hint="eastAsia" w:ascii="Calibri" w:hAnsi="Calibri" w:cs="宋体"/>
          <w:sz w:val="24"/>
          <w:szCs w:val="24"/>
        </w:rPr>
        <w:t>）、中国政府采购网（</w:t>
      </w:r>
      <w:r>
        <w:rPr>
          <w:rFonts w:ascii="Calibri" w:hAnsi="Calibri" w:cs="Calibri"/>
          <w:sz w:val="24"/>
          <w:szCs w:val="24"/>
        </w:rPr>
        <w:t>www.ccgp.gov.cn</w:t>
      </w:r>
      <w:r>
        <w:rPr>
          <w:rFonts w:hint="eastAsia" w:ascii="Calibri" w:hAnsi="Calibri" w:cs="宋体"/>
          <w:sz w:val="24"/>
          <w:szCs w:val="24"/>
        </w:rPr>
        <w:t>）列入失信被执行人、重大税收违法案件当事人名单、政府采购严重违法失信行为记录名单。</w:t>
      </w:r>
    </w:p>
    <w:p>
      <w:pPr>
        <w:widowControl w:val="0"/>
        <w:spacing w:line="400" w:lineRule="exact"/>
        <w:ind w:firstLine="540" w:firstLineChars="225"/>
      </w:pPr>
      <w:r>
        <w:rPr>
          <w:rFonts w:hint="eastAsia" w:ascii="Calibri" w:hAnsi="Calibri" w:cs="宋体"/>
          <w:sz w:val="24"/>
          <w:szCs w:val="24"/>
        </w:rPr>
        <w:t>2、</w:t>
      </w:r>
      <w:r>
        <w:rPr>
          <w:rFonts w:hint="eastAsia" w:ascii="宋体" w:cs="宋体"/>
          <w:color w:val="000000"/>
          <w:sz w:val="24"/>
          <w:szCs w:val="24"/>
        </w:rPr>
        <w:t>本次招标</w:t>
      </w:r>
      <w:r>
        <w:rPr>
          <w:rFonts w:hint="eastAsia" w:ascii="宋体" w:cs="宋体"/>
          <w:sz w:val="24"/>
          <w:szCs w:val="24"/>
        </w:rPr>
        <w:t>不接受联合体投标人。</w:t>
      </w:r>
    </w:p>
    <w:p>
      <w:pPr>
        <w:widowControl w:val="0"/>
        <w:spacing w:line="400" w:lineRule="exact"/>
        <w:ind w:firstLine="540" w:firstLineChars="225"/>
        <w:rPr>
          <w:rFonts w:ascii="Calibri" w:hAnsi="Calibri" w:cs="宋体"/>
          <w:sz w:val="24"/>
          <w:szCs w:val="24"/>
        </w:rPr>
      </w:pPr>
      <w:r>
        <w:rPr>
          <w:rFonts w:hint="eastAsia" w:ascii="Calibri" w:hAnsi="Calibri" w:cs="宋体"/>
          <w:sz w:val="24"/>
          <w:szCs w:val="24"/>
        </w:rPr>
        <w:t>（二）特定条件：无。</w:t>
      </w:r>
    </w:p>
    <w:p>
      <w:pPr>
        <w:widowControl w:val="0"/>
        <w:spacing w:line="400" w:lineRule="exact"/>
        <w:ind w:firstLine="540" w:firstLineChars="225"/>
        <w:rPr>
          <w:rFonts w:ascii="Calibri" w:hAnsi="Calibri" w:cs="宋体"/>
          <w:sz w:val="24"/>
          <w:szCs w:val="24"/>
        </w:rPr>
      </w:pPr>
      <w:r>
        <w:rPr>
          <w:rFonts w:hint="eastAsia" w:ascii="Calibri" w:hAnsi="Calibri" w:cs="宋体"/>
          <w:sz w:val="24"/>
          <w:szCs w:val="24"/>
        </w:rPr>
        <w:t>（三）是否针对中小微企业：否。</w:t>
      </w:r>
    </w:p>
    <w:p>
      <w:pPr>
        <w:widowControl w:val="0"/>
        <w:spacing w:line="400" w:lineRule="exact"/>
        <w:ind w:firstLine="540" w:firstLineChars="225"/>
        <w:rPr>
          <w:rFonts w:ascii="Calibri" w:hAnsi="Calibri" w:cs="Times New Roman"/>
          <w:sz w:val="24"/>
          <w:szCs w:val="24"/>
        </w:rPr>
      </w:pPr>
      <w:r>
        <w:rPr>
          <w:rFonts w:hint="eastAsia" w:ascii="Calibri" w:hAnsi="Calibri" w:cs="宋体"/>
          <w:sz w:val="24"/>
          <w:szCs w:val="24"/>
        </w:rPr>
        <w:t>五．获取招标文件方式</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1、本项目招标文件实行“政府采购云平台”（https://zfcg.czt.zj.gov.cn/）在线获取，不提供招标文件纸质版。供应商获取招标文件前应先完成“政府采购云平台”的账号注册；</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2、地点：政采云平台（https://zfcg.czt.zj.gov.cn/）；</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3、方式：潜在供应商登陆政采云平台，在线申请获取招标文件（进入“项目采购”，在获取招标文件菜单中选择项目，申请获取招标文件，填写获取采购文件的申请信息，提交后点击【下载采购文件】即可获取招标文件，本项目招标文件不收取工本费。仅需浏览招标文件的供应商可点击“游客，浏览招标文件”直接下载招标文件浏览。</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4、供应商获取招标文件时须提交的文件资料：无</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注：请供应商按上述要求获取招标文件，如未在“政采云”系统内完成相关流程，引起的投标无效责任自负。</w:t>
      </w:r>
    </w:p>
    <w:p>
      <w:pPr>
        <w:widowControl w:val="0"/>
        <w:wordWrap w:val="0"/>
        <w:adjustRightInd w:val="0"/>
        <w:snapToGrid w:val="0"/>
        <w:spacing w:before="120" w:after="120" w:line="500" w:lineRule="exact"/>
        <w:ind w:firstLine="480" w:firstLineChars="200"/>
        <w:rPr>
          <w:rFonts w:ascii="宋体" w:hAnsi="Courier New" w:cs="Times New Roman"/>
          <w:sz w:val="24"/>
          <w:szCs w:val="24"/>
        </w:rPr>
      </w:pPr>
      <w:r>
        <w:rPr>
          <w:rFonts w:hint="eastAsia" w:ascii="宋体" w:hAnsi="Courier New" w:cs="宋体"/>
          <w:sz w:val="24"/>
          <w:szCs w:val="24"/>
        </w:rPr>
        <w:t>六、投标说明</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pPr>
        <w:widowControl w:val="0"/>
        <w:wordWrap w:val="0"/>
        <w:adjustRightInd w:val="0"/>
        <w:snapToGrid w:val="0"/>
        <w:spacing w:before="120" w:after="120" w:line="500" w:lineRule="exact"/>
        <w:ind w:firstLine="480" w:firstLineChars="200"/>
        <w:rPr>
          <w:rFonts w:ascii="宋体" w:hAnsi="Courier New" w:cs="宋体"/>
          <w:sz w:val="24"/>
          <w:szCs w:val="24"/>
        </w:rPr>
      </w:pPr>
      <w:r>
        <w:rPr>
          <w:rFonts w:hint="eastAsia" w:ascii="宋体" w:hAnsi="Courier New" w:cs="宋体"/>
          <w:sz w:val="24"/>
          <w:szCs w:val="24"/>
        </w:rPr>
        <w:t>2、投标人应在开标前完成CA数字证书办理以及驱动下载（办理流程详见浙江政府采购官网）。完成CA数字证书办理预计一周左右，建议各投标人抓紧时间办理。</w:t>
      </w:r>
    </w:p>
    <w:p>
      <w:pPr>
        <w:widowControl w:val="0"/>
        <w:wordWrap w:val="0"/>
        <w:adjustRightInd w:val="0"/>
        <w:snapToGrid w:val="0"/>
        <w:spacing w:before="120" w:after="120" w:line="500" w:lineRule="exact"/>
        <w:ind w:firstLine="480" w:firstLineChars="200"/>
        <w:rPr>
          <w:rFonts w:ascii="仿宋_GB2312" w:hAnsi="仿宋" w:eastAsia="仿宋_GB2312" w:cs="仿宋_GB2312"/>
          <w:b/>
          <w:bCs/>
          <w:color w:val="FF0000"/>
          <w:sz w:val="28"/>
          <w:szCs w:val="28"/>
        </w:rPr>
      </w:pPr>
      <w:r>
        <w:rPr>
          <w:rFonts w:hint="eastAsia" w:ascii="宋体" w:hAnsi="Courier New" w:cs="宋体"/>
          <w:sz w:val="24"/>
          <w:szCs w:val="24"/>
        </w:rPr>
        <w:t>3、投标人通过政采云平台电子投标工具制作投标文件，电子投标工具请供应商自行前往浙江省政府采购网下载并安装，（下载网址：http://www.zjzfcg.gov.cn/bidClientTemplate/2019-09-24/12975.html），项目采购电子招投标全流程操作指南详见网址：https://help.zcygov.cn/web/site_2/2018/12-28/2573.html</w:t>
      </w:r>
    </w:p>
    <w:p>
      <w:pPr>
        <w:widowControl w:val="0"/>
        <w:numPr>
          <w:ilvl w:val="0"/>
          <w:numId w:val="3"/>
        </w:numPr>
        <w:spacing w:line="400" w:lineRule="exact"/>
        <w:ind w:firstLine="540" w:firstLineChars="225"/>
        <w:rPr>
          <w:rFonts w:ascii="Calibri" w:hAnsi="Calibri" w:cs="Calibri"/>
          <w:sz w:val="24"/>
          <w:szCs w:val="24"/>
        </w:rPr>
      </w:pPr>
      <w:r>
        <w:rPr>
          <w:rFonts w:hint="eastAsia" w:ascii="Calibri" w:hAnsi="Calibri" w:cs="宋体"/>
          <w:sz w:val="24"/>
          <w:szCs w:val="24"/>
        </w:rPr>
        <w:t>投标截止时间：</w:t>
      </w:r>
      <w:r>
        <w:rPr>
          <w:rFonts w:hint="eastAsia" w:ascii="Calibri" w:hAnsi="Calibri" w:cs="Calibri"/>
          <w:color w:val="FF0000"/>
          <w:sz w:val="24"/>
          <w:szCs w:val="24"/>
        </w:rPr>
        <w:t>2022年</w:t>
      </w:r>
      <w:r>
        <w:rPr>
          <w:rFonts w:hint="eastAsia" w:ascii="Calibri" w:hAnsi="Calibri" w:cs="Calibri"/>
          <w:color w:val="FF0000"/>
          <w:sz w:val="24"/>
          <w:szCs w:val="24"/>
          <w:lang w:val="en-US" w:eastAsia="zh-CN"/>
        </w:rPr>
        <w:t>7</w:t>
      </w:r>
      <w:r>
        <w:rPr>
          <w:rFonts w:hint="eastAsia" w:ascii="Calibri" w:hAnsi="Calibri" w:cs="Calibri"/>
          <w:color w:val="FF0000"/>
          <w:sz w:val="24"/>
          <w:szCs w:val="24"/>
        </w:rPr>
        <w:t>月</w:t>
      </w:r>
      <w:r>
        <w:rPr>
          <w:rFonts w:hint="eastAsia" w:ascii="Calibri" w:hAnsi="Calibri" w:cs="Calibri"/>
          <w:color w:val="FF0000"/>
          <w:sz w:val="24"/>
          <w:szCs w:val="24"/>
          <w:lang w:val="en-US" w:eastAsia="zh-CN"/>
        </w:rPr>
        <w:t>5</w:t>
      </w:r>
      <w:r>
        <w:rPr>
          <w:rFonts w:hint="eastAsia" w:ascii="Calibri" w:hAnsi="Calibri" w:cs="Calibri"/>
          <w:color w:val="FF0000"/>
          <w:sz w:val="24"/>
          <w:szCs w:val="24"/>
        </w:rPr>
        <w:t>日 09:00:00</w:t>
      </w:r>
    </w:p>
    <w:p>
      <w:pPr>
        <w:widowControl w:val="0"/>
        <w:adjustRightInd w:val="0"/>
        <w:snapToGrid w:val="0"/>
        <w:spacing w:before="120" w:after="120" w:line="500" w:lineRule="exact"/>
        <w:ind w:firstLine="480" w:firstLineChars="200"/>
        <w:rPr>
          <w:rFonts w:ascii="Calibri" w:hAnsi="Calibri" w:cs="宋体"/>
          <w:sz w:val="24"/>
          <w:szCs w:val="24"/>
        </w:rPr>
      </w:pPr>
      <w:r>
        <w:rPr>
          <w:rFonts w:hint="eastAsia" w:ascii="Calibri" w:hAnsi="Calibri" w:cs="宋体"/>
          <w:sz w:val="24"/>
          <w:szCs w:val="24"/>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pStyle w:val="20"/>
        <w:adjustRightInd w:val="0"/>
        <w:snapToGrid w:val="0"/>
        <w:spacing w:line="500" w:lineRule="exact"/>
        <w:ind w:firstLine="482" w:firstLineChars="201"/>
        <w:rPr>
          <w:rFonts w:ascii="Calibri" w:hAnsi="Calibri" w:cs="宋体"/>
          <w:sz w:val="24"/>
          <w:szCs w:val="24"/>
        </w:rPr>
      </w:pPr>
      <w:r>
        <w:rPr>
          <w:rFonts w:hint="eastAsia" w:ascii="Calibri" w:hAnsi="Calibri" w:cs="宋体"/>
          <w:color w:val="FF0000"/>
          <w:sz w:val="24"/>
          <w:szCs w:val="24"/>
        </w:rPr>
        <w:t>如认为需要，投标人可以选择递交备份投标文件，</w:t>
      </w:r>
      <w:r>
        <w:rPr>
          <w:rFonts w:hint="eastAsia" w:ascii="Calibri" w:hAnsi="Calibri" w:cs="宋体"/>
          <w:sz w:val="24"/>
          <w:szCs w:val="24"/>
        </w:rPr>
        <w:t>采用数据电文形式，以U盘或DVD光盘形式存储，并在投标截止时间前，通过邮寄方式，送达指定地点，逾期送达或未密封将被拒收。</w:t>
      </w:r>
    </w:p>
    <w:p>
      <w:pPr>
        <w:pStyle w:val="20"/>
        <w:adjustRightInd w:val="0"/>
        <w:snapToGrid w:val="0"/>
        <w:spacing w:line="500" w:lineRule="exact"/>
        <w:ind w:firstLine="482" w:firstLineChars="201"/>
      </w:pPr>
      <w:r>
        <w:rPr>
          <w:rFonts w:hint="eastAsia" w:ascii="Calibri" w:hAnsi="Calibri" w:cs="宋体"/>
          <w:sz w:val="24"/>
          <w:szCs w:val="24"/>
        </w:rPr>
        <w:t>收件人：王飞，联系方式：15306795918，收件地址：浙江省金华市永康市世贸中心南2-1405，收件时间上午08:30-11:30 下午：13:30-17:00。</w:t>
      </w:r>
    </w:p>
    <w:p>
      <w:pPr>
        <w:widowControl w:val="0"/>
        <w:spacing w:line="400" w:lineRule="exact"/>
        <w:ind w:firstLine="540" w:firstLineChars="225"/>
        <w:rPr>
          <w:rFonts w:ascii="Calibri" w:hAnsi="Calibri" w:cs="Calibri"/>
          <w:sz w:val="24"/>
          <w:szCs w:val="24"/>
        </w:rPr>
      </w:pPr>
      <w:r>
        <w:rPr>
          <w:rFonts w:hint="eastAsia" w:ascii="Calibri" w:hAnsi="Calibri" w:cs="宋体"/>
          <w:sz w:val="24"/>
          <w:szCs w:val="24"/>
        </w:rPr>
        <w:t>八．开标时间：</w:t>
      </w:r>
      <w:r>
        <w:rPr>
          <w:rFonts w:hint="eastAsia" w:ascii="Calibri" w:hAnsi="Calibri" w:cs="Calibri"/>
          <w:sz w:val="24"/>
          <w:szCs w:val="24"/>
        </w:rPr>
        <w:t>2022年</w:t>
      </w:r>
      <w:r>
        <w:rPr>
          <w:rFonts w:hint="eastAsia" w:ascii="Calibri" w:hAnsi="Calibri" w:cs="Calibri"/>
          <w:sz w:val="24"/>
          <w:szCs w:val="24"/>
          <w:lang w:val="en-US" w:eastAsia="zh-CN"/>
        </w:rPr>
        <w:t>7</w:t>
      </w:r>
      <w:r>
        <w:rPr>
          <w:rFonts w:hint="eastAsia" w:ascii="Calibri" w:hAnsi="Calibri" w:cs="Calibri"/>
          <w:sz w:val="24"/>
          <w:szCs w:val="24"/>
        </w:rPr>
        <w:t>月</w:t>
      </w:r>
      <w:r>
        <w:rPr>
          <w:rFonts w:hint="eastAsia" w:ascii="Calibri" w:hAnsi="Calibri" w:cs="Calibri"/>
          <w:sz w:val="24"/>
          <w:szCs w:val="24"/>
          <w:lang w:val="en-US" w:eastAsia="zh-CN"/>
        </w:rPr>
        <w:t>5</w:t>
      </w:r>
      <w:r>
        <w:rPr>
          <w:rFonts w:hint="eastAsia" w:ascii="Calibri" w:hAnsi="Calibri" w:cs="Calibri"/>
          <w:sz w:val="24"/>
          <w:szCs w:val="24"/>
        </w:rPr>
        <w:t>日 09:00:00</w:t>
      </w:r>
    </w:p>
    <w:p>
      <w:pPr>
        <w:spacing w:line="420" w:lineRule="exact"/>
        <w:ind w:firstLine="480" w:firstLineChars="200"/>
        <w:rPr>
          <w:rFonts w:ascii="宋体" w:cs="宋体"/>
          <w:sz w:val="24"/>
        </w:rPr>
      </w:pPr>
      <w:r>
        <w:rPr>
          <w:rFonts w:hint="eastAsia" w:ascii="Calibri" w:hAnsi="Calibri" w:cs="宋体"/>
          <w:sz w:val="24"/>
          <w:szCs w:val="24"/>
        </w:rPr>
        <w:t>九．开标地址：</w:t>
      </w:r>
      <w:r>
        <w:rPr>
          <w:rFonts w:hint="eastAsia" w:ascii="宋体" w:cs="宋体"/>
          <w:sz w:val="24"/>
        </w:rPr>
        <w:t>金华市政府采购中心永康市分中心(永康市五湖路1号国际会展中心办公楼室)3楼开标室。</w:t>
      </w:r>
      <w:r>
        <w:rPr>
          <w:rFonts w:hint="eastAsia" w:ascii="宋体" w:cs="宋体"/>
          <w:b/>
          <w:bCs/>
          <w:color w:val="FF0000"/>
          <w:sz w:val="24"/>
        </w:rPr>
        <w:t>鉴于近期“新冠疫情”防控需要，建议投标人授权代表不到开标现场。</w:t>
      </w:r>
    </w:p>
    <w:p>
      <w:pPr>
        <w:widowControl w:val="0"/>
        <w:spacing w:line="400" w:lineRule="exact"/>
        <w:ind w:firstLine="540" w:firstLineChars="225"/>
        <w:rPr>
          <w:rFonts w:ascii="Calibri" w:hAnsi="Calibri" w:cs="Times New Roman"/>
          <w:color w:val="FF0000"/>
          <w:sz w:val="24"/>
          <w:szCs w:val="24"/>
        </w:rPr>
      </w:pPr>
      <w:r>
        <w:rPr>
          <w:rFonts w:hint="eastAsia" w:ascii="Calibri" w:hAnsi="Calibri" w:cs="宋体"/>
          <w:sz w:val="24"/>
          <w:szCs w:val="24"/>
        </w:rPr>
        <w:t>十．投标保证金：</w:t>
      </w:r>
      <w:r>
        <w:rPr>
          <w:rFonts w:hint="eastAsia" w:ascii="Calibri" w:hAnsi="Calibri" w:cs="宋体"/>
          <w:color w:val="FF0000"/>
          <w:sz w:val="24"/>
          <w:szCs w:val="24"/>
        </w:rPr>
        <w:t>本项目不收取投标保证金。</w:t>
      </w:r>
    </w:p>
    <w:p>
      <w:pPr>
        <w:widowControl w:val="0"/>
        <w:spacing w:line="400" w:lineRule="exact"/>
        <w:ind w:firstLine="480" w:firstLineChars="200"/>
        <w:rPr>
          <w:rFonts w:ascii="Calibri" w:hAnsi="Calibri" w:cs="Times New Roman"/>
          <w:sz w:val="24"/>
          <w:szCs w:val="24"/>
        </w:rPr>
      </w:pPr>
      <w:r>
        <w:rPr>
          <w:rFonts w:hint="eastAsia" w:ascii="Calibri" w:hAnsi="Calibri" w:cs="宋体"/>
          <w:sz w:val="24"/>
          <w:szCs w:val="24"/>
        </w:rPr>
        <w:t>十一．联系方式</w:t>
      </w:r>
    </w:p>
    <w:p>
      <w:pPr>
        <w:widowControl w:val="0"/>
        <w:spacing w:line="400" w:lineRule="exact"/>
        <w:ind w:firstLine="540" w:firstLineChars="225"/>
        <w:rPr>
          <w:rFonts w:ascii="Calibri" w:hAnsi="Calibri" w:cs="Times New Roman"/>
          <w:sz w:val="24"/>
          <w:szCs w:val="24"/>
        </w:rPr>
      </w:pPr>
      <w:r>
        <w:rPr>
          <w:rFonts w:ascii="Calibri" w:hAnsi="Calibri" w:cs="Calibri"/>
          <w:sz w:val="24"/>
          <w:szCs w:val="24"/>
        </w:rPr>
        <w:t>1</w:t>
      </w:r>
      <w:r>
        <w:rPr>
          <w:rFonts w:hint="eastAsia" w:ascii="Calibri" w:hAnsi="Calibri" w:cs="宋体"/>
          <w:sz w:val="24"/>
          <w:szCs w:val="24"/>
        </w:rPr>
        <w:t>、业务咨询联系人：王飞</w:t>
      </w:r>
    </w:p>
    <w:p>
      <w:pPr>
        <w:widowControl w:val="0"/>
        <w:spacing w:line="400" w:lineRule="exact"/>
        <w:ind w:firstLine="540" w:firstLineChars="225"/>
        <w:rPr>
          <w:rFonts w:ascii="Calibri" w:hAnsi="Calibri" w:cs="Calibri"/>
          <w:sz w:val="24"/>
          <w:szCs w:val="24"/>
        </w:rPr>
      </w:pPr>
      <w:r>
        <w:rPr>
          <w:rFonts w:hint="eastAsia" w:ascii="Calibri" w:hAnsi="Calibri" w:cs="宋体"/>
          <w:sz w:val="24"/>
          <w:szCs w:val="24"/>
        </w:rPr>
        <w:t>联系电话：</w:t>
      </w:r>
      <w:r>
        <w:rPr>
          <w:rFonts w:ascii="Calibri" w:hAnsi="Calibri" w:cs="Calibri"/>
          <w:sz w:val="24"/>
          <w:szCs w:val="24"/>
        </w:rPr>
        <w:t>0579-</w:t>
      </w:r>
      <w:r>
        <w:rPr>
          <w:rFonts w:hint="eastAsia" w:ascii="Calibri" w:hAnsi="Calibri" w:cs="Calibri"/>
          <w:sz w:val="24"/>
          <w:szCs w:val="24"/>
        </w:rPr>
        <w:t>87447077</w:t>
      </w:r>
    </w:p>
    <w:p>
      <w:pPr>
        <w:widowControl w:val="0"/>
        <w:spacing w:line="400" w:lineRule="exact"/>
        <w:ind w:firstLine="540" w:firstLineChars="225"/>
        <w:rPr>
          <w:rFonts w:ascii="Calibri" w:hAnsi="Calibri" w:cs="Calibri"/>
          <w:sz w:val="24"/>
          <w:szCs w:val="24"/>
        </w:rPr>
      </w:pPr>
      <w:r>
        <w:rPr>
          <w:rFonts w:hint="eastAsia" w:ascii="Calibri" w:hAnsi="Calibri" w:cs="宋体"/>
          <w:sz w:val="24"/>
          <w:szCs w:val="24"/>
        </w:rPr>
        <w:t>传真：</w:t>
      </w:r>
      <w:r>
        <w:rPr>
          <w:rFonts w:ascii="Calibri" w:hAnsi="Calibri" w:cs="Calibri"/>
          <w:sz w:val="24"/>
          <w:szCs w:val="24"/>
        </w:rPr>
        <w:t>0579-</w:t>
      </w:r>
      <w:r>
        <w:rPr>
          <w:rFonts w:hint="eastAsia" w:ascii="Calibri" w:hAnsi="Calibri" w:cs="Calibri"/>
          <w:sz w:val="24"/>
          <w:szCs w:val="24"/>
        </w:rPr>
        <w:t>87449099</w:t>
      </w:r>
    </w:p>
    <w:p>
      <w:pPr>
        <w:widowControl w:val="0"/>
        <w:spacing w:line="400" w:lineRule="exact"/>
        <w:ind w:firstLine="540" w:firstLineChars="225"/>
        <w:rPr>
          <w:rFonts w:ascii="Calibri" w:hAnsi="Calibri" w:cs="Times New Roman"/>
          <w:sz w:val="24"/>
          <w:szCs w:val="24"/>
        </w:rPr>
      </w:pPr>
      <w:r>
        <w:rPr>
          <w:rFonts w:hint="eastAsia" w:ascii="Calibri" w:hAnsi="Calibri" w:cs="宋体"/>
          <w:sz w:val="24"/>
          <w:szCs w:val="24"/>
        </w:rPr>
        <w:t>地址：永康市世贸中心南2-1405</w:t>
      </w:r>
    </w:p>
    <w:p>
      <w:pPr>
        <w:widowControl w:val="0"/>
        <w:numPr>
          <w:ilvl w:val="0"/>
          <w:numId w:val="4"/>
        </w:numPr>
        <w:wordWrap w:val="0"/>
        <w:spacing w:line="480" w:lineRule="atLeast"/>
        <w:ind w:firstLine="480" w:firstLineChars="200"/>
        <w:rPr>
          <w:rFonts w:ascii="Calibri" w:hAnsi="Calibri" w:cs="Calibri"/>
          <w:sz w:val="24"/>
          <w:szCs w:val="24"/>
        </w:rPr>
      </w:pPr>
      <w:r>
        <w:rPr>
          <w:rFonts w:hint="eastAsia" w:ascii="Calibri" w:hAnsi="Calibri" w:cs="Calibri"/>
          <w:sz w:val="24"/>
          <w:szCs w:val="24"/>
        </w:rPr>
        <w:t>采购人名称：永康市第三中学</w:t>
      </w:r>
    </w:p>
    <w:p>
      <w:pPr>
        <w:widowControl w:val="0"/>
        <w:numPr>
          <w:ilvl w:val="255"/>
          <w:numId w:val="0"/>
        </w:numPr>
        <w:wordWrap w:val="0"/>
        <w:spacing w:line="480" w:lineRule="atLeast"/>
        <w:ind w:firstLine="720" w:firstLineChars="300"/>
        <w:rPr>
          <w:rFonts w:ascii="Calibri" w:hAnsi="Calibri" w:cs="Calibri"/>
          <w:sz w:val="24"/>
          <w:szCs w:val="24"/>
        </w:rPr>
      </w:pPr>
      <w:r>
        <w:rPr>
          <w:rFonts w:hint="eastAsia" w:ascii="Calibri" w:hAnsi="Calibri" w:cs="Calibri"/>
          <w:sz w:val="24"/>
          <w:szCs w:val="24"/>
        </w:rPr>
        <w:t>采购需求咨询联系人：陈中华</w:t>
      </w:r>
    </w:p>
    <w:p>
      <w:pPr>
        <w:widowControl w:val="0"/>
        <w:wordWrap w:val="0"/>
        <w:spacing w:line="480" w:lineRule="atLeast"/>
        <w:ind w:firstLine="720" w:firstLineChars="300"/>
        <w:rPr>
          <w:rFonts w:ascii="Calibri" w:hAnsi="Calibri" w:cs="Calibri"/>
          <w:sz w:val="24"/>
          <w:szCs w:val="24"/>
        </w:rPr>
      </w:pPr>
      <w:r>
        <w:rPr>
          <w:rFonts w:hint="eastAsia" w:ascii="Calibri" w:hAnsi="Calibri" w:cs="Calibri"/>
          <w:sz w:val="24"/>
          <w:szCs w:val="24"/>
        </w:rPr>
        <w:t>联系电话：0579-89269797</w:t>
      </w:r>
    </w:p>
    <w:p>
      <w:pPr>
        <w:widowControl w:val="0"/>
        <w:wordWrap w:val="0"/>
        <w:spacing w:line="480" w:lineRule="atLeast"/>
        <w:ind w:firstLine="480" w:firstLineChars="200"/>
        <w:rPr>
          <w:rFonts w:ascii="Calibri" w:hAnsi="Calibri" w:cs="Calibri"/>
          <w:sz w:val="24"/>
          <w:szCs w:val="24"/>
        </w:rPr>
      </w:pPr>
      <w:r>
        <w:rPr>
          <w:rFonts w:hint="eastAsia" w:ascii="Calibri" w:hAnsi="Calibri" w:cs="Calibri"/>
          <w:sz w:val="24"/>
          <w:szCs w:val="24"/>
        </w:rPr>
        <w:t>地址：永康市南苑东路34号</w:t>
      </w:r>
    </w:p>
    <w:p>
      <w:pPr>
        <w:widowControl w:val="0"/>
        <w:wordWrap w:val="0"/>
        <w:ind w:firstLine="480" w:firstLineChars="200"/>
        <w:rPr>
          <w:rFonts w:ascii="Calibri" w:hAnsi="Calibri" w:cs="Times New Roman"/>
          <w:sz w:val="24"/>
          <w:szCs w:val="24"/>
        </w:rPr>
      </w:pPr>
      <w:r>
        <w:rPr>
          <w:rFonts w:ascii="Calibri" w:hAnsi="Calibri" w:cs="Calibri"/>
          <w:sz w:val="24"/>
          <w:szCs w:val="24"/>
        </w:rPr>
        <w:t>3</w:t>
      </w:r>
      <w:r>
        <w:rPr>
          <w:rFonts w:hint="eastAsia" w:ascii="Calibri" w:hAnsi="Calibri" w:cs="宋体"/>
          <w:sz w:val="24"/>
          <w:szCs w:val="24"/>
        </w:rPr>
        <w:t>、同级政府采购监督管理部门名称：永康市财政局政府采购监管科</w:t>
      </w:r>
    </w:p>
    <w:p>
      <w:pPr>
        <w:widowControl w:val="0"/>
        <w:spacing w:line="400" w:lineRule="exact"/>
        <w:ind w:firstLine="600" w:firstLineChars="250"/>
        <w:rPr>
          <w:rFonts w:ascii="Calibri" w:hAnsi="Calibri" w:cs="Times New Roman"/>
          <w:sz w:val="24"/>
          <w:szCs w:val="24"/>
        </w:rPr>
      </w:pPr>
      <w:r>
        <w:rPr>
          <w:rFonts w:hint="eastAsia" w:ascii="Calibri" w:hAnsi="Calibri" w:cs="宋体"/>
          <w:sz w:val="24"/>
          <w:szCs w:val="24"/>
        </w:rPr>
        <w:t>联系人：宋老师</w:t>
      </w:r>
    </w:p>
    <w:p>
      <w:pPr>
        <w:widowControl w:val="0"/>
        <w:spacing w:line="400" w:lineRule="exact"/>
        <w:ind w:firstLine="600" w:firstLineChars="250"/>
        <w:rPr>
          <w:rFonts w:ascii="Calibri" w:hAnsi="Calibri" w:cs="Calibri"/>
          <w:sz w:val="24"/>
          <w:szCs w:val="24"/>
        </w:rPr>
      </w:pPr>
      <w:r>
        <w:rPr>
          <w:rFonts w:hint="eastAsia" w:ascii="Calibri" w:hAnsi="Calibri" w:cs="宋体"/>
          <w:sz w:val="24"/>
          <w:szCs w:val="24"/>
        </w:rPr>
        <w:t>监督投诉电话：</w:t>
      </w:r>
      <w:r>
        <w:rPr>
          <w:rFonts w:ascii="Calibri" w:hAnsi="Calibri" w:cs="Calibri"/>
          <w:sz w:val="24"/>
          <w:szCs w:val="24"/>
        </w:rPr>
        <w:t>0579-87171293</w:t>
      </w:r>
    </w:p>
    <w:p>
      <w:pPr>
        <w:widowControl w:val="0"/>
        <w:spacing w:line="400" w:lineRule="exact"/>
        <w:ind w:firstLine="600" w:firstLineChars="250"/>
        <w:rPr>
          <w:rFonts w:ascii="Calibri" w:hAnsi="Calibri" w:cs="Calibri"/>
          <w:sz w:val="24"/>
          <w:szCs w:val="24"/>
        </w:rPr>
      </w:pPr>
      <w:r>
        <w:rPr>
          <w:rFonts w:hint="eastAsia" w:ascii="Calibri" w:hAnsi="Calibri" w:cs="宋体"/>
          <w:sz w:val="24"/>
          <w:szCs w:val="24"/>
        </w:rPr>
        <w:t>传真：</w:t>
      </w:r>
      <w:r>
        <w:rPr>
          <w:rFonts w:ascii="Calibri" w:hAnsi="Calibri" w:cs="Calibri"/>
          <w:sz w:val="24"/>
          <w:szCs w:val="24"/>
        </w:rPr>
        <w:t>0579-87171293</w:t>
      </w:r>
    </w:p>
    <w:p>
      <w:pPr>
        <w:widowControl w:val="0"/>
        <w:spacing w:line="400" w:lineRule="exact"/>
        <w:ind w:firstLine="600" w:firstLineChars="250"/>
        <w:rPr>
          <w:rFonts w:ascii="Calibri" w:hAnsi="Calibri" w:cs="宋体"/>
          <w:sz w:val="24"/>
          <w:szCs w:val="24"/>
        </w:rPr>
      </w:pPr>
      <w:r>
        <w:rPr>
          <w:rFonts w:hint="eastAsia" w:ascii="Calibri" w:hAnsi="Calibri" w:cs="宋体"/>
          <w:sz w:val="24"/>
          <w:szCs w:val="24"/>
        </w:rPr>
        <w:t>地址：浙江省永康市总部中心花园大道</w:t>
      </w:r>
      <w:r>
        <w:rPr>
          <w:rFonts w:ascii="Calibri" w:hAnsi="Calibri" w:cs="Calibri"/>
          <w:sz w:val="24"/>
          <w:szCs w:val="24"/>
        </w:rPr>
        <w:t>585</w:t>
      </w:r>
      <w:r>
        <w:rPr>
          <w:rFonts w:hint="eastAsia" w:ascii="Calibri" w:hAnsi="Calibri" w:cs="宋体"/>
          <w:sz w:val="24"/>
          <w:szCs w:val="24"/>
        </w:rPr>
        <w:t>号</w:t>
      </w:r>
      <w:r>
        <w:rPr>
          <w:rFonts w:ascii="Calibri" w:hAnsi="Calibri" w:cs="Calibri"/>
          <w:sz w:val="24"/>
          <w:szCs w:val="24"/>
        </w:rPr>
        <w:t>208</w:t>
      </w:r>
      <w:r>
        <w:rPr>
          <w:rFonts w:hint="eastAsia" w:ascii="Calibri" w:hAnsi="Calibri" w:cs="宋体"/>
          <w:sz w:val="24"/>
          <w:szCs w:val="24"/>
        </w:rPr>
        <w:t>室</w:t>
      </w:r>
    </w:p>
    <w:p>
      <w:pPr>
        <w:widowControl w:val="0"/>
        <w:numPr>
          <w:ilvl w:val="0"/>
          <w:numId w:val="5"/>
        </w:numPr>
        <w:wordWrap w:val="0"/>
        <w:spacing w:line="480" w:lineRule="atLeast"/>
        <w:ind w:firstLine="480" w:firstLineChars="200"/>
        <w:rPr>
          <w:rFonts w:ascii="Calibri" w:hAnsi="Calibri" w:cs="宋体"/>
          <w:color w:val="FF0000"/>
          <w:sz w:val="24"/>
          <w:szCs w:val="24"/>
        </w:rPr>
      </w:pPr>
      <w:r>
        <w:rPr>
          <w:rFonts w:hint="eastAsia" w:ascii="Calibri" w:hAnsi="Calibri" w:cs="宋体"/>
          <w:color w:val="FF0000"/>
          <w:sz w:val="24"/>
          <w:szCs w:val="24"/>
        </w:rPr>
        <w:t>系统技术支持：政采云有限公司</w:t>
      </w:r>
    </w:p>
    <w:p>
      <w:pPr>
        <w:widowControl w:val="0"/>
        <w:spacing w:line="400" w:lineRule="exact"/>
        <w:ind w:firstLine="600" w:firstLineChars="250"/>
        <w:rPr>
          <w:rFonts w:ascii="Calibri" w:hAnsi="Calibri" w:cs="Calibri"/>
          <w:color w:val="FF0000"/>
          <w:sz w:val="24"/>
          <w:szCs w:val="24"/>
        </w:rPr>
      </w:pPr>
      <w:r>
        <w:rPr>
          <w:rFonts w:hint="eastAsia" w:ascii="Calibri" w:hAnsi="Calibri" w:cs="Calibri"/>
          <w:color w:val="FF0000"/>
          <w:sz w:val="24"/>
          <w:szCs w:val="24"/>
        </w:rPr>
        <w:t>联系人：客服</w:t>
      </w:r>
    </w:p>
    <w:p>
      <w:pPr>
        <w:widowControl w:val="0"/>
        <w:spacing w:line="400" w:lineRule="exact"/>
        <w:ind w:firstLine="600" w:firstLineChars="250"/>
        <w:rPr>
          <w:color w:val="FF0000"/>
        </w:rPr>
      </w:pPr>
      <w:r>
        <w:rPr>
          <w:rFonts w:hint="eastAsia" w:ascii="Calibri" w:hAnsi="Calibri" w:cs="Calibri"/>
          <w:color w:val="FF0000"/>
          <w:sz w:val="24"/>
          <w:szCs w:val="24"/>
        </w:rPr>
        <w:t>联系电话：4008817190</w:t>
      </w:r>
    </w:p>
    <w:p/>
    <w:p>
      <w:pPr>
        <w:widowControl w:val="0"/>
        <w:rPr>
          <w:rFonts w:ascii="Calibri" w:hAnsi="Calibri" w:cs="Times New Roman"/>
          <w:sz w:val="24"/>
          <w:szCs w:val="24"/>
        </w:rPr>
      </w:pPr>
      <w:r>
        <w:rPr>
          <w:rFonts w:ascii="Calibri" w:hAnsi="Calibri" w:cs="Times New Roman"/>
          <w:sz w:val="24"/>
          <w:szCs w:val="24"/>
        </w:rPr>
        <w:br w:type="page"/>
      </w:r>
    </w:p>
    <w:p>
      <w:pPr>
        <w:widowControl w:val="0"/>
        <w:spacing w:line="480" w:lineRule="auto"/>
        <w:jc w:val="center"/>
        <w:rPr>
          <w:sz w:val="32"/>
          <w:szCs w:val="32"/>
        </w:rPr>
      </w:pPr>
      <w:r>
        <w:rPr>
          <w:rFonts w:hint="eastAsia" w:ascii="黑体" w:hAnsi="黑体" w:eastAsia="黑体" w:cs="黑体"/>
          <w:b/>
          <w:bCs/>
          <w:sz w:val="32"/>
          <w:szCs w:val="32"/>
        </w:rPr>
        <w:t>政府采购金融服务简介</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为优化政府采购营商环境，缓解供应商资金难题，有需要的中标供应商可根据需要申请办理政府采购合同贷款（以下简称“政采贷”）、履约保函、预付款保函等政府采购金融服务。</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1、政采贷</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通过发挥政府采购政策功能，依托政采云在互联网、云计算、大数据等方面的优势，由各银行向平台用户提供中短期贷款（主要包括流水贷和合同贷），以解决中小微企业“融资难”、“担保难”问题的信用融资产品。</w:t>
      </w:r>
    </w:p>
    <w:p>
      <w:pPr>
        <w:widowControl w:val="0"/>
        <w:spacing w:line="360" w:lineRule="auto"/>
        <w:rPr>
          <w:rFonts w:ascii="新宋体" w:hAnsi="新宋体" w:eastAsia="新宋体" w:cs="新宋体"/>
        </w:rPr>
      </w:pPr>
      <w:r>
        <w:rPr>
          <w:rFonts w:hint="eastAsia" w:ascii="新宋体" w:hAnsi="新宋体" w:eastAsia="新宋体" w:cs="新宋体"/>
        </w:rPr>
        <w:t>具体要求、条件和操作教程可通过政采云首页右上角——网站导航——金融服务查看，也可拨打政采云客服热线400-881-7190咨询，也可查看公告附件中的相关宣传资料，或向各地已开通政采贷的银行咨询办理。</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2、履约保函</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中标供应商可通过以保函的形式提交履约保证金，减少对中小微企业的资金占用，降低财务成本。</w:t>
      </w:r>
    </w:p>
    <w:p>
      <w:pPr>
        <w:widowControl w:val="0"/>
        <w:spacing w:line="360" w:lineRule="auto"/>
        <w:rPr>
          <w:rFonts w:ascii="新宋体" w:hAnsi="新宋体" w:eastAsia="新宋体" w:cs="新宋体"/>
        </w:rPr>
      </w:pPr>
      <w:r>
        <w:rPr>
          <w:rFonts w:hint="eastAsia" w:ascii="新宋体" w:hAnsi="新宋体" w:eastAsia="新宋体" w:cs="新宋体"/>
        </w:rPr>
        <w:t>具体的条件、要求和操作程序由申请贷款的中标供应商向各地保险公司、银行咨询办理。</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3、预付款保函</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采购单位根据项目特点、供应商诚信等因素，可以要求供应商提交银行、保险公司等金融机构出具的预付款保函或其他担保措施</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4.风险提示</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（1）本宣传简介内容仅为提供给各中标供应商对办理政府采购金融服务的宣传和了解之方便，对金融服务的具体内容和操作流程均以各金融机构的要求为准，也不作强制要求。</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（2）政府采购金融服务有风险，请详细了解并综合评估后再决定。</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（3）政府采购金融服务遵循平等自愿、风险自担的原则。采购人、代理机构、财政部门不为任何政府采购金融服务项目承担任何形式的担保、解释或其他连带责任。</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 xml:space="preserve">5、政采贷合作单位分为线上线下共四家。 </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永康招商银行： 陈豪 联系电话：13605896913/676913 （线上）</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永康农商银行： 陈中升 联系电话 15158900186/578260 （线上）</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 xml:space="preserve">金华银行永康支行:杨望 联系电话：13858931020，0579-87217221（线下） </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浙商银行金华永康支行：胡风华 联系电话：13758976161（676161）， 0579-87576758 （线下）</w:t>
      </w:r>
    </w:p>
    <w:p>
      <w:pPr>
        <w:widowControl w:val="0"/>
        <w:spacing w:line="360" w:lineRule="auto"/>
        <w:ind w:firstLine="420" w:firstLineChars="200"/>
        <w:rPr>
          <w:rFonts w:ascii="新宋体" w:hAnsi="新宋体" w:eastAsia="新宋体" w:cs="新宋体"/>
        </w:rPr>
      </w:pPr>
      <w:r>
        <w:rPr>
          <w:rFonts w:hint="eastAsia" w:ascii="新宋体" w:hAnsi="新宋体" w:eastAsia="新宋体" w:cs="新宋体"/>
        </w:rPr>
        <w:t>保函合作单位:</w:t>
      </w:r>
    </w:p>
    <w:tbl>
      <w:tblPr>
        <w:tblStyle w:val="37"/>
        <w:tblpPr w:leftFromText="180" w:rightFromText="180" w:vertAnchor="text" w:horzAnchor="page" w:tblpX="1890" w:tblpY="1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50"/>
        <w:gridCol w:w="1545"/>
        <w:gridCol w:w="25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tcPr>
          <w:p>
            <w:pPr>
              <w:widowControl w:val="0"/>
              <w:spacing w:line="360" w:lineRule="auto"/>
              <w:jc w:val="center"/>
              <w:rPr>
                <w:rFonts w:ascii="新宋体" w:hAnsi="新宋体" w:eastAsia="新宋体" w:cs="新宋体"/>
              </w:rPr>
            </w:pPr>
            <w:r>
              <w:rPr>
                <w:rFonts w:hint="eastAsia" w:ascii="新宋体" w:hAnsi="新宋体" w:eastAsia="新宋体" w:cs="新宋体"/>
              </w:rPr>
              <w:t>单位</w:t>
            </w:r>
          </w:p>
        </w:tc>
        <w:tc>
          <w:tcPr>
            <w:tcW w:w="1545" w:type="dxa"/>
          </w:tcPr>
          <w:p>
            <w:pPr>
              <w:widowControl w:val="0"/>
              <w:spacing w:line="360" w:lineRule="auto"/>
              <w:jc w:val="center"/>
              <w:rPr>
                <w:rFonts w:ascii="新宋体" w:hAnsi="新宋体" w:eastAsia="新宋体" w:cs="新宋体"/>
              </w:rPr>
            </w:pPr>
            <w:r>
              <w:rPr>
                <w:rFonts w:hint="eastAsia" w:ascii="新宋体" w:hAnsi="新宋体" w:eastAsia="新宋体" w:cs="新宋体"/>
              </w:rPr>
              <w:t>联系人</w:t>
            </w:r>
          </w:p>
        </w:tc>
        <w:tc>
          <w:tcPr>
            <w:tcW w:w="2533" w:type="dxa"/>
          </w:tcPr>
          <w:p>
            <w:pPr>
              <w:widowControl w:val="0"/>
              <w:spacing w:line="360" w:lineRule="auto"/>
              <w:jc w:val="center"/>
              <w:rPr>
                <w:rFonts w:ascii="新宋体" w:hAnsi="新宋体" w:eastAsia="新宋体" w:cs="新宋体"/>
              </w:rPr>
            </w:pPr>
            <w:r>
              <w:rPr>
                <w:rFonts w:hint="eastAsia" w:ascii="新宋体" w:hAnsi="新宋体" w:eastAsia="新宋体" w:cs="新宋体"/>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center"/>
          </w:tcPr>
          <w:p>
            <w:pPr>
              <w:widowControl w:val="0"/>
              <w:spacing w:line="360" w:lineRule="auto"/>
              <w:rPr>
                <w:rFonts w:ascii="新宋体" w:hAnsi="新宋体" w:eastAsia="新宋体" w:cs="新宋体"/>
              </w:rPr>
            </w:pPr>
            <w:r>
              <w:rPr>
                <w:rFonts w:hint="eastAsia" w:ascii="新宋体" w:hAnsi="新宋体" w:eastAsia="新宋体" w:cs="新宋体"/>
              </w:rPr>
              <w:t>中国人民财产保险股份有限公司永康支公司</w:t>
            </w:r>
          </w:p>
        </w:tc>
        <w:tc>
          <w:tcPr>
            <w:tcW w:w="1545" w:type="dxa"/>
            <w:vAlign w:val="center"/>
          </w:tcPr>
          <w:p>
            <w:pPr>
              <w:widowControl w:val="0"/>
              <w:spacing w:line="360" w:lineRule="auto"/>
              <w:jc w:val="center"/>
              <w:rPr>
                <w:rFonts w:ascii="新宋体" w:hAnsi="新宋体" w:eastAsia="新宋体" w:cs="新宋体"/>
              </w:rPr>
            </w:pPr>
            <w:r>
              <w:rPr>
                <w:rFonts w:hint="eastAsia" w:ascii="新宋体" w:hAnsi="新宋体" w:eastAsia="新宋体" w:cs="新宋体"/>
              </w:rPr>
              <w:t>倪海涛</w:t>
            </w:r>
          </w:p>
        </w:tc>
        <w:tc>
          <w:tcPr>
            <w:tcW w:w="2533" w:type="dxa"/>
            <w:vAlign w:val="center"/>
          </w:tcPr>
          <w:p>
            <w:pPr>
              <w:widowControl w:val="0"/>
              <w:spacing w:line="360" w:lineRule="auto"/>
              <w:jc w:val="center"/>
              <w:rPr>
                <w:rFonts w:ascii="新宋体" w:hAnsi="新宋体" w:eastAsia="新宋体" w:cs="新宋体"/>
              </w:rPr>
            </w:pPr>
            <w:r>
              <w:rPr>
                <w:rFonts w:hint="eastAsia" w:ascii="新宋体" w:hAnsi="新宋体" w:eastAsia="新宋体" w:cs="新宋体"/>
              </w:rPr>
              <w:t>13758982628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center"/>
          </w:tcPr>
          <w:p>
            <w:pPr>
              <w:widowControl w:val="0"/>
              <w:spacing w:line="360" w:lineRule="auto"/>
              <w:rPr>
                <w:rFonts w:ascii="新宋体" w:hAnsi="新宋体" w:eastAsia="新宋体" w:cs="新宋体"/>
              </w:rPr>
            </w:pPr>
            <w:r>
              <w:rPr>
                <w:rFonts w:hint="eastAsia" w:ascii="新宋体" w:hAnsi="新宋体" w:eastAsia="新宋体" w:cs="新宋体"/>
              </w:rPr>
              <w:t>中华联合财产保险股份有限公司永康支公司</w:t>
            </w:r>
          </w:p>
        </w:tc>
        <w:tc>
          <w:tcPr>
            <w:tcW w:w="1545" w:type="dxa"/>
            <w:vAlign w:val="center"/>
          </w:tcPr>
          <w:p>
            <w:pPr>
              <w:widowControl w:val="0"/>
              <w:spacing w:line="360" w:lineRule="auto"/>
              <w:jc w:val="center"/>
              <w:rPr>
                <w:rFonts w:ascii="新宋体" w:hAnsi="新宋体" w:eastAsia="新宋体" w:cs="新宋体"/>
              </w:rPr>
            </w:pPr>
            <w:r>
              <w:rPr>
                <w:rFonts w:hint="eastAsia" w:ascii="新宋体" w:hAnsi="新宋体" w:eastAsia="新宋体" w:cs="新宋体"/>
              </w:rPr>
              <w:t>章卓航</w:t>
            </w:r>
          </w:p>
        </w:tc>
        <w:tc>
          <w:tcPr>
            <w:tcW w:w="2533" w:type="dxa"/>
            <w:vAlign w:val="center"/>
          </w:tcPr>
          <w:p>
            <w:pPr>
              <w:widowControl w:val="0"/>
              <w:spacing w:line="360" w:lineRule="auto"/>
              <w:jc w:val="center"/>
              <w:rPr>
                <w:rFonts w:ascii="新宋体" w:hAnsi="新宋体" w:eastAsia="新宋体" w:cs="新宋体"/>
              </w:rPr>
            </w:pPr>
            <w:r>
              <w:rPr>
                <w:rFonts w:hint="eastAsia" w:ascii="新宋体" w:hAnsi="新宋体" w:eastAsia="新宋体" w:cs="新宋体"/>
              </w:rPr>
              <w:t>13819905616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50" w:type="dxa"/>
            <w:vAlign w:val="center"/>
          </w:tcPr>
          <w:p>
            <w:pPr>
              <w:widowControl w:val="0"/>
              <w:spacing w:line="360" w:lineRule="auto"/>
              <w:rPr>
                <w:rFonts w:ascii="新宋体" w:hAnsi="新宋体" w:eastAsia="新宋体" w:cs="新宋体"/>
              </w:rPr>
            </w:pPr>
            <w:r>
              <w:rPr>
                <w:rFonts w:hint="eastAsia" w:ascii="新宋体" w:hAnsi="新宋体" w:eastAsia="新宋体" w:cs="新宋体"/>
              </w:rPr>
              <w:t>天安财产保险股份有限公司永康支公司</w:t>
            </w:r>
          </w:p>
        </w:tc>
        <w:tc>
          <w:tcPr>
            <w:tcW w:w="1545" w:type="dxa"/>
            <w:vAlign w:val="center"/>
          </w:tcPr>
          <w:p>
            <w:pPr>
              <w:widowControl w:val="0"/>
              <w:spacing w:line="360" w:lineRule="auto"/>
              <w:jc w:val="center"/>
              <w:rPr>
                <w:rFonts w:ascii="新宋体" w:hAnsi="新宋体" w:eastAsia="新宋体" w:cs="新宋体"/>
              </w:rPr>
            </w:pPr>
            <w:r>
              <w:rPr>
                <w:rFonts w:hint="eastAsia" w:ascii="新宋体" w:hAnsi="新宋体" w:eastAsia="新宋体" w:cs="新宋体"/>
              </w:rPr>
              <w:t>钱磊</w:t>
            </w:r>
          </w:p>
        </w:tc>
        <w:tc>
          <w:tcPr>
            <w:tcW w:w="2533" w:type="dxa"/>
            <w:vAlign w:val="center"/>
          </w:tcPr>
          <w:p>
            <w:pPr>
              <w:widowControl w:val="0"/>
              <w:spacing w:line="360" w:lineRule="auto"/>
              <w:jc w:val="center"/>
              <w:rPr>
                <w:rFonts w:ascii="新宋体" w:hAnsi="新宋体" w:eastAsia="新宋体" w:cs="新宋体"/>
              </w:rPr>
            </w:pPr>
            <w:r>
              <w:rPr>
                <w:rFonts w:hint="eastAsia" w:ascii="新宋体" w:hAnsi="新宋体" w:eastAsia="新宋体" w:cs="新宋体"/>
              </w:rPr>
              <w:t>13758980258</w:t>
            </w:r>
          </w:p>
        </w:tc>
      </w:tr>
    </w:tbl>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r>
        <w:rPr>
          <w:rFonts w:ascii="Calibri" w:hAnsi="Calibri" w:cs="Times New Roman"/>
        </w:rPr>
        <w:br w:type="page"/>
      </w:r>
    </w:p>
    <w:p>
      <w:pPr>
        <w:widowControl w:val="0"/>
        <w:spacing w:line="780" w:lineRule="exact"/>
        <w:jc w:val="center"/>
        <w:rPr>
          <w:rFonts w:ascii="黑体" w:hAnsi="Calibri" w:eastAsia="黑体" w:cs="黑体"/>
          <w:b/>
          <w:bCs/>
          <w:sz w:val="52"/>
          <w:szCs w:val="52"/>
        </w:rPr>
      </w:pPr>
    </w:p>
    <w:p>
      <w:pPr>
        <w:widowControl w:val="0"/>
        <w:spacing w:line="780" w:lineRule="exact"/>
        <w:jc w:val="center"/>
        <w:rPr>
          <w:rFonts w:ascii="黑体" w:hAnsi="Calibri" w:eastAsia="黑体" w:cs="黑体"/>
          <w:b/>
          <w:bCs/>
          <w:sz w:val="52"/>
          <w:szCs w:val="52"/>
        </w:rPr>
      </w:pPr>
    </w:p>
    <w:p>
      <w:pPr>
        <w:widowControl w:val="0"/>
        <w:spacing w:line="780" w:lineRule="exact"/>
        <w:jc w:val="center"/>
        <w:rPr>
          <w:rFonts w:ascii="黑体" w:hAnsi="Calibri" w:eastAsia="黑体" w:cs="Times New Roman"/>
          <w:b/>
          <w:bCs/>
          <w:sz w:val="52"/>
          <w:szCs w:val="52"/>
        </w:rPr>
      </w:pPr>
      <w:r>
        <w:rPr>
          <w:rFonts w:hint="eastAsia" w:ascii="黑体" w:hAnsi="Calibri" w:eastAsia="黑体" w:cs="黑体"/>
          <w:b/>
          <w:bCs/>
          <w:sz w:val="52"/>
          <w:szCs w:val="52"/>
        </w:rPr>
        <w:t>第二章</w:t>
      </w:r>
    </w:p>
    <w:p>
      <w:pPr>
        <w:widowControl w:val="0"/>
        <w:spacing w:line="780" w:lineRule="exact"/>
        <w:jc w:val="center"/>
        <w:rPr>
          <w:rFonts w:ascii="黑体" w:hAnsi="Calibri" w:eastAsia="黑体" w:cs="Times New Roman"/>
          <w:b/>
          <w:bCs/>
          <w:sz w:val="52"/>
          <w:szCs w:val="52"/>
        </w:rPr>
      </w:pPr>
      <w:r>
        <w:rPr>
          <w:rFonts w:hint="eastAsia" w:ascii="黑体" w:hAnsi="Calibri" w:eastAsia="黑体" w:cs="黑体"/>
          <w:b/>
          <w:bCs/>
          <w:sz w:val="52"/>
          <w:szCs w:val="52"/>
        </w:rPr>
        <w:t>前附表、投标人须知</w:t>
      </w:r>
    </w:p>
    <w:p>
      <w:pPr>
        <w:widowControl w:val="0"/>
        <w:jc w:val="center"/>
        <w:rPr>
          <w:rFonts w:ascii="Calibri" w:hAnsi="Calibri" w:cs="Times New Roman"/>
        </w:rPr>
      </w:pPr>
    </w:p>
    <w:p>
      <w:pPr>
        <w:keepNext/>
        <w:keepLines/>
        <w:widowControl w:val="0"/>
        <w:spacing w:before="120" w:after="120"/>
        <w:jc w:val="center"/>
        <w:outlineLvl w:val="0"/>
        <w:rPr>
          <w:rFonts w:ascii="Calibri" w:hAnsi="Calibri" w:cs="Times New Roman"/>
          <w:b/>
          <w:bCs/>
          <w:kern w:val="44"/>
          <w:sz w:val="44"/>
          <w:szCs w:val="44"/>
        </w:rPr>
      </w:pPr>
      <w:r>
        <w:rPr>
          <w:rFonts w:ascii="Calibri" w:hAnsi="Calibri" w:cs="Times New Roman"/>
          <w:b/>
          <w:bCs/>
          <w:kern w:val="44"/>
          <w:sz w:val="44"/>
          <w:szCs w:val="44"/>
        </w:rPr>
        <w:br w:type="page"/>
      </w:r>
      <w:r>
        <w:rPr>
          <w:rFonts w:hint="eastAsia" w:ascii="Calibri" w:hAnsi="Calibri" w:cs="宋体"/>
          <w:b/>
          <w:bCs/>
          <w:kern w:val="44"/>
          <w:sz w:val="44"/>
          <w:szCs w:val="44"/>
        </w:rPr>
        <w:t>前附表</w:t>
      </w:r>
    </w:p>
    <w:tbl>
      <w:tblPr>
        <w:tblStyle w:val="36"/>
        <w:tblW w:w="93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854"/>
        <w:gridCol w:w="6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Times New Roman"/>
                <w:b/>
                <w:bCs/>
              </w:rPr>
            </w:pPr>
            <w:r>
              <w:rPr>
                <w:rFonts w:hint="eastAsia" w:ascii="Calibri" w:hAnsi="Calibri" w:cs="宋体"/>
                <w:b/>
                <w:bCs/>
              </w:rPr>
              <w:t>序号</w:t>
            </w:r>
          </w:p>
        </w:tc>
        <w:tc>
          <w:tcPr>
            <w:tcW w:w="1854" w:type="dxa"/>
            <w:vAlign w:val="center"/>
          </w:tcPr>
          <w:p>
            <w:pPr>
              <w:widowControl w:val="0"/>
              <w:spacing w:line="400" w:lineRule="exact"/>
              <w:jc w:val="center"/>
              <w:rPr>
                <w:rFonts w:ascii="Calibri" w:hAnsi="Calibri" w:cs="Times New Roman"/>
                <w:b/>
                <w:bCs/>
              </w:rPr>
            </w:pPr>
            <w:r>
              <w:rPr>
                <w:rFonts w:hint="eastAsia" w:ascii="Calibri" w:hAnsi="Calibri" w:cs="宋体"/>
                <w:b/>
                <w:bCs/>
                <w:sz w:val="24"/>
                <w:szCs w:val="24"/>
              </w:rPr>
              <w:t>名称</w:t>
            </w:r>
          </w:p>
        </w:tc>
        <w:tc>
          <w:tcPr>
            <w:tcW w:w="6543" w:type="dxa"/>
            <w:vAlign w:val="center"/>
          </w:tcPr>
          <w:p>
            <w:pPr>
              <w:widowControl w:val="0"/>
              <w:spacing w:line="400" w:lineRule="exact"/>
              <w:jc w:val="center"/>
              <w:rPr>
                <w:rFonts w:ascii="Calibri" w:hAnsi="Calibri" w:cs="Times New Roman"/>
                <w:b/>
                <w:bCs/>
                <w:sz w:val="24"/>
                <w:szCs w:val="24"/>
              </w:rPr>
            </w:pPr>
            <w:r>
              <w:rPr>
                <w:rFonts w:hint="eastAsia" w:ascii="Calibri" w:hAnsi="Calibri" w:cs="宋体"/>
                <w:b/>
                <w:bCs/>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935" w:type="dxa"/>
            <w:vMerge w:val="restart"/>
            <w:vAlign w:val="center"/>
          </w:tcPr>
          <w:p>
            <w:pPr>
              <w:widowControl w:val="0"/>
              <w:spacing w:line="400" w:lineRule="exact"/>
              <w:jc w:val="center"/>
              <w:rPr>
                <w:rFonts w:ascii="Calibri" w:hAnsi="Calibri" w:cs="Calibri"/>
              </w:rPr>
            </w:pPr>
            <w:r>
              <w:rPr>
                <w:rFonts w:ascii="Calibri" w:hAnsi="Calibri" w:cs="Calibri"/>
              </w:rPr>
              <w:t>1</w:t>
            </w:r>
          </w:p>
        </w:tc>
        <w:tc>
          <w:tcPr>
            <w:tcW w:w="1854" w:type="dxa"/>
            <w:vAlign w:val="center"/>
          </w:tcPr>
          <w:p>
            <w:pPr>
              <w:widowControl w:val="0"/>
              <w:jc w:val="center"/>
              <w:rPr>
                <w:rFonts w:ascii="Calibri" w:hAnsi="Calibri" w:cs="Times New Roman"/>
                <w:color w:val="000000"/>
              </w:rPr>
            </w:pPr>
            <w:r>
              <w:rPr>
                <w:rFonts w:hint="eastAsia" w:ascii="Calibri" w:hAnsi="Calibri" w:cs="宋体"/>
              </w:rPr>
              <w:t>项目名称：</w:t>
            </w:r>
          </w:p>
        </w:tc>
        <w:tc>
          <w:tcPr>
            <w:tcW w:w="6543" w:type="dxa"/>
            <w:vAlign w:val="center"/>
          </w:tcPr>
          <w:p>
            <w:pPr>
              <w:widowControl w:val="0"/>
              <w:rPr>
                <w:rFonts w:ascii="宋体" w:hAnsi="Calibri" w:cs="Times New Roman"/>
                <w:kern w:val="0"/>
              </w:rPr>
            </w:pPr>
            <w:r>
              <w:rPr>
                <w:rFonts w:hint="eastAsia" w:ascii="Calibri" w:hAnsi="Calibri" w:cs="宋体"/>
              </w:rPr>
              <w:t>永康市第三中学校园网络监控改造、专用教室装备、路灯采购项目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vAlign w:val="center"/>
          </w:tcPr>
          <w:p>
            <w:pPr>
              <w:widowControl w:val="0"/>
              <w:spacing w:line="400" w:lineRule="exact"/>
              <w:jc w:val="center"/>
              <w:rPr>
                <w:rFonts w:ascii="Calibri" w:hAnsi="Calibri" w:cs="Calibri"/>
              </w:rPr>
            </w:pPr>
          </w:p>
        </w:tc>
        <w:tc>
          <w:tcPr>
            <w:tcW w:w="1854" w:type="dxa"/>
            <w:vAlign w:val="center"/>
          </w:tcPr>
          <w:p>
            <w:pPr>
              <w:widowControl w:val="0"/>
              <w:jc w:val="center"/>
              <w:rPr>
                <w:rFonts w:ascii="Calibri" w:hAnsi="Calibri" w:cs="Times New Roman"/>
                <w:color w:val="000000"/>
              </w:rPr>
            </w:pPr>
            <w:r>
              <w:rPr>
                <w:rFonts w:hint="eastAsia" w:ascii="Calibri" w:hAnsi="Calibri" w:cs="Times New Roman"/>
              </w:rPr>
              <w:t>项目最高限价：</w:t>
            </w:r>
          </w:p>
        </w:tc>
        <w:tc>
          <w:tcPr>
            <w:tcW w:w="6543" w:type="dxa"/>
            <w:vAlign w:val="center"/>
          </w:tcPr>
          <w:p>
            <w:pPr>
              <w:widowControl w:val="0"/>
              <w:rPr>
                <w:rFonts w:ascii="Calibri" w:hAnsi="Calibri" w:cs="Times New Roman"/>
              </w:rPr>
            </w:pPr>
            <w:r>
              <w:rPr>
                <w:rFonts w:hint="eastAsia" w:ascii="Calibri" w:hAnsi="Calibri" w:cs="Times New Roman"/>
              </w:rPr>
              <w:t>96.3万元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5" w:type="dxa"/>
            <w:vMerge w:val="continue"/>
            <w:vAlign w:val="center"/>
          </w:tcPr>
          <w:p>
            <w:pPr>
              <w:widowControl w:val="0"/>
              <w:spacing w:line="400" w:lineRule="exact"/>
              <w:jc w:val="center"/>
              <w:rPr>
                <w:rFonts w:ascii="Calibri" w:hAnsi="Calibri" w:cs="Calibri"/>
              </w:rPr>
            </w:pPr>
          </w:p>
        </w:tc>
        <w:tc>
          <w:tcPr>
            <w:tcW w:w="1854" w:type="dxa"/>
            <w:vAlign w:val="center"/>
          </w:tcPr>
          <w:p>
            <w:pPr>
              <w:widowControl w:val="0"/>
              <w:jc w:val="center"/>
              <w:rPr>
                <w:rFonts w:ascii="Calibri" w:hAnsi="Calibri" w:cs="Times New Roman"/>
              </w:rPr>
            </w:pPr>
            <w:r>
              <w:rPr>
                <w:rFonts w:ascii="Calibri" w:hAnsi="Calibri" w:cs="Times New Roman"/>
              </w:rPr>
              <w:t>本采购标的对应的所属行业</w:t>
            </w:r>
          </w:p>
        </w:tc>
        <w:tc>
          <w:tcPr>
            <w:tcW w:w="6543" w:type="dxa"/>
            <w:vAlign w:val="center"/>
          </w:tcPr>
          <w:p>
            <w:pPr>
              <w:widowControl w:val="0"/>
              <w:rPr>
                <w:rFonts w:ascii="Calibri" w:hAnsi="Calibri" w:cs="Times New Roman"/>
                <w:color w:val="FF0000"/>
              </w:rPr>
            </w:pPr>
            <w:r>
              <w:rPr>
                <w:rFonts w:hint="eastAsia" w:ascii="Calibri" w:hAnsi="Calibri" w:cs="宋体"/>
                <w:color w:val="000000"/>
              </w:rPr>
              <w:t>根据《政府采购促进中小企业管理办法》及《关于印发中小企业划型标准规定的通知工信部联企业》（〔2011〕300号）有关规定，本采购标的对应的所属行业</w:t>
            </w:r>
            <w:r>
              <w:rPr>
                <w:rFonts w:hint="eastAsia" w:ascii="Calibri" w:hAnsi="Calibri" w:cs="宋体"/>
              </w:rPr>
              <w:t>为工业。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35" w:type="dxa"/>
            <w:vMerge w:val="continue"/>
            <w:vAlign w:val="center"/>
          </w:tcPr>
          <w:p>
            <w:pPr>
              <w:widowControl w:val="0"/>
              <w:spacing w:line="400" w:lineRule="exact"/>
              <w:rPr>
                <w:rFonts w:ascii="Calibri" w:hAnsi="Calibri" w:cs="Times New Roman"/>
                <w:color w:val="000000"/>
              </w:rPr>
            </w:pPr>
          </w:p>
        </w:tc>
        <w:tc>
          <w:tcPr>
            <w:tcW w:w="1854" w:type="dxa"/>
            <w:vAlign w:val="center"/>
          </w:tcPr>
          <w:p>
            <w:pPr>
              <w:widowControl w:val="0"/>
              <w:jc w:val="center"/>
              <w:rPr>
                <w:rFonts w:ascii="Calibri" w:hAnsi="Calibri" w:cs="宋体"/>
                <w:color w:val="000000"/>
              </w:rPr>
            </w:pPr>
            <w:r>
              <w:rPr>
                <w:rFonts w:hint="eastAsia" w:ascii="Calibri" w:hAnsi="Calibri" w:cs="宋体"/>
                <w:color w:val="000000"/>
              </w:rPr>
              <w:t>供货期限：</w:t>
            </w:r>
          </w:p>
        </w:tc>
        <w:tc>
          <w:tcPr>
            <w:tcW w:w="6543" w:type="dxa"/>
            <w:vAlign w:val="center"/>
          </w:tcPr>
          <w:p>
            <w:pPr>
              <w:widowControl w:val="0"/>
              <w:rPr>
                <w:rFonts w:ascii="Calibri" w:hAnsi="Calibri" w:cs="宋体"/>
                <w:color w:val="000000"/>
              </w:rPr>
            </w:pPr>
            <w:r>
              <w:rPr>
                <w:rFonts w:hint="eastAsia" w:cs="Times New Roman"/>
                <w:szCs w:val="22"/>
              </w:rPr>
              <w:t>合同签订后1个月内完成交付，并安装调试验收完成。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continue"/>
            <w:vAlign w:val="center"/>
          </w:tcPr>
          <w:p>
            <w:pPr>
              <w:widowControl w:val="0"/>
              <w:spacing w:line="400" w:lineRule="exact"/>
              <w:rPr>
                <w:rFonts w:ascii="Calibri" w:hAnsi="Calibri" w:cs="Times New Roman"/>
                <w:color w:val="000000"/>
              </w:rPr>
            </w:pPr>
          </w:p>
        </w:tc>
        <w:tc>
          <w:tcPr>
            <w:tcW w:w="1854" w:type="dxa"/>
            <w:vAlign w:val="center"/>
          </w:tcPr>
          <w:p>
            <w:pPr>
              <w:widowControl w:val="0"/>
              <w:jc w:val="center"/>
              <w:rPr>
                <w:rFonts w:ascii="Calibri" w:hAnsi="Calibri" w:cs="Times New Roman"/>
                <w:color w:val="000000"/>
              </w:rPr>
            </w:pPr>
            <w:r>
              <w:rPr>
                <w:rFonts w:hint="eastAsia" w:ascii="宋体" w:cs="宋体"/>
                <w:color w:val="000000"/>
              </w:rPr>
              <w:t>付款方式：</w:t>
            </w:r>
          </w:p>
        </w:tc>
        <w:tc>
          <w:tcPr>
            <w:tcW w:w="6543" w:type="dxa"/>
            <w:vAlign w:val="center"/>
          </w:tcPr>
          <w:p>
            <w:pPr>
              <w:pStyle w:val="19"/>
              <w:ind w:left="-13" w:leftChars="-6" w:firstLine="0" w:firstLineChars="0"/>
            </w:pPr>
            <w:r>
              <w:rPr>
                <w:rFonts w:hint="eastAsia"/>
              </w:rPr>
              <w:t>合同生效及具备实施条件后7个工作日内预付合同款的40%，全部供货完毕并验收通过收到发票后7个工作日内支付合同金额的60%。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2</w:t>
            </w:r>
          </w:p>
        </w:tc>
        <w:tc>
          <w:tcPr>
            <w:tcW w:w="1854" w:type="dxa"/>
            <w:vAlign w:val="center"/>
          </w:tcPr>
          <w:p>
            <w:pPr>
              <w:widowControl w:val="0"/>
              <w:jc w:val="center"/>
              <w:rPr>
                <w:rFonts w:ascii="Calibri" w:hAnsi="Calibri" w:cs="Times New Roman"/>
              </w:rPr>
            </w:pPr>
            <w:r>
              <w:rPr>
                <w:rFonts w:hint="eastAsia" w:ascii="Calibri" w:hAnsi="Calibri" w:cs="Times New Roman"/>
              </w:rPr>
              <w:t>投标保证金：</w:t>
            </w:r>
          </w:p>
        </w:tc>
        <w:tc>
          <w:tcPr>
            <w:tcW w:w="6543" w:type="dxa"/>
            <w:vAlign w:val="center"/>
          </w:tcPr>
          <w:p>
            <w:pPr>
              <w:widowControl w:val="0"/>
              <w:rPr>
                <w:rFonts w:ascii="Calibri" w:hAnsi="Calibri" w:cs="Times New Roman"/>
              </w:rPr>
            </w:pPr>
            <w:r>
              <w:rPr>
                <w:rFonts w:hint="eastAsia" w:ascii="Calibri" w:hAnsi="Calibri" w:cs="Times New Roman"/>
              </w:rPr>
              <w:t>不收取投标保证金。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color w:val="000000"/>
              </w:rPr>
              <w:t>3</w:t>
            </w:r>
          </w:p>
        </w:tc>
        <w:tc>
          <w:tcPr>
            <w:tcW w:w="1854" w:type="dxa"/>
            <w:vAlign w:val="center"/>
          </w:tcPr>
          <w:p>
            <w:pPr>
              <w:widowControl w:val="0"/>
              <w:jc w:val="center"/>
              <w:rPr>
                <w:rFonts w:ascii="Calibri" w:hAnsi="Calibri" w:cs="Times New Roman"/>
              </w:rPr>
            </w:pPr>
            <w:r>
              <w:rPr>
                <w:rFonts w:hint="eastAsia" w:ascii="Calibri" w:hAnsi="Calibri" w:cs="宋体"/>
              </w:rPr>
              <w:t>履约保证金：</w:t>
            </w:r>
          </w:p>
        </w:tc>
        <w:tc>
          <w:tcPr>
            <w:tcW w:w="6543" w:type="dxa"/>
            <w:vAlign w:val="center"/>
          </w:tcPr>
          <w:p>
            <w:pPr>
              <w:widowControl w:val="0"/>
              <w:numPr>
                <w:ilvl w:val="0"/>
                <w:numId w:val="6"/>
              </w:numPr>
              <w:rPr>
                <w:rFonts w:ascii="Calibri" w:hAnsi="Calibri" w:cs="Times New Roman"/>
              </w:rPr>
            </w:pPr>
            <w:r>
              <w:rPr>
                <w:rFonts w:hint="eastAsia" w:ascii="Calibri" w:hAnsi="Calibri" w:cs="Times New Roman"/>
              </w:rPr>
              <w:t>合同签订时，采购人可按《中华人民共和国政府采购法实施条例》有关规定自行收取项目履约保证金。</w:t>
            </w:r>
          </w:p>
          <w:p>
            <w:pPr>
              <w:widowControl w:val="0"/>
              <w:numPr>
                <w:ilvl w:val="0"/>
                <w:numId w:val="6"/>
              </w:numPr>
              <w:rPr>
                <w:rFonts w:ascii="Calibri" w:hAnsi="Calibri" w:cs="Times New Roman"/>
              </w:rPr>
            </w:pPr>
            <w:r>
              <w:rPr>
                <w:rFonts w:hint="eastAsia" w:ascii="Calibri" w:hAnsi="Calibri" w:cs="Times New Roman"/>
              </w:rPr>
              <w:t>为发挥信用体系在履约保证金减免方面的基础作用提倡采购人减收或免收履约保证金。</w:t>
            </w:r>
          </w:p>
          <w:p>
            <w:pPr>
              <w:widowControl w:val="0"/>
              <w:numPr>
                <w:ilvl w:val="0"/>
                <w:numId w:val="6"/>
              </w:numPr>
              <w:rPr>
                <w:rFonts w:ascii="Calibri" w:hAnsi="Calibri" w:cs="Times New Roman"/>
              </w:rPr>
            </w:pPr>
            <w:r>
              <w:rPr>
                <w:rFonts w:hint="eastAsia" w:ascii="Calibri" w:hAnsi="Calibri" w:cs="Times New Roman"/>
              </w:rPr>
              <w:t>采购人要求中标或者成交供应商提交履约保证金的，供应商应当以支票、汇票、本票或者金融机构、担保机构出具的保函等非现金形式提交。履约保函在质保期满后退还。</w:t>
            </w:r>
          </w:p>
          <w:p>
            <w:pPr>
              <w:widowControl w:val="0"/>
              <w:numPr>
                <w:ilvl w:val="0"/>
                <w:numId w:val="6"/>
              </w:numPr>
              <w:rPr>
                <w:rFonts w:ascii="Calibri" w:hAnsi="Calibri" w:cs="Times New Roman"/>
              </w:rPr>
            </w:pPr>
            <w:r>
              <w:rPr>
                <w:rFonts w:hint="eastAsia" w:ascii="Calibri" w:hAnsi="Calibri" w:cs="Times New Roman"/>
              </w:rPr>
              <w:t>履约保证金的数额不得超过政府采购合同金额的</w:t>
            </w:r>
            <w:r>
              <w:rPr>
                <w:rFonts w:hint="eastAsia" w:ascii="Calibri" w:hAnsi="Calibri" w:cs="Times New Roman"/>
                <w:lang w:val="en-US" w:eastAsia="zh-CN"/>
              </w:rPr>
              <w:t>1</w:t>
            </w:r>
            <w:r>
              <w:rPr>
                <w:rFonts w:hint="eastAsia" w:ascii="Calibri" w:hAnsi="Calibri" w:cs="Times New Roma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5" w:type="dxa"/>
            <w:vAlign w:val="center"/>
          </w:tcPr>
          <w:p>
            <w:pPr>
              <w:widowControl w:val="0"/>
              <w:spacing w:line="400" w:lineRule="exact"/>
              <w:jc w:val="center"/>
              <w:rPr>
                <w:rFonts w:ascii="Calibri" w:hAnsi="Calibri" w:cs="Calibri"/>
                <w:color w:val="000000"/>
              </w:rPr>
            </w:pPr>
            <w:r>
              <w:rPr>
                <w:rFonts w:hint="eastAsia" w:ascii="Calibri" w:hAnsi="Calibri" w:cs="Calibri"/>
              </w:rPr>
              <w:t>4</w:t>
            </w:r>
          </w:p>
        </w:tc>
        <w:tc>
          <w:tcPr>
            <w:tcW w:w="1854" w:type="dxa"/>
            <w:vAlign w:val="center"/>
          </w:tcPr>
          <w:p>
            <w:pPr>
              <w:widowControl w:val="0"/>
              <w:jc w:val="center"/>
              <w:rPr>
                <w:rFonts w:ascii="Calibri" w:hAnsi="Calibri" w:cs="Times New Roman"/>
                <w:color w:val="000000"/>
              </w:rPr>
            </w:pPr>
            <w:r>
              <w:rPr>
                <w:rFonts w:hint="eastAsia" w:ascii="宋体" w:cs="宋体"/>
                <w:color w:val="000000"/>
                <w:lang w:val="zh-TW" w:eastAsia="zh-TW"/>
              </w:rPr>
              <w:t>网上注册：</w:t>
            </w:r>
          </w:p>
        </w:tc>
        <w:tc>
          <w:tcPr>
            <w:tcW w:w="6543" w:type="dxa"/>
            <w:vAlign w:val="center"/>
          </w:tcPr>
          <w:p>
            <w:pPr>
              <w:widowControl w:val="0"/>
              <w:rPr>
                <w:rFonts w:ascii="宋体" w:hAnsi="Calibri" w:cs="Times New Roman"/>
                <w:color w:val="000000"/>
              </w:rPr>
            </w:pPr>
            <w:r>
              <w:rPr>
                <w:rFonts w:hint="eastAsia" w:ascii="宋体" w:cs="宋体"/>
                <w:color w:val="000000"/>
                <w:lang w:val="zh-TW" w:eastAsia="zh-TW"/>
              </w:rPr>
              <w:t>投标供应商购买招标文件后，应当按照《浙江省政府采购供应商注册及诚信管理暂行办法》的规定，在“浙江省政府采购网（http://zfcg.czt.zj.gov.cn/）”上进行供应商注册登记。中标供应商在签订合同前，如不注册，视为放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4"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color w:val="000000"/>
              </w:rPr>
              <w:t>5</w:t>
            </w:r>
          </w:p>
        </w:tc>
        <w:tc>
          <w:tcPr>
            <w:tcW w:w="1854" w:type="dxa"/>
            <w:vAlign w:val="center"/>
          </w:tcPr>
          <w:p>
            <w:pPr>
              <w:widowControl w:val="0"/>
              <w:jc w:val="center"/>
              <w:rPr>
                <w:rFonts w:ascii="宋体" w:cs="宋体"/>
                <w:color w:val="000000"/>
                <w:lang w:val="zh-TW" w:eastAsia="zh-TW"/>
              </w:rPr>
            </w:pPr>
            <w:r>
              <w:rPr>
                <w:rFonts w:hint="eastAsia" w:ascii="Calibri" w:hAnsi="Calibri" w:cs="宋体"/>
              </w:rPr>
              <w:t>代理服务费</w:t>
            </w:r>
          </w:p>
        </w:tc>
        <w:tc>
          <w:tcPr>
            <w:tcW w:w="6543" w:type="dxa"/>
            <w:vAlign w:val="center"/>
          </w:tcPr>
          <w:p>
            <w:pPr>
              <w:widowControl w:val="0"/>
              <w:rPr>
                <w:rFonts w:hint="eastAsia"/>
              </w:rPr>
            </w:pPr>
            <w:r>
              <w:rPr>
                <w:rFonts w:hint="eastAsia"/>
              </w:rPr>
              <w:t>依据代理机构与采购人签订的《委托代理协议书》之规定，中标人在领取中标通知书时，应向金华市创佳工程项目管理有限公司一次性付清代理服务费，依据国家计委计价格[2002]1980号文件及发改办价格[2003]857号文件规定标准,按差额定率累进法收取。请供应商在报价时综合考虑。</w:t>
            </w:r>
          </w:p>
          <w:tbl>
            <w:tblPr>
              <w:tblStyle w:val="37"/>
              <w:tblW w:w="634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6"/>
              <w:gridCol w:w="2064"/>
              <w:gridCol w:w="2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vAlign w:val="center"/>
                </w:tcPr>
                <w:p>
                  <w:pPr>
                    <w:pStyle w:val="120"/>
                    <w:keepNext w:val="0"/>
                    <w:keepLines w:val="0"/>
                    <w:pageBreakBefore w:val="0"/>
                    <w:kinsoku/>
                    <w:wordWrap/>
                    <w:overflowPunct/>
                    <w:topLinePunct w:val="0"/>
                    <w:autoSpaceDE/>
                    <w:autoSpaceDN/>
                    <w:bidi w:val="0"/>
                    <w:adjustRightInd/>
                    <w:spacing w:line="240" w:lineRule="auto"/>
                    <w:jc w:val="center"/>
                    <w:textAlignment w:val="auto"/>
                    <w:rPr>
                      <w:rFonts w:hint="eastAsia"/>
                      <w:sz w:val="21"/>
                      <w:szCs w:val="21"/>
                      <w:vertAlign w:val="baseline"/>
                    </w:rPr>
                  </w:pPr>
                  <w:r>
                    <w:rPr>
                      <w:rFonts w:hint="eastAsia" w:ascii="宋体" w:hAnsi="宋体" w:eastAsia="Calibri" w:cs="Times New Roman"/>
                      <w:color w:val="000000"/>
                      <w:kern w:val="0"/>
                      <w:sz w:val="21"/>
                      <w:szCs w:val="21"/>
                      <w:lang w:val="en-US" w:eastAsia="zh-CN" w:bidi="ar-SA"/>
                    </w:rPr>
                    <w:t>中标金额（万元）</w:t>
                  </w:r>
                </w:p>
              </w:tc>
              <w:tc>
                <w:tcPr>
                  <w:tcW w:w="2064" w:type="dxa"/>
                  <w:vAlign w:val="center"/>
                </w:tcPr>
                <w:p>
                  <w:pPr>
                    <w:pStyle w:val="120"/>
                    <w:keepNext w:val="0"/>
                    <w:keepLines w:val="0"/>
                    <w:pageBreakBefore w:val="0"/>
                    <w:kinsoku/>
                    <w:wordWrap/>
                    <w:overflowPunct/>
                    <w:topLinePunct w:val="0"/>
                    <w:autoSpaceDE/>
                    <w:autoSpaceDN/>
                    <w:bidi w:val="0"/>
                    <w:adjustRightInd/>
                    <w:spacing w:line="240" w:lineRule="auto"/>
                    <w:jc w:val="center"/>
                    <w:textAlignment w:val="auto"/>
                    <w:rPr>
                      <w:rFonts w:hint="eastAsia"/>
                      <w:sz w:val="21"/>
                      <w:szCs w:val="21"/>
                      <w:vertAlign w:val="baseline"/>
                    </w:rPr>
                  </w:pPr>
                  <w:r>
                    <w:rPr>
                      <w:rFonts w:hint="eastAsia" w:ascii="宋体" w:hAnsi="宋体" w:eastAsia="Calibri" w:cs="Times New Roman"/>
                      <w:color w:val="000000"/>
                      <w:kern w:val="0"/>
                      <w:sz w:val="21"/>
                      <w:szCs w:val="21"/>
                      <w:lang w:val="en-US" w:eastAsia="zh-CN" w:bidi="ar-SA"/>
                    </w:rPr>
                    <w:t>货物招标收费费率</w:t>
                  </w:r>
                </w:p>
              </w:tc>
              <w:tc>
                <w:tcPr>
                  <w:tcW w:w="2388" w:type="dxa"/>
                  <w:vAlign w:val="center"/>
                </w:tcPr>
                <w:p>
                  <w:pPr>
                    <w:pStyle w:val="120"/>
                    <w:keepNext w:val="0"/>
                    <w:keepLines w:val="0"/>
                    <w:pageBreakBefore w:val="0"/>
                    <w:kinsoku/>
                    <w:wordWrap/>
                    <w:overflowPunct/>
                    <w:topLinePunct w:val="0"/>
                    <w:autoSpaceDE/>
                    <w:autoSpaceDN/>
                    <w:bidi w:val="0"/>
                    <w:adjustRightInd/>
                    <w:spacing w:line="360" w:lineRule="auto"/>
                    <w:jc w:val="center"/>
                    <w:textAlignment w:val="auto"/>
                    <w:rPr>
                      <w:rFonts w:hint="eastAsia"/>
                      <w:sz w:val="21"/>
                      <w:szCs w:val="21"/>
                      <w:vertAlign w:val="baseline"/>
                    </w:rPr>
                  </w:pPr>
                  <w:r>
                    <w:rPr>
                      <w:rFonts w:hint="eastAsia" w:ascii="宋体" w:hAnsi="宋体" w:eastAsia="Calibri" w:cs="Times New Roman"/>
                      <w:color w:val="000000"/>
                      <w:kern w:val="0"/>
                      <w:sz w:val="21"/>
                      <w:szCs w:val="21"/>
                      <w:lang w:val="zh-CN"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vAlign w:val="center"/>
                </w:tcPr>
                <w:p>
                  <w:pPr>
                    <w:pStyle w:val="120"/>
                    <w:keepNext w:val="0"/>
                    <w:keepLines w:val="0"/>
                    <w:pageBreakBefore w:val="0"/>
                    <w:kinsoku/>
                    <w:wordWrap/>
                    <w:overflowPunct/>
                    <w:topLinePunct w:val="0"/>
                    <w:autoSpaceDE/>
                    <w:autoSpaceDN/>
                    <w:bidi w:val="0"/>
                    <w:adjustRightInd/>
                    <w:spacing w:line="240" w:lineRule="auto"/>
                    <w:jc w:val="center"/>
                    <w:textAlignment w:val="auto"/>
                    <w:rPr>
                      <w:rFonts w:hint="eastAsia" w:ascii="等线" w:hAnsi="等线" w:eastAsia="宋体" w:cs="等线"/>
                      <w:kern w:val="2"/>
                      <w:sz w:val="21"/>
                      <w:szCs w:val="21"/>
                      <w:vertAlign w:val="baseline"/>
                    </w:rPr>
                  </w:pPr>
                  <w:r>
                    <w:rPr>
                      <w:rFonts w:hint="eastAsia" w:ascii="等线" w:hAnsi="等线" w:eastAsia="宋体" w:cs="等线"/>
                      <w:color w:val="000000" w:themeColor="text1"/>
                      <w:kern w:val="2"/>
                      <w:sz w:val="21"/>
                      <w:szCs w:val="21"/>
                      <w:lang w:val="en-US" w:eastAsia="zh-CN" w:bidi="ar-SA"/>
                      <w14:textFill>
                        <w14:solidFill>
                          <w14:schemeClr w14:val="tx1"/>
                        </w14:solidFill>
                      </w14:textFill>
                    </w:rPr>
                    <w:t>100以下</w:t>
                  </w:r>
                </w:p>
              </w:tc>
              <w:tc>
                <w:tcPr>
                  <w:tcW w:w="2064" w:type="dxa"/>
                  <w:vAlign w:val="center"/>
                </w:tcPr>
                <w:p>
                  <w:pPr>
                    <w:pStyle w:val="120"/>
                    <w:keepNext w:val="0"/>
                    <w:keepLines w:val="0"/>
                    <w:pageBreakBefore w:val="0"/>
                    <w:kinsoku/>
                    <w:wordWrap/>
                    <w:overflowPunct/>
                    <w:topLinePunct w:val="0"/>
                    <w:autoSpaceDE/>
                    <w:autoSpaceDN/>
                    <w:bidi w:val="0"/>
                    <w:adjustRightInd/>
                    <w:spacing w:line="240" w:lineRule="auto"/>
                    <w:jc w:val="center"/>
                    <w:textAlignment w:val="auto"/>
                    <w:rPr>
                      <w:rFonts w:hint="eastAsia" w:ascii="等线" w:hAnsi="等线" w:eastAsia="宋体" w:cs="等线"/>
                      <w:kern w:val="2"/>
                      <w:sz w:val="21"/>
                      <w:szCs w:val="21"/>
                      <w:vertAlign w:val="baseline"/>
                    </w:rPr>
                  </w:pPr>
                  <w:r>
                    <w:rPr>
                      <w:rFonts w:hint="eastAsia" w:ascii="等线" w:hAnsi="等线" w:eastAsia="宋体" w:cs="等线"/>
                      <w:color w:val="000000" w:themeColor="text1"/>
                      <w:kern w:val="2"/>
                      <w:sz w:val="21"/>
                      <w:szCs w:val="21"/>
                      <w:lang w:val="en-US" w:eastAsia="zh-CN" w:bidi="ar-SA"/>
                      <w14:textFill>
                        <w14:solidFill>
                          <w14:schemeClr w14:val="tx1"/>
                        </w14:solidFill>
                      </w14:textFill>
                    </w:rPr>
                    <w:t>1.5%</w:t>
                  </w:r>
                </w:p>
              </w:tc>
              <w:tc>
                <w:tcPr>
                  <w:tcW w:w="2388" w:type="dxa"/>
                  <w:vMerge w:val="restart"/>
                  <w:vAlign w:val="center"/>
                </w:tcPr>
                <w:p>
                  <w:pPr>
                    <w:pStyle w:val="120"/>
                    <w:keepNext w:val="0"/>
                    <w:keepLines w:val="0"/>
                    <w:pageBreakBefore w:val="0"/>
                    <w:kinsoku/>
                    <w:wordWrap/>
                    <w:overflowPunct/>
                    <w:topLinePunct w:val="0"/>
                    <w:autoSpaceDE/>
                    <w:autoSpaceDN/>
                    <w:bidi w:val="0"/>
                    <w:adjustRightInd/>
                    <w:spacing w:line="360" w:lineRule="auto"/>
                    <w:jc w:val="center"/>
                    <w:textAlignment w:val="auto"/>
                    <w:rPr>
                      <w:rFonts w:hint="eastAsia" w:ascii="等线" w:hAnsi="等线" w:eastAsia="宋体" w:cs="等线"/>
                      <w:kern w:val="2"/>
                      <w:sz w:val="21"/>
                      <w:szCs w:val="21"/>
                      <w:vertAlign w:val="baseline"/>
                    </w:rPr>
                  </w:pPr>
                  <w:r>
                    <w:rPr>
                      <w:rFonts w:hint="eastAsia" w:ascii="等线" w:hAnsi="等线" w:eastAsia="宋体" w:cs="等线"/>
                      <w:color w:val="000000" w:themeColor="text1"/>
                      <w:kern w:val="2"/>
                      <w:sz w:val="21"/>
                      <w:szCs w:val="21"/>
                      <w:lang w:val="en-US" w:eastAsia="zh-CN" w:bidi="ar-SA"/>
                      <w14:textFill>
                        <w14:solidFill>
                          <w14:schemeClr w14:val="tx1"/>
                        </w14:solidFill>
                      </w14:textFill>
                    </w:rPr>
                    <w:t>按差额定率累进法计算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vAlign w:val="center"/>
                </w:tcPr>
                <w:p>
                  <w:pPr>
                    <w:pStyle w:val="120"/>
                    <w:keepNext w:val="0"/>
                    <w:keepLines w:val="0"/>
                    <w:pageBreakBefore w:val="0"/>
                    <w:kinsoku/>
                    <w:wordWrap/>
                    <w:overflowPunct/>
                    <w:topLinePunct w:val="0"/>
                    <w:autoSpaceDE/>
                    <w:autoSpaceDN/>
                    <w:bidi w:val="0"/>
                    <w:adjustRightInd/>
                    <w:spacing w:line="240" w:lineRule="auto"/>
                    <w:jc w:val="center"/>
                    <w:textAlignment w:val="auto"/>
                    <w:rPr>
                      <w:rFonts w:hint="eastAsia" w:ascii="等线" w:hAnsi="等线" w:eastAsia="宋体" w:cs="等线"/>
                      <w:kern w:val="2"/>
                      <w:sz w:val="21"/>
                      <w:szCs w:val="21"/>
                      <w:vertAlign w:val="baseline"/>
                    </w:rPr>
                  </w:pPr>
                  <w:r>
                    <w:rPr>
                      <w:rFonts w:hint="eastAsia" w:ascii="等线" w:hAnsi="等线" w:eastAsia="宋体" w:cs="等线"/>
                      <w:kern w:val="2"/>
                      <w:sz w:val="21"/>
                      <w:szCs w:val="21"/>
                      <w:lang w:val="en-US" w:eastAsia="zh-CN" w:bidi="ar-SA"/>
                    </w:rPr>
                    <w:t>100-500</w:t>
                  </w:r>
                </w:p>
              </w:tc>
              <w:tc>
                <w:tcPr>
                  <w:tcW w:w="2064" w:type="dxa"/>
                  <w:vAlign w:val="center"/>
                </w:tcPr>
                <w:p>
                  <w:pPr>
                    <w:pStyle w:val="120"/>
                    <w:keepNext w:val="0"/>
                    <w:keepLines w:val="0"/>
                    <w:pageBreakBefore w:val="0"/>
                    <w:kinsoku/>
                    <w:wordWrap/>
                    <w:overflowPunct/>
                    <w:topLinePunct w:val="0"/>
                    <w:autoSpaceDE/>
                    <w:autoSpaceDN/>
                    <w:bidi w:val="0"/>
                    <w:adjustRightInd/>
                    <w:spacing w:line="240" w:lineRule="auto"/>
                    <w:jc w:val="center"/>
                    <w:textAlignment w:val="auto"/>
                    <w:rPr>
                      <w:rFonts w:hint="eastAsia" w:ascii="等线" w:hAnsi="等线" w:eastAsia="宋体" w:cs="等线"/>
                      <w:kern w:val="2"/>
                      <w:sz w:val="21"/>
                      <w:szCs w:val="21"/>
                      <w:vertAlign w:val="baseline"/>
                    </w:rPr>
                  </w:pPr>
                  <w:r>
                    <w:rPr>
                      <w:rFonts w:hint="eastAsia" w:ascii="等线" w:hAnsi="等线" w:eastAsia="宋体" w:cs="等线"/>
                      <w:kern w:val="2"/>
                      <w:sz w:val="21"/>
                      <w:szCs w:val="21"/>
                      <w:lang w:val="en-US" w:eastAsia="zh-CN" w:bidi="ar-SA"/>
                    </w:rPr>
                    <w:t>1.1%</w:t>
                  </w:r>
                </w:p>
              </w:tc>
              <w:tc>
                <w:tcPr>
                  <w:tcW w:w="2388" w:type="dxa"/>
                  <w:vMerge w:val="continue"/>
                </w:tcPr>
                <w:p>
                  <w:pPr>
                    <w:pStyle w:val="2"/>
                    <w:rPr>
                      <w:rFonts w:hint="eastAsia" w:ascii="等线" w:cs="等线"/>
                      <w:kern w:val="2"/>
                      <w:sz w:val="21"/>
                      <w:szCs w:val="21"/>
                      <w:vertAlign w:val="baseline"/>
                    </w:rPr>
                  </w:pPr>
                </w:p>
              </w:tc>
            </w:tr>
          </w:tbl>
          <w:p>
            <w:pPr>
              <w:pStyle w:val="2"/>
              <w:rPr>
                <w:lang w:val="zh-TW"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Merge w:val="restart"/>
            <w:vAlign w:val="center"/>
          </w:tcPr>
          <w:p>
            <w:pPr>
              <w:widowControl w:val="0"/>
              <w:spacing w:line="400" w:lineRule="exact"/>
              <w:jc w:val="center"/>
              <w:rPr>
                <w:rFonts w:ascii="Calibri" w:hAnsi="Calibri" w:cs="Calibri"/>
              </w:rPr>
            </w:pPr>
            <w:r>
              <w:rPr>
                <w:rFonts w:hint="eastAsia" w:ascii="Calibri" w:hAnsi="Calibri" w:cs="Calibri"/>
              </w:rPr>
              <w:t>6</w:t>
            </w:r>
          </w:p>
        </w:tc>
        <w:tc>
          <w:tcPr>
            <w:tcW w:w="1854" w:type="dxa"/>
            <w:vAlign w:val="center"/>
          </w:tcPr>
          <w:p>
            <w:pPr>
              <w:widowControl w:val="0"/>
              <w:jc w:val="center"/>
              <w:rPr>
                <w:rFonts w:ascii="Calibri" w:hAnsi="Calibri" w:cs="Times New Roman"/>
              </w:rPr>
            </w:pPr>
            <w:r>
              <w:rPr>
                <w:rFonts w:hint="eastAsia" w:ascii="Calibri" w:hAnsi="Calibri" w:cs="Times New Roman"/>
              </w:rPr>
              <w:t>转包</w:t>
            </w:r>
          </w:p>
        </w:tc>
        <w:tc>
          <w:tcPr>
            <w:tcW w:w="6543" w:type="dxa"/>
            <w:vAlign w:val="center"/>
          </w:tcPr>
          <w:p>
            <w:pPr>
              <w:widowControl w:val="0"/>
              <w:rPr>
                <w:rFonts w:ascii="Calibri" w:hAnsi="Calibri" w:cs="Times New Roman"/>
              </w:rPr>
            </w:pPr>
            <w:r>
              <w:rPr>
                <w:rFonts w:hint="eastAsia" w:ascii="Calibri" w:hAnsi="Calibri" w:cs="Times New Roman"/>
              </w:rPr>
              <w:t>禁止转包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935" w:type="dxa"/>
            <w:vMerge w:val="continue"/>
            <w:vAlign w:val="center"/>
          </w:tcPr>
          <w:p>
            <w:pPr>
              <w:widowControl w:val="0"/>
              <w:spacing w:line="400" w:lineRule="exact"/>
              <w:jc w:val="center"/>
              <w:rPr>
                <w:rFonts w:ascii="Calibri" w:hAnsi="Calibri" w:cs="Times New Roman"/>
              </w:rPr>
            </w:pPr>
          </w:p>
        </w:tc>
        <w:tc>
          <w:tcPr>
            <w:tcW w:w="1854" w:type="dxa"/>
            <w:vAlign w:val="center"/>
          </w:tcPr>
          <w:p>
            <w:pPr>
              <w:widowControl w:val="0"/>
              <w:jc w:val="center"/>
              <w:rPr>
                <w:rFonts w:ascii="Calibri" w:hAnsi="Calibri" w:cs="Times New Roman"/>
              </w:rPr>
            </w:pPr>
            <w:r>
              <w:rPr>
                <w:rFonts w:hint="eastAsia" w:ascii="Calibri" w:hAnsi="Calibri" w:cs="宋体"/>
              </w:rPr>
              <w:t>分包</w:t>
            </w:r>
          </w:p>
        </w:tc>
        <w:tc>
          <w:tcPr>
            <w:tcW w:w="6543" w:type="dxa"/>
            <w:vAlign w:val="center"/>
          </w:tcPr>
          <w:p>
            <w:pPr>
              <w:widowControl w:val="0"/>
              <w:rPr>
                <w:rFonts w:ascii="Calibri" w:hAnsi="Calibri" w:cs="Times New Roman"/>
              </w:rPr>
            </w:pPr>
            <w:r>
              <w:rPr>
                <w:rFonts w:hint="eastAsia" w:ascii="Calibri" w:hAnsi="Calibri" w:cs="Times New Roman"/>
              </w:rPr>
              <w:t>禁止分包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7</w:t>
            </w:r>
          </w:p>
        </w:tc>
        <w:tc>
          <w:tcPr>
            <w:tcW w:w="1854" w:type="dxa"/>
            <w:vAlign w:val="center"/>
          </w:tcPr>
          <w:p>
            <w:pPr>
              <w:widowControl w:val="0"/>
              <w:jc w:val="center"/>
              <w:rPr>
                <w:rFonts w:ascii="宋体" w:hAnsi="Calibri" w:cs="Times New Roman"/>
                <w:color w:val="FF0000"/>
                <w:lang w:val="zh-TW" w:eastAsia="zh-TW"/>
              </w:rPr>
            </w:pPr>
            <w:r>
              <w:rPr>
                <w:rFonts w:hint="eastAsia" w:ascii="Calibri" w:hAnsi="Calibri" w:cs="宋体"/>
              </w:rPr>
              <w:t>踏勘现场</w:t>
            </w:r>
          </w:p>
        </w:tc>
        <w:tc>
          <w:tcPr>
            <w:tcW w:w="6543" w:type="dxa"/>
            <w:vAlign w:val="center"/>
          </w:tcPr>
          <w:p>
            <w:pPr>
              <w:widowControl w:val="0"/>
              <w:rPr>
                <w:rFonts w:ascii="Calibri" w:hAnsi="Calibri" w:cs="Times New Roman"/>
                <w:color w:val="FF0000"/>
              </w:rPr>
            </w:pPr>
            <w:r>
              <w:rPr>
                <w:rFonts w:hint="eastAsia" w:ascii="Calibri" w:hAnsi="Calibri" w:cs="宋体"/>
                <w:color w:val="000000"/>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8</w:t>
            </w:r>
          </w:p>
        </w:tc>
        <w:tc>
          <w:tcPr>
            <w:tcW w:w="1854" w:type="dxa"/>
            <w:vAlign w:val="center"/>
          </w:tcPr>
          <w:p>
            <w:pPr>
              <w:widowControl w:val="0"/>
              <w:snapToGrid w:val="0"/>
              <w:rPr>
                <w:rFonts w:ascii="Calibri" w:hAnsi="Calibri" w:cs="Times New Roman"/>
              </w:rPr>
            </w:pPr>
            <w:r>
              <w:rPr>
                <w:rFonts w:hint="eastAsia" w:ascii="Calibri" w:hAnsi="Calibri" w:cs="宋体"/>
                <w:color w:val="000000"/>
              </w:rPr>
              <w:t>投标文件形式、制作及组成</w:t>
            </w:r>
          </w:p>
        </w:tc>
        <w:tc>
          <w:tcPr>
            <w:tcW w:w="6543" w:type="dxa"/>
            <w:vAlign w:val="center"/>
          </w:tcPr>
          <w:p>
            <w:pPr>
              <w:widowControl w:val="0"/>
              <w:wordWrap w:val="0"/>
              <w:rPr>
                <w:rFonts w:ascii="Calibri" w:hAnsi="Calibri" w:cs="宋体"/>
                <w:color w:val="000000"/>
              </w:rPr>
            </w:pPr>
            <w:r>
              <w:rPr>
                <w:rFonts w:hint="eastAsia" w:ascii="Calibri" w:hAnsi="Calibri" w:cs="宋体"/>
                <w:color w:val="000000"/>
              </w:rPr>
              <w:t>投标人应准备电子投标文件：</w:t>
            </w:r>
          </w:p>
          <w:p>
            <w:pPr>
              <w:widowControl w:val="0"/>
              <w:wordWrap w:val="0"/>
              <w:rPr>
                <w:rFonts w:ascii="Calibri" w:hAnsi="Calibri" w:cs="Times New Roman"/>
                <w:color w:val="000000"/>
              </w:rPr>
            </w:pPr>
            <w:r>
              <w:rPr>
                <w:rFonts w:hint="eastAsia" w:ascii="Calibri" w:hAnsi="Calibri" w:cs="宋体"/>
                <w:color w:val="000000"/>
              </w:rPr>
              <w:t>电子投标文件，按政采云平台供应商项目采购</w:t>
            </w:r>
            <w:r>
              <w:rPr>
                <w:rFonts w:ascii="Calibri" w:hAnsi="Calibri" w:cs="宋体"/>
                <w:color w:val="000000"/>
              </w:rPr>
              <w:t>-</w:t>
            </w:r>
            <w:r>
              <w:rPr>
                <w:rFonts w:hint="eastAsia" w:ascii="Calibri" w:hAnsi="Calibri" w:cs="宋体"/>
                <w:color w:val="000000"/>
              </w:rPr>
              <w:t>电子招投标操作指南（网址：</w:t>
            </w:r>
            <w:r>
              <w:rPr>
                <w:rFonts w:ascii="Calibri" w:hAnsi="Calibri" w:cs="宋体"/>
                <w:color w:val="000000"/>
              </w:rPr>
              <w:t>https://help.zcygov.cn/web/site_2/2018/12-28/2573.html</w:t>
            </w:r>
            <w:r>
              <w:rPr>
                <w:rFonts w:hint="eastAsia" w:ascii="Calibri" w:hAnsi="Calibri" w:cs="宋体"/>
                <w:color w:val="000000"/>
              </w:rPr>
              <w:t>）及本招标文件要求递交。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9</w:t>
            </w:r>
          </w:p>
        </w:tc>
        <w:tc>
          <w:tcPr>
            <w:tcW w:w="1854" w:type="dxa"/>
            <w:vAlign w:val="center"/>
          </w:tcPr>
          <w:p>
            <w:pPr>
              <w:widowControl w:val="0"/>
              <w:snapToGrid w:val="0"/>
              <w:rPr>
                <w:rFonts w:ascii="Calibri" w:hAnsi="Calibri" w:cs="Times New Roman"/>
              </w:rPr>
            </w:pPr>
            <w:r>
              <w:rPr>
                <w:rFonts w:hint="eastAsia" w:ascii="Calibri" w:hAnsi="Calibri" w:cs="宋体"/>
                <w:color w:val="000000"/>
              </w:rPr>
              <w:t>电子投标文件的传输递交</w:t>
            </w:r>
          </w:p>
        </w:tc>
        <w:tc>
          <w:tcPr>
            <w:tcW w:w="6543" w:type="dxa"/>
            <w:vAlign w:val="center"/>
          </w:tcPr>
          <w:p>
            <w:pPr>
              <w:widowControl w:val="0"/>
              <w:snapToGrid w:val="0"/>
              <w:spacing w:before="120" w:after="120"/>
              <w:rPr>
                <w:rFonts w:ascii="Calibri" w:hAnsi="Calibri" w:cs="Times New Roman"/>
                <w:color w:val="000000"/>
              </w:rPr>
            </w:pPr>
            <w:r>
              <w:rPr>
                <w:rFonts w:hint="eastAsia" w:ascii="Calibri" w:hAnsi="Calibri" w:cs="宋体"/>
                <w:color w:val="000000"/>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10</w:t>
            </w:r>
          </w:p>
        </w:tc>
        <w:tc>
          <w:tcPr>
            <w:tcW w:w="1854" w:type="dxa"/>
            <w:vAlign w:val="center"/>
          </w:tcPr>
          <w:p>
            <w:pPr>
              <w:widowControl w:val="0"/>
              <w:jc w:val="center"/>
              <w:rPr>
                <w:rFonts w:ascii="Calibri" w:hAnsi="Calibri" w:cs="Times New Roman"/>
              </w:rPr>
            </w:pPr>
            <w:r>
              <w:rPr>
                <w:rFonts w:hint="eastAsia" w:ascii="Calibri" w:hAnsi="Calibri" w:cs="宋体"/>
              </w:rPr>
              <w:t>投标截止时间：</w:t>
            </w:r>
          </w:p>
        </w:tc>
        <w:tc>
          <w:tcPr>
            <w:tcW w:w="6543" w:type="dxa"/>
            <w:vAlign w:val="center"/>
          </w:tcPr>
          <w:p>
            <w:pPr>
              <w:widowControl w:val="0"/>
              <w:rPr>
                <w:rFonts w:ascii="Calibri" w:hAnsi="Calibri" w:cs="Times New Roman"/>
                <w:color w:val="000000"/>
              </w:rPr>
            </w:pPr>
            <w:r>
              <w:rPr>
                <w:rFonts w:ascii="Calibri" w:hAnsi="Calibri" w:cs="Calibri"/>
                <w:color w:val="FF0000"/>
              </w:rPr>
              <w:t>202</w:t>
            </w:r>
            <w:r>
              <w:rPr>
                <w:rFonts w:hint="eastAsia" w:ascii="Calibri" w:hAnsi="Calibri" w:cs="Calibri"/>
                <w:color w:val="FF0000"/>
              </w:rPr>
              <w:t>2</w:t>
            </w:r>
            <w:r>
              <w:rPr>
                <w:rFonts w:hint="eastAsia" w:ascii="Calibri" w:hAnsi="Calibri" w:cs="宋体"/>
                <w:color w:val="FF0000"/>
              </w:rPr>
              <w:t>年</w:t>
            </w:r>
            <w:r>
              <w:rPr>
                <w:rFonts w:hint="eastAsia" w:ascii="Calibri" w:hAnsi="Calibri" w:cs="宋体"/>
                <w:color w:val="FF0000"/>
                <w:lang w:val="en-US" w:eastAsia="zh-CN"/>
              </w:rPr>
              <w:t>7</w:t>
            </w:r>
            <w:r>
              <w:rPr>
                <w:rFonts w:hint="eastAsia" w:ascii="Calibri" w:hAnsi="Calibri" w:cs="宋体"/>
                <w:color w:val="FF0000"/>
              </w:rPr>
              <w:t>月</w:t>
            </w:r>
            <w:r>
              <w:rPr>
                <w:rFonts w:hint="eastAsia" w:ascii="Calibri" w:hAnsi="Calibri" w:cs="宋体"/>
                <w:color w:val="FF0000"/>
                <w:lang w:val="en-US" w:eastAsia="zh-CN"/>
              </w:rPr>
              <w:t>5</w:t>
            </w:r>
            <w:r>
              <w:rPr>
                <w:rFonts w:hint="eastAsia" w:ascii="Calibri" w:hAnsi="Calibri" w:cs="宋体"/>
                <w:color w:val="FF0000"/>
              </w:rPr>
              <w:t>日上午</w:t>
            </w:r>
            <w:r>
              <w:rPr>
                <w:rFonts w:hint="eastAsia" w:ascii="Calibri" w:hAnsi="Calibri" w:cs="Calibri"/>
                <w:color w:val="FF0000"/>
              </w:rPr>
              <w:t>09</w:t>
            </w:r>
            <w:r>
              <w:rPr>
                <w:rFonts w:ascii="Calibri" w:hAnsi="Calibri" w:cs="Calibri"/>
                <w:color w:val="FF0000"/>
              </w:rPr>
              <w:t>:</w:t>
            </w:r>
            <w:r>
              <w:rPr>
                <w:rFonts w:hint="eastAsia" w:ascii="Calibri" w:hAnsi="Calibri" w:cs="Calibri"/>
                <w:color w:val="FF0000"/>
              </w:rPr>
              <w:t>0</w:t>
            </w:r>
            <w:r>
              <w:rPr>
                <w:rFonts w:ascii="Calibri" w:hAnsi="Calibri" w:cs="Calibri"/>
                <w:color w:val="FF000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11</w:t>
            </w:r>
          </w:p>
        </w:tc>
        <w:tc>
          <w:tcPr>
            <w:tcW w:w="1854" w:type="dxa"/>
            <w:vAlign w:val="center"/>
          </w:tcPr>
          <w:p>
            <w:pPr>
              <w:widowControl w:val="0"/>
              <w:jc w:val="center"/>
              <w:rPr>
                <w:rFonts w:ascii="Calibri" w:hAnsi="Calibri" w:cs="宋体"/>
                <w:color w:val="000000"/>
              </w:rPr>
            </w:pPr>
            <w:r>
              <w:rPr>
                <w:rFonts w:hint="eastAsia" w:ascii="Calibri" w:hAnsi="Calibri" w:cs="宋体"/>
              </w:rPr>
              <w:t>开标时间：</w:t>
            </w:r>
          </w:p>
        </w:tc>
        <w:tc>
          <w:tcPr>
            <w:tcW w:w="6543" w:type="dxa"/>
            <w:vAlign w:val="center"/>
          </w:tcPr>
          <w:p>
            <w:pPr>
              <w:widowControl w:val="0"/>
              <w:rPr>
                <w:rFonts w:ascii="Calibri" w:hAnsi="Calibri" w:cs="宋体"/>
                <w:color w:val="000000"/>
              </w:rPr>
            </w:pPr>
            <w:r>
              <w:rPr>
                <w:rFonts w:ascii="Calibri" w:hAnsi="Calibri" w:cs="Calibri"/>
                <w:color w:val="FF0000"/>
              </w:rPr>
              <w:t>202</w:t>
            </w:r>
            <w:r>
              <w:rPr>
                <w:rFonts w:hint="eastAsia" w:ascii="Calibri" w:hAnsi="Calibri" w:cs="Calibri"/>
                <w:color w:val="FF0000"/>
              </w:rPr>
              <w:t>2</w:t>
            </w:r>
            <w:r>
              <w:rPr>
                <w:rFonts w:hint="eastAsia" w:ascii="Calibri" w:hAnsi="Calibri" w:cs="宋体"/>
                <w:color w:val="FF0000"/>
              </w:rPr>
              <w:t>年</w:t>
            </w:r>
            <w:r>
              <w:rPr>
                <w:rFonts w:hint="eastAsia" w:ascii="Calibri" w:hAnsi="Calibri" w:cs="宋体"/>
                <w:color w:val="FF0000"/>
                <w:lang w:val="en-US" w:eastAsia="zh-CN"/>
              </w:rPr>
              <w:t>7</w:t>
            </w:r>
            <w:r>
              <w:rPr>
                <w:rFonts w:hint="eastAsia" w:ascii="Calibri" w:hAnsi="Calibri" w:cs="宋体"/>
                <w:color w:val="FF0000"/>
              </w:rPr>
              <w:t>月</w:t>
            </w:r>
            <w:r>
              <w:rPr>
                <w:rFonts w:hint="eastAsia" w:ascii="Calibri" w:hAnsi="Calibri" w:cs="宋体"/>
                <w:color w:val="FF0000"/>
                <w:lang w:val="en-US" w:eastAsia="zh-CN"/>
              </w:rPr>
              <w:t>5</w:t>
            </w:r>
            <w:bookmarkStart w:id="34" w:name="_GoBack"/>
            <w:bookmarkEnd w:id="34"/>
            <w:r>
              <w:rPr>
                <w:rFonts w:hint="eastAsia" w:ascii="Calibri" w:hAnsi="Calibri" w:cs="宋体"/>
                <w:color w:val="FF0000"/>
              </w:rPr>
              <w:t>日上午</w:t>
            </w:r>
            <w:r>
              <w:rPr>
                <w:rFonts w:hint="eastAsia" w:ascii="Calibri" w:hAnsi="Calibri" w:cs="Calibri"/>
                <w:color w:val="FF0000"/>
              </w:rPr>
              <w:t>09</w:t>
            </w:r>
            <w:r>
              <w:rPr>
                <w:rFonts w:ascii="Calibri" w:hAnsi="Calibri" w:cs="Calibri"/>
                <w:color w:val="FF0000"/>
              </w:rPr>
              <w:t>:</w:t>
            </w:r>
            <w:r>
              <w:rPr>
                <w:rFonts w:hint="eastAsia" w:ascii="Calibri" w:hAnsi="Calibri" w:cs="Calibri"/>
                <w:color w:val="FF0000"/>
              </w:rPr>
              <w:t>0</w:t>
            </w:r>
            <w:r>
              <w:rPr>
                <w:rFonts w:ascii="Calibri" w:hAnsi="Calibri" w:cs="Calibri"/>
                <w:color w:val="FF000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12</w:t>
            </w:r>
          </w:p>
        </w:tc>
        <w:tc>
          <w:tcPr>
            <w:tcW w:w="1854" w:type="dxa"/>
            <w:shd w:val="clear" w:color="auto" w:fill="auto"/>
            <w:vAlign w:val="center"/>
          </w:tcPr>
          <w:p>
            <w:pPr>
              <w:widowControl w:val="0"/>
              <w:jc w:val="center"/>
              <w:rPr>
                <w:rFonts w:ascii="Calibri" w:hAnsi="Calibri" w:cs="宋体"/>
                <w:color w:val="000000"/>
              </w:rPr>
            </w:pPr>
            <w:r>
              <w:rPr>
                <w:rFonts w:hint="eastAsia" w:ascii="Calibri" w:hAnsi="Calibri" w:cs="宋体"/>
              </w:rPr>
              <w:t>开标地点：</w:t>
            </w:r>
          </w:p>
        </w:tc>
        <w:tc>
          <w:tcPr>
            <w:tcW w:w="6543" w:type="dxa"/>
            <w:shd w:val="clear" w:color="auto" w:fill="auto"/>
            <w:vAlign w:val="center"/>
          </w:tcPr>
          <w:p>
            <w:pPr>
              <w:widowControl w:val="0"/>
              <w:rPr>
                <w:rFonts w:ascii="Calibri" w:hAnsi="Calibri" w:cs="宋体"/>
                <w:color w:val="000000"/>
              </w:rPr>
            </w:pPr>
            <w:r>
              <w:rPr>
                <w:rFonts w:hint="eastAsia" w:ascii="Calibri" w:hAnsi="Calibri" w:cs="宋体"/>
              </w:rPr>
              <w:t>金华市政府采购中心永康市分中心(永康市五湖路1号国际会展中心办公楼室)3楼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13</w:t>
            </w:r>
          </w:p>
        </w:tc>
        <w:tc>
          <w:tcPr>
            <w:tcW w:w="1854" w:type="dxa"/>
            <w:vAlign w:val="center"/>
          </w:tcPr>
          <w:p>
            <w:pPr>
              <w:widowControl w:val="0"/>
              <w:jc w:val="center"/>
              <w:rPr>
                <w:rFonts w:ascii="Calibri" w:hAnsi="Calibri" w:cs="Times New Roman"/>
              </w:rPr>
            </w:pPr>
            <w:r>
              <w:rPr>
                <w:rFonts w:hint="eastAsia" w:ascii="Calibri" w:hAnsi="Calibri" w:cs="宋体"/>
              </w:rPr>
              <w:t>评分办法和中标标准：</w:t>
            </w:r>
          </w:p>
        </w:tc>
        <w:tc>
          <w:tcPr>
            <w:tcW w:w="6543" w:type="dxa"/>
            <w:vAlign w:val="center"/>
          </w:tcPr>
          <w:p>
            <w:pPr>
              <w:widowControl w:val="0"/>
              <w:rPr>
                <w:rFonts w:ascii="Calibri" w:hAnsi="Calibri" w:cs="Times New Roman"/>
              </w:rPr>
            </w:pPr>
            <w:r>
              <w:rPr>
                <w:rFonts w:hint="eastAsia" w:ascii="Calibri" w:hAnsi="Calibri" w:cs="宋体"/>
              </w:rPr>
              <w:t>见第三章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Calibri"/>
              </w:rPr>
              <w:t>14</w:t>
            </w:r>
          </w:p>
        </w:tc>
        <w:tc>
          <w:tcPr>
            <w:tcW w:w="1854" w:type="dxa"/>
            <w:vAlign w:val="center"/>
          </w:tcPr>
          <w:p>
            <w:pPr>
              <w:widowControl w:val="0"/>
              <w:spacing w:line="380" w:lineRule="exact"/>
              <w:jc w:val="center"/>
              <w:rPr>
                <w:rFonts w:ascii="Calibri" w:hAnsi="Calibri" w:cs="Times New Roman"/>
              </w:rPr>
            </w:pPr>
            <w:r>
              <w:rPr>
                <w:rFonts w:hint="eastAsia" w:ascii="Times New Roman" w:hAnsi="Times New Roman" w:cs="宋体"/>
              </w:rPr>
              <w:t>采购公告，更正公告，中标公示发布网址</w:t>
            </w:r>
          </w:p>
        </w:tc>
        <w:tc>
          <w:tcPr>
            <w:tcW w:w="6543" w:type="dxa"/>
            <w:vAlign w:val="center"/>
          </w:tcPr>
          <w:p>
            <w:pPr>
              <w:widowControl w:val="0"/>
              <w:snapToGrid w:val="0"/>
              <w:spacing w:line="380" w:lineRule="exact"/>
              <w:rPr>
                <w:rFonts w:ascii="Calibri" w:hAnsi="Calibri" w:cs="Times New Roman"/>
              </w:rPr>
            </w:pPr>
            <w:r>
              <w:rPr>
                <w:rFonts w:hint="eastAsia" w:ascii="Times New Roman" w:hAnsi="Times New Roman" w:cs="宋体"/>
              </w:rPr>
              <w:t>http://zfcg.czt.zj.gov.cn/（浙江省政府采购网）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Align w:val="center"/>
          </w:tcPr>
          <w:p>
            <w:pPr>
              <w:widowControl w:val="0"/>
              <w:spacing w:line="400" w:lineRule="exact"/>
              <w:jc w:val="center"/>
              <w:rPr>
                <w:rFonts w:ascii="Calibri" w:hAnsi="Calibri" w:cs="Calibri"/>
              </w:rPr>
            </w:pPr>
            <w:r>
              <w:rPr>
                <w:rFonts w:hint="eastAsia" w:ascii="Calibri" w:hAnsi="Calibri" w:cs="Times New Roman"/>
              </w:rPr>
              <w:t>15</w:t>
            </w:r>
          </w:p>
        </w:tc>
        <w:tc>
          <w:tcPr>
            <w:tcW w:w="1854" w:type="dxa"/>
            <w:vAlign w:val="center"/>
          </w:tcPr>
          <w:p>
            <w:pPr>
              <w:widowControl w:val="0"/>
              <w:jc w:val="center"/>
              <w:rPr>
                <w:rFonts w:ascii="Calibri" w:hAnsi="Calibri" w:cs="Times New Roman"/>
                <w:color w:val="FF0000"/>
              </w:rPr>
            </w:pPr>
            <w:r>
              <w:rPr>
                <w:rFonts w:hint="eastAsia" w:ascii="Calibri" w:hAnsi="Calibri" w:cs="宋体"/>
              </w:rPr>
              <w:t>中标结果公示：</w:t>
            </w:r>
          </w:p>
        </w:tc>
        <w:tc>
          <w:tcPr>
            <w:tcW w:w="6543" w:type="dxa"/>
            <w:vAlign w:val="center"/>
          </w:tcPr>
          <w:p>
            <w:pPr>
              <w:widowControl w:val="0"/>
              <w:rPr>
                <w:rFonts w:ascii="Calibri" w:hAnsi="Calibri" w:cs="Calibri"/>
                <w:color w:val="FF0000"/>
              </w:rPr>
            </w:pPr>
            <w:r>
              <w:rPr>
                <w:rFonts w:hint="eastAsia" w:ascii="Calibri" w:hAnsi="Calibri" w:cs="宋体"/>
              </w:rPr>
              <w:t>中标结果公示在政府采购网</w:t>
            </w:r>
            <w:r>
              <w:rPr>
                <w:rFonts w:hint="eastAsia" w:ascii="Times New Roman" w:hAnsi="Times New Roman" w:cs="宋体"/>
              </w:rPr>
              <w:t>http://zfcg.czt.zj.gov.cn</w:t>
            </w:r>
            <w:r>
              <w:rPr>
                <w:rFonts w:hint="eastAsia" w:ascii="Calibri" w:hAnsi="Calibri" w:cs="宋体"/>
              </w:rPr>
              <w:t>。公示期满后，如无有效质疑和投诉，向中标人发出中标通知书。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5" w:type="dxa"/>
            <w:vAlign w:val="center"/>
          </w:tcPr>
          <w:p>
            <w:pPr>
              <w:widowControl w:val="0"/>
              <w:jc w:val="center"/>
              <w:rPr>
                <w:rFonts w:ascii="Calibri" w:hAnsi="Calibri" w:cs="Times New Roman"/>
              </w:rPr>
            </w:pPr>
            <w:r>
              <w:rPr>
                <w:rFonts w:hint="eastAsia" w:ascii="Calibri" w:hAnsi="Calibri" w:cs="Calibri"/>
              </w:rPr>
              <w:t>16</w:t>
            </w:r>
          </w:p>
        </w:tc>
        <w:tc>
          <w:tcPr>
            <w:tcW w:w="1854" w:type="dxa"/>
            <w:vAlign w:val="center"/>
          </w:tcPr>
          <w:p>
            <w:pPr>
              <w:widowControl w:val="0"/>
              <w:jc w:val="center"/>
              <w:rPr>
                <w:rFonts w:ascii="Calibri" w:hAnsi="Calibri" w:cs="Times New Roman"/>
              </w:rPr>
            </w:pPr>
            <w:r>
              <w:rPr>
                <w:rFonts w:hint="eastAsia" w:ascii="Calibri" w:hAnsi="Calibri" w:cs="宋体"/>
              </w:rPr>
              <w:t>信用记录</w:t>
            </w:r>
          </w:p>
        </w:tc>
        <w:tc>
          <w:tcPr>
            <w:tcW w:w="6543" w:type="dxa"/>
            <w:vAlign w:val="center"/>
          </w:tcPr>
          <w:p>
            <w:pPr>
              <w:widowControl w:val="0"/>
              <w:rPr>
                <w:rFonts w:ascii="Calibri" w:hAnsi="Calibri" w:cs="Times New Roman"/>
              </w:rPr>
            </w:pPr>
            <w:r>
              <w:rPr>
                <w:rFonts w:hint="eastAsia" w:ascii="Calibri" w:hAnsi="Calibri" w:cs="宋体"/>
                <w:color w:val="000000"/>
              </w:rPr>
              <w:t>根据《关于在政府采购活动中查询及使用信用记录有关问题的通知》财库</w:t>
            </w:r>
            <w:r>
              <w:rPr>
                <w:rFonts w:ascii="Calibri" w:hAnsi="Calibri" w:cs="Calibri"/>
                <w:color w:val="000000"/>
              </w:rPr>
              <w:t xml:space="preserve">[2016]125 </w:t>
            </w:r>
            <w:r>
              <w:rPr>
                <w:rFonts w:hint="eastAsia" w:ascii="Calibri" w:hAnsi="Calibri" w:cs="宋体"/>
                <w:color w:val="000000"/>
              </w:rPr>
              <w:t>号的规定：</w:t>
            </w:r>
            <w:r>
              <w:rPr>
                <w:rFonts w:ascii="Calibri" w:hAnsi="Calibri" w:cs="Calibri"/>
                <w:color w:val="000000"/>
              </w:rPr>
              <w:t xml:space="preserve"> 1</w:t>
            </w:r>
            <w:r>
              <w:rPr>
                <w:rFonts w:hint="eastAsia" w:ascii="Calibri" w:hAnsi="Calibri" w:cs="宋体"/>
                <w:color w:val="000000"/>
              </w:rPr>
              <w:t>）采购人或采购代理机构将对本项目供应商的信用信息进行查询。</w:t>
            </w:r>
            <w:r>
              <w:rPr>
                <w:rFonts w:ascii="Calibri" w:hAnsi="Calibri" w:cs="Calibri"/>
                <w:color w:val="000000"/>
              </w:rPr>
              <w:t xml:space="preserve"> 2</w:t>
            </w:r>
            <w:r>
              <w:rPr>
                <w:rFonts w:hint="eastAsia" w:ascii="Calibri" w:hAnsi="Calibri" w:cs="宋体"/>
                <w:color w:val="000000"/>
              </w:rPr>
              <w:t>）查询渠道为信用中国网站（</w:t>
            </w:r>
            <w:r>
              <w:rPr>
                <w:rFonts w:ascii="Calibri" w:hAnsi="Calibri" w:cs="Calibri"/>
                <w:color w:val="000000"/>
              </w:rPr>
              <w:t>www.creditchina.gov.cn</w:t>
            </w:r>
            <w:r>
              <w:rPr>
                <w:rFonts w:hint="eastAsia" w:ascii="Calibri" w:hAnsi="Calibri" w:cs="宋体"/>
                <w:color w:val="000000"/>
              </w:rPr>
              <w:t>）、中国政府采购网（</w:t>
            </w:r>
            <w:r>
              <w:rPr>
                <w:rFonts w:ascii="Calibri" w:hAnsi="Calibri" w:cs="Calibri"/>
                <w:color w:val="000000"/>
              </w:rPr>
              <w:t>www.ccgp.gov.cn</w:t>
            </w:r>
            <w:r>
              <w:rPr>
                <w:rFonts w:hint="eastAsia" w:ascii="Calibri" w:hAnsi="Calibri" w:cs="宋体"/>
                <w:color w:val="000000"/>
              </w:rPr>
              <w:t>）。</w:t>
            </w:r>
            <w:r>
              <w:rPr>
                <w:rFonts w:ascii="Calibri" w:hAnsi="Calibri" w:cs="Calibri"/>
                <w:color w:val="000000"/>
              </w:rPr>
              <w:t xml:space="preserve"> 3</w:t>
            </w:r>
            <w:r>
              <w:rPr>
                <w:rFonts w:hint="eastAsia" w:ascii="Calibri" w:hAnsi="Calibri" w:cs="宋体"/>
                <w:color w:val="000000"/>
              </w:rPr>
              <w:t>）信用信息截止时点为从本项目投标截止日往前追溯三年，期间被列入失信被执行人名单、重大税收违法案件当事人名单、政府采购严重违法失信行为记录名单等供应商信用信息均将用于本项目。</w:t>
            </w:r>
            <w:r>
              <w:rPr>
                <w:rFonts w:ascii="Calibri" w:hAnsi="Calibri" w:cs="Calibri"/>
                <w:color w:val="000000"/>
              </w:rPr>
              <w:t xml:space="preserve"> 4</w:t>
            </w:r>
            <w:r>
              <w:rPr>
                <w:rFonts w:hint="eastAsia" w:ascii="Calibri" w:hAnsi="Calibri" w:cs="宋体"/>
                <w:color w:val="000000"/>
              </w:rPr>
              <w:t>）信用信息查询记录和证据以网页截图等方式留存。</w:t>
            </w:r>
            <w:r>
              <w:rPr>
                <w:rFonts w:ascii="Calibri" w:hAnsi="Calibri" w:cs="Calibri"/>
                <w:color w:val="000000"/>
              </w:rPr>
              <w:t xml:space="preserve"> 5</w:t>
            </w:r>
            <w:r>
              <w:rPr>
                <w:rFonts w:hint="eastAsia" w:ascii="Calibri" w:hAnsi="Calibri" w:cs="宋体"/>
                <w:color w:val="000000"/>
              </w:rPr>
              <w:t>）投标截止日当日网站显示的信用信息将作为评审和确定中标人的依据。</w:t>
            </w:r>
            <w:r>
              <w:rPr>
                <w:rFonts w:ascii="Calibri" w:hAnsi="Calibri" w:cs="Calibri"/>
                <w:color w:val="000000"/>
              </w:rPr>
              <w:t xml:space="preserve"> 6</w:t>
            </w:r>
            <w:r>
              <w:rPr>
                <w:rFonts w:hint="eastAsia" w:ascii="Calibri" w:hAnsi="Calibri" w:cs="宋体"/>
                <w:color w:val="000000"/>
              </w:rPr>
              <w:t>）联合体成员存在不良信用记录的，视同联合体存在不良信用记录。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vAlign w:val="center"/>
          </w:tcPr>
          <w:p>
            <w:pPr>
              <w:widowControl w:val="0"/>
              <w:jc w:val="center"/>
              <w:rPr>
                <w:rFonts w:ascii="Calibri" w:hAnsi="Calibri" w:cs="Calibri"/>
              </w:rPr>
            </w:pPr>
            <w:r>
              <w:rPr>
                <w:rFonts w:hint="eastAsia" w:ascii="Calibri" w:hAnsi="Calibri" w:cs="Calibri"/>
              </w:rPr>
              <w:t>17</w:t>
            </w:r>
          </w:p>
        </w:tc>
        <w:tc>
          <w:tcPr>
            <w:tcW w:w="1854" w:type="dxa"/>
            <w:vAlign w:val="center"/>
          </w:tcPr>
          <w:p>
            <w:pPr>
              <w:widowControl w:val="0"/>
              <w:spacing w:line="380" w:lineRule="exact"/>
              <w:jc w:val="center"/>
              <w:rPr>
                <w:rFonts w:ascii="Calibri" w:hAnsi="Calibri" w:cs="Times New Roman"/>
              </w:rPr>
            </w:pPr>
            <w:r>
              <w:rPr>
                <w:rFonts w:hint="eastAsia" w:ascii="Calibri" w:hAnsi="Calibri" w:cs="宋体"/>
                <w:color w:val="000000"/>
              </w:rPr>
              <w:t>注意事项</w:t>
            </w:r>
          </w:p>
        </w:tc>
        <w:tc>
          <w:tcPr>
            <w:tcW w:w="6543" w:type="dxa"/>
            <w:vAlign w:val="center"/>
          </w:tcPr>
          <w:p>
            <w:pPr>
              <w:widowControl w:val="0"/>
              <w:snapToGrid w:val="0"/>
              <w:spacing w:line="380" w:lineRule="exact"/>
              <w:rPr>
                <w:rFonts w:ascii="Calibri" w:hAnsi="Calibri" w:cs="Times New Roman"/>
              </w:rPr>
            </w:pPr>
            <w:r>
              <w:rPr>
                <w:rFonts w:ascii="Calibri" w:hAnsi="Calibri" w:cs="宋体"/>
                <w:color w:val="000000"/>
              </w:rPr>
              <w:t>1.</w:t>
            </w:r>
            <w:r>
              <w:rPr>
                <w:rFonts w:hint="eastAsia" w:ascii="Calibri" w:hAnsi="Calibri" w:cs="宋体"/>
                <w:color w:val="000000"/>
              </w:rPr>
              <w:t>请务必确保投标文件制作客户端为最新版本，旧版本可能导致投标文件解密失败。</w:t>
            </w:r>
            <w:r>
              <w:rPr>
                <w:rFonts w:ascii="Calibri" w:hAnsi="Calibri" w:cs="宋体"/>
                <w:color w:val="000000"/>
              </w:rPr>
              <w:t>2.</w:t>
            </w:r>
            <w:r>
              <w:rPr>
                <w:rFonts w:hint="eastAsia" w:ascii="Calibri" w:hAnsi="Calibri" w:cs="宋体"/>
                <w:color w:val="000000"/>
              </w:rPr>
              <w:t>请务必确保投标文件制作时所用的</w:t>
            </w:r>
            <w:r>
              <w:rPr>
                <w:rFonts w:ascii="Calibri" w:hAnsi="Calibri" w:cs="宋体"/>
                <w:color w:val="000000"/>
              </w:rPr>
              <w:t xml:space="preserve"> CA </w:t>
            </w:r>
            <w:r>
              <w:rPr>
                <w:rFonts w:hint="eastAsia" w:ascii="Calibri" w:hAnsi="Calibri" w:cs="宋体"/>
                <w:color w:val="000000"/>
              </w:rPr>
              <w:t>锁与投标文件解密时的</w:t>
            </w:r>
            <w:r>
              <w:rPr>
                <w:rFonts w:ascii="Calibri" w:hAnsi="Calibri" w:cs="宋体"/>
                <w:color w:val="000000"/>
              </w:rPr>
              <w:t xml:space="preserve"> CA </w:t>
            </w:r>
            <w:r>
              <w:rPr>
                <w:rFonts w:hint="eastAsia" w:ascii="Calibri" w:hAnsi="Calibri" w:cs="宋体"/>
                <w:color w:val="000000"/>
              </w:rPr>
              <w:t>锁为同一把，否则可能导致投标文件解密失败。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5" w:type="dxa"/>
            <w:vAlign w:val="center"/>
          </w:tcPr>
          <w:p>
            <w:pPr>
              <w:widowControl w:val="0"/>
              <w:jc w:val="center"/>
              <w:rPr>
                <w:rFonts w:hint="default" w:ascii="Calibri" w:hAnsi="Calibri" w:cs="Calibri"/>
                <w:lang w:val="en-US"/>
              </w:rPr>
            </w:pPr>
            <w:r>
              <w:rPr>
                <w:rFonts w:hint="eastAsia" w:ascii="Calibri" w:hAnsi="Calibri" w:cs="Calibri"/>
                <w:lang w:val="en-US" w:eastAsia="zh-CN"/>
              </w:rPr>
              <w:t>18</w:t>
            </w:r>
          </w:p>
        </w:tc>
        <w:tc>
          <w:tcPr>
            <w:tcW w:w="1854" w:type="dxa"/>
            <w:vAlign w:val="center"/>
          </w:tcPr>
          <w:p>
            <w:pPr>
              <w:widowControl w:val="0"/>
              <w:spacing w:line="380" w:lineRule="exact"/>
              <w:jc w:val="center"/>
              <w:rPr>
                <w:rFonts w:hint="eastAsia" w:ascii="Calibri" w:hAnsi="Calibri" w:cs="宋体"/>
                <w:color w:val="000000"/>
              </w:rPr>
            </w:pPr>
            <w:r>
              <w:rPr>
                <w:rFonts w:hint="eastAsia" w:ascii="Calibri" w:hAnsi="Calibri" w:cs="宋体"/>
                <w:color w:val="000000"/>
                <w:lang w:val="en-US" w:eastAsia="zh-CN"/>
              </w:rPr>
              <w:t>其他</w:t>
            </w:r>
          </w:p>
        </w:tc>
        <w:tc>
          <w:tcPr>
            <w:tcW w:w="6543" w:type="dxa"/>
            <w:vAlign w:val="center"/>
          </w:tcPr>
          <w:p>
            <w:pPr>
              <w:widowControl w:val="0"/>
              <w:snapToGrid w:val="0"/>
              <w:spacing w:line="380" w:lineRule="exact"/>
              <w:rPr>
                <w:rFonts w:ascii="Calibri" w:hAnsi="Calibri" w:cs="宋体"/>
                <w:color w:val="000000"/>
              </w:rPr>
            </w:pPr>
            <w:r>
              <w:rPr>
                <w:rFonts w:hint="eastAsia" w:ascii="Calibri" w:hAnsi="Calibri" w:cs="宋体"/>
                <w:color w:val="000000"/>
              </w:rPr>
              <w:t>电子化投标后不得要求供应商提供纸质标书。</w:t>
            </w:r>
          </w:p>
        </w:tc>
      </w:tr>
    </w:tbl>
    <w:p>
      <w:pPr>
        <w:widowControl w:val="0"/>
        <w:spacing w:line="400" w:lineRule="exact"/>
        <w:rPr>
          <w:rFonts w:ascii="宋体" w:hAnsi="Calibri" w:cs="Times New Roman"/>
          <w:sz w:val="24"/>
          <w:szCs w:val="24"/>
        </w:rPr>
      </w:pPr>
      <w:r>
        <w:rPr>
          <w:rFonts w:ascii="Calibri" w:hAnsi="Calibri" w:cs="Times New Roman"/>
          <w:b/>
          <w:bCs/>
          <w:sz w:val="32"/>
          <w:szCs w:val="32"/>
        </w:rPr>
        <w:br w:type="page"/>
      </w:r>
    </w:p>
    <w:p>
      <w:pPr>
        <w:widowControl w:val="0"/>
        <w:spacing w:line="500" w:lineRule="exact"/>
        <w:ind w:firstLine="994" w:firstLineChars="225"/>
        <w:jc w:val="center"/>
        <w:rPr>
          <w:rFonts w:ascii="Calibri" w:hAnsi="Calibri" w:cs="Times New Roman"/>
          <w:b/>
          <w:bCs/>
          <w:color w:val="000000"/>
          <w:sz w:val="44"/>
          <w:szCs w:val="44"/>
        </w:rPr>
      </w:pPr>
      <w:r>
        <w:rPr>
          <w:rFonts w:hint="eastAsia" w:ascii="Calibri" w:hAnsi="Calibri" w:cs="宋体"/>
          <w:b/>
          <w:bCs/>
          <w:color w:val="000000"/>
          <w:sz w:val="44"/>
          <w:szCs w:val="44"/>
        </w:rPr>
        <w:t>投标人须知</w:t>
      </w:r>
    </w:p>
    <w:p>
      <w:pPr>
        <w:widowControl w:val="0"/>
        <w:spacing w:line="380" w:lineRule="exact"/>
        <w:ind w:firstLine="723" w:firstLineChars="225"/>
        <w:jc w:val="center"/>
        <w:rPr>
          <w:rFonts w:ascii="Calibri" w:hAnsi="Calibri" w:cs="宋体"/>
          <w:b/>
          <w:bCs/>
          <w:color w:val="000000"/>
          <w:sz w:val="32"/>
          <w:szCs w:val="32"/>
        </w:rPr>
      </w:pPr>
    </w:p>
    <w:p>
      <w:pPr>
        <w:widowControl w:val="0"/>
        <w:spacing w:line="380" w:lineRule="exact"/>
        <w:ind w:firstLine="723" w:firstLineChars="225"/>
        <w:jc w:val="center"/>
        <w:rPr>
          <w:rFonts w:ascii="Calibri" w:hAnsi="Calibri" w:cs="Times New Roman"/>
          <w:b/>
          <w:bCs/>
          <w:color w:val="000000"/>
          <w:sz w:val="32"/>
          <w:szCs w:val="32"/>
        </w:rPr>
      </w:pPr>
      <w:r>
        <w:rPr>
          <w:rFonts w:hint="eastAsia" w:ascii="Calibri" w:hAnsi="Calibri" w:cs="宋体"/>
          <w:b/>
          <w:bCs/>
          <w:color w:val="000000"/>
          <w:sz w:val="32"/>
          <w:szCs w:val="32"/>
        </w:rPr>
        <w:t>一、总则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1</w:t>
      </w:r>
      <w:r>
        <w:rPr>
          <w:rFonts w:hint="eastAsia" w:ascii="宋体" w:cs="宋体"/>
          <w:b/>
          <w:bCs/>
          <w:kern w:val="0"/>
          <w:sz w:val="24"/>
          <w:szCs w:val="24"/>
        </w:rPr>
        <w:t>、适用范围</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仅适用于本次招标文件中采购项目的招标、投标、评标、定标、验收、合同履约、付款等行为（法律、法规另有规定的，从其规定）。</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b/>
          <w:bCs/>
          <w:kern w:val="0"/>
          <w:sz w:val="24"/>
          <w:szCs w:val="24"/>
        </w:rPr>
        <w:t>2</w:t>
      </w:r>
      <w:r>
        <w:rPr>
          <w:rFonts w:hint="eastAsia" w:ascii="宋体" w:cs="宋体"/>
          <w:b/>
          <w:bCs/>
          <w:kern w:val="0"/>
          <w:sz w:val="24"/>
          <w:szCs w:val="24"/>
        </w:rPr>
        <w:t>、定义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2.1</w:t>
      </w:r>
      <w:r>
        <w:rPr>
          <w:rFonts w:hint="eastAsia" w:ascii="宋体" w:cs="宋体"/>
          <w:kern w:val="0"/>
          <w:sz w:val="24"/>
          <w:szCs w:val="24"/>
        </w:rPr>
        <w:t>“采购人”系指永康市第三中学。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2.2</w:t>
      </w:r>
      <w:r>
        <w:rPr>
          <w:rFonts w:hint="eastAsia" w:ascii="宋体" w:cs="宋体"/>
          <w:kern w:val="0"/>
          <w:sz w:val="24"/>
          <w:szCs w:val="24"/>
        </w:rPr>
        <w:t>“投标人”系指向采购代理机构提交投标文件的供应商。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2.3</w:t>
      </w:r>
      <w:r>
        <w:rPr>
          <w:rFonts w:hint="eastAsia" w:ascii="宋体" w:cs="宋体"/>
          <w:kern w:val="0"/>
          <w:sz w:val="24"/>
          <w:szCs w:val="24"/>
        </w:rPr>
        <w:t>“采购代理机构”系指组织本次招标的金华市创佳工程项目管理有限公司。</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2.4</w:t>
      </w:r>
      <w:r>
        <w:rPr>
          <w:rFonts w:hint="eastAsia" w:ascii="宋体" w:cs="宋体"/>
          <w:kern w:val="0"/>
          <w:sz w:val="24"/>
          <w:szCs w:val="24"/>
        </w:rPr>
        <w:t>“货物”指招标文件规定投标人须向采购人提供的一切材料、设备、机械、仪器仪表、工具及其它有关技术资料和文字材料。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2.5</w:t>
      </w:r>
      <w:r>
        <w:rPr>
          <w:rFonts w:hint="eastAsia" w:ascii="宋体" w:cs="宋体"/>
          <w:kern w:val="0"/>
          <w:sz w:val="24"/>
          <w:szCs w:val="24"/>
        </w:rPr>
        <w:t>“服务”系指招标文件规定供方须承担的运输、设计、安装、调试、维护、培训、技术服务、及其它类似服务。</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2.6</w:t>
      </w:r>
      <w:r>
        <w:rPr>
          <w:rFonts w:hint="eastAsia" w:ascii="宋体" w:cs="宋体"/>
          <w:kern w:val="0"/>
          <w:sz w:val="24"/>
          <w:szCs w:val="24"/>
        </w:rPr>
        <w:t>需方：即永康市第三中学，在招投标阶段称为采购人，在签订和执行合同阶段称为需方。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Calibri" w:cs="Times New Roman"/>
          <w:kern w:val="0"/>
          <w:sz w:val="24"/>
          <w:szCs w:val="24"/>
        </w:rPr>
      </w:pPr>
      <w:r>
        <w:rPr>
          <w:rFonts w:ascii="宋体" w:cs="宋体"/>
          <w:kern w:val="0"/>
          <w:sz w:val="24"/>
          <w:szCs w:val="24"/>
        </w:rPr>
        <w:t>2.7</w:t>
      </w:r>
      <w:r>
        <w:rPr>
          <w:rFonts w:hint="eastAsia" w:ascii="宋体" w:cs="宋体"/>
          <w:kern w:val="0"/>
          <w:sz w:val="24"/>
          <w:szCs w:val="24"/>
        </w:rPr>
        <w:t>供方：在招投标阶段称为投标人，中标后在签订和执行合同阶段称为供方。</w:t>
      </w:r>
    </w:p>
    <w:p>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投标人及委托有关说明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left="360" w:hanging="360" w:hangingChars="150"/>
        <w:jc w:val="left"/>
        <w:rPr>
          <w:rFonts w:ascii="宋体" w:cs="宋体"/>
          <w:kern w:val="0"/>
          <w:sz w:val="24"/>
          <w:szCs w:val="24"/>
        </w:rPr>
      </w:pPr>
      <w:r>
        <w:rPr>
          <w:rFonts w:hint="eastAsia" w:ascii="宋体" w:cs="宋体"/>
          <w:kern w:val="0"/>
          <w:sz w:val="24"/>
          <w:szCs w:val="24"/>
        </w:rPr>
        <w:t>3.1.如授权代表不是法定代表人，须有法定代表人出具的授权委托书（格式见附件）。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3.2.投标人投标所使用的资格、信誉、荣誉、业绩与企业认证必须为本法人所拥有。投标人投标所使用的采购项目实施人员必须为投标人员工（或投标人控股公司正式员工）。</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3.3.单位负责人为同一人或者存在直接控股、管理关系的不同供应商，不得参加同一合同项下的政府采购活动。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3.4.投标人应仔细阅读招标文件的所有内容，按照招标文件的要求提交投标文件，并对所提供的全部资料的真实性承担法律责任。</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b/>
          <w:bCs/>
          <w:kern w:val="0"/>
          <w:sz w:val="24"/>
          <w:szCs w:val="24"/>
        </w:rPr>
        <w:t>4</w:t>
      </w:r>
      <w:r>
        <w:rPr>
          <w:rFonts w:hint="eastAsia" w:ascii="宋体" w:cs="宋体"/>
          <w:b/>
          <w:bCs/>
          <w:kern w:val="0"/>
          <w:sz w:val="24"/>
          <w:szCs w:val="24"/>
        </w:rPr>
        <w:t>、投标费用</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4.1</w:t>
      </w:r>
      <w:r>
        <w:rPr>
          <w:rFonts w:hint="eastAsia" w:ascii="宋体" w:cs="宋体"/>
          <w:kern w:val="0"/>
          <w:sz w:val="24"/>
          <w:szCs w:val="24"/>
        </w:rPr>
        <w:t>不论投标结果如何，投标人均应自行承担所有与投标有关的全部费用（招标文件有其他相反规定除外）。</w:t>
      </w:r>
    </w:p>
    <w:p>
      <w:pPr>
        <w:widowControl w:val="0"/>
        <w:rPr>
          <w:rFonts w:ascii="宋体" w:hAnsi="Calibri" w:cs="Times New Roman"/>
          <w:b/>
          <w:bCs/>
          <w:color w:val="000000"/>
          <w:sz w:val="24"/>
          <w:szCs w:val="24"/>
        </w:rPr>
      </w:pPr>
      <w:r>
        <w:rPr>
          <w:rFonts w:ascii="宋体" w:cs="宋体"/>
          <w:b/>
          <w:bCs/>
          <w:color w:val="000000"/>
          <w:sz w:val="24"/>
          <w:szCs w:val="24"/>
        </w:rPr>
        <w:t>5</w:t>
      </w:r>
      <w:r>
        <w:rPr>
          <w:rFonts w:hint="eastAsia" w:ascii="宋体" w:cs="宋体"/>
          <w:b/>
          <w:bCs/>
          <w:color w:val="000000"/>
          <w:sz w:val="24"/>
          <w:szCs w:val="24"/>
        </w:rPr>
        <w:t>、质疑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color w:val="000000"/>
          <w:kern w:val="0"/>
          <w:sz w:val="24"/>
          <w:szCs w:val="24"/>
        </w:rPr>
      </w:pPr>
      <w:r>
        <w:rPr>
          <w:rFonts w:ascii="宋体" w:cs="宋体"/>
          <w:color w:val="000000"/>
          <w:kern w:val="0"/>
          <w:sz w:val="24"/>
          <w:szCs w:val="24"/>
        </w:rPr>
        <w:t>5.1</w:t>
      </w:r>
      <w:r>
        <w:rPr>
          <w:rFonts w:hint="eastAsia" w:ascii="宋体" w:cs="宋体"/>
          <w:color w:val="000000"/>
          <w:kern w:val="0"/>
          <w:sz w:val="24"/>
          <w:szCs w:val="24"/>
        </w:rPr>
        <w:t>、供应商认为采购文件、采购过程、中标或者成交结果使自己的权益受到损害的，可以在知道或者应知其权益受到损害之日起</w:t>
      </w:r>
      <w:r>
        <w:rPr>
          <w:rFonts w:ascii="宋体" w:cs="宋体"/>
          <w:color w:val="000000"/>
          <w:kern w:val="0"/>
          <w:sz w:val="24"/>
          <w:szCs w:val="24"/>
        </w:rPr>
        <w:t>7</w:t>
      </w:r>
      <w:r>
        <w:rPr>
          <w:rFonts w:hint="eastAsia" w:ascii="宋体" w:cs="宋体"/>
          <w:color w:val="000000"/>
          <w:kern w:val="0"/>
          <w:sz w:val="24"/>
          <w:szCs w:val="24"/>
        </w:rPr>
        <w:t>个工作日内，一次性以书面形式向采购人、采购代理机构提出针对同一采购程序环节的质疑。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color w:val="000000"/>
          <w:kern w:val="0"/>
          <w:sz w:val="24"/>
          <w:szCs w:val="24"/>
        </w:rPr>
      </w:pPr>
      <w:r>
        <w:rPr>
          <w:rFonts w:ascii="宋体" w:cs="宋体"/>
          <w:color w:val="000000"/>
          <w:kern w:val="0"/>
          <w:sz w:val="24"/>
          <w:szCs w:val="24"/>
        </w:rPr>
        <w:t>5.2</w:t>
      </w:r>
      <w:r>
        <w:rPr>
          <w:rFonts w:hint="eastAsia" w:ascii="宋体" w:cs="宋体"/>
          <w:color w:val="000000"/>
          <w:kern w:val="0"/>
          <w:sz w:val="24"/>
          <w:szCs w:val="24"/>
        </w:rPr>
        <w:t>质疑应当以书面形式提出，格式见《政府采购质疑和投诉办法》（财政部令第94号）附件范本，下载网址：浙江政府采购网(http://zfcg.czt.zj.gov.cn/)，位置：“首页-下载专区-质疑投诉模板”。供应商提出质疑应当提交质疑函和必要的证明材料。质疑函应当包括下列内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a.供应商的姓名或者名称、地址、邮编、联系人及联系电话；</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b.质疑项目的名称、编号；</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c.具体、明确的质疑事项和与质疑事项相关的请求；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d.事实依据；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e.必要的法律依据；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f.提出质疑的日期。</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供应商为自然人的，应当由本人签字；供应商为法人或者其他组织的，应当由法定代表人、主要负责人，或者其授权代表签字或者盖章，并加盖公章。质疑应明确阐述招标过程或中标结果中使自己合法权益受到损害的实质性内容，提供相关事实、依据和证据及其来源或线索，便于有关单位调查、答复和处理,质疑函不符合《政府采购质疑和投诉办法》相关规定的，应在规定期限内补齐的，招标方自收到补齐材料之日起受理；逾期未补齐的，按自动撤回质疑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color w:val="000000"/>
          <w:kern w:val="0"/>
          <w:sz w:val="24"/>
          <w:szCs w:val="24"/>
        </w:rPr>
      </w:pPr>
      <w:r>
        <w:rPr>
          <w:rFonts w:ascii="宋体" w:cs="宋体"/>
          <w:color w:val="000000"/>
          <w:kern w:val="0"/>
          <w:sz w:val="24"/>
          <w:szCs w:val="24"/>
        </w:rPr>
        <w:t>5.</w:t>
      </w:r>
      <w:r>
        <w:rPr>
          <w:rFonts w:hint="eastAsia" w:ascii="宋体" w:cs="宋体"/>
          <w:color w:val="000000"/>
          <w:kern w:val="0"/>
          <w:sz w:val="24"/>
          <w:szCs w:val="24"/>
        </w:rPr>
        <w:t>3质疑函受理：接受以书面形式（现场或邮寄）递交到金华市创佳工程项目管理有限公司。地址：永康市世贸中心南2-1405。联系人：周巧玲，电话、传真：</w:t>
      </w:r>
      <w:r>
        <w:rPr>
          <w:rFonts w:ascii="宋体" w:cs="宋体"/>
          <w:color w:val="000000"/>
          <w:kern w:val="0"/>
          <w:sz w:val="24"/>
          <w:szCs w:val="24"/>
        </w:rPr>
        <w:t>0579-</w:t>
      </w:r>
      <w:r>
        <w:rPr>
          <w:rFonts w:hint="eastAsia" w:ascii="宋体" w:cs="宋体"/>
          <w:color w:val="000000"/>
          <w:kern w:val="0"/>
          <w:sz w:val="24"/>
          <w:szCs w:val="24"/>
        </w:rPr>
        <w:t>87447077。</w:t>
      </w:r>
    </w:p>
    <w:p>
      <w:pPr>
        <w:widowControl w:val="0"/>
        <w:spacing w:line="400" w:lineRule="exact"/>
        <w:rPr>
          <w:rFonts w:ascii="宋体" w:hAnsi="Calibri" w:cs="Times New Roman"/>
          <w:color w:val="000000"/>
          <w:kern w:val="0"/>
          <w:sz w:val="24"/>
          <w:szCs w:val="24"/>
        </w:rPr>
      </w:pPr>
      <w:r>
        <w:rPr>
          <w:rFonts w:ascii="宋体" w:cs="宋体"/>
          <w:color w:val="000000"/>
          <w:kern w:val="0"/>
          <w:sz w:val="24"/>
          <w:szCs w:val="24"/>
        </w:rPr>
        <w:t>5.</w:t>
      </w:r>
      <w:r>
        <w:rPr>
          <w:rFonts w:hint="eastAsia" w:ascii="宋体" w:cs="宋体"/>
          <w:color w:val="000000"/>
          <w:kern w:val="0"/>
          <w:sz w:val="24"/>
          <w:szCs w:val="24"/>
        </w:rPr>
        <w:t>4为确保招投标活动的公开、公平、公正，切实维护各方合法权益，凡在招标投标、开标评标过程中，受到敲诈、勒索或发现围标串标、虚假投标、恶意竞标等涉黑涉恶线索者，请及时保留相关证据并向有关部门举报。</w:t>
      </w:r>
    </w:p>
    <w:p>
      <w:pPr>
        <w:widowControl w:val="0"/>
        <w:spacing w:line="400" w:lineRule="exact"/>
        <w:rPr>
          <w:rFonts w:ascii="宋体" w:hAnsi="Calibri" w:cs="Times New Roman"/>
          <w:color w:val="000000"/>
          <w:kern w:val="0"/>
          <w:sz w:val="24"/>
          <w:szCs w:val="24"/>
        </w:rPr>
      </w:pPr>
      <w:r>
        <w:rPr>
          <w:rFonts w:hint="eastAsia" w:ascii="宋体" w:cs="宋体"/>
          <w:color w:val="000000"/>
          <w:kern w:val="0"/>
          <w:sz w:val="24"/>
          <w:szCs w:val="24"/>
        </w:rPr>
        <w:t>举报电话：永康市公安局   110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黑体" w:hAnsi="Courier New" w:eastAsia="黑体" w:cs="Times New Roman"/>
          <w:b/>
          <w:bCs/>
          <w:kern w:val="0"/>
          <w:sz w:val="30"/>
          <w:szCs w:val="30"/>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黑体" w:hAnsi="Courier New" w:eastAsia="黑体" w:cs="Times New Roman"/>
          <w:b/>
          <w:bCs/>
          <w:kern w:val="0"/>
          <w:sz w:val="30"/>
          <w:szCs w:val="30"/>
        </w:rPr>
      </w:pPr>
      <w:r>
        <w:rPr>
          <w:rFonts w:hint="eastAsia" w:ascii="黑体" w:hAnsi="Courier New" w:eastAsia="黑体" w:cs="黑体"/>
          <w:b/>
          <w:bCs/>
          <w:kern w:val="0"/>
          <w:sz w:val="30"/>
          <w:szCs w:val="30"/>
        </w:rPr>
        <w:t>二、招标文件的说明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1</w:t>
      </w:r>
      <w:r>
        <w:rPr>
          <w:rFonts w:hint="eastAsia" w:ascii="宋体" w:cs="宋体"/>
          <w:b/>
          <w:bCs/>
          <w:kern w:val="0"/>
          <w:sz w:val="24"/>
          <w:szCs w:val="24"/>
        </w:rPr>
        <w:t>、招标文件的构成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1.1</w:t>
      </w:r>
      <w:r>
        <w:rPr>
          <w:rFonts w:hint="eastAsia" w:ascii="宋体" w:cs="宋体"/>
          <w:kern w:val="0"/>
          <w:sz w:val="24"/>
          <w:szCs w:val="24"/>
        </w:rPr>
        <w:t>招标文件用以阐明所需供货、服务、招标程序和合同条款。招标文件由下述部分组成：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w:t>
      </w:r>
      <w:r>
        <w:rPr>
          <w:rFonts w:ascii="宋体" w:cs="宋体"/>
          <w:kern w:val="0"/>
          <w:sz w:val="24"/>
          <w:szCs w:val="24"/>
        </w:rPr>
        <w:t>1</w:t>
      </w:r>
      <w:r>
        <w:rPr>
          <w:rFonts w:hint="eastAsia" w:ascii="宋体" w:cs="宋体"/>
          <w:kern w:val="0"/>
          <w:sz w:val="24"/>
          <w:szCs w:val="24"/>
        </w:rPr>
        <w:t>）招标公告</w:t>
      </w:r>
    </w:p>
    <w:p>
      <w:pPr>
        <w:widowControl w:val="0"/>
        <w:tabs>
          <w:tab w:val="left" w:pos="0"/>
        </w:tabs>
        <w:snapToGrid w:val="0"/>
        <w:spacing w:line="400" w:lineRule="exact"/>
        <w:rPr>
          <w:rFonts w:ascii="宋体" w:hAnsi="Calibri" w:cs="Times New Roman"/>
          <w:color w:val="000000"/>
          <w:sz w:val="24"/>
          <w:szCs w:val="24"/>
        </w:rPr>
      </w:pPr>
      <w:r>
        <w:rPr>
          <w:rFonts w:hint="eastAsia" w:ascii="宋体" w:cs="宋体"/>
          <w:color w:val="000000"/>
          <w:sz w:val="24"/>
          <w:szCs w:val="24"/>
        </w:rPr>
        <w:t>（</w:t>
      </w:r>
      <w:r>
        <w:rPr>
          <w:rFonts w:ascii="宋体" w:cs="宋体"/>
          <w:color w:val="000000"/>
          <w:sz w:val="24"/>
          <w:szCs w:val="24"/>
        </w:rPr>
        <w:t>2</w:t>
      </w:r>
      <w:r>
        <w:rPr>
          <w:rFonts w:hint="eastAsia" w:ascii="宋体" w:cs="宋体"/>
          <w:color w:val="000000"/>
          <w:sz w:val="24"/>
          <w:szCs w:val="24"/>
        </w:rPr>
        <w:t>）投标人须知</w:t>
      </w:r>
    </w:p>
    <w:p>
      <w:pPr>
        <w:widowControl w:val="0"/>
        <w:tabs>
          <w:tab w:val="left" w:pos="0"/>
        </w:tabs>
        <w:snapToGrid w:val="0"/>
        <w:spacing w:line="400" w:lineRule="exact"/>
        <w:rPr>
          <w:rFonts w:ascii="宋体" w:hAnsi="Calibri" w:cs="Times New Roman"/>
          <w:color w:val="000000"/>
          <w:sz w:val="24"/>
          <w:szCs w:val="24"/>
        </w:rPr>
      </w:pPr>
      <w:r>
        <w:rPr>
          <w:rFonts w:hint="eastAsia" w:ascii="宋体" w:cs="宋体"/>
          <w:color w:val="000000"/>
          <w:sz w:val="24"/>
          <w:szCs w:val="24"/>
        </w:rPr>
        <w:t>（</w:t>
      </w:r>
      <w:r>
        <w:rPr>
          <w:rFonts w:ascii="宋体" w:cs="宋体"/>
          <w:color w:val="000000"/>
          <w:sz w:val="24"/>
          <w:szCs w:val="24"/>
        </w:rPr>
        <w:t>3</w:t>
      </w:r>
      <w:r>
        <w:rPr>
          <w:rFonts w:hint="eastAsia" w:ascii="宋体" w:cs="宋体"/>
          <w:color w:val="000000"/>
          <w:sz w:val="24"/>
          <w:szCs w:val="24"/>
        </w:rPr>
        <w:t>）开标和评标须知</w:t>
      </w:r>
    </w:p>
    <w:p>
      <w:pPr>
        <w:widowControl w:val="0"/>
        <w:snapToGrid w:val="0"/>
        <w:spacing w:line="400" w:lineRule="exact"/>
        <w:rPr>
          <w:rFonts w:ascii="宋体" w:hAnsi="Calibri" w:cs="Times New Roman"/>
          <w:color w:val="000000"/>
          <w:sz w:val="24"/>
          <w:szCs w:val="24"/>
        </w:rPr>
      </w:pPr>
      <w:r>
        <w:rPr>
          <w:rFonts w:hint="eastAsia" w:ascii="宋体" w:cs="宋体"/>
          <w:color w:val="000000"/>
          <w:sz w:val="24"/>
          <w:szCs w:val="24"/>
        </w:rPr>
        <w:t>（</w:t>
      </w:r>
      <w:r>
        <w:rPr>
          <w:rFonts w:ascii="宋体" w:cs="宋体"/>
          <w:color w:val="000000"/>
          <w:sz w:val="24"/>
          <w:szCs w:val="24"/>
        </w:rPr>
        <w:t>4</w:t>
      </w:r>
      <w:r>
        <w:rPr>
          <w:rFonts w:hint="eastAsia" w:ascii="宋体" w:cs="宋体"/>
          <w:color w:val="000000"/>
          <w:sz w:val="24"/>
          <w:szCs w:val="24"/>
        </w:rPr>
        <w:t>）货物需求一览表及技术商务要求</w:t>
      </w:r>
    </w:p>
    <w:p>
      <w:pPr>
        <w:widowControl w:val="0"/>
        <w:tabs>
          <w:tab w:val="left" w:pos="0"/>
        </w:tabs>
        <w:snapToGrid w:val="0"/>
        <w:spacing w:line="400" w:lineRule="exact"/>
        <w:rPr>
          <w:rFonts w:ascii="宋体" w:hAnsi="Calibri" w:cs="Times New Roman"/>
          <w:color w:val="000000"/>
          <w:sz w:val="24"/>
          <w:szCs w:val="24"/>
        </w:rPr>
      </w:pPr>
      <w:r>
        <w:rPr>
          <w:rFonts w:hint="eastAsia" w:ascii="宋体" w:cs="宋体"/>
          <w:color w:val="000000"/>
          <w:sz w:val="24"/>
          <w:szCs w:val="24"/>
        </w:rPr>
        <w:t>（</w:t>
      </w:r>
      <w:r>
        <w:rPr>
          <w:rFonts w:ascii="宋体" w:cs="宋体"/>
          <w:color w:val="000000"/>
          <w:sz w:val="24"/>
          <w:szCs w:val="24"/>
        </w:rPr>
        <w:t>5</w:t>
      </w:r>
      <w:r>
        <w:rPr>
          <w:rFonts w:hint="eastAsia" w:ascii="宋体" w:cs="宋体"/>
          <w:color w:val="000000"/>
          <w:sz w:val="24"/>
          <w:szCs w:val="24"/>
        </w:rPr>
        <w:t>）附件</w:t>
      </w:r>
      <w:r>
        <w:rPr>
          <w:rFonts w:ascii="宋体" w:cs="宋体"/>
          <w:color w:val="000000"/>
          <w:sz w:val="24"/>
          <w:szCs w:val="24"/>
        </w:rPr>
        <w:t>—</w:t>
      </w:r>
      <w:r>
        <w:rPr>
          <w:rFonts w:hint="eastAsia" w:ascii="宋体" w:cs="宋体"/>
          <w:color w:val="000000"/>
          <w:sz w:val="24"/>
          <w:szCs w:val="24"/>
        </w:rPr>
        <w:t>投标文件格式</w:t>
      </w:r>
    </w:p>
    <w:p>
      <w:pPr>
        <w:widowControl w:val="0"/>
        <w:tabs>
          <w:tab w:val="left" w:pos="6300"/>
        </w:tabs>
        <w:snapToGrid w:val="0"/>
        <w:spacing w:line="400" w:lineRule="exact"/>
        <w:rPr>
          <w:rFonts w:ascii="宋体" w:hAnsi="Calibri" w:cs="Times New Roman"/>
          <w:color w:val="000000"/>
          <w:sz w:val="24"/>
          <w:szCs w:val="24"/>
        </w:rPr>
      </w:pPr>
      <w:r>
        <w:rPr>
          <w:rFonts w:hint="eastAsia" w:ascii="宋体" w:cs="宋体"/>
          <w:color w:val="000000"/>
          <w:sz w:val="24"/>
          <w:szCs w:val="24"/>
        </w:rPr>
        <w:t>（</w:t>
      </w:r>
      <w:r>
        <w:rPr>
          <w:rFonts w:ascii="宋体" w:cs="宋体"/>
          <w:color w:val="000000"/>
          <w:sz w:val="24"/>
          <w:szCs w:val="24"/>
        </w:rPr>
        <w:t>6</w:t>
      </w:r>
      <w:r>
        <w:rPr>
          <w:rFonts w:hint="eastAsia" w:ascii="宋体" w:cs="宋体"/>
          <w:color w:val="000000"/>
          <w:sz w:val="24"/>
          <w:szCs w:val="24"/>
        </w:rPr>
        <w:t>）永康市政府采购合同（样本）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ascii="宋体" w:cs="宋体"/>
          <w:kern w:val="0"/>
          <w:sz w:val="24"/>
          <w:szCs w:val="24"/>
        </w:rPr>
        <w:t>1.2</w:t>
      </w:r>
      <w:r>
        <w:rPr>
          <w:rFonts w:hint="eastAsia" w:ascii="宋体" w:cs="宋体"/>
          <w:kern w:val="0"/>
          <w:sz w:val="24"/>
          <w:szCs w:val="24"/>
        </w:rPr>
        <w:t>除非有特殊要求，招标文件不单独提供采购地的自然环境气候条件、公用设施等情况，投标人被视为熟悉上述与履行合同有关的一切情况。</w:t>
      </w:r>
    </w:p>
    <w:p>
      <w:pPr>
        <w:widowControl w:val="0"/>
        <w:tabs>
          <w:tab w:val="left" w:pos="0"/>
        </w:tabs>
        <w:snapToGrid w:val="0"/>
        <w:spacing w:line="400" w:lineRule="exact"/>
        <w:rPr>
          <w:color w:val="FF0000"/>
        </w:rPr>
      </w:pPr>
      <w:r>
        <w:rPr>
          <w:rFonts w:hint="eastAsia" w:ascii="宋体" w:cs="宋体"/>
          <w:color w:val="FF0000"/>
          <w:kern w:val="0"/>
          <w:sz w:val="24"/>
          <w:szCs w:val="24"/>
        </w:rPr>
        <w:t>1.3</w:t>
      </w:r>
      <w:r>
        <w:rPr>
          <w:rFonts w:hint="eastAsia" w:ascii="宋体" w:cs="宋体"/>
          <w:color w:val="FF0000"/>
          <w:sz w:val="24"/>
          <w:szCs w:val="24"/>
        </w:rPr>
        <w:t>本文件中打“▲”号的条款视作强制要求或必须满足的条件和资料，不允许有负偏离或缺失，投标人必须满足，否则该投标将导致无效。</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2</w:t>
      </w:r>
      <w:r>
        <w:rPr>
          <w:rFonts w:hint="eastAsia" w:ascii="宋体" w:cs="宋体"/>
          <w:b/>
          <w:bCs/>
          <w:kern w:val="0"/>
          <w:sz w:val="24"/>
          <w:szCs w:val="24"/>
        </w:rPr>
        <w:t>、招标文件的澄清与修改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2.1</w:t>
      </w:r>
      <w:r>
        <w:rPr>
          <w:rFonts w:hint="eastAsia" w:ascii="宋体" w:cs="宋体"/>
          <w:kern w:val="0"/>
          <w:sz w:val="24"/>
          <w:szCs w:val="24"/>
        </w:rPr>
        <w:t>、投标人应认真阅读本招标文件，发现其中有误或有不合理要求的，投标人应当于公告发布之日起至公告期限满第</w:t>
      </w:r>
      <w:r>
        <w:rPr>
          <w:rFonts w:ascii="宋体" w:cs="宋体"/>
          <w:kern w:val="0"/>
          <w:sz w:val="24"/>
          <w:szCs w:val="24"/>
        </w:rPr>
        <w:t>7</w:t>
      </w:r>
      <w:r>
        <w:rPr>
          <w:rFonts w:hint="eastAsia" w:ascii="宋体" w:cs="宋体"/>
          <w:kern w:val="0"/>
          <w:sz w:val="24"/>
          <w:szCs w:val="24"/>
        </w:rPr>
        <w:t>个工作日内以书面形式向招标方提出。如有需要招标方将在规定的时间内，在浙江政府采购网上发布更正公告。逾期提出招标方将不予受理。</w:t>
      </w:r>
      <w:r>
        <w:rPr>
          <w:rFonts w:hint="eastAsia" w:ascii="宋体" w:cs="宋体"/>
          <w:color w:val="000000"/>
          <w:sz w:val="24"/>
          <w:szCs w:val="24"/>
        </w:rPr>
        <w:t>编制的投标文件对招标文件中有关条款未提出异议的，均被视为接受和同意。</w:t>
      </w:r>
    </w:p>
    <w:p>
      <w:pPr>
        <w:widowControl w:val="0"/>
        <w:spacing w:line="400" w:lineRule="exact"/>
        <w:rPr>
          <w:rFonts w:ascii="宋体" w:hAnsi="Calibri" w:cs="Times New Roman"/>
          <w:kern w:val="0"/>
          <w:sz w:val="24"/>
          <w:szCs w:val="24"/>
        </w:rPr>
      </w:pPr>
      <w:r>
        <w:rPr>
          <w:rFonts w:ascii="宋体" w:cs="宋体"/>
          <w:kern w:val="0"/>
          <w:sz w:val="24"/>
          <w:szCs w:val="24"/>
        </w:rPr>
        <w:t>2.2</w:t>
      </w:r>
      <w:r>
        <w:rPr>
          <w:rFonts w:hint="eastAsia" w:ascii="宋体" w:cs="宋体"/>
          <w:kern w:val="0"/>
          <w:sz w:val="24"/>
          <w:szCs w:val="24"/>
        </w:rPr>
        <w:t>、招标方主动进行的澄清、修改：招标方无论出于何种原因，均可主动对招标文件中的相关事项，用补充文件等方式进行澄清和修改。</w:t>
      </w:r>
    </w:p>
    <w:p>
      <w:pPr>
        <w:widowControl w:val="0"/>
        <w:spacing w:line="400" w:lineRule="exact"/>
        <w:rPr>
          <w:rFonts w:ascii="宋体" w:hAnsi="Calibri" w:cs="Times New Roman"/>
          <w:kern w:val="0"/>
          <w:sz w:val="24"/>
          <w:szCs w:val="24"/>
        </w:rPr>
      </w:pPr>
      <w:r>
        <w:rPr>
          <w:rFonts w:ascii="宋体" w:cs="宋体"/>
          <w:kern w:val="0"/>
          <w:sz w:val="24"/>
          <w:szCs w:val="24"/>
        </w:rPr>
        <w:t>2.3</w:t>
      </w:r>
      <w:r>
        <w:rPr>
          <w:rFonts w:hint="eastAsia" w:ascii="宋体" w:cs="宋体"/>
          <w:kern w:val="0"/>
          <w:sz w:val="24"/>
          <w:szCs w:val="24"/>
        </w:rPr>
        <w:t>、招标文件澄清、答复、修改、补充的内容为招标文件的组成部分。当招标文件与招标文件的答复、澄清、修改、补充通知就同一内容的表述不一致时，以最后发出的书面文件为准。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2.4</w:t>
      </w:r>
      <w:r>
        <w:rPr>
          <w:rFonts w:hint="eastAsia" w:ascii="宋体" w:cs="宋体"/>
          <w:kern w:val="0"/>
          <w:sz w:val="24"/>
          <w:szCs w:val="24"/>
        </w:rPr>
        <w:t>为使投标人准备投标时有充分时间对招标文件的修改部分进行研究，采购代理机构可适当延长投标截止期。</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center"/>
        <w:rPr>
          <w:rFonts w:ascii="黑体" w:hAnsi="Courier New" w:eastAsia="黑体" w:cs="Times New Roman"/>
          <w:b/>
          <w:bCs/>
          <w:kern w:val="0"/>
          <w:sz w:val="30"/>
          <w:szCs w:val="30"/>
        </w:rPr>
      </w:pPr>
      <w:r>
        <w:rPr>
          <w:rFonts w:hint="eastAsia" w:ascii="黑体" w:hAnsi="Courier New" w:eastAsia="黑体" w:cs="黑体"/>
          <w:b/>
          <w:bCs/>
          <w:kern w:val="0"/>
          <w:sz w:val="30"/>
          <w:szCs w:val="30"/>
        </w:rPr>
        <w:t>三、投标文件的编制及投标</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1</w:t>
      </w:r>
      <w:r>
        <w:rPr>
          <w:rFonts w:hint="eastAsia" w:ascii="宋体" w:cs="宋体"/>
          <w:b/>
          <w:bCs/>
          <w:kern w:val="0"/>
          <w:sz w:val="24"/>
          <w:szCs w:val="24"/>
        </w:rPr>
        <w:t>、编制要求</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1.1</w:t>
      </w:r>
      <w:r>
        <w:rPr>
          <w:rFonts w:hint="eastAsia" w:ascii="宋体" w:cs="宋体"/>
          <w:kern w:val="0"/>
          <w:sz w:val="24"/>
          <w:szCs w:val="24"/>
        </w:rPr>
        <w:t>投标人应仔细阅读招标文件，了解招标文件的要求。在完全了解招标项目的技术要求和商务要求后，编制投标文件。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1.2</w:t>
      </w:r>
      <w:r>
        <w:rPr>
          <w:rFonts w:hint="eastAsia" w:ascii="宋体" w:cs="宋体"/>
          <w:kern w:val="0"/>
          <w:sz w:val="24"/>
          <w:szCs w:val="24"/>
        </w:rPr>
        <w:t>投标人必须按招标文件的要求提供相关资料，并对招标文件中提出的所有内容要求给予实质性响应，须保证投标文件的准确、真实、明确。</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2</w:t>
      </w:r>
      <w:r>
        <w:rPr>
          <w:rFonts w:hint="eastAsia" w:ascii="宋体" w:cs="宋体"/>
          <w:b/>
          <w:bCs/>
          <w:kern w:val="0"/>
          <w:sz w:val="24"/>
          <w:szCs w:val="24"/>
        </w:rPr>
        <w:t>、投标的语言及计量单位</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ascii="宋体" w:cs="宋体"/>
          <w:kern w:val="0"/>
          <w:sz w:val="24"/>
          <w:szCs w:val="24"/>
        </w:rPr>
        <w:t>2.</w:t>
      </w:r>
      <w:r>
        <w:rPr>
          <w:rFonts w:hint="eastAsia" w:ascii="宋体" w:cs="宋体"/>
          <w:kern w:val="0"/>
          <w:sz w:val="24"/>
          <w:szCs w:val="24"/>
        </w:rPr>
        <w:t>1.投标文件以及投标人与招标方就有关投标事宜的所有来往函电，均应以中文简体字书写。除签名、盖章、专用名称等特殊情形外，投标文件中以中文汉语以外的文字表述部分视同未提供。</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2.2投标计量单位，招标文件已有明确规定的，使用招标文件规定的计量单位；招标文件没有规定的，应采用中华人民共和国法定计量单位（货币单位：人民币元），否则将作无效标处理。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3</w:t>
      </w:r>
      <w:r>
        <w:rPr>
          <w:rFonts w:hint="eastAsia" w:ascii="宋体" w:cs="宋体"/>
          <w:b/>
          <w:bCs/>
          <w:kern w:val="0"/>
          <w:sz w:val="24"/>
          <w:szCs w:val="24"/>
        </w:rPr>
        <w:t>、投标文件构成</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3.1本项目所称投标文件系指电子投标文件或备份投标文件。投标文件需按照本招标文件和电子交易平台的要求制作、加密并递交。</w:t>
      </w:r>
    </w:p>
    <w:p>
      <w:pPr>
        <w:pStyle w:val="120"/>
        <w:spacing w:line="360" w:lineRule="auto"/>
        <w:rPr>
          <w:rFonts w:ascii="宋体" w:cs="宋体"/>
          <w:sz w:val="24"/>
          <w:szCs w:val="24"/>
        </w:rPr>
      </w:pPr>
      <w:r>
        <w:rPr>
          <w:rFonts w:hint="eastAsia" w:ascii="宋体" w:hAnsi="宋体" w:eastAsia="宋体" w:cs="宋体"/>
          <w:sz w:val="24"/>
          <w:szCs w:val="24"/>
        </w:rPr>
        <w:t>3.2电子投标文件每个标项由</w:t>
      </w:r>
      <w:r>
        <w:rPr>
          <w:rFonts w:hint="eastAsia" w:ascii="宋体" w:hAnsi="宋体" w:eastAsia="宋体" w:cs="宋体"/>
          <w:color w:val="FF0000"/>
          <w:sz w:val="24"/>
          <w:szCs w:val="24"/>
        </w:rPr>
        <w:t>资质文件、技术商务文件、投标报价文件</w:t>
      </w:r>
      <w:r>
        <w:rPr>
          <w:rFonts w:hint="eastAsia" w:ascii="宋体" w:hAnsi="宋体" w:eastAsia="宋体" w:cs="宋体"/>
          <w:sz w:val="24"/>
          <w:szCs w:val="24"/>
        </w:rPr>
        <w:t>三部份组成，具体详见“第五章  投标文件格式附件”。备份投标文件的组成和内容等同电子投标文件。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3.3法定代表人授权委托书、投标声明书、投标报价明细表必须按招标文件格式要求正确签署并加盖投标人公章。投标文件中所须加盖公章部分均采用CA签章。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4、投标文件的签署和包装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4.1.电子投标文件部分：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 投标人应根据本招标文件和电子交易平台规定的格式和顺序编制电子投标文件并进行关联定位。投标文件内容不完整、编排混乱、关联错误导致投标文件被误读、漏读或者查找不到相关内容的，所产生的后果由投标人承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（2）投标文件须由投标人在规定位置盖章并由法定代表人或法定代表人的授权委托人签署，投标人应写全称。</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（3）投标文件不得涂改，若有修改错漏处，须加盖投标人公章或者法定代表人或授权委托人签名或盖章。投标文件因字迹潦草或表达不清所引起的后果由投标人负责。</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4.2.投标人选择递交备份投标文件，备份投标文件另须满足以下条件：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 xml:space="preserve">（1）储存形式：U盘、DVD </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密封要求：外包装封面上应注明投标人名称、投标人地址、投标人联系方式（授权代表手机）、投标文件名称（备份投标文件）、投标项目名称、项目编号、标项及“开标时启封”字样，并加盖投标人公章。</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b/>
          <w:bCs/>
          <w:kern w:val="0"/>
          <w:sz w:val="24"/>
          <w:szCs w:val="24"/>
        </w:rPr>
      </w:pPr>
      <w:r>
        <w:rPr>
          <w:rFonts w:hint="eastAsia" w:ascii="宋体" w:cs="宋体"/>
          <w:b/>
          <w:bCs/>
          <w:kern w:val="0"/>
          <w:sz w:val="24"/>
          <w:szCs w:val="24"/>
        </w:rPr>
        <w:t>5、投标人资格的有关证明资料（资质文件）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5.1内容包括：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（1）投标承诺函(格式见附件）；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（2）投标声明书 (格式见附件，含重大违法记录声明)；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（3）法定代表人授权委托书(格式见附件)；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（4）提供有效的营业执照复印件并加盖公司公章；事业单位的，则提供有效的《事业单位法人证书》副本复印件并加盖单位公章；自然人的，则提供有效的身份证复印件并签字；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（5）招标代理服务费承诺书(格式见附件)；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（6）中小企业声明函(格式见附件)（如有）；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6</w:t>
      </w:r>
      <w:r>
        <w:rPr>
          <w:rFonts w:hint="eastAsia" w:ascii="宋体" w:cs="宋体"/>
          <w:b/>
          <w:bCs/>
          <w:kern w:val="0"/>
          <w:sz w:val="24"/>
          <w:szCs w:val="24"/>
        </w:rPr>
        <w:t>、拟供货物及服务合格性符合招标文件的有关资料（技术商务文件）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6.1</w:t>
      </w:r>
      <w:r>
        <w:rPr>
          <w:rFonts w:hint="eastAsia" w:ascii="宋体" w:cs="宋体"/>
          <w:kern w:val="0"/>
          <w:sz w:val="24"/>
          <w:szCs w:val="24"/>
        </w:rPr>
        <w:t>内容包括：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（1）评分对应表（格式见附件，主要用于评委对应评分内容）</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（2）投标项目明细清单（含货物、服务等）；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（3）技术响应表（格式见附件）；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（4）项目总体解决方案（可包含且不限于对项目总体要求的理解、项目总体架构及技术解决方案等）；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（5）项目实施计划（可包含且不限于保证工期的施工组织方案及人力资源安排、项目组人员清单等）；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（6）列入政府采购节能环保清单的证明资料（若有）；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（7）商务响应表（格式见附件）；</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（8）售后服务计划（可包含且不限于对用户故障的响应、处理、定期巡检、备品备件、常用耗材提供、驻点人员情况等）；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（9）技术培训计划（若有）；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（10）投标人履约能力（可包含且不限于技术力量情况、投标人各项能力证书）；</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（11）案例的业绩证明（投标人业绩情况一览表、合同复印件等）；</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（12）投标人认为需要的其他文件资料。</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ascii="宋体" w:cs="宋体"/>
          <w:kern w:val="0"/>
          <w:sz w:val="24"/>
          <w:szCs w:val="24"/>
        </w:rPr>
        <w:t>6.2</w:t>
      </w:r>
      <w:r>
        <w:rPr>
          <w:rFonts w:hint="eastAsia" w:ascii="宋体" w:cs="宋体"/>
          <w:kern w:val="0"/>
          <w:sz w:val="24"/>
          <w:szCs w:val="24"/>
        </w:rPr>
        <w:t>证明响应内容和服务与招标文件的要求相一致的资料，可以是文字资料、表格、图纸和数据，它包括：</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w:t>
      </w:r>
      <w:r>
        <w:rPr>
          <w:rFonts w:ascii="宋体" w:cs="宋体"/>
          <w:kern w:val="0"/>
          <w:sz w:val="24"/>
          <w:szCs w:val="24"/>
        </w:rPr>
        <w:t>1</w:t>
      </w:r>
      <w:r>
        <w:rPr>
          <w:rFonts w:hint="eastAsia" w:ascii="宋体" w:cs="宋体"/>
          <w:kern w:val="0"/>
          <w:sz w:val="24"/>
          <w:szCs w:val="24"/>
        </w:rPr>
        <w:t>）响应内容主要服务性质的详细说明。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w:t>
      </w:r>
      <w:r>
        <w:rPr>
          <w:rFonts w:ascii="宋体" w:cs="宋体"/>
          <w:kern w:val="0"/>
          <w:sz w:val="24"/>
          <w:szCs w:val="24"/>
        </w:rPr>
        <w:t>2</w:t>
      </w:r>
      <w:r>
        <w:rPr>
          <w:rFonts w:hint="eastAsia" w:ascii="宋体" w:cs="宋体"/>
          <w:kern w:val="0"/>
          <w:sz w:val="24"/>
          <w:szCs w:val="24"/>
        </w:rPr>
        <w:t>）对照招标文件服务与商务要求，逐条说明所提供服务已对采购人的要求做出了实质性响应，若有偏离的均应在规范偏离表中提出。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w:t>
      </w:r>
      <w:r>
        <w:rPr>
          <w:rFonts w:ascii="宋体" w:cs="宋体"/>
          <w:kern w:val="0"/>
          <w:sz w:val="24"/>
          <w:szCs w:val="24"/>
        </w:rPr>
        <w:t>3</w:t>
      </w:r>
      <w:r>
        <w:rPr>
          <w:rFonts w:hint="eastAsia" w:ascii="宋体" w:cs="宋体"/>
          <w:kern w:val="0"/>
          <w:sz w:val="24"/>
          <w:szCs w:val="24"/>
        </w:rPr>
        <w:t>）特别对于有具体要求的内容，投标人必须提供具体说明。</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kern w:val="0"/>
          <w:sz w:val="24"/>
          <w:szCs w:val="24"/>
        </w:rPr>
      </w:pPr>
      <w:r>
        <w:rPr>
          <w:rFonts w:hint="eastAsia" w:ascii="宋体" w:cs="宋体"/>
          <w:kern w:val="0"/>
          <w:sz w:val="24"/>
          <w:szCs w:val="24"/>
        </w:rPr>
        <w:t>投标人在阐述上述内容时应注意采购人和采购代理机构在服务与商务要求中指出的要求、规范仅起说明作用，并没有任何限制投标人在投标中可以选用替代规范，但这些替代要实质上相当于招标文件的要求，并使采购人满意。</w:t>
      </w:r>
    </w:p>
    <w:p>
      <w:pPr>
        <w:pStyle w:val="120"/>
        <w:spacing w:line="460" w:lineRule="exact"/>
        <w:rPr>
          <w:rFonts w:ascii="宋体" w:hAnsi="宋体" w:eastAsia="宋体" w:cs="宋体"/>
          <w:sz w:val="24"/>
          <w:szCs w:val="24"/>
        </w:rPr>
      </w:pPr>
      <w:r>
        <w:rPr>
          <w:rFonts w:hint="eastAsia" w:ascii="宋体" w:hAnsi="宋体" w:eastAsia="宋体" w:cs="宋体"/>
          <w:sz w:val="24"/>
          <w:szCs w:val="24"/>
        </w:rPr>
        <w:t>6.3编制的投标文件对招标文件中有关条款未提出异议的，均被视为接受和同意。6.4投标人应根据“政采云供应商项目采购-电子招投标操作指南”及本招标文件规定编制电子投标文件并进行评分条款对应的关联定位，以便评标委员会在评标时，点击评分项，可直接定位到该评分项内容。</w:t>
      </w:r>
    </w:p>
    <w:p>
      <w:pPr>
        <w:pStyle w:val="120"/>
        <w:spacing w:line="460" w:lineRule="exact"/>
        <w:rPr>
          <w:rFonts w:ascii="新宋体" w:hAnsi="新宋体" w:eastAsia="新宋体" w:cs="新宋体"/>
          <w:sz w:val="24"/>
          <w:szCs w:val="24"/>
        </w:rPr>
      </w:pPr>
      <w:r>
        <w:rPr>
          <w:rFonts w:hint="eastAsia" w:ascii="仿宋" w:hAnsi="仿宋" w:eastAsia="仿宋" w:cs="仿宋"/>
          <w:sz w:val="24"/>
          <w:szCs w:val="24"/>
        </w:rPr>
        <w:t>▲</w:t>
      </w:r>
      <w:r>
        <w:rPr>
          <w:rFonts w:hint="eastAsia" w:ascii="新宋体" w:hAnsi="新宋体" w:eastAsia="新宋体" w:cs="新宋体"/>
          <w:sz w:val="24"/>
          <w:szCs w:val="24"/>
        </w:rPr>
        <w:t>技术商务标中不能出现价格标内容，否则作无效标处理。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7</w:t>
      </w:r>
      <w:r>
        <w:rPr>
          <w:rFonts w:hint="eastAsia" w:ascii="宋体" w:cs="宋体"/>
          <w:b/>
          <w:bCs/>
          <w:kern w:val="0"/>
          <w:sz w:val="24"/>
          <w:szCs w:val="24"/>
        </w:rPr>
        <w:t>、投标书及投标报价（投标报价文件）</w:t>
      </w:r>
    </w:p>
    <w:p>
      <w:pPr>
        <w:widowControl w:val="0"/>
        <w:spacing w:line="400" w:lineRule="exact"/>
        <w:rPr>
          <w:rFonts w:ascii="宋体" w:hAnsi="Calibri" w:cs="Times New Roman"/>
          <w:sz w:val="24"/>
          <w:szCs w:val="24"/>
          <w:shd w:val="pct10" w:color="auto" w:fill="FFFFFF"/>
        </w:rPr>
      </w:pPr>
      <w:r>
        <w:rPr>
          <w:rFonts w:ascii="宋体" w:cs="宋体"/>
          <w:sz w:val="24"/>
          <w:szCs w:val="24"/>
        </w:rPr>
        <w:t>7.1</w:t>
      </w:r>
      <w:r>
        <w:rPr>
          <w:rFonts w:hint="eastAsia" w:ascii="宋体" w:cs="宋体"/>
          <w:sz w:val="24"/>
          <w:szCs w:val="24"/>
        </w:rPr>
        <w:t>投标人应在招标文件所附的投标报价一览表上写明提供货物的单价和总价。投标人对每种项目只允许有一个报价，采购人不接受任何有选择性的报价。</w:t>
      </w:r>
    </w:p>
    <w:p>
      <w:pPr>
        <w:widowControl w:val="0"/>
        <w:spacing w:line="400" w:lineRule="exact"/>
        <w:rPr>
          <w:rFonts w:ascii="宋体" w:hAnsi="Calibri" w:cs="Times New Roman"/>
          <w:sz w:val="24"/>
          <w:szCs w:val="24"/>
        </w:rPr>
      </w:pPr>
      <w:r>
        <w:rPr>
          <w:rFonts w:ascii="宋体" w:cs="宋体"/>
          <w:sz w:val="24"/>
          <w:szCs w:val="24"/>
        </w:rPr>
        <w:t>7.2</w:t>
      </w:r>
      <w:r>
        <w:rPr>
          <w:rFonts w:hint="eastAsia" w:ascii="宋体" w:cs="宋体"/>
          <w:sz w:val="24"/>
          <w:szCs w:val="24"/>
        </w:rPr>
        <w:t>投标报价以人民币为结算货币，须包括完成本次招标项目中的所有服务内容、连带内容、关联内容及合同中明示或暗示的所有一般风险、责任和义务等一切应由采购人支付的费用。</w:t>
      </w:r>
    </w:p>
    <w:p>
      <w:pPr>
        <w:widowControl w:val="0"/>
        <w:spacing w:line="400" w:lineRule="exact"/>
        <w:rPr>
          <w:rFonts w:ascii="宋体" w:hAnsi="Calibri" w:cs="Times New Roman"/>
          <w:sz w:val="24"/>
          <w:szCs w:val="24"/>
        </w:rPr>
      </w:pPr>
      <w:r>
        <w:rPr>
          <w:rFonts w:ascii="宋体" w:cs="宋体"/>
          <w:sz w:val="24"/>
          <w:szCs w:val="24"/>
        </w:rPr>
        <w:t>7.3</w:t>
      </w:r>
      <w:r>
        <w:rPr>
          <w:rFonts w:hint="eastAsia" w:ascii="宋体" w:cs="宋体"/>
          <w:sz w:val="24"/>
          <w:szCs w:val="24"/>
        </w:rPr>
        <w:t>填写报价一览表时应注意下列几点：</w:t>
      </w:r>
    </w:p>
    <w:p>
      <w:pPr>
        <w:widowControl w:val="0"/>
        <w:spacing w:line="400" w:lineRule="exact"/>
        <w:rPr>
          <w:rFonts w:ascii="宋体" w:cs="宋体"/>
          <w:sz w:val="24"/>
          <w:szCs w:val="24"/>
        </w:rPr>
      </w:pPr>
      <w:r>
        <w:rPr>
          <w:rFonts w:hint="eastAsia" w:ascii="宋体" w:cs="宋体"/>
          <w:sz w:val="24"/>
          <w:szCs w:val="24"/>
        </w:rPr>
        <w:t>（1）投标文件只允许有一个报价，投标报价应按招标文件中相关附表格式填报，该投标报价应与明细报价汇总相等，且不允许出现报价优惠等字样（明细出现“0”元，视同赠送，按无效标处理）。</w:t>
      </w:r>
    </w:p>
    <w:p>
      <w:pPr>
        <w:widowControl w:val="0"/>
        <w:spacing w:line="400" w:lineRule="exact"/>
        <w:rPr>
          <w:rFonts w:ascii="宋体" w:cs="宋体"/>
          <w:sz w:val="24"/>
          <w:szCs w:val="24"/>
        </w:rPr>
      </w:pPr>
      <w:r>
        <w:rPr>
          <w:rFonts w:hint="eastAsia" w:ascii="宋体" w:cs="宋体"/>
          <w:sz w:val="24"/>
          <w:szCs w:val="24"/>
        </w:rPr>
        <w:t>（2）投标报价应包含项目所需全部产品、服务，不得缺漏，是履行合同的最终价格（含货款、标准附件、备品备件、专用工具、包装、运输、装卸、保险、货到就位以及安装、调试、培训、保修等和费用，本项目不含车辆购置税）。</w:t>
      </w:r>
    </w:p>
    <w:p>
      <w:pPr>
        <w:widowControl w:val="0"/>
        <w:spacing w:line="400" w:lineRule="exact"/>
        <w:rPr>
          <w:rFonts w:ascii="宋体" w:cs="宋体"/>
          <w:sz w:val="24"/>
          <w:szCs w:val="24"/>
        </w:rPr>
      </w:pPr>
      <w:r>
        <w:rPr>
          <w:rFonts w:hint="eastAsia" w:ascii="宋体" w:cs="宋体"/>
          <w:sz w:val="24"/>
          <w:szCs w:val="24"/>
        </w:rPr>
        <w:t>（3）投标报价金额到元为止，如投标报价总价出现角、分，将被抹除。</w:t>
      </w:r>
    </w:p>
    <w:p>
      <w:pPr>
        <w:widowControl w:val="0"/>
        <w:spacing w:line="400" w:lineRule="exact"/>
        <w:rPr>
          <w:rFonts w:ascii="宋体" w:hAnsi="Calibri" w:cs="Times New Roman"/>
          <w:sz w:val="24"/>
          <w:szCs w:val="24"/>
        </w:rPr>
      </w:pPr>
      <w:r>
        <w:rPr>
          <w:rFonts w:ascii="宋体" w:cs="宋体"/>
          <w:sz w:val="24"/>
          <w:szCs w:val="24"/>
        </w:rPr>
        <w:t>7.5</w:t>
      </w:r>
      <w:r>
        <w:rPr>
          <w:rFonts w:hint="eastAsia" w:ascii="宋体" w:cs="宋体"/>
          <w:sz w:val="24"/>
          <w:szCs w:val="24"/>
        </w:rPr>
        <w:t>投标人应在“政府采购云平台”中填写报价，报价应与上传的报价文件一致，如有不一致，以上传的报价文件中报价为准。</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b/>
          <w:bCs/>
          <w:kern w:val="0"/>
          <w:sz w:val="24"/>
          <w:szCs w:val="24"/>
        </w:rPr>
      </w:pPr>
      <w:r>
        <w:rPr>
          <w:rFonts w:ascii="宋体" w:cs="宋体"/>
          <w:b/>
          <w:bCs/>
          <w:kern w:val="0"/>
          <w:sz w:val="24"/>
          <w:szCs w:val="24"/>
        </w:rPr>
        <w:t>8</w:t>
      </w:r>
      <w:r>
        <w:rPr>
          <w:rFonts w:hint="eastAsia" w:ascii="宋体" w:cs="宋体"/>
          <w:b/>
          <w:bCs/>
          <w:kern w:val="0"/>
          <w:sz w:val="24"/>
          <w:szCs w:val="24"/>
        </w:rPr>
        <w:t>、在线演示</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ascii="宋体" w:cs="宋体"/>
          <w:kern w:val="0"/>
          <w:sz w:val="24"/>
          <w:szCs w:val="24"/>
        </w:rPr>
        <w:t>8.1</w:t>
      </w:r>
      <w:r>
        <w:rPr>
          <w:rFonts w:hint="eastAsia" w:ascii="宋体" w:cs="宋体"/>
          <w:kern w:val="0"/>
          <w:sz w:val="24"/>
          <w:szCs w:val="24"/>
        </w:rPr>
        <w:t>如招标文件中设有演示环节，则供应商通过电子交易平台（政采云系统）嵌入的第三方视频会议系统在线向专家进行讲解、演示、答疑。</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cs="宋体"/>
          <w:kern w:val="0"/>
          <w:sz w:val="24"/>
          <w:szCs w:val="24"/>
        </w:rPr>
      </w:pPr>
      <w:r>
        <w:rPr>
          <w:rFonts w:hint="eastAsia" w:ascii="宋体" w:cs="宋体"/>
          <w:kern w:val="0"/>
          <w:sz w:val="24"/>
          <w:szCs w:val="24"/>
        </w:rPr>
        <w:t>8.2演示开始时间由评审小组在项目评审期间以在线短信或电话方式通知各投标人，故各投标人应在项目评审期间保持通讯工具的畅通并随时关注。</w:t>
      </w:r>
    </w:p>
    <w:p>
      <w:pPr>
        <w:pStyle w:val="9"/>
        <w:ind w:firstLine="0"/>
        <w:rPr>
          <w:color w:val="auto"/>
        </w:rPr>
      </w:pPr>
      <w:r>
        <w:rPr>
          <w:rFonts w:hint="eastAsia" w:cs="宋体"/>
          <w:color w:val="auto"/>
          <w:kern w:val="0"/>
          <w:sz w:val="24"/>
          <w:szCs w:val="24"/>
        </w:rPr>
        <w:t>8.3演示时供应商应自备电脑、摄像头、耳麦等演示所必备的硬件及演示内容。由于自身设备原因无法正常完成在线演示的，后果由投标人自行承担。</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left"/>
        <w:rPr>
          <w:rFonts w:ascii="宋体" w:hAnsi="Calibri" w:cs="Times New Roman"/>
          <w:b/>
          <w:bCs/>
          <w:kern w:val="0"/>
          <w:sz w:val="24"/>
          <w:szCs w:val="24"/>
        </w:rPr>
      </w:pPr>
      <w:r>
        <w:rPr>
          <w:rFonts w:ascii="宋体" w:cs="宋体"/>
          <w:b/>
          <w:bCs/>
          <w:kern w:val="0"/>
          <w:sz w:val="24"/>
          <w:szCs w:val="24"/>
        </w:rPr>
        <w:t>9</w:t>
      </w:r>
      <w:r>
        <w:rPr>
          <w:rFonts w:hint="eastAsia" w:ascii="宋体" w:cs="宋体"/>
          <w:b/>
          <w:bCs/>
          <w:kern w:val="0"/>
          <w:sz w:val="24"/>
          <w:szCs w:val="24"/>
        </w:rPr>
        <w:t>、投标有效期</w:t>
      </w:r>
    </w:p>
    <w:p>
      <w:pPr>
        <w:widowControl w:val="0"/>
        <w:snapToGrid w:val="0"/>
        <w:spacing w:line="500" w:lineRule="exact"/>
        <w:rPr>
          <w:rFonts w:ascii="宋体" w:cs="宋体"/>
          <w:kern w:val="0"/>
          <w:sz w:val="24"/>
          <w:szCs w:val="24"/>
        </w:rPr>
      </w:pPr>
      <w:r>
        <w:rPr>
          <w:rFonts w:ascii="宋体" w:cs="宋体"/>
          <w:kern w:val="0"/>
          <w:sz w:val="24"/>
          <w:szCs w:val="24"/>
        </w:rPr>
        <w:t>9.1</w:t>
      </w:r>
      <w:r>
        <w:rPr>
          <w:rFonts w:hint="eastAsia" w:ascii="宋体" w:cs="宋体"/>
          <w:kern w:val="0"/>
          <w:sz w:val="24"/>
          <w:szCs w:val="24"/>
        </w:rPr>
        <w:t>.自投标截止日起90天内投标文件应保持有效。有效期不足的投标文件将作无效标处理。</w:t>
      </w:r>
    </w:p>
    <w:p>
      <w:pPr>
        <w:widowControl w:val="0"/>
        <w:snapToGrid w:val="0"/>
        <w:spacing w:line="500" w:lineRule="exact"/>
        <w:rPr>
          <w:rFonts w:ascii="宋体" w:cs="宋体"/>
          <w:kern w:val="0"/>
          <w:sz w:val="24"/>
          <w:szCs w:val="24"/>
        </w:rPr>
      </w:pPr>
      <w:r>
        <w:rPr>
          <w:rFonts w:hint="eastAsia" w:ascii="宋体" w:cs="宋体"/>
          <w:kern w:val="0"/>
          <w:sz w:val="24"/>
          <w:szCs w:val="24"/>
        </w:rPr>
        <w:t>9.2.中标供应商的投标文件自开标之日起至合同履行完毕止均应保持有效。</w:t>
      </w:r>
    </w:p>
    <w:p>
      <w:pPr>
        <w:widowControl w:val="0"/>
        <w:snapToGrid w:val="0"/>
        <w:spacing w:line="500" w:lineRule="exact"/>
        <w:rPr>
          <w:rFonts w:ascii="宋体" w:hAnsi="Calibri" w:cs="Times New Roman"/>
          <w:b/>
          <w:bCs/>
          <w:kern w:val="0"/>
          <w:sz w:val="24"/>
          <w:szCs w:val="24"/>
        </w:rPr>
      </w:pPr>
      <w:r>
        <w:rPr>
          <w:rFonts w:ascii="宋体" w:cs="宋体"/>
          <w:b/>
          <w:bCs/>
          <w:kern w:val="0"/>
          <w:sz w:val="24"/>
          <w:szCs w:val="24"/>
        </w:rPr>
        <w:t>10.</w:t>
      </w:r>
      <w:r>
        <w:rPr>
          <w:rFonts w:hint="eastAsia" w:ascii="宋体" w:cs="宋体"/>
          <w:b/>
          <w:bCs/>
          <w:kern w:val="0"/>
          <w:sz w:val="24"/>
          <w:szCs w:val="24"/>
        </w:rPr>
        <w:t>投标文件的形式</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投标文件为电子投标文件。电子投标文件按政采云平台供应商项目采购</w:t>
      </w:r>
      <w:r>
        <w:rPr>
          <w:rFonts w:ascii="宋体" w:cs="宋体"/>
          <w:kern w:val="0"/>
          <w:sz w:val="24"/>
          <w:szCs w:val="24"/>
        </w:rPr>
        <w:t>-</w:t>
      </w:r>
      <w:r>
        <w:rPr>
          <w:rFonts w:hint="eastAsia" w:ascii="宋体" w:cs="宋体"/>
          <w:kern w:val="0"/>
          <w:sz w:val="24"/>
          <w:szCs w:val="24"/>
        </w:rPr>
        <w:t>电子招投标操作指南（网址：</w:t>
      </w:r>
      <w:r>
        <w:rPr>
          <w:rFonts w:ascii="宋体" w:cs="宋体"/>
          <w:kern w:val="0"/>
          <w:sz w:val="24"/>
          <w:szCs w:val="24"/>
        </w:rPr>
        <w:t>https://help.zcygov.cn/web/site_2/2018/12-28/2573.html</w:t>
      </w:r>
      <w:r>
        <w:rPr>
          <w:rFonts w:hint="eastAsia" w:ascii="宋体" w:cs="宋体"/>
          <w:kern w:val="0"/>
          <w:sz w:val="24"/>
          <w:szCs w:val="24"/>
        </w:rPr>
        <w:t>）及本招标文件要求制作、加密并递交。</w:t>
      </w:r>
    </w:p>
    <w:p>
      <w:pPr>
        <w:widowControl w:val="0"/>
        <w:snapToGrid w:val="0"/>
        <w:spacing w:line="500" w:lineRule="exact"/>
        <w:rPr>
          <w:rFonts w:ascii="宋体" w:cs="宋体"/>
          <w:b/>
          <w:bCs/>
          <w:kern w:val="0"/>
          <w:sz w:val="24"/>
          <w:szCs w:val="24"/>
        </w:rPr>
      </w:pPr>
      <w:r>
        <w:rPr>
          <w:rFonts w:hint="eastAsia" w:ascii="宋体" w:cs="宋体"/>
          <w:b/>
          <w:bCs/>
          <w:kern w:val="0"/>
          <w:sz w:val="24"/>
          <w:szCs w:val="24"/>
        </w:rPr>
        <w:t>11. 提交投标文件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11.1电子投标文件传输提交</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应当在投标截止时间前完成电子投标文件的传输提交至政府采购云平台（https://zfcg.czt.zj.gov.cn/），投标截止时间前未完成传输提交的，视为未提交投标文件。投标截止时间以后传输提交的投标文件，将被拒收。投标截止时间前可以补充、修改或者撤回电子投标文件。补充或者修改电子投标文件的，应当先行撤回原文件，补充、修改后重新传输递交。投标截止时间前未完成传输的，视为撤回投标文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11.2备份电子投标文件提交</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如认为需要，投标人可以选择递交备份投标文件，采用数据电文形式，以U盘或DVD光盘形式存储，并在投标截止时间前，通过邮寄方式，送达指定地点，逾期送达或未密封将被拒收。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收件人：王飞，联系方式：15306795918，收件地址：永康市世贸中心南2-1405，件时间上午08:30-11:30 下午：13:30-17:00。备份电子投标文件仅在在线解密异常处理时使用。投标文件已按时解密的，备份电子投标文件自动失效。</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11.3投标人提交的投标文件均不予退还。</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11.4 逾期传输的或逾期送达的或者未送达指定地点的投标文件，采购人将不予受理。</w:t>
      </w:r>
    </w:p>
    <w:p>
      <w:pPr>
        <w:widowControl w:val="0"/>
        <w:snapToGrid w:val="0"/>
        <w:spacing w:line="500" w:lineRule="exact"/>
        <w:rPr>
          <w:rFonts w:ascii="宋体" w:cs="宋体"/>
          <w:b/>
          <w:bCs/>
          <w:kern w:val="0"/>
          <w:sz w:val="24"/>
          <w:szCs w:val="24"/>
        </w:rPr>
      </w:pPr>
      <w:r>
        <w:rPr>
          <w:rFonts w:hint="eastAsia" w:ascii="宋体" w:cs="宋体"/>
          <w:b/>
          <w:bCs/>
          <w:kern w:val="0"/>
          <w:sz w:val="24"/>
          <w:szCs w:val="24"/>
        </w:rPr>
        <w:t>12.采购过程中的异常情况及处理措施</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采购过程中出现以下情形，导致电子交易平台无法正常运行，或者无法保证电子交易的公平、公正和安全时，招标方可中止电子交易活动：</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（1）电子交易平台发生故障而无法登录访问的；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（2）电子交易平台应用或数据库出现错误，不能进行正常操作的；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（3）电子交易平台发现严重安全漏洞，有潜在泄密危险的；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（4）病毒发作导致不能进行正常操作的；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（5）其他无法保证电子交易的公平、公正和安全的情况。</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出现前款规定情形，不影响采购公平、公正性的，招标方可以待上述情形消除后继续组织电子交易活动，也可以决定某些环节以纸质形式进行；影响或可能影响采购公平、公正性的，应当重新采购。</w:t>
      </w:r>
    </w:p>
    <w:p>
      <w:pPr>
        <w:widowControl w:val="0"/>
        <w:snapToGrid w:val="0"/>
        <w:spacing w:line="500" w:lineRule="exact"/>
        <w:ind w:firstLine="602" w:firstLineChars="200"/>
        <w:jc w:val="center"/>
        <w:rPr>
          <w:rFonts w:ascii="宋体" w:cs="宋体"/>
          <w:kern w:val="0"/>
          <w:sz w:val="24"/>
          <w:szCs w:val="24"/>
        </w:rPr>
      </w:pPr>
      <w:r>
        <w:rPr>
          <w:rFonts w:hint="eastAsia" w:ascii="黑体" w:hAnsi="Courier New" w:eastAsia="黑体" w:cs="黑体"/>
          <w:b/>
          <w:bCs/>
          <w:kern w:val="0"/>
          <w:sz w:val="30"/>
          <w:szCs w:val="30"/>
        </w:rPr>
        <w:t>四、开标、评标及合同签订</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jc w:val="left"/>
        <w:rPr>
          <w:rFonts w:ascii="宋体" w:hAnsi="Calibri" w:cs="Times New Roman"/>
          <w:color w:val="000000"/>
          <w:kern w:val="0"/>
          <w:sz w:val="24"/>
          <w:szCs w:val="24"/>
        </w:rPr>
      </w:pPr>
    </w:p>
    <w:p>
      <w:pPr>
        <w:widowControl w:val="0"/>
        <w:snapToGrid w:val="0"/>
        <w:spacing w:line="500" w:lineRule="exact"/>
        <w:jc w:val="left"/>
        <w:rPr>
          <w:rFonts w:ascii="宋体" w:cs="宋体"/>
          <w:b/>
          <w:bCs/>
          <w:kern w:val="0"/>
          <w:sz w:val="24"/>
          <w:szCs w:val="24"/>
          <w:lang w:val="zh-CN"/>
        </w:rPr>
      </w:pPr>
      <w:r>
        <w:rPr>
          <w:rFonts w:hint="eastAsia" w:ascii="宋体" w:cs="宋体"/>
          <w:b/>
          <w:bCs/>
          <w:kern w:val="0"/>
          <w:sz w:val="24"/>
          <w:szCs w:val="24"/>
          <w:lang w:val="zh-CN"/>
        </w:rPr>
        <w:t>1、开标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1.1、采购代理机构按招标文件规定的时间、地点通过“政府采购云平台”组织开标、开启投标文件，所有供应商均应当准时在线参加。投标供应商因未在线参加开标而导致投标文件无法按时解密等一切后果由供应商自行承担。</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1.2、开标流程</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向各投标供应商发出电子加密投标文件【开始解密】通知，由供应商按招标文件规定的时间内自行进行投标文件解密。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（2）投标文件解密结束，开启资格文件，进入资格审查环节，采购人代表或由采购人委托的评标委员会依法对投标供应商的资格进行审查，具体见本章节“投标供应商资格审查”相关规定。</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（3）开启资格审查通过的投标供应商的商务技术文件进入符合性审查及商务技术评审；</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符合性审查、商务技术评审结束后，开启符合性审查、商务技术评审有效投标供应商的报价文件。由评标委员会对报价文件的符合性等进行审查核实。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开标时，报价文件中投标报价出现前后不一致的，按照下列规定修正：</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（一）投标文件中开标一览表内容与投标文件中相应内容不一致的，以开标一览表为准；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（二）大写金额和小写金额不一致的，以大写金额为准；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（三）单价金额小数点或者百分比有明显错位的，以开标一览表的总价为准，并修改单价；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（四）总价金额与按单价汇总金额不一致的，以单价金额计算结果为准。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同时出现两种以上不一致的，按照前款规定的顺序修正。修正后的报价按照《政府采购货物和服务招标投标管理办法》（财政部令第87号）第五十一条第二款的规定经投标供应商确认后产生约束力，投标供应商不确认的，其投标无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（5）评审结束后，公布采购结果。</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特别说明：如遇“政府采购云平台”电子化开标或评审程序调整的，按调整后程序执行。</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2、投标供应商资格审查</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2.1、开标后，采购人代表或由采购人委托的评标委员会应当依法对投标供应商的资格进行审查，审查各投标供应商的资格是否满足招标文件的要求。采购人或采购人委托的评标委员会对投标供应商所提交的资格证明材料仅负审核的责任。如发现投标供应商所提交的资格证明材料不合法或与事实不符，采购人可取消其中标资格并追究投标供应商的法律责任。</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2.2、投标供应商提交的资格证明材料无法证明其符合招标文件规定的“投标供应商资格要求”的，采购人或采购人委托的评标委员会将对其作资格审查不通过处理（无效投标），并不再将其投标进行后续评审。</w:t>
      </w:r>
    </w:p>
    <w:p>
      <w:pPr>
        <w:widowControl w:val="0"/>
        <w:snapToGrid w:val="0"/>
        <w:spacing w:line="500" w:lineRule="exact"/>
        <w:jc w:val="left"/>
        <w:rPr>
          <w:rFonts w:ascii="宋体" w:cs="宋体"/>
          <w:kern w:val="0"/>
          <w:sz w:val="24"/>
          <w:szCs w:val="24"/>
        </w:rPr>
      </w:pPr>
      <w:r>
        <w:rPr>
          <w:rFonts w:hint="eastAsia" w:ascii="宋体" w:cs="宋体"/>
          <w:kern w:val="0"/>
          <w:sz w:val="24"/>
          <w:szCs w:val="24"/>
        </w:rPr>
        <w:t>2.3、单位负责人为同一人或者存在直接控股、管理关系的不同供应商参加同一合同项下的政府采购活动的，相关投标供应商均作资格无效处理。</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3、评标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3.1、评标由依法组建的评标委员会负责，并独立履行下列职责：</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1）审查投标文件是否符合招标文件要求，并作出评价；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2）要求投标供应商对投标文件有关事项作出解释或者澄清；</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3）按照招标文件确定的评标办法对各投标供应商进行排序，推荐中标候选供应商；综合得分最高的供应商推荐为中标供应商；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4）向采购人推荐综合得分第一名的供应商为中标供应商，并提交评审报告。如果第一名得分相同，以投标报价低的优先；投标报价也相同，则以政采云系统记录的投标文件解密时间排序在前面的优先。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5）向采购代理机构或者有关部门报告非法干预评标工作的行为。</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3.2、评标应当遵循下列工作程序：</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1）投标文件符合性审查。依据招标文件的规定，从投标文件的有效性、完整性和对招标文件的响应程度进行审查，以确定是否对招标文件的实质性要求作出响应。</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 2）澄清有关问题。对投标文件中含义不明确、同类问题表述不一致或者有明显文字和计算错误的内容，评标委员会可以要求投标供应商作出必要的澄清、说明或者纠正。投标供应商的澄清、说明或者补正不得超出投标文件的范围或者改变投标文件的实质性内容。</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3）比较与评价。按招标文件中规定的评标方法和标准，对资格审查和符合性审查合格的投标文件进行商务和技术评估，综合比较与评价。</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3.3、投标供应商存在下列情况之一的，投标无效：</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1）投标文件未按招标文件要求签署或CA电子签章的；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2）不具备招标文件中规定的资格要求的；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3）报价超过招标文件中规定的预算金额或者最高限价的；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4）供应商递交两份或两份以上内容不同的投标文件，未声明哪一份有效的；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5）对关键条文的偏离、保留或反对，例如关于付款方式、服务期、适用法律法规、标准、税费等其他内容；</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6）存在串标、抬标或弄虚作假情况的；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7）参与本项目的不同供应商单位负责人为同一人或者存在直接控股、管理关系的；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8）供应商的资格文件或者商务技术文件中出现投标报价的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9）投标供应商在线制作投标文件时《开标一览表》中填写的金额与解密后“电子加密投标文件”中《开标一览表》填写的金额不一致并拒绝按招标文件要求接受此调整的；</w:t>
      </w:r>
    </w:p>
    <w:p>
      <w:pPr>
        <w:widowControl w:val="0"/>
        <w:snapToGrid w:val="0"/>
        <w:spacing w:line="500" w:lineRule="exact"/>
        <w:ind w:firstLine="480" w:firstLineChars="200"/>
        <w:jc w:val="left"/>
        <w:rPr>
          <w:rFonts w:ascii="宋体" w:cs="宋体"/>
          <w:color w:val="000000"/>
          <w:kern w:val="0"/>
          <w:sz w:val="24"/>
          <w:szCs w:val="24"/>
        </w:rPr>
      </w:pPr>
      <w:r>
        <w:rPr>
          <w:rFonts w:hint="eastAsia" w:ascii="宋体" w:cs="宋体"/>
          <w:color w:val="000000"/>
          <w:kern w:val="0"/>
          <w:sz w:val="24"/>
          <w:szCs w:val="24"/>
        </w:rPr>
        <w:t>10）法律、法规和招标文件规定的其他无效情形（或出现重大偏差）。</w:t>
      </w:r>
    </w:p>
    <w:p>
      <w:pPr>
        <w:widowControl w:val="0"/>
        <w:snapToGrid w:val="0"/>
        <w:spacing w:line="500" w:lineRule="exact"/>
        <w:ind w:firstLine="480" w:firstLineChars="200"/>
        <w:jc w:val="left"/>
        <w:rPr>
          <w:rFonts w:ascii="宋体" w:cs="宋体"/>
          <w:color w:val="FF0000"/>
          <w:kern w:val="0"/>
          <w:sz w:val="24"/>
          <w:szCs w:val="24"/>
        </w:rPr>
      </w:pPr>
      <w:r>
        <w:rPr>
          <w:rFonts w:hint="eastAsia" w:ascii="宋体" w:cs="宋体"/>
          <w:color w:val="FF0000"/>
          <w:kern w:val="0"/>
          <w:sz w:val="24"/>
          <w:szCs w:val="24"/>
        </w:rPr>
        <w:t>11)不同投标人被政采云系统识别为硬件设备或 IP 地址相同。</w:t>
      </w:r>
    </w:p>
    <w:p>
      <w:pPr>
        <w:widowControl w:val="0"/>
        <w:snapToGrid w:val="0"/>
        <w:spacing w:line="500" w:lineRule="exact"/>
        <w:ind w:firstLine="480" w:firstLineChars="200"/>
        <w:jc w:val="left"/>
        <w:rPr>
          <w:rFonts w:ascii="宋体" w:cs="宋体"/>
          <w:color w:val="FF0000"/>
          <w:kern w:val="0"/>
          <w:sz w:val="24"/>
          <w:szCs w:val="24"/>
        </w:rPr>
      </w:pPr>
      <w:r>
        <w:rPr>
          <w:rFonts w:hint="eastAsia" w:ascii="宋体" w:cs="宋体"/>
          <w:color w:val="FF0000"/>
          <w:kern w:val="0"/>
          <w:sz w:val="24"/>
          <w:szCs w:val="24"/>
        </w:rPr>
        <w:t>12)不同投标人被政采云系统识别为投标行为异常，即两家投标人累计超过30次以上共同投标，且其中一家中标率为0%。</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3.4 评标委员会发现投标文件有下列情形之一的属于重大偏差(评标委员会按少数服从多数原则认定),按照无效投标处理：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1）未按招标文件要求编制或字迹模糊、辨认不清的投标文件；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2）除3.3条款以外，明显不符合招标文件要求的规格型号、质量标准，或者与招标文件中标“</w:t>
      </w:r>
      <w:r>
        <w:rPr>
          <w:rFonts w:hint="eastAsia" w:ascii="宋体" w:cs="宋体"/>
          <w:color w:val="FF0000"/>
          <w:sz w:val="24"/>
          <w:szCs w:val="24"/>
        </w:rPr>
        <w:t>▲</w:t>
      </w:r>
      <w:r>
        <w:rPr>
          <w:rFonts w:hint="eastAsia" w:ascii="宋体" w:cs="宋体"/>
          <w:kern w:val="0"/>
          <w:sz w:val="24"/>
          <w:szCs w:val="24"/>
        </w:rPr>
        <w:t xml:space="preserve">”的技术指标、主要功能项目发生实质性偏离的； </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3）除3.3条款以外，未提供或未如实提供投标货物的技术参数，或者投标文件标明的响应或偏离与事实不符或虚假投标的；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3.5、本次采购，如果投标供应商的投标报价均超出采购预算，本次招标做流标处理。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3.6、开启投标供应商报价文件后发现价格、数量有误，其投标价将按下述原则处理：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 任何有漏去一些小项货物或服务的投标将被视为其费用已包含在投标总价中，投标价格不予调整。</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 任何有多报一些小项工程或货物的投标其投标价不予调整，如果该投标供应商中标，则合同价格必须为核减掉多报的一些小项工程或货物后的价格。</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3）对于计算错误的其投标价不予调整，如果该投标供应商中标，如其投标价格计算错误导致多报者合同价格予以据实核减，少报者合同价格不予调整。</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4）对于计算错误，多报或漏报的一些小项工程或货物、服务的仅仅为非实质性重大偏差范围内的偏离，并经过评标委员会按少数服从多数原则认定为细微偏差，评审时其投标价不予调整。</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5）供应商不接受上述处理方式，将按无效投标处理。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3.7、评标委员会认为投标供应商的报价明显低于其他通过符合性审查投标供应商的报价，有可能影响产品质量或者不能诚信履约的，应当要求其在合理的时间内提供说明，必要时提交相关证明材料；投标供应商不能证明其报价合理性的，评标委员会应当将其作为无效投标处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3.8、评标过程中遇到特殊情况，由评标委员会遵循公开、公正原则，采取投票方式按照少数服从多数原则决定。</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3.9、实质上没有响应招标文件要求的投标将被拒绝。评标委员会不得通过询标使投标供应商修正或撤消不合要求的偏离从而使其投标成为实质上响应的投标。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3.10、评标委员会对投标文件的判定，只依据投标内容本身，不依靠开标后的任何外来证明。</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3.11、评标委员会在评标中，不得改变招标文件中规定的评标标准、方法和中标条件。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3.12、评标委员会对未中标的供应商不作解释。同时根据政府采购法实施条例第四十条规定，本项目不对各投标供应商公布详细的评审情况，不公布具体评标细则中小项得分。</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4、投标文件的澄清</w:t>
      </w:r>
    </w:p>
    <w:p>
      <w:pPr>
        <w:widowControl w:val="0"/>
        <w:snapToGrid w:val="0"/>
        <w:spacing w:line="500" w:lineRule="exact"/>
        <w:jc w:val="left"/>
        <w:rPr>
          <w:rFonts w:ascii="宋体" w:cs="宋体"/>
          <w:kern w:val="0"/>
          <w:sz w:val="24"/>
          <w:szCs w:val="24"/>
        </w:rPr>
      </w:pPr>
      <w:r>
        <w:rPr>
          <w:rFonts w:hint="eastAsia" w:ascii="宋体" w:cs="宋体"/>
          <w:kern w:val="0"/>
          <w:sz w:val="24"/>
          <w:szCs w:val="24"/>
        </w:rPr>
        <w:t>4.1、为有利于对投标文件的评审，必要时评标委员会可要求投标供应商对投标文件相关事宜进行澄清。评标委员会将通过“政府采购云平台”在线询标的形式要求投标供应商在规定的时间内作出必要的澄清、说明，供投标供应商澄清、说明时间不多于30分钟，投标供应商未在规定的时间内作出必要的澄清、说明可能导致对其不利的评定。</w:t>
      </w:r>
    </w:p>
    <w:p>
      <w:pPr>
        <w:widowControl w:val="0"/>
        <w:snapToGrid w:val="0"/>
        <w:spacing w:line="500" w:lineRule="exact"/>
        <w:jc w:val="left"/>
        <w:rPr>
          <w:rFonts w:ascii="宋体" w:cs="宋体"/>
          <w:kern w:val="0"/>
          <w:sz w:val="24"/>
          <w:szCs w:val="24"/>
        </w:rPr>
      </w:pPr>
      <w:r>
        <w:rPr>
          <w:rFonts w:hint="eastAsia" w:ascii="宋体" w:cs="宋体"/>
          <w:kern w:val="0"/>
          <w:sz w:val="24"/>
          <w:szCs w:val="24"/>
        </w:rPr>
        <w:t xml:space="preserve">4.2、投标供应商的澄清、说明应当通过“政府采购云平台”在线答复形式提交。投标供应商的澄清、说明不得超出投标文件的范围或者改变投标文件的实质性内容。 </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5、有下列情形之一的，视为投标供应商相互串通投标：</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5.1、不同投标供应商的投标文件由同一单位或者个人编制；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5.2、不同投标供应商委托同一单位或者个人办理投标事宜；</w:t>
      </w:r>
    </w:p>
    <w:p>
      <w:pPr>
        <w:widowControl w:val="0"/>
        <w:snapToGrid w:val="0"/>
        <w:spacing w:line="500" w:lineRule="exact"/>
        <w:jc w:val="left"/>
        <w:rPr>
          <w:rFonts w:ascii="宋体" w:cs="宋体"/>
          <w:kern w:val="0"/>
          <w:sz w:val="24"/>
          <w:szCs w:val="24"/>
        </w:rPr>
      </w:pPr>
      <w:r>
        <w:rPr>
          <w:rFonts w:hint="eastAsia" w:ascii="宋体" w:cs="宋体"/>
          <w:kern w:val="0"/>
          <w:sz w:val="24"/>
          <w:szCs w:val="24"/>
        </w:rPr>
        <w:t>5.3、不同投标供应商的投标文件载明的项目管理成员为同一人；</w:t>
      </w:r>
    </w:p>
    <w:p>
      <w:pPr>
        <w:widowControl w:val="0"/>
        <w:snapToGrid w:val="0"/>
        <w:spacing w:line="500" w:lineRule="exact"/>
        <w:jc w:val="left"/>
      </w:pPr>
      <w:r>
        <w:rPr>
          <w:rFonts w:hint="eastAsia" w:ascii="宋体" w:cs="宋体"/>
          <w:kern w:val="0"/>
          <w:sz w:val="24"/>
          <w:szCs w:val="24"/>
        </w:rPr>
        <w:t>5.4、不同投标供应商的投标文件异常一致或者投标报价呈规律性差异。</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6、串通投标处理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经评标委员会认定投标供应商进行串通投标的，评标委员会可以对相关投标供应商做出无效投标处理，并上报政府采购管理部门进行进一步处理。</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7、评标原则</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投标截止时或评审过程中有效投标供应商不足三家的，不予开标或评标。</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评标委员会按照招标文件的要求和条件对投标文件进行商务和技术评估，综合比较与评价。评标办法具体见本招标文件第五部分。</w:t>
      </w:r>
    </w:p>
    <w:p>
      <w:pPr>
        <w:widowControl w:val="0"/>
        <w:snapToGrid w:val="0"/>
        <w:spacing w:line="500" w:lineRule="exact"/>
        <w:jc w:val="left"/>
        <w:rPr>
          <w:rFonts w:ascii="宋体" w:cs="宋体"/>
          <w:b/>
          <w:bCs/>
          <w:kern w:val="0"/>
          <w:sz w:val="24"/>
          <w:szCs w:val="24"/>
        </w:rPr>
      </w:pPr>
      <w:r>
        <w:rPr>
          <w:rFonts w:hint="eastAsia" w:ascii="宋体" w:cs="宋体"/>
          <w:b/>
          <w:bCs/>
          <w:kern w:val="0"/>
          <w:sz w:val="24"/>
          <w:szCs w:val="24"/>
        </w:rPr>
        <w:t>8、可中止电子交易活动的情形</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采购过程中出现以下情形，导致电子交易平台无法正常运行，或者无法保证电子交易的公平、公正和安全时，采购组织机构可中止电子交易活动：</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8.1、电子交易平台发生故障而无法登录访问的；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8.2、电子交易平台应用或数据库出现错误，不能进行正常操作的；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8.3、电子交易平台发现严重安全漏洞，有潜在泄密危险的；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8.4、病毒发作导致不能进行正常操作的；</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8.5、其他无法保证电子交易的公平、公正和安全的情况。</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出现前款规定情形，不影响采购公平、公正性的，采购组织机构可以待上述情形消除后继续组织电子交易活动；影响或可能影响采购公平、公正性的，应当重新采购。</w:t>
      </w:r>
    </w:p>
    <w:p>
      <w:pPr>
        <w:widowControl w:val="0"/>
        <w:snapToGrid w:val="0"/>
        <w:spacing w:line="500" w:lineRule="exact"/>
        <w:jc w:val="left"/>
        <w:rPr>
          <w:rFonts w:ascii="宋体" w:cs="宋体"/>
          <w:b/>
          <w:bCs/>
          <w:kern w:val="0"/>
          <w:sz w:val="24"/>
          <w:szCs w:val="24"/>
        </w:rPr>
      </w:pPr>
      <w:bookmarkStart w:id="0" w:name="_Toc132125039"/>
      <w:bookmarkStart w:id="1" w:name="_Toc132126156"/>
      <w:bookmarkStart w:id="2" w:name="_Toc132123549"/>
      <w:bookmarkStart w:id="3" w:name="_Toc132123441"/>
      <w:bookmarkStart w:id="4" w:name="_Toc132122121"/>
      <w:bookmarkStart w:id="5" w:name="_Toc132125153"/>
      <w:bookmarkStart w:id="6" w:name="_Toc132125576"/>
      <w:bookmarkStart w:id="7" w:name="_Toc132122418"/>
      <w:bookmarkStart w:id="8" w:name="_Toc132123883"/>
      <w:bookmarkStart w:id="9" w:name="_Toc132124596"/>
      <w:bookmarkStart w:id="10" w:name="_Toc132123636"/>
      <w:bookmarkStart w:id="11" w:name="_Toc132123840"/>
      <w:bookmarkStart w:id="12" w:name="_Toc132125985"/>
      <w:bookmarkStart w:id="13" w:name="_Toc132655778"/>
      <w:bookmarkStart w:id="14" w:name="_Toc132125097"/>
      <w:r>
        <w:rPr>
          <w:rFonts w:hint="eastAsia" w:ascii="宋体" w:cs="宋体"/>
          <w:b/>
          <w:bCs/>
          <w:kern w:val="0"/>
          <w:sz w:val="24"/>
          <w:szCs w:val="24"/>
        </w:rPr>
        <w:t>9、授予合同</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p>
      <w:pPr>
        <w:widowControl w:val="0"/>
        <w:snapToGrid w:val="0"/>
        <w:spacing w:line="500" w:lineRule="exact"/>
        <w:jc w:val="left"/>
        <w:rPr>
          <w:rFonts w:ascii="宋体" w:cs="宋体"/>
          <w:kern w:val="0"/>
          <w:sz w:val="24"/>
          <w:szCs w:val="24"/>
        </w:rPr>
      </w:pPr>
      <w:r>
        <w:rPr>
          <w:rFonts w:hint="eastAsia" w:ascii="宋体" w:cs="宋体"/>
          <w:kern w:val="0"/>
          <w:sz w:val="24"/>
          <w:szCs w:val="24"/>
        </w:rPr>
        <w:t>9.1、中标条件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9.1.1投标文件基本符合招标文件要求，能够最大限度满足招标文件中规定的各项综合评价标准；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9.1.2投标供应商有很好的执行合同的能力；</w:t>
      </w:r>
    </w:p>
    <w:p>
      <w:pPr>
        <w:widowControl w:val="0"/>
        <w:snapToGrid w:val="0"/>
        <w:spacing w:line="500" w:lineRule="exact"/>
        <w:ind w:firstLine="480" w:firstLineChars="200"/>
        <w:jc w:val="left"/>
        <w:rPr>
          <w:rFonts w:ascii="宋体" w:cs="宋体"/>
          <w:kern w:val="0"/>
          <w:sz w:val="24"/>
          <w:szCs w:val="24"/>
        </w:rPr>
      </w:pPr>
      <w:bookmarkStart w:id="15" w:name="_Toc132122122"/>
      <w:bookmarkStart w:id="16" w:name="_Toc132122419"/>
      <w:r>
        <w:rPr>
          <w:rFonts w:hint="eastAsia" w:ascii="宋体" w:cs="宋体"/>
          <w:kern w:val="0"/>
          <w:sz w:val="24"/>
          <w:szCs w:val="24"/>
        </w:rPr>
        <w:t>9.1.3投标供应商能够提供质量技术、商务经济占综合优势的产品及服务</w:t>
      </w:r>
      <w:bookmarkEnd w:id="15"/>
      <w:bookmarkEnd w:id="16"/>
      <w:r>
        <w:rPr>
          <w:rFonts w:hint="eastAsia" w:ascii="宋体" w:cs="宋体"/>
          <w:kern w:val="0"/>
          <w:sz w:val="24"/>
          <w:szCs w:val="24"/>
        </w:rPr>
        <w:t>。</w:t>
      </w:r>
    </w:p>
    <w:p>
      <w:pPr>
        <w:widowControl w:val="0"/>
        <w:snapToGrid w:val="0"/>
        <w:spacing w:line="500" w:lineRule="exact"/>
        <w:jc w:val="left"/>
        <w:rPr>
          <w:rFonts w:ascii="宋体" w:cs="宋体"/>
          <w:kern w:val="0"/>
          <w:sz w:val="24"/>
          <w:szCs w:val="24"/>
        </w:rPr>
      </w:pPr>
      <w:bookmarkStart w:id="17" w:name="_Toc132122420"/>
      <w:bookmarkStart w:id="18" w:name="_Toc132122123"/>
      <w:r>
        <w:rPr>
          <w:rFonts w:hint="eastAsia" w:ascii="宋体" w:cs="宋体"/>
          <w:kern w:val="0"/>
          <w:sz w:val="24"/>
          <w:szCs w:val="24"/>
        </w:rPr>
        <w:t>9.2中标通知</w:t>
      </w:r>
      <w:bookmarkEnd w:id="17"/>
      <w:bookmarkEnd w:id="18"/>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9.2.1采购人依法确认中标供应商后，采购代理机构在浙江政府采购网公告中标结果，同时发出中标通知书，中标公告期限为1个工作日。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9.2.2中标通知书对采购单位和中标供应商具有法律约束力。中标通知书发出后，采购人改变中标结果或者中标供应商放弃中标的，应当承担法律责任。</w:t>
      </w:r>
    </w:p>
    <w:p>
      <w:pPr>
        <w:widowControl w:val="0"/>
        <w:snapToGrid w:val="0"/>
        <w:spacing w:line="500" w:lineRule="exact"/>
        <w:jc w:val="left"/>
        <w:rPr>
          <w:rFonts w:ascii="宋体" w:cs="宋体"/>
          <w:kern w:val="0"/>
          <w:sz w:val="24"/>
          <w:szCs w:val="24"/>
        </w:rPr>
      </w:pPr>
      <w:r>
        <w:rPr>
          <w:rFonts w:hint="eastAsia" w:ascii="宋体" w:cs="宋体"/>
          <w:kern w:val="0"/>
          <w:sz w:val="24"/>
          <w:szCs w:val="24"/>
        </w:rPr>
        <w:t>9.3中标无效</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9.3.1发现中标供应商资格无效或中标供应商放弃中标或拒绝与采购人签订合同的,按相关规定执行。</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9.3.2有《中华人民共和国政府采购法实施条例》第七十一条、第七十二条、第七十三条、第七十四条规定的违法行为之一，由政府采购监管部门依法处理。</w:t>
      </w:r>
    </w:p>
    <w:p>
      <w:pPr>
        <w:widowControl w:val="0"/>
        <w:snapToGrid w:val="0"/>
        <w:spacing w:line="500" w:lineRule="exact"/>
        <w:jc w:val="left"/>
        <w:rPr>
          <w:rFonts w:ascii="宋体" w:cs="宋体"/>
          <w:b/>
          <w:bCs/>
          <w:kern w:val="0"/>
          <w:sz w:val="24"/>
          <w:szCs w:val="24"/>
        </w:rPr>
      </w:pPr>
      <w:bookmarkStart w:id="19" w:name="_Toc132122421"/>
      <w:bookmarkStart w:id="20" w:name="_Toc132122124"/>
      <w:r>
        <w:rPr>
          <w:rFonts w:hint="eastAsia" w:ascii="宋体" w:cs="宋体"/>
          <w:b/>
          <w:bCs/>
          <w:kern w:val="0"/>
          <w:sz w:val="24"/>
          <w:szCs w:val="24"/>
        </w:rPr>
        <w:t>10、签订合同</w:t>
      </w:r>
      <w:bookmarkEnd w:id="19"/>
      <w:bookmarkEnd w:id="20"/>
    </w:p>
    <w:p>
      <w:pPr>
        <w:widowControl w:val="0"/>
        <w:snapToGrid w:val="0"/>
        <w:spacing w:line="500" w:lineRule="exact"/>
        <w:jc w:val="left"/>
        <w:rPr>
          <w:rFonts w:ascii="宋体" w:cs="宋体"/>
          <w:kern w:val="0"/>
          <w:sz w:val="24"/>
          <w:szCs w:val="24"/>
        </w:rPr>
      </w:pPr>
      <w:r>
        <w:rPr>
          <w:rFonts w:hint="eastAsia" w:ascii="宋体" w:cs="宋体"/>
          <w:kern w:val="0"/>
          <w:sz w:val="24"/>
          <w:szCs w:val="24"/>
        </w:rPr>
        <w:t xml:space="preserve"> 10.1中标供应商须主动联系采购人或采购代理机构领取中标通知书。中标供应商应当在中标通知书发出之日起20日历天内与采购人签订合同。中标供应商未经采购人许可，在规定时间内未与采购人签订合同，则视为拒签合同。</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10.2招标文件、中标供应商的投标文件及投标修改文件、评标过程中有关澄清文件及询标纪要和中标通知书均作为合同附件。</w:t>
      </w:r>
    </w:p>
    <w:p>
      <w:pPr>
        <w:widowControl w:val="0"/>
        <w:snapToGrid w:val="0"/>
        <w:spacing w:line="500" w:lineRule="exact"/>
        <w:jc w:val="left"/>
        <w:rPr>
          <w:rFonts w:ascii="宋体" w:cs="宋体"/>
          <w:kern w:val="0"/>
          <w:sz w:val="24"/>
          <w:szCs w:val="24"/>
        </w:rPr>
      </w:pPr>
      <w:r>
        <w:rPr>
          <w:rFonts w:hint="eastAsia" w:ascii="宋体" w:cs="宋体"/>
          <w:kern w:val="0"/>
          <w:sz w:val="24"/>
          <w:szCs w:val="24"/>
        </w:rPr>
        <w:t>10.3拒签合同的责任</w:t>
      </w:r>
    </w:p>
    <w:p>
      <w:pPr>
        <w:widowControl w:val="0"/>
        <w:snapToGrid w:val="0"/>
        <w:spacing w:line="500" w:lineRule="exact"/>
        <w:ind w:firstLine="480" w:firstLineChars="200"/>
        <w:jc w:val="left"/>
        <w:rPr>
          <w:rFonts w:ascii="Calibri" w:hAnsi="Calibri" w:cs="Times New Roman"/>
        </w:rPr>
      </w:pPr>
      <w:r>
        <w:rPr>
          <w:rFonts w:hint="eastAsia" w:ascii="宋体" w:cs="宋体"/>
          <w:kern w:val="0"/>
          <w:sz w:val="24"/>
          <w:szCs w:val="24"/>
        </w:rPr>
        <w:t xml:space="preserve"> 中标供应商在规定时间内借故否认已经承诺的条件、拒签合同者，以投标违约处理，并赔偿采购人由此造成的直接经济损失；采购人重新组织招标的，所需费用由原中标供应商承担。</w:t>
      </w:r>
      <w:r>
        <w:rPr>
          <w:rFonts w:ascii="Calibri" w:hAnsi="Calibri" w:cs="Times New Roman"/>
        </w:rPr>
        <w:br w:type="page"/>
      </w: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Calibri" w:hAnsi="Calibri" w:cs="Times New Roman"/>
        </w:rPr>
      </w:pPr>
    </w:p>
    <w:p>
      <w:pPr>
        <w:widowControl w:val="0"/>
        <w:spacing w:line="780" w:lineRule="exact"/>
        <w:jc w:val="center"/>
        <w:rPr>
          <w:rFonts w:ascii="黑体" w:hAnsi="Calibri" w:eastAsia="黑体" w:cs="Times New Roman"/>
          <w:b/>
          <w:bCs/>
          <w:sz w:val="52"/>
          <w:szCs w:val="52"/>
        </w:rPr>
      </w:pPr>
      <w:r>
        <w:rPr>
          <w:rFonts w:hint="eastAsia" w:ascii="黑体" w:hAnsi="Calibri" w:eastAsia="黑体" w:cs="黑体"/>
          <w:b/>
          <w:bCs/>
          <w:sz w:val="52"/>
          <w:szCs w:val="52"/>
        </w:rPr>
        <w:t>第三章</w:t>
      </w:r>
    </w:p>
    <w:p>
      <w:pPr>
        <w:widowControl w:val="0"/>
        <w:snapToGrid w:val="0"/>
        <w:spacing w:line="500" w:lineRule="exact"/>
        <w:jc w:val="center"/>
        <w:rPr>
          <w:rFonts w:ascii="宋体" w:cs="宋体"/>
          <w:kern w:val="0"/>
          <w:sz w:val="24"/>
          <w:szCs w:val="24"/>
        </w:rPr>
      </w:pPr>
      <w:r>
        <w:rPr>
          <w:rFonts w:hint="eastAsia" w:ascii="黑体" w:hAnsi="Calibri" w:eastAsia="黑体" w:cs="黑体"/>
          <w:b/>
          <w:bCs/>
          <w:sz w:val="52"/>
          <w:szCs w:val="52"/>
        </w:rPr>
        <w:t>评标定标办法</w:t>
      </w:r>
      <w:r>
        <w:rPr>
          <w:rFonts w:ascii="Calibri" w:hAnsi="Calibri" w:cs="Times New Roman"/>
        </w:rPr>
        <w:br w:type="page"/>
      </w:r>
      <w:bookmarkStart w:id="21" w:name="_Toc31816"/>
      <w:r>
        <w:rPr>
          <w:rFonts w:hint="eastAsia" w:ascii="宋体" w:cs="宋体"/>
          <w:b/>
          <w:bCs/>
          <w:kern w:val="0"/>
          <w:sz w:val="32"/>
          <w:szCs w:val="32"/>
        </w:rPr>
        <w:t>一、总则</w:t>
      </w:r>
      <w:bookmarkEnd w:id="21"/>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本评标办法遵照《中华人民共和国政府采购法》等政府采购有关规定，并结合本项目的具体情况制定。</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pPr>
        <w:widowControl w:val="0"/>
        <w:snapToGrid w:val="0"/>
        <w:spacing w:line="500" w:lineRule="exact"/>
        <w:jc w:val="left"/>
        <w:rPr>
          <w:rFonts w:ascii="宋体" w:cs="宋体"/>
          <w:kern w:val="0"/>
          <w:sz w:val="24"/>
          <w:szCs w:val="24"/>
        </w:rPr>
      </w:pPr>
      <w:r>
        <w:rPr>
          <w:rFonts w:hint="eastAsia" w:ascii="宋体" w:cs="宋体"/>
          <w:kern w:val="0"/>
          <w:sz w:val="24"/>
          <w:szCs w:val="24"/>
        </w:rPr>
        <w:t>评标委员会成员对需要共同认定的事项存在争议的，应当按照少数服从多数的原则作出结论。持不同意见的评标委员会成员应当在评标报告上签署不同意见及理由，否则视为同意评标报告。</w:t>
      </w:r>
    </w:p>
    <w:p>
      <w:pPr>
        <w:widowControl w:val="0"/>
        <w:snapToGrid w:val="0"/>
        <w:spacing w:line="500" w:lineRule="exact"/>
        <w:jc w:val="left"/>
        <w:rPr>
          <w:rFonts w:ascii="宋体" w:cs="宋体"/>
          <w:b/>
          <w:bCs/>
          <w:kern w:val="0"/>
          <w:sz w:val="32"/>
          <w:szCs w:val="32"/>
        </w:rPr>
      </w:pPr>
      <w:bookmarkStart w:id="22" w:name="_Toc20091"/>
      <w:r>
        <w:rPr>
          <w:rFonts w:hint="eastAsia" w:ascii="宋体" w:cs="宋体"/>
          <w:b/>
          <w:bCs/>
          <w:kern w:val="0"/>
          <w:sz w:val="32"/>
          <w:szCs w:val="32"/>
        </w:rPr>
        <w:t>二、评标组织</w:t>
      </w:r>
      <w:bookmarkEnd w:id="22"/>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评标工作由采购人依法组建的评标委员会负责。评标委员会负责审标、询标、评审等工作，并向采购人提出评审意见和评标报告。</w:t>
      </w:r>
    </w:p>
    <w:p>
      <w:pPr>
        <w:widowControl w:val="0"/>
        <w:snapToGrid w:val="0"/>
        <w:spacing w:line="500" w:lineRule="exact"/>
        <w:jc w:val="left"/>
        <w:rPr>
          <w:rFonts w:ascii="宋体" w:cs="宋体"/>
          <w:b/>
          <w:bCs/>
          <w:kern w:val="0"/>
          <w:sz w:val="32"/>
          <w:szCs w:val="32"/>
        </w:rPr>
      </w:pPr>
      <w:bookmarkStart w:id="23" w:name="_Toc22667"/>
      <w:r>
        <w:rPr>
          <w:rFonts w:hint="eastAsia" w:ascii="宋体" w:cs="宋体"/>
          <w:b/>
          <w:bCs/>
          <w:kern w:val="0"/>
          <w:sz w:val="32"/>
          <w:szCs w:val="32"/>
        </w:rPr>
        <w:t>三、符合性审查</w:t>
      </w:r>
      <w:bookmarkEnd w:id="23"/>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评标委员会对投标文件依据招标文件规定进行符合性审查。符合性审查条件详见《第二章  投标人须知》</w:t>
      </w:r>
    </w:p>
    <w:p>
      <w:pPr>
        <w:widowControl w:val="0"/>
        <w:snapToGrid w:val="0"/>
        <w:spacing w:line="500" w:lineRule="exact"/>
        <w:jc w:val="left"/>
        <w:rPr>
          <w:rFonts w:ascii="宋体" w:cs="宋体"/>
          <w:b/>
          <w:bCs/>
          <w:kern w:val="0"/>
          <w:sz w:val="32"/>
          <w:szCs w:val="32"/>
        </w:rPr>
      </w:pPr>
      <w:bookmarkStart w:id="24" w:name="_Toc9937"/>
      <w:r>
        <w:rPr>
          <w:rFonts w:hint="eastAsia" w:ascii="宋体" w:cs="宋体"/>
          <w:b/>
          <w:bCs/>
          <w:kern w:val="0"/>
          <w:sz w:val="32"/>
          <w:szCs w:val="32"/>
        </w:rPr>
        <w:t>四、投标文件的澄清、说明或者补正</w:t>
      </w:r>
      <w:bookmarkEnd w:id="24"/>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投标人根据评标委员会要求对投标文件进行澄清、说明或者补正。评标期间，投标人应随时随地答复评标委员会的询标。程序要求详见《第二章  投标人须知》</w:t>
      </w:r>
    </w:p>
    <w:p>
      <w:pPr>
        <w:widowControl w:val="0"/>
        <w:snapToGrid w:val="0"/>
        <w:spacing w:line="500" w:lineRule="exact"/>
        <w:jc w:val="left"/>
        <w:rPr>
          <w:rFonts w:ascii="宋体" w:cs="宋体"/>
          <w:kern w:val="0"/>
          <w:sz w:val="24"/>
          <w:szCs w:val="24"/>
        </w:rPr>
      </w:pPr>
      <w:bookmarkStart w:id="25" w:name="_Toc27471"/>
      <w:r>
        <w:rPr>
          <w:rFonts w:hint="eastAsia" w:ascii="宋体" w:cs="宋体"/>
          <w:b/>
          <w:bCs/>
          <w:kern w:val="0"/>
          <w:sz w:val="32"/>
          <w:szCs w:val="32"/>
        </w:rPr>
        <w:t>五、评标细则</w:t>
      </w:r>
      <w:bookmarkEnd w:id="25"/>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1、本项目采用综合评分法（总分100分）。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评标委员会根据本评标办法进行评审，对符合性审查合格的投标文件进行商务和技术评估，综合比较与评价。每个投标人最终得分=商务技术分+价格分。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投票表决方式确定，其他同品牌投标人不作为中标候选人。</w:t>
      </w:r>
    </w:p>
    <w:p>
      <w:pPr>
        <w:widowControl w:val="0"/>
        <w:spacing w:line="420" w:lineRule="exact"/>
        <w:ind w:firstLine="480" w:firstLineChars="200"/>
        <w:rPr>
          <w:rFonts w:ascii="宋体" w:cs="宋体"/>
          <w:color w:val="FF0000"/>
          <w:kern w:val="0"/>
          <w:sz w:val="24"/>
          <w:szCs w:val="24"/>
        </w:rPr>
      </w:pPr>
      <w:r>
        <w:rPr>
          <w:rFonts w:hint="eastAsia" w:ascii="宋体" w:cs="宋体"/>
          <w:kern w:val="0"/>
          <w:sz w:val="24"/>
          <w:szCs w:val="24"/>
        </w:rPr>
        <w:t>本项目为非单一产品采购项目，采购人根据采购项目技术构成、产品价格比重等合理确定</w:t>
      </w:r>
      <w:r>
        <w:rPr>
          <w:rFonts w:hint="eastAsia" w:ascii="宋体" w:cs="宋体"/>
          <w:color w:val="FF0000"/>
          <w:kern w:val="0"/>
          <w:sz w:val="24"/>
          <w:szCs w:val="24"/>
        </w:rPr>
        <w:t>核心产品为：枪机摄像头。</w:t>
      </w:r>
    </w:p>
    <w:p>
      <w:pPr>
        <w:widowControl w:val="0"/>
        <w:spacing w:line="420" w:lineRule="exact"/>
        <w:ind w:firstLine="480" w:firstLineChars="200"/>
        <w:rPr>
          <w:rFonts w:ascii="宋体" w:cs="宋体"/>
          <w:color w:val="000000"/>
          <w:sz w:val="24"/>
          <w:szCs w:val="24"/>
        </w:rPr>
      </w:pPr>
      <w:r>
        <w:rPr>
          <w:rFonts w:hint="eastAsia" w:ascii="宋体" w:cs="宋体"/>
          <w:kern w:val="0"/>
          <w:sz w:val="24"/>
          <w:szCs w:val="24"/>
        </w:rPr>
        <w:t>多家投标人提供的核心产品品牌均相同的，按前款规定处理。</w:t>
      </w:r>
      <w:r>
        <w:rPr>
          <w:rFonts w:hint="eastAsia" w:ascii="宋体" w:cs="宋体"/>
          <w:color w:val="000000"/>
          <w:sz w:val="24"/>
          <w:szCs w:val="24"/>
        </w:rPr>
        <w:t>评标委员会认为投标人的报价明显低于其他通过符合性审查投标人的报价，有可能影响产品质量或者不能诚信履约的，应当要求其在评标现场合理的时间内提供书面说明，必要时提交相关材料;投标人不能说明其报价合理性的，评标委员会应当将其作为无效投标处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2、评审时，评标委员会各成员应当独立对每个有效响应的文件进行评价、打分，然后汇总每个投标人每项评分因素的得分。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3、对投标人的价格分等客观评分项的评分应当一致，对其他需要借助专业知识评判的主观评分项，应当严格按照评分细则公正评分。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4、评标结果按评审后得分由高到低顺序排列。如果第一名得分相同，以投标报价低的优先；投标报价也相同，则以政采云系统记录的投标文件解密时间排序在前面的优先。并编写评标报告。</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5、评分因素及分值范围</w:t>
      </w:r>
    </w:p>
    <w:p>
      <w:pPr>
        <w:widowControl w:val="0"/>
        <w:snapToGrid w:val="0"/>
        <w:spacing w:line="500" w:lineRule="exact"/>
        <w:ind w:firstLine="480" w:firstLineChars="200"/>
        <w:jc w:val="left"/>
        <w:outlineLvl w:val="1"/>
        <w:rPr>
          <w:rFonts w:ascii="宋体" w:cs="宋体"/>
          <w:kern w:val="0"/>
          <w:sz w:val="24"/>
          <w:szCs w:val="24"/>
        </w:rPr>
      </w:pPr>
      <w:bookmarkStart w:id="26" w:name="_Toc345320402"/>
      <w:r>
        <w:rPr>
          <w:rFonts w:hint="eastAsia" w:ascii="宋体" w:cs="宋体"/>
          <w:kern w:val="0"/>
          <w:sz w:val="24"/>
          <w:szCs w:val="24"/>
        </w:rPr>
        <w:t>5.1 商务技术分</w:t>
      </w:r>
      <w:bookmarkEnd w:id="26"/>
      <w:r>
        <w:rPr>
          <w:rFonts w:hint="eastAsia" w:ascii="宋体" w:cs="宋体"/>
          <w:kern w:val="0"/>
          <w:sz w:val="24"/>
          <w:szCs w:val="24"/>
        </w:rPr>
        <w:t>（70分）</w:t>
      </w:r>
    </w:p>
    <w:p>
      <w:pPr>
        <w:widowControl w:val="0"/>
        <w:snapToGrid w:val="0"/>
        <w:spacing w:line="500" w:lineRule="exact"/>
        <w:jc w:val="left"/>
        <w:rPr>
          <w:rFonts w:ascii="宋体" w:cs="宋体"/>
          <w:kern w:val="0"/>
          <w:sz w:val="24"/>
          <w:szCs w:val="24"/>
        </w:rPr>
      </w:pPr>
      <w:r>
        <w:rPr>
          <w:rFonts w:hint="eastAsia" w:ascii="宋体" w:cs="宋体"/>
          <w:kern w:val="0"/>
          <w:sz w:val="24"/>
          <w:szCs w:val="24"/>
        </w:rPr>
        <w:t>该评分分值由评标委员会根据评审情况在分值范围内独立评分（具体分值设定详见表格），小数点后最多保留一位小数。每个投标人的最终得分为评标委员会打分汇总后的算术平均值（小数点后保留二位小数，第三位四舍五入）。</w:t>
      </w:r>
    </w:p>
    <w:p>
      <w:pPr>
        <w:pStyle w:val="19"/>
        <w:ind w:firstLine="480"/>
        <w:rPr>
          <w:rFonts w:ascii="宋体" w:cs="宋体"/>
          <w:kern w:val="0"/>
          <w:sz w:val="24"/>
          <w:szCs w:val="24"/>
        </w:rPr>
      </w:pPr>
      <w:r>
        <w:rPr>
          <w:rFonts w:hint="eastAsia" w:ascii="宋体" w:cs="宋体"/>
          <w:kern w:val="0"/>
          <w:sz w:val="24"/>
          <w:szCs w:val="24"/>
        </w:rPr>
        <w:t>资信、技术分（70分）</w:t>
      </w:r>
    </w:p>
    <w:tbl>
      <w:tblPr>
        <w:tblStyle w:val="36"/>
        <w:tblW w:w="89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434"/>
        <w:gridCol w:w="5981"/>
        <w:gridCol w:w="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812" w:type="dxa"/>
            <w:vAlign w:val="center"/>
          </w:tcPr>
          <w:p>
            <w:pPr>
              <w:widowControl w:val="0"/>
              <w:adjustRightInd w:val="0"/>
              <w:snapToGrid w:val="0"/>
              <w:spacing w:line="320" w:lineRule="exact"/>
              <w:jc w:val="center"/>
              <w:rPr>
                <w:rFonts w:ascii="宋体" w:cs="宋体"/>
                <w:b/>
                <w:bCs/>
              </w:rPr>
            </w:pPr>
            <w:r>
              <w:rPr>
                <w:rFonts w:hint="eastAsia" w:ascii="宋体" w:cs="宋体"/>
                <w:b/>
                <w:bCs/>
              </w:rPr>
              <w:t>序号</w:t>
            </w:r>
          </w:p>
        </w:tc>
        <w:tc>
          <w:tcPr>
            <w:tcW w:w="1434" w:type="dxa"/>
            <w:vAlign w:val="center"/>
          </w:tcPr>
          <w:p>
            <w:pPr>
              <w:widowControl w:val="0"/>
              <w:adjustRightInd w:val="0"/>
              <w:snapToGrid w:val="0"/>
              <w:spacing w:line="320" w:lineRule="exact"/>
              <w:jc w:val="center"/>
              <w:rPr>
                <w:rFonts w:ascii="宋体" w:cs="宋体"/>
                <w:b/>
                <w:bCs/>
              </w:rPr>
            </w:pPr>
            <w:r>
              <w:rPr>
                <w:rFonts w:hint="eastAsia" w:ascii="宋体" w:cs="宋体"/>
                <w:b/>
                <w:bCs/>
              </w:rPr>
              <w:t>评审内容</w:t>
            </w:r>
          </w:p>
        </w:tc>
        <w:tc>
          <w:tcPr>
            <w:tcW w:w="5981" w:type="dxa"/>
            <w:vAlign w:val="center"/>
          </w:tcPr>
          <w:p>
            <w:pPr>
              <w:widowControl w:val="0"/>
              <w:adjustRightInd w:val="0"/>
              <w:snapToGrid w:val="0"/>
              <w:spacing w:line="320" w:lineRule="exact"/>
              <w:jc w:val="center"/>
              <w:rPr>
                <w:rFonts w:ascii="宋体" w:cs="宋体"/>
                <w:b/>
                <w:bCs/>
              </w:rPr>
            </w:pPr>
            <w:r>
              <w:rPr>
                <w:rFonts w:hint="eastAsia" w:ascii="宋体" w:cs="宋体"/>
                <w:b/>
                <w:bCs/>
              </w:rPr>
              <w:t>评分标准</w:t>
            </w:r>
          </w:p>
        </w:tc>
        <w:tc>
          <w:tcPr>
            <w:tcW w:w="740" w:type="dxa"/>
            <w:vAlign w:val="center"/>
          </w:tcPr>
          <w:p>
            <w:pPr>
              <w:widowControl w:val="0"/>
              <w:adjustRightInd w:val="0"/>
              <w:snapToGrid w:val="0"/>
              <w:spacing w:line="320" w:lineRule="exact"/>
              <w:jc w:val="center"/>
              <w:rPr>
                <w:rFonts w:ascii="宋体" w:cs="宋体"/>
                <w:b/>
                <w:bCs/>
              </w:rPr>
            </w:pPr>
            <w:r>
              <w:rPr>
                <w:rFonts w:hint="eastAsia" w:ascii="宋体" w:cs="宋体"/>
                <w:b/>
                <w:bCs/>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jc w:val="center"/>
        </w:trPr>
        <w:tc>
          <w:tcPr>
            <w:tcW w:w="812" w:type="dxa"/>
            <w:vAlign w:val="center"/>
          </w:tcPr>
          <w:p>
            <w:pPr>
              <w:widowControl w:val="0"/>
              <w:spacing w:line="320" w:lineRule="exact"/>
              <w:jc w:val="center"/>
              <w:rPr>
                <w:rFonts w:ascii="宋体" w:cs="宋体"/>
              </w:rPr>
            </w:pPr>
            <w:r>
              <w:rPr>
                <w:rFonts w:hint="eastAsia" w:ascii="宋体" w:cs="宋体"/>
              </w:rPr>
              <w:t>1</w:t>
            </w:r>
          </w:p>
        </w:tc>
        <w:tc>
          <w:tcPr>
            <w:tcW w:w="1434" w:type="dxa"/>
            <w:vAlign w:val="center"/>
          </w:tcPr>
          <w:p>
            <w:pPr>
              <w:spacing w:line="360" w:lineRule="exact"/>
              <w:rPr>
                <w:rFonts w:ascii="宋体" w:cs="宋体"/>
              </w:rPr>
            </w:pPr>
            <w:r>
              <w:rPr>
                <w:rFonts w:hint="eastAsia" w:ascii="新宋体" w:hAnsi="新宋体" w:eastAsia="新宋体" w:cs="新宋体"/>
                <w:color w:val="000000"/>
                <w:kern w:val="0"/>
                <w:lang w:bidi="ar"/>
              </w:rPr>
              <w:t>类似项目业绩</w:t>
            </w:r>
          </w:p>
        </w:tc>
        <w:tc>
          <w:tcPr>
            <w:tcW w:w="5981" w:type="dxa"/>
            <w:vAlign w:val="center"/>
          </w:tcPr>
          <w:p>
            <w:pPr>
              <w:jc w:val="left"/>
              <w:rPr>
                <w:rFonts w:ascii="宋体" w:cs="宋体"/>
              </w:rPr>
            </w:pPr>
            <w:r>
              <w:rPr>
                <w:rFonts w:ascii="Times New Roman" w:hAnsi="Times New Roman" w:cs="Times New Roman"/>
                <w:kern w:val="0"/>
              </w:rPr>
              <w:t>根据投标人提供201</w:t>
            </w:r>
            <w:r>
              <w:rPr>
                <w:rFonts w:hint="eastAsia" w:ascii="Times New Roman" w:hAnsi="Times New Roman" w:cs="Times New Roman"/>
                <w:kern w:val="0"/>
              </w:rPr>
              <w:t>9</w:t>
            </w:r>
            <w:r>
              <w:rPr>
                <w:rFonts w:ascii="Times New Roman" w:hAnsi="Times New Roman" w:cs="Times New Roman"/>
                <w:kern w:val="0"/>
              </w:rPr>
              <w:t>年01月至今的业绩惰况，对业绩情况与本项目采购需求的匹配程度、业绩数量。</w:t>
            </w:r>
            <w:r>
              <w:rPr>
                <w:rFonts w:hint="eastAsia" w:ascii="Times New Roman" w:hAnsi="Times New Roman" w:cs="Times New Roman"/>
                <w:kern w:val="0"/>
              </w:rPr>
              <w:t>提供2个业绩得1分，4个得2分，6个</w:t>
            </w:r>
            <w:r>
              <w:rPr>
                <w:rFonts w:hint="eastAsia" w:ascii="Times New Roman" w:hAnsi="Times New Roman" w:cs="Times New Roman"/>
                <w:kern w:val="0"/>
                <w:lang w:eastAsia="zh-CN"/>
              </w:rPr>
              <w:t>以上</w:t>
            </w:r>
            <w:r>
              <w:rPr>
                <w:rFonts w:hint="eastAsia" w:ascii="Times New Roman" w:hAnsi="Times New Roman" w:cs="Times New Roman"/>
                <w:kern w:val="0"/>
              </w:rPr>
              <w:t>得3分</w:t>
            </w:r>
            <w:r>
              <w:rPr>
                <w:rFonts w:ascii="Times New Roman" w:hAnsi="Times New Roman" w:cs="Times New Roman"/>
                <w:kern w:val="0"/>
              </w:rPr>
              <w:t>。（</w:t>
            </w:r>
            <w:r>
              <w:rPr>
                <w:rFonts w:hint="eastAsia" w:ascii="Times New Roman" w:hAnsi="Times New Roman" w:cs="Times New Roman"/>
                <w:kern w:val="0"/>
              </w:rPr>
              <w:t>首台套产品被纳入省及省以上部门出具的《首台套产品推广应用指导目录》之日起 2 年内，视同已具备相应销售业绩，参加政府采购活动时业绩分值为满分）未提供发票的业绩不计入数量。</w:t>
            </w:r>
          </w:p>
        </w:tc>
        <w:tc>
          <w:tcPr>
            <w:tcW w:w="740" w:type="dxa"/>
            <w:vAlign w:val="center"/>
          </w:tcPr>
          <w:p>
            <w:pPr>
              <w:widowControl w:val="0"/>
              <w:spacing w:line="320" w:lineRule="exact"/>
              <w:jc w:val="center"/>
              <w:rPr>
                <w:rFonts w:ascii="宋体" w:cs="宋体"/>
              </w:rPr>
            </w:pPr>
            <w:r>
              <w:rPr>
                <w:rFonts w:hint="eastAsia" w:ascii="宋体" w:cs="宋体"/>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812" w:type="dxa"/>
            <w:vMerge w:val="restart"/>
            <w:vAlign w:val="center"/>
          </w:tcPr>
          <w:p>
            <w:pPr>
              <w:widowControl w:val="0"/>
              <w:spacing w:line="320" w:lineRule="exact"/>
              <w:jc w:val="center"/>
              <w:rPr>
                <w:rFonts w:ascii="宋体" w:cs="宋体"/>
              </w:rPr>
            </w:pPr>
            <w:r>
              <w:rPr>
                <w:rFonts w:hint="eastAsia" w:ascii="宋体" w:cs="宋体"/>
              </w:rPr>
              <w:t>2</w:t>
            </w:r>
          </w:p>
        </w:tc>
        <w:tc>
          <w:tcPr>
            <w:tcW w:w="1434" w:type="dxa"/>
            <w:vAlign w:val="center"/>
          </w:tcPr>
          <w:p>
            <w:pPr>
              <w:spacing w:line="360" w:lineRule="exact"/>
              <w:rPr>
                <w:rFonts w:ascii="宋体" w:cs="宋体"/>
              </w:rPr>
            </w:pPr>
            <w:r>
              <w:rPr>
                <w:rFonts w:hint="eastAsia" w:ascii="新宋体" w:hAnsi="新宋体" w:eastAsia="新宋体" w:cs="新宋体"/>
              </w:rPr>
              <w:t>企业综合情况</w:t>
            </w:r>
          </w:p>
        </w:tc>
        <w:tc>
          <w:tcPr>
            <w:tcW w:w="5981" w:type="dxa"/>
          </w:tcPr>
          <w:p>
            <w:pPr>
              <w:spacing w:line="360" w:lineRule="exact"/>
              <w:rPr>
                <w:rFonts w:ascii="宋体" w:cs="宋体"/>
              </w:rPr>
            </w:pPr>
            <w:r>
              <w:rPr>
                <w:rFonts w:hint="eastAsia" w:ascii="新宋体" w:hAnsi="新宋体" w:eastAsia="新宋体" w:cs="新宋体"/>
                <w:kern w:val="0"/>
              </w:rPr>
              <w:t>投标人整体经营状况、服务团队、技术力量、信誉度及提供的相关材料等</w:t>
            </w:r>
            <w:r>
              <w:rPr>
                <w:rFonts w:hint="eastAsia" w:ascii="新宋体" w:hAnsi="新宋体" w:eastAsia="新宋体" w:cs="新宋体"/>
              </w:rPr>
              <w:t>进行综合评分。优秀4-6分；良好2-4分；一般0-2分。</w:t>
            </w:r>
          </w:p>
        </w:tc>
        <w:tc>
          <w:tcPr>
            <w:tcW w:w="740" w:type="dxa"/>
            <w:vAlign w:val="center"/>
          </w:tcPr>
          <w:p>
            <w:pPr>
              <w:widowControl w:val="0"/>
              <w:spacing w:line="320" w:lineRule="exact"/>
              <w:jc w:val="center"/>
              <w:rPr>
                <w:rFonts w:ascii="宋体" w:cs="宋体"/>
              </w:rPr>
            </w:pPr>
            <w:r>
              <w:rPr>
                <w:rFonts w:hint="eastAsia" w:ascii="宋体" w:cs="宋体"/>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8" w:hRule="atLeast"/>
          <w:jc w:val="center"/>
        </w:trPr>
        <w:tc>
          <w:tcPr>
            <w:tcW w:w="812" w:type="dxa"/>
            <w:vMerge w:val="continue"/>
            <w:vAlign w:val="center"/>
          </w:tcPr>
          <w:p>
            <w:pPr>
              <w:widowControl w:val="0"/>
              <w:spacing w:line="320" w:lineRule="exact"/>
              <w:jc w:val="center"/>
              <w:rPr>
                <w:rFonts w:ascii="宋体" w:cs="宋体"/>
              </w:rPr>
            </w:pPr>
          </w:p>
        </w:tc>
        <w:tc>
          <w:tcPr>
            <w:tcW w:w="1434" w:type="dxa"/>
            <w:vAlign w:val="center"/>
          </w:tcPr>
          <w:p>
            <w:pPr>
              <w:widowControl w:val="0"/>
              <w:spacing w:line="320" w:lineRule="exact"/>
              <w:jc w:val="center"/>
              <w:rPr>
                <w:rFonts w:ascii="宋体" w:cs="宋体"/>
              </w:rPr>
            </w:pPr>
            <w:r>
              <w:rPr>
                <w:rFonts w:hint="eastAsia" w:ascii="宋体" w:cs="宋体"/>
                <w:lang w:val="zh-CN"/>
              </w:rPr>
              <w:t>节能、环保</w:t>
            </w:r>
            <w:r>
              <w:rPr>
                <w:rFonts w:hint="eastAsia" w:ascii="宋体" w:cs="宋体"/>
              </w:rPr>
              <w:t xml:space="preserve"> </w:t>
            </w:r>
          </w:p>
        </w:tc>
        <w:tc>
          <w:tcPr>
            <w:tcW w:w="5981" w:type="dxa"/>
            <w:vAlign w:val="center"/>
          </w:tcPr>
          <w:p>
            <w:pPr>
              <w:spacing w:line="276" w:lineRule="auto"/>
              <w:rPr>
                <w:rFonts w:ascii="宋体" w:cs="宋体"/>
              </w:rPr>
            </w:pPr>
            <w:r>
              <w:rPr>
                <w:rFonts w:hint="eastAsia" w:ascii="宋体" w:cs="宋体"/>
              </w:rPr>
              <w:t>投标产品属于具有国家确定的认证机构出具的、处于有效期之内的节能产品认证证书的，每个证书得0.5分,最多得1分；</w:t>
            </w:r>
          </w:p>
          <w:p>
            <w:pPr>
              <w:widowControl w:val="0"/>
              <w:spacing w:line="360" w:lineRule="exact"/>
              <w:jc w:val="left"/>
              <w:rPr>
                <w:rFonts w:ascii="宋体" w:cs="宋体"/>
              </w:rPr>
            </w:pPr>
            <w:r>
              <w:rPr>
                <w:rFonts w:hint="eastAsia" w:ascii="宋体" w:cs="宋体"/>
              </w:rPr>
              <w:t>投标产品属于具有国家确定的认证机构出具的、处于有效期之内的环保产品认证证书的，每个证书得0.5分，最多得1分。</w:t>
            </w:r>
          </w:p>
        </w:tc>
        <w:tc>
          <w:tcPr>
            <w:tcW w:w="740" w:type="dxa"/>
            <w:vAlign w:val="center"/>
          </w:tcPr>
          <w:p>
            <w:pPr>
              <w:widowControl w:val="0"/>
              <w:spacing w:line="320" w:lineRule="exact"/>
              <w:jc w:val="center"/>
              <w:rPr>
                <w:rFonts w:ascii="宋体" w:cs="宋体"/>
              </w:rPr>
            </w:pPr>
            <w:r>
              <w:rPr>
                <w:rFonts w:hint="eastAsia" w:ascii="宋体" w:cs="宋体"/>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812" w:type="dxa"/>
            <w:vAlign w:val="center"/>
          </w:tcPr>
          <w:p>
            <w:pPr>
              <w:widowControl w:val="0"/>
              <w:spacing w:line="320" w:lineRule="exact"/>
              <w:jc w:val="center"/>
              <w:rPr>
                <w:rFonts w:ascii="宋体" w:cs="宋体"/>
              </w:rPr>
            </w:pPr>
            <w:r>
              <w:rPr>
                <w:rFonts w:hint="eastAsia" w:ascii="宋体" w:cs="宋体"/>
              </w:rPr>
              <w:t>3</w:t>
            </w:r>
          </w:p>
        </w:tc>
        <w:tc>
          <w:tcPr>
            <w:tcW w:w="1434" w:type="dxa"/>
            <w:vAlign w:val="center"/>
          </w:tcPr>
          <w:p>
            <w:pPr>
              <w:widowControl w:val="0"/>
              <w:spacing w:line="320" w:lineRule="exact"/>
              <w:jc w:val="center"/>
              <w:rPr>
                <w:rFonts w:ascii="宋体" w:cs="宋体"/>
              </w:rPr>
            </w:pPr>
            <w:r>
              <w:rPr>
                <w:rFonts w:hint="eastAsia" w:ascii="宋体" w:cs="宋体"/>
              </w:rPr>
              <w:t>实施方案</w:t>
            </w:r>
          </w:p>
          <w:p>
            <w:pPr>
              <w:widowControl w:val="0"/>
              <w:spacing w:line="320" w:lineRule="exact"/>
              <w:jc w:val="center"/>
              <w:rPr>
                <w:rFonts w:ascii="宋体" w:cs="宋体"/>
                <w:bCs/>
              </w:rPr>
            </w:pPr>
          </w:p>
        </w:tc>
        <w:tc>
          <w:tcPr>
            <w:tcW w:w="5981" w:type="dxa"/>
            <w:vAlign w:val="center"/>
          </w:tcPr>
          <w:p>
            <w:pPr>
              <w:widowControl w:val="0"/>
              <w:spacing w:line="320" w:lineRule="exact"/>
              <w:jc w:val="left"/>
              <w:rPr>
                <w:rFonts w:ascii="宋体" w:cs="宋体"/>
                <w:snapToGrid w:val="0"/>
              </w:rPr>
            </w:pPr>
            <w:r>
              <w:rPr>
                <w:rFonts w:hint="eastAsia" w:ascii="宋体" w:cs="宋体"/>
                <w:snapToGrid w:val="0"/>
              </w:rPr>
              <w:t>根据投标供应商针对本项目的施工方案、供货方案、设备安装和调试方案，方案是否科学，合理，并具有可操作性，由评委进行评分，合理、可行的</w:t>
            </w:r>
            <w:r>
              <w:rPr>
                <w:rFonts w:hint="eastAsia" w:ascii="宋体" w:cs="宋体"/>
                <w:snapToGrid w:val="0"/>
                <w:lang w:val="en-US" w:eastAsia="zh-CN"/>
              </w:rPr>
              <w:t>7-10</w:t>
            </w:r>
            <w:r>
              <w:rPr>
                <w:rFonts w:hint="eastAsia" w:ascii="宋体" w:cs="宋体"/>
                <w:snapToGrid w:val="0"/>
              </w:rPr>
              <w:t>分，基本合理、可行的</w:t>
            </w:r>
            <w:r>
              <w:rPr>
                <w:rFonts w:hint="eastAsia" w:ascii="宋体" w:cs="宋体"/>
                <w:snapToGrid w:val="0"/>
                <w:lang w:val="en-US" w:eastAsia="zh-CN"/>
              </w:rPr>
              <w:t>4-6</w:t>
            </w:r>
            <w:r>
              <w:rPr>
                <w:rFonts w:hint="eastAsia" w:ascii="宋体" w:cs="宋体"/>
                <w:snapToGrid w:val="0"/>
              </w:rPr>
              <w:t>分，不合理、可行性差的0-</w:t>
            </w:r>
            <w:r>
              <w:rPr>
                <w:rFonts w:hint="eastAsia" w:ascii="宋体" w:cs="宋体"/>
                <w:snapToGrid w:val="0"/>
                <w:lang w:val="en-US" w:eastAsia="zh-CN"/>
              </w:rPr>
              <w:t>3</w:t>
            </w:r>
            <w:r>
              <w:rPr>
                <w:rFonts w:hint="eastAsia" w:ascii="宋体" w:cs="宋体"/>
                <w:snapToGrid w:val="0"/>
              </w:rPr>
              <w:t>分。</w:t>
            </w:r>
          </w:p>
        </w:tc>
        <w:tc>
          <w:tcPr>
            <w:tcW w:w="740" w:type="dxa"/>
            <w:vAlign w:val="center"/>
          </w:tcPr>
          <w:p>
            <w:pPr>
              <w:widowControl w:val="0"/>
              <w:spacing w:line="320" w:lineRule="exact"/>
              <w:jc w:val="center"/>
              <w:rPr>
                <w:rFonts w:ascii="宋体" w:cs="宋体"/>
              </w:rPr>
            </w:pPr>
            <w:r>
              <w:rPr>
                <w:rFonts w:hint="eastAsia" w:ascii="宋体" w:cs="宋体"/>
                <w:lang w:val="en-US" w:eastAsia="zh-CN"/>
              </w:rPr>
              <w:t>10</w:t>
            </w:r>
            <w:r>
              <w:rPr>
                <w:rFonts w:hint="eastAsia" w:ascii="宋体" w:cs="宋体"/>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812" w:type="dxa"/>
            <w:vAlign w:val="center"/>
          </w:tcPr>
          <w:p>
            <w:pPr>
              <w:widowControl w:val="0"/>
              <w:spacing w:line="320" w:lineRule="exact"/>
              <w:jc w:val="center"/>
              <w:rPr>
                <w:rFonts w:ascii="宋体" w:cs="宋体"/>
              </w:rPr>
            </w:pPr>
            <w:r>
              <w:rPr>
                <w:rFonts w:hint="eastAsia" w:ascii="宋体" w:cs="宋体"/>
              </w:rPr>
              <w:t>4</w:t>
            </w:r>
          </w:p>
        </w:tc>
        <w:tc>
          <w:tcPr>
            <w:tcW w:w="1434" w:type="dxa"/>
          </w:tcPr>
          <w:p>
            <w:pPr>
              <w:tabs>
                <w:tab w:val="left" w:pos="600"/>
              </w:tabs>
              <w:spacing w:line="360" w:lineRule="exact"/>
              <w:jc w:val="center"/>
              <w:rPr>
                <w:rFonts w:ascii="宋体" w:cs="宋体"/>
              </w:rPr>
            </w:pPr>
            <w:r>
              <w:rPr>
                <w:rFonts w:hint="eastAsia" w:ascii="新宋体" w:hAnsi="新宋体" w:eastAsia="新宋体" w:cs="新宋体"/>
              </w:rPr>
              <w:t>质量保证措施</w:t>
            </w:r>
          </w:p>
        </w:tc>
        <w:tc>
          <w:tcPr>
            <w:tcW w:w="5981" w:type="dxa"/>
          </w:tcPr>
          <w:p>
            <w:pPr>
              <w:pStyle w:val="29"/>
              <w:spacing w:line="360" w:lineRule="exact"/>
              <w:ind w:firstLine="0" w:firstLineChars="0"/>
              <w:jc w:val="both"/>
              <w:rPr>
                <w:rFonts w:ascii="宋体" w:eastAsia="宋体" w:cs="宋体"/>
                <w:snapToGrid w:val="0"/>
                <w:color w:val="auto"/>
                <w:sz w:val="21"/>
                <w:szCs w:val="21"/>
              </w:rPr>
            </w:pPr>
            <w:r>
              <w:rPr>
                <w:rFonts w:hint="eastAsia" w:ascii="新宋体" w:hAnsi="新宋体" w:eastAsia="新宋体" w:cs="新宋体"/>
                <w:sz w:val="21"/>
                <w:szCs w:val="21"/>
              </w:rPr>
              <w:t>投标人质量保证措施及承诺、技术服务措施及承诺等情况</w:t>
            </w:r>
            <w:r>
              <w:rPr>
                <w:rFonts w:hint="eastAsia" w:ascii="新宋体" w:hAnsi="新宋体" w:eastAsia="新宋体" w:cs="新宋体"/>
                <w:kern w:val="0"/>
                <w:sz w:val="21"/>
                <w:szCs w:val="21"/>
              </w:rPr>
              <w:t>由专家进行综合打分。优秀</w:t>
            </w:r>
            <w:r>
              <w:rPr>
                <w:rFonts w:hint="eastAsia" w:ascii="新宋体" w:hAnsi="新宋体" w:eastAsia="新宋体" w:cs="新宋体"/>
                <w:kern w:val="0"/>
                <w:sz w:val="21"/>
                <w:szCs w:val="21"/>
                <w:lang w:val="en-US" w:eastAsia="zh-CN"/>
              </w:rPr>
              <w:t>7-10</w:t>
            </w:r>
            <w:r>
              <w:rPr>
                <w:rFonts w:hint="eastAsia" w:ascii="新宋体" w:hAnsi="新宋体" w:eastAsia="新宋体" w:cs="新宋体"/>
                <w:kern w:val="0"/>
                <w:sz w:val="21"/>
                <w:szCs w:val="21"/>
              </w:rPr>
              <w:t>分，良好</w:t>
            </w:r>
            <w:r>
              <w:rPr>
                <w:rFonts w:hint="eastAsia" w:ascii="新宋体" w:hAnsi="新宋体" w:eastAsia="新宋体" w:cs="新宋体"/>
                <w:kern w:val="0"/>
                <w:sz w:val="21"/>
                <w:szCs w:val="21"/>
                <w:lang w:val="en-US" w:eastAsia="zh-CN"/>
              </w:rPr>
              <w:t>4</w:t>
            </w:r>
            <w:r>
              <w:rPr>
                <w:rFonts w:hint="eastAsia" w:ascii="新宋体" w:hAnsi="新宋体" w:eastAsia="新宋体" w:cs="新宋体"/>
                <w:kern w:val="0"/>
                <w:sz w:val="21"/>
                <w:szCs w:val="21"/>
              </w:rPr>
              <w:t>-</w:t>
            </w:r>
            <w:r>
              <w:rPr>
                <w:rFonts w:hint="eastAsia" w:ascii="新宋体" w:hAnsi="新宋体" w:eastAsia="新宋体" w:cs="新宋体"/>
                <w:kern w:val="0"/>
                <w:sz w:val="21"/>
                <w:szCs w:val="21"/>
                <w:lang w:val="en-US" w:eastAsia="zh-CN"/>
              </w:rPr>
              <w:t>6</w:t>
            </w:r>
            <w:r>
              <w:rPr>
                <w:rFonts w:hint="eastAsia" w:ascii="新宋体" w:hAnsi="新宋体" w:eastAsia="新宋体" w:cs="新宋体"/>
                <w:kern w:val="0"/>
                <w:sz w:val="21"/>
                <w:szCs w:val="21"/>
              </w:rPr>
              <w:t>分，一般0-</w:t>
            </w:r>
            <w:r>
              <w:rPr>
                <w:rFonts w:hint="eastAsia" w:ascii="新宋体" w:hAnsi="新宋体" w:eastAsia="新宋体" w:cs="新宋体"/>
                <w:kern w:val="0"/>
                <w:sz w:val="21"/>
                <w:szCs w:val="21"/>
                <w:lang w:val="en-US" w:eastAsia="zh-CN"/>
              </w:rPr>
              <w:t>3</w:t>
            </w:r>
            <w:r>
              <w:rPr>
                <w:rFonts w:hint="eastAsia" w:ascii="新宋体" w:hAnsi="新宋体" w:eastAsia="新宋体" w:cs="新宋体"/>
                <w:kern w:val="0"/>
                <w:sz w:val="21"/>
                <w:szCs w:val="21"/>
              </w:rPr>
              <w:t>分。</w:t>
            </w:r>
          </w:p>
        </w:tc>
        <w:tc>
          <w:tcPr>
            <w:tcW w:w="740" w:type="dxa"/>
            <w:vAlign w:val="center"/>
          </w:tcPr>
          <w:p>
            <w:pPr>
              <w:widowControl w:val="0"/>
              <w:spacing w:line="320" w:lineRule="exact"/>
              <w:jc w:val="center"/>
              <w:rPr>
                <w:rFonts w:ascii="宋体" w:cs="宋体"/>
              </w:rPr>
            </w:pPr>
            <w:r>
              <w:rPr>
                <w:rFonts w:hint="eastAsia" w:ascii="宋体" w:cs="宋体"/>
                <w:lang w:val="en-US" w:eastAsia="zh-CN"/>
              </w:rPr>
              <w:t>10</w:t>
            </w:r>
            <w:r>
              <w:rPr>
                <w:rFonts w:hint="eastAsia" w:ascii="宋体" w:cs="宋体"/>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jc w:val="center"/>
        </w:trPr>
        <w:tc>
          <w:tcPr>
            <w:tcW w:w="812" w:type="dxa"/>
            <w:vAlign w:val="center"/>
          </w:tcPr>
          <w:p>
            <w:pPr>
              <w:widowControl w:val="0"/>
              <w:spacing w:line="320" w:lineRule="exact"/>
              <w:jc w:val="center"/>
              <w:rPr>
                <w:rFonts w:ascii="宋体" w:cs="宋体"/>
              </w:rPr>
            </w:pPr>
            <w:r>
              <w:rPr>
                <w:rFonts w:hint="eastAsia" w:ascii="宋体" w:cs="宋体"/>
              </w:rPr>
              <w:t>5</w:t>
            </w:r>
          </w:p>
        </w:tc>
        <w:tc>
          <w:tcPr>
            <w:tcW w:w="1434" w:type="dxa"/>
            <w:vAlign w:val="center"/>
          </w:tcPr>
          <w:p>
            <w:pPr>
              <w:widowControl w:val="0"/>
              <w:spacing w:line="320" w:lineRule="exact"/>
              <w:jc w:val="center"/>
              <w:rPr>
                <w:rFonts w:ascii="宋体" w:cs="宋体"/>
              </w:rPr>
            </w:pPr>
            <w:r>
              <w:rPr>
                <w:rFonts w:hint="eastAsia" w:ascii="宋体" w:cs="宋体"/>
              </w:rPr>
              <w:t>产品的技术性能</w:t>
            </w:r>
          </w:p>
          <w:p>
            <w:pPr>
              <w:widowControl w:val="0"/>
              <w:spacing w:line="320" w:lineRule="exact"/>
              <w:jc w:val="center"/>
              <w:rPr>
                <w:rFonts w:ascii="宋体" w:cs="宋体"/>
                <w:lang w:val="zh-CN"/>
              </w:rPr>
            </w:pPr>
          </w:p>
        </w:tc>
        <w:tc>
          <w:tcPr>
            <w:tcW w:w="5981" w:type="dxa"/>
            <w:vAlign w:val="center"/>
          </w:tcPr>
          <w:p>
            <w:pPr>
              <w:widowControl w:val="0"/>
              <w:spacing w:line="320" w:lineRule="exact"/>
              <w:rPr>
                <w:rFonts w:ascii="宋体" w:cs="宋体"/>
              </w:rPr>
            </w:pPr>
            <w:r>
              <w:rPr>
                <w:rFonts w:hint="eastAsia" w:ascii="宋体" w:cs="宋体"/>
              </w:rPr>
              <w:t>完全符合招标文件参数要求的得20分，带★参数与招标文件要求有负偏离或者没有按要求提供证明材料的每项扣2分；其它参数与招标文件有负偏离或者没有按要求提供证明材料的每项扣1分；扣完为止。</w:t>
            </w:r>
          </w:p>
        </w:tc>
        <w:tc>
          <w:tcPr>
            <w:tcW w:w="740" w:type="dxa"/>
            <w:vAlign w:val="center"/>
          </w:tcPr>
          <w:p>
            <w:pPr>
              <w:widowControl w:val="0"/>
              <w:spacing w:line="320" w:lineRule="exact"/>
              <w:jc w:val="center"/>
              <w:rPr>
                <w:rFonts w:ascii="宋体" w:cs="宋体"/>
              </w:rPr>
            </w:pPr>
            <w:r>
              <w:rPr>
                <w:rFonts w:hint="eastAsia" w:ascii="宋体" w:cs="宋体"/>
              </w:rPr>
              <w:t>20分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812" w:type="dxa"/>
            <w:vAlign w:val="center"/>
          </w:tcPr>
          <w:p>
            <w:pPr>
              <w:widowControl w:val="0"/>
              <w:spacing w:line="320" w:lineRule="exact"/>
              <w:jc w:val="center"/>
              <w:rPr>
                <w:rFonts w:ascii="宋体" w:cs="宋体"/>
              </w:rPr>
            </w:pPr>
            <w:r>
              <w:rPr>
                <w:rFonts w:hint="eastAsia" w:ascii="宋体" w:cs="宋体"/>
              </w:rPr>
              <w:t>6</w:t>
            </w:r>
          </w:p>
        </w:tc>
        <w:tc>
          <w:tcPr>
            <w:tcW w:w="1434" w:type="dxa"/>
            <w:vAlign w:val="center"/>
          </w:tcPr>
          <w:p>
            <w:pPr>
              <w:jc w:val="center"/>
              <w:rPr>
                <w:rFonts w:ascii="宋体" w:cs="宋体"/>
                <w:color w:val="333333"/>
                <w:shd w:val="clear" w:color="auto" w:fill="FFFFFF"/>
              </w:rPr>
            </w:pPr>
            <w:r>
              <w:rPr>
                <w:rFonts w:hint="eastAsia" w:ascii="宋体" w:cs="宋体"/>
                <w:color w:val="333333"/>
                <w:shd w:val="clear" w:color="auto" w:fill="FFFFFF"/>
              </w:rPr>
              <w:t>技术指标</w:t>
            </w:r>
          </w:p>
          <w:p>
            <w:pPr>
              <w:jc w:val="center"/>
              <w:rPr>
                <w:rFonts w:ascii="宋体" w:cs="宋体"/>
                <w:lang w:val="zh-CN"/>
              </w:rPr>
            </w:pPr>
            <w:r>
              <w:rPr>
                <w:rFonts w:hint="eastAsia" w:ascii="宋体" w:cs="宋体"/>
                <w:color w:val="333333"/>
                <w:shd w:val="clear" w:color="auto" w:fill="FFFFFF"/>
              </w:rPr>
              <w:t>加分项</w:t>
            </w:r>
          </w:p>
        </w:tc>
        <w:tc>
          <w:tcPr>
            <w:tcW w:w="5981" w:type="dxa"/>
            <w:vAlign w:val="center"/>
          </w:tcPr>
          <w:p>
            <w:pPr>
              <w:jc w:val="left"/>
              <w:rPr>
                <w:rFonts w:ascii="宋体" w:cs="宋体"/>
              </w:rPr>
            </w:pPr>
            <w:r>
              <w:rPr>
                <w:rFonts w:hint="eastAsia" w:ascii="宋体" w:cs="宋体"/>
                <w:color w:val="333333"/>
                <w:shd w:val="clear" w:color="auto" w:fill="FFFFFF"/>
              </w:rPr>
              <w:t>在满足招标文件要求的基础上，产品性能、技术指标优于招标需求（正偏离）每项视重要程度加1分，最高加7分。</w:t>
            </w:r>
          </w:p>
        </w:tc>
        <w:tc>
          <w:tcPr>
            <w:tcW w:w="740" w:type="dxa"/>
            <w:vAlign w:val="center"/>
          </w:tcPr>
          <w:p>
            <w:pPr>
              <w:widowControl w:val="0"/>
              <w:spacing w:line="320" w:lineRule="exact"/>
              <w:jc w:val="center"/>
              <w:rPr>
                <w:rFonts w:ascii="宋体" w:cs="宋体"/>
              </w:rPr>
            </w:pPr>
            <w:r>
              <w:rPr>
                <w:rFonts w:hint="eastAsia" w:ascii="宋体" w:cs="宋体"/>
              </w:rPr>
              <w:t>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812" w:type="dxa"/>
            <w:vAlign w:val="center"/>
          </w:tcPr>
          <w:p>
            <w:pPr>
              <w:widowControl w:val="0"/>
              <w:spacing w:line="320" w:lineRule="exact"/>
              <w:jc w:val="center"/>
              <w:rPr>
                <w:rFonts w:ascii="宋体" w:cs="宋体"/>
              </w:rPr>
            </w:pPr>
            <w:r>
              <w:rPr>
                <w:rFonts w:hint="eastAsia" w:ascii="宋体" w:cs="宋体"/>
              </w:rPr>
              <w:t>7</w:t>
            </w:r>
          </w:p>
        </w:tc>
        <w:tc>
          <w:tcPr>
            <w:tcW w:w="1434" w:type="dxa"/>
            <w:vAlign w:val="center"/>
          </w:tcPr>
          <w:p>
            <w:pPr>
              <w:widowControl w:val="0"/>
              <w:spacing w:line="320" w:lineRule="exact"/>
              <w:jc w:val="center"/>
              <w:rPr>
                <w:rFonts w:ascii="宋体" w:cs="宋体"/>
                <w:kern w:val="0"/>
              </w:rPr>
            </w:pPr>
            <w:r>
              <w:rPr>
                <w:rFonts w:hint="eastAsia" w:ascii="宋体" w:cs="宋体"/>
              </w:rPr>
              <w:t xml:space="preserve">售后服     务点      </w:t>
            </w:r>
          </w:p>
        </w:tc>
        <w:tc>
          <w:tcPr>
            <w:tcW w:w="5981" w:type="dxa"/>
            <w:vAlign w:val="center"/>
          </w:tcPr>
          <w:p>
            <w:pPr>
              <w:widowControl w:val="0"/>
              <w:spacing w:line="276" w:lineRule="auto"/>
              <w:rPr>
                <w:rFonts w:ascii="宋体" w:cs="宋体"/>
              </w:rPr>
            </w:pPr>
            <w:r>
              <w:rPr>
                <w:rFonts w:hint="eastAsia" w:ascii="宋体" w:cs="宋体"/>
              </w:rPr>
              <w:t>（1）质保期内和质保期外的售后服务承诺：后续技术支持和维护能力，对服务承诺的保障措施，提供免费上门维护、升级服务，对故障响应，解决问题所采取的措施等。（优秀4</w:t>
            </w:r>
            <w:r>
              <w:rPr>
                <w:rFonts w:hint="eastAsia" w:ascii="宋体" w:cs="宋体"/>
                <w:lang w:val="en-US" w:eastAsia="zh-CN"/>
              </w:rPr>
              <w:t>-5</w:t>
            </w:r>
            <w:r>
              <w:rPr>
                <w:rFonts w:hint="eastAsia" w:ascii="宋体" w:cs="宋体"/>
              </w:rPr>
              <w:t>分，良好2-3分，一般0-1分)。</w:t>
            </w:r>
          </w:p>
          <w:p>
            <w:pPr>
              <w:spacing w:line="276" w:lineRule="auto"/>
              <w:rPr>
                <w:rFonts w:ascii="宋体" w:cs="宋体"/>
              </w:rPr>
            </w:pPr>
            <w:r>
              <w:rPr>
                <w:rFonts w:hint="eastAsia" w:ascii="宋体" w:cs="宋体"/>
              </w:rPr>
              <w:t>（2）根据投标人设立的售后服务网点综合情况由专家酌情打分0-</w:t>
            </w:r>
            <w:r>
              <w:rPr>
                <w:rFonts w:hint="eastAsia" w:ascii="宋体" w:cs="宋体"/>
                <w:lang w:val="en-US" w:eastAsia="zh-CN"/>
              </w:rPr>
              <w:t>3</w:t>
            </w:r>
            <w:r>
              <w:rPr>
                <w:rFonts w:hint="eastAsia" w:ascii="宋体" w:cs="宋体"/>
              </w:rPr>
              <w:t xml:space="preserve">分。( 需提供相关佐证材料，如营业执照、）                                    </w:t>
            </w:r>
          </w:p>
          <w:p>
            <w:pPr>
              <w:widowControl w:val="0"/>
              <w:spacing w:line="320" w:lineRule="exact"/>
              <w:rPr>
                <w:rFonts w:ascii="宋体" w:cs="宋体"/>
                <w:kern w:val="0"/>
              </w:rPr>
            </w:pPr>
            <w:r>
              <w:rPr>
                <w:rFonts w:hint="eastAsia" w:ascii="宋体" w:cs="宋体"/>
              </w:rPr>
              <w:t>（3）质保期：响应招标文件要求的不得分；承诺超过招标文件要求每增加壹年的加1分；本项最高得2分。</w:t>
            </w:r>
          </w:p>
        </w:tc>
        <w:tc>
          <w:tcPr>
            <w:tcW w:w="740" w:type="dxa"/>
            <w:vAlign w:val="center"/>
          </w:tcPr>
          <w:p>
            <w:pPr>
              <w:widowControl w:val="0"/>
              <w:spacing w:line="320" w:lineRule="exact"/>
              <w:jc w:val="center"/>
              <w:rPr>
                <w:rFonts w:ascii="宋体" w:cs="宋体"/>
                <w:kern w:val="0"/>
              </w:rPr>
            </w:pPr>
            <w:r>
              <w:rPr>
                <w:rFonts w:hint="eastAsia" w:ascii="宋体" w:cs="宋体"/>
                <w:lang w:val="en-US" w:eastAsia="zh-CN"/>
              </w:rPr>
              <w:t>10</w:t>
            </w:r>
            <w:r>
              <w:rPr>
                <w:rFonts w:hint="eastAsia" w:ascii="宋体" w:cs="宋体"/>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812" w:type="dxa"/>
            <w:vAlign w:val="center"/>
          </w:tcPr>
          <w:p>
            <w:pPr>
              <w:widowControl w:val="0"/>
              <w:spacing w:line="320" w:lineRule="exact"/>
              <w:jc w:val="center"/>
              <w:rPr>
                <w:rFonts w:ascii="宋体" w:cs="宋体"/>
              </w:rPr>
            </w:pPr>
            <w:r>
              <w:rPr>
                <w:rFonts w:hint="eastAsia" w:ascii="宋体" w:cs="宋体"/>
              </w:rPr>
              <w:t>8</w:t>
            </w:r>
          </w:p>
        </w:tc>
        <w:tc>
          <w:tcPr>
            <w:tcW w:w="1434" w:type="dxa"/>
            <w:vAlign w:val="center"/>
          </w:tcPr>
          <w:p>
            <w:pPr>
              <w:jc w:val="center"/>
              <w:rPr>
                <w:rFonts w:ascii="宋体" w:cs="宋体"/>
              </w:rPr>
            </w:pPr>
            <w:r>
              <w:rPr>
                <w:rFonts w:hint="eastAsia" w:ascii="新宋体" w:hAnsi="新宋体" w:eastAsia="新宋体" w:cs="新宋体"/>
                <w:kern w:val="0"/>
              </w:rPr>
              <w:t>其它优惠及服务承诺</w:t>
            </w:r>
          </w:p>
        </w:tc>
        <w:tc>
          <w:tcPr>
            <w:tcW w:w="5981" w:type="dxa"/>
            <w:vAlign w:val="center"/>
          </w:tcPr>
          <w:p>
            <w:pPr>
              <w:rPr>
                <w:rFonts w:ascii="宋体" w:cs="宋体"/>
              </w:rPr>
            </w:pPr>
            <w:r>
              <w:rPr>
                <w:rFonts w:hint="eastAsia" w:ascii="新宋体" w:hAnsi="新宋体" w:eastAsia="新宋体" w:cs="新宋体"/>
                <w:kern w:val="0"/>
              </w:rPr>
              <w:t>针对所提供的其它优惠及服务承诺进行酌情给分。未提供的，此项不得分。</w:t>
            </w:r>
          </w:p>
        </w:tc>
        <w:tc>
          <w:tcPr>
            <w:tcW w:w="740" w:type="dxa"/>
            <w:vAlign w:val="center"/>
          </w:tcPr>
          <w:p>
            <w:pPr>
              <w:widowControl w:val="0"/>
              <w:spacing w:line="320" w:lineRule="exact"/>
              <w:jc w:val="center"/>
              <w:rPr>
                <w:rFonts w:ascii="宋体" w:cs="宋体"/>
              </w:rPr>
            </w:pPr>
            <w:r>
              <w:rPr>
                <w:rFonts w:hint="eastAsia" w:ascii="宋体" w:cs="宋体"/>
              </w:rPr>
              <w:t>2分</w:t>
            </w:r>
          </w:p>
        </w:tc>
      </w:tr>
    </w:tbl>
    <w:p>
      <w:pPr>
        <w:widowControl w:val="0"/>
        <w:snapToGrid w:val="0"/>
        <w:spacing w:line="500" w:lineRule="exact"/>
        <w:jc w:val="left"/>
        <w:rPr>
          <w:rFonts w:ascii="宋体" w:cs="宋体"/>
          <w:kern w:val="0"/>
          <w:sz w:val="24"/>
          <w:szCs w:val="24"/>
        </w:rPr>
      </w:pPr>
      <w:bookmarkStart w:id="27" w:name="_Toc345320401"/>
      <w:r>
        <w:rPr>
          <w:rFonts w:hint="eastAsia" w:ascii="宋体" w:cs="宋体"/>
          <w:kern w:val="0"/>
          <w:sz w:val="24"/>
          <w:szCs w:val="24"/>
        </w:rPr>
        <w:t>5.2 价格分</w:t>
      </w:r>
      <w:bookmarkEnd w:id="27"/>
      <w:r>
        <w:rPr>
          <w:rFonts w:hint="eastAsia" w:ascii="宋体" w:cs="宋体"/>
          <w:kern w:val="0"/>
          <w:sz w:val="24"/>
          <w:szCs w:val="24"/>
        </w:rPr>
        <w:t>（30分）</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价格评分将在有效投标人范围内进行，最高得30分，最低得 0分（小数点后保留二位小数，第三位四舍五入）。</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5.2.1评标价：在投标价基础上经政策调整过后确定的价格。评标价仅作为价格标评审的依据，不等同于中标价、合同价。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5.2.2评定评标基准价：技术入围投标人中的最低评标价作为评标基准价。</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5.2.3报价得分=（评标基准价/评标价）×（100-商务技术分权值）</w:t>
      </w:r>
    </w:p>
    <w:p>
      <w:pPr>
        <w:pStyle w:val="14"/>
        <w:spacing w:before="167" w:line="360" w:lineRule="auto"/>
        <w:ind w:right="710" w:rightChars="338"/>
        <w:rPr>
          <w:rFonts w:ascii="宋体" w:cs="宋体"/>
          <w:kern w:val="0"/>
          <w:sz w:val="24"/>
          <w:szCs w:val="24"/>
        </w:rPr>
      </w:pPr>
      <w:bookmarkStart w:id="28" w:name="_Toc29140"/>
      <w:r>
        <w:rPr>
          <w:rFonts w:hint="eastAsia" w:ascii="宋体" w:cs="宋体"/>
          <w:kern w:val="0"/>
          <w:sz w:val="24"/>
          <w:szCs w:val="24"/>
        </w:rPr>
        <w:t>5.2.4落实政府采购政策说明：</w:t>
      </w:r>
    </w:p>
    <w:p>
      <w:pPr>
        <w:pStyle w:val="14"/>
        <w:snapToGrid w:val="0"/>
        <w:spacing w:before="167" w:line="360" w:lineRule="auto"/>
        <w:ind w:right="710" w:rightChars="338" w:firstLine="480" w:firstLineChars="200"/>
        <w:jc w:val="left"/>
        <w:rPr>
          <w:rFonts w:ascii="宋体" w:cs="宋体"/>
          <w:kern w:val="0"/>
          <w:sz w:val="24"/>
          <w:szCs w:val="24"/>
        </w:rPr>
      </w:pPr>
      <w:r>
        <w:rPr>
          <w:rFonts w:hint="eastAsia" w:ascii="宋体" w:hAnsi="宋体" w:cs="宋体"/>
          <w:kern w:val="0"/>
          <w:sz w:val="24"/>
          <w:szCs w:val="24"/>
        </w:rPr>
        <w:t>采购的产品属于“节能产品政府采购清单”和“环境标志产品政府采购清单”中品目的，在性能、技术、服务等指标同等条件下，应当优先采购清单中的产品。（节能产品清单公告媒体：中国政府采购网、中国环境资源信息网、中国节能节水认证网；环境标志产品清单公告媒体：中国政府采购网、国家环境保护总局网、中国绿色采购网）</w:t>
      </w:r>
    </w:p>
    <w:p>
      <w:pPr>
        <w:widowControl w:val="0"/>
        <w:snapToGrid w:val="0"/>
        <w:spacing w:line="500" w:lineRule="exact"/>
        <w:ind w:firstLine="0" w:firstLineChars="0"/>
        <w:jc w:val="left"/>
        <w:rPr>
          <w:rFonts w:ascii="宋体" w:cs="宋体"/>
          <w:kern w:val="0"/>
          <w:sz w:val="24"/>
          <w:szCs w:val="24"/>
        </w:rPr>
      </w:pPr>
      <w:r>
        <w:rPr>
          <w:rFonts w:hint="eastAsia" w:ascii="宋体" w:cs="宋体"/>
          <w:kern w:val="0"/>
          <w:sz w:val="24"/>
          <w:szCs w:val="24"/>
        </w:rPr>
        <w:t>对小型或微型企业投标的扶持：</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 xml:space="preserve">1、根据财库〔2020〕46号的相关规定，在评审时对小型和微型企业产品的投标报价给予 </w:t>
      </w:r>
      <w:r>
        <w:rPr>
          <w:rFonts w:hint="eastAsia" w:ascii="宋体" w:cs="宋体"/>
          <w:kern w:val="0"/>
          <w:sz w:val="24"/>
          <w:szCs w:val="24"/>
          <w:lang w:val="en-US" w:eastAsia="zh-CN"/>
        </w:rPr>
        <w:t>2</w:t>
      </w:r>
      <w:r>
        <w:rPr>
          <w:rFonts w:hint="eastAsia" w:ascii="宋体" w:cs="宋体"/>
          <w:kern w:val="0"/>
          <w:sz w:val="24"/>
          <w:szCs w:val="24"/>
        </w:rPr>
        <w:t>0 %的扣除，取扣除后的价格作为评标价（此评标价仅作为价格分计算使用）。</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2、接受大中型企业与小微企业组成联合体或者允许大中型企业向一家小微企业分包的采购项目，对于联合协议或者分包意向协议约定小微企业的合同份额占到合同总金额 30%以上的，采购人、采购代理机构应当对联合体或者大中型企业的报价给予3%（工程项目为 2%）的扣除，用扣除后的价格参加评审。组成联合体或者接受分包的小微企业与联合体内其他企业、分包企业之间存在直接控股、管理关系的，不享受价格扣除优惠政策。</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4.根据财库[2014]68号的相关规定，在政府采购活动中，监狱企业视同小型、微型企业，享受评审中价格扣除政策，应在投标文件中提供监狱企业声明函（见附件）。</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5.在货物采购项目中，供应商提供的货物既有小微企业制造货物，也有中大型企业制造货物的，不给予价格扣除。小微企业不得将合同分包给大中型企业，中型企业不得将合同分包给大型企业。</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(注：未提供以上要求材料的，均不给予价格扣除）。</w:t>
      </w:r>
    </w:p>
    <w:p>
      <w:pPr>
        <w:widowControl w:val="0"/>
        <w:snapToGrid w:val="0"/>
        <w:spacing w:line="500" w:lineRule="exact"/>
        <w:jc w:val="left"/>
        <w:rPr>
          <w:rFonts w:ascii="宋体" w:cs="宋体"/>
          <w:b/>
          <w:bCs/>
          <w:kern w:val="0"/>
          <w:sz w:val="32"/>
          <w:szCs w:val="32"/>
        </w:rPr>
      </w:pPr>
      <w:r>
        <w:rPr>
          <w:rFonts w:hint="eastAsia" w:ascii="宋体" w:cs="宋体"/>
          <w:b/>
          <w:bCs/>
          <w:kern w:val="0"/>
          <w:sz w:val="32"/>
          <w:szCs w:val="32"/>
        </w:rPr>
        <w:t>六、重新评审</w:t>
      </w:r>
      <w:bookmarkEnd w:id="28"/>
    </w:p>
    <w:p>
      <w:pPr>
        <w:widowControl w:val="0"/>
        <w:snapToGrid w:val="0"/>
        <w:spacing w:line="500" w:lineRule="exact"/>
        <w:jc w:val="left"/>
        <w:rPr>
          <w:rFonts w:ascii="宋体" w:cs="宋体"/>
          <w:kern w:val="0"/>
          <w:sz w:val="24"/>
          <w:szCs w:val="24"/>
        </w:rPr>
      </w:pPr>
      <w:r>
        <w:rPr>
          <w:rFonts w:hint="eastAsia" w:ascii="宋体" w:cs="宋体"/>
          <w:kern w:val="0"/>
          <w:sz w:val="24"/>
          <w:szCs w:val="24"/>
        </w:rPr>
        <w:t>评审结果形成后，除下列情形外，任何人不得重新评审：</w:t>
      </w:r>
    </w:p>
    <w:p>
      <w:pPr>
        <w:widowControl w:val="0"/>
        <w:snapToGrid w:val="0"/>
        <w:spacing w:line="500" w:lineRule="exact"/>
        <w:ind w:firstLine="480" w:firstLineChars="200"/>
        <w:jc w:val="left"/>
        <w:rPr>
          <w:rFonts w:ascii="宋体" w:cs="宋体"/>
          <w:kern w:val="0"/>
          <w:sz w:val="24"/>
          <w:szCs w:val="24"/>
        </w:rPr>
      </w:pPr>
      <w:r>
        <w:rPr>
          <w:rFonts w:hint="eastAsia" w:ascii="宋体" w:cs="宋体"/>
          <w:kern w:val="0"/>
          <w:sz w:val="24"/>
          <w:szCs w:val="24"/>
        </w:rPr>
        <w:t>（一）分值汇总计算错误的；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（二）分项评分超出评分标准范围的；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（三）评标委员会成员对客观评审因素评分不一致的；</w:t>
      </w:r>
    </w:p>
    <w:p>
      <w:pPr>
        <w:widowControl w:val="0"/>
        <w:snapToGrid w:val="0"/>
        <w:spacing w:line="500" w:lineRule="exact"/>
        <w:jc w:val="left"/>
        <w:rPr>
          <w:rFonts w:ascii="宋体" w:cs="宋体"/>
          <w:kern w:val="0"/>
          <w:sz w:val="24"/>
          <w:szCs w:val="24"/>
        </w:rPr>
      </w:pPr>
      <w:r>
        <w:rPr>
          <w:rFonts w:hint="eastAsia" w:ascii="宋体" w:cs="宋体"/>
          <w:kern w:val="0"/>
          <w:sz w:val="24"/>
          <w:szCs w:val="24"/>
        </w:rPr>
        <w:t>（四）经评标委员会认定评分畸高、畸低的。</w:t>
      </w:r>
    </w:p>
    <w:p>
      <w:pPr>
        <w:widowControl w:val="0"/>
        <w:spacing w:line="780" w:lineRule="exact"/>
        <w:jc w:val="center"/>
        <w:rPr>
          <w:rFonts w:ascii="Calibri" w:hAnsi="Calibri" w:cs="Times New Roman"/>
        </w:rPr>
      </w:pPr>
    </w:p>
    <w:p>
      <w:pPr>
        <w:pStyle w:val="14"/>
      </w:pPr>
    </w:p>
    <w:p>
      <w:pPr>
        <w:pStyle w:val="63"/>
      </w:pPr>
    </w:p>
    <w:p>
      <w:pPr>
        <w:widowControl w:val="0"/>
        <w:spacing w:line="780" w:lineRule="exact"/>
        <w:jc w:val="center"/>
        <w:rPr>
          <w:rFonts w:ascii="黑体" w:hAnsi="Calibri" w:eastAsia="黑体" w:cs="黑体"/>
          <w:b/>
          <w:bCs/>
          <w:sz w:val="52"/>
          <w:szCs w:val="52"/>
        </w:rPr>
      </w:pPr>
    </w:p>
    <w:p>
      <w:pPr>
        <w:widowControl w:val="0"/>
        <w:spacing w:line="780" w:lineRule="exact"/>
        <w:jc w:val="center"/>
        <w:rPr>
          <w:rFonts w:ascii="黑体" w:hAnsi="Calibri" w:eastAsia="黑体" w:cs="黑体"/>
          <w:b/>
          <w:bCs/>
          <w:sz w:val="52"/>
          <w:szCs w:val="52"/>
        </w:rPr>
      </w:pPr>
    </w:p>
    <w:p>
      <w:pPr>
        <w:widowControl w:val="0"/>
        <w:spacing w:line="780" w:lineRule="exact"/>
        <w:jc w:val="center"/>
        <w:rPr>
          <w:rFonts w:ascii="黑体" w:hAnsi="Calibri" w:eastAsia="黑体" w:cs="黑体"/>
          <w:b/>
          <w:bCs/>
          <w:sz w:val="52"/>
          <w:szCs w:val="52"/>
        </w:rPr>
      </w:pPr>
    </w:p>
    <w:p>
      <w:pPr>
        <w:pageBreakBefore/>
        <w:widowControl w:val="0"/>
        <w:spacing w:line="780" w:lineRule="exact"/>
        <w:ind w:firstLine="3654" w:firstLineChars="700"/>
        <w:jc w:val="both"/>
        <w:rPr>
          <w:rFonts w:ascii="黑体" w:hAnsi="Calibri" w:eastAsia="黑体" w:cs="Times New Roman"/>
          <w:b/>
          <w:bCs/>
          <w:sz w:val="52"/>
          <w:szCs w:val="52"/>
        </w:rPr>
      </w:pPr>
      <w:r>
        <w:rPr>
          <w:rFonts w:hint="eastAsia" w:ascii="黑体" w:hAnsi="Calibri" w:eastAsia="黑体" w:cs="黑体"/>
          <w:b/>
          <w:bCs/>
          <w:sz w:val="52"/>
          <w:szCs w:val="52"/>
        </w:rPr>
        <w:t>第四章</w:t>
      </w:r>
    </w:p>
    <w:p>
      <w:pPr>
        <w:widowControl w:val="0"/>
        <w:spacing w:line="780" w:lineRule="exact"/>
        <w:jc w:val="center"/>
        <w:rPr>
          <w:rFonts w:ascii="黑体" w:hAnsi="Calibri" w:eastAsia="黑体" w:cs="Times New Roman"/>
          <w:b/>
          <w:bCs/>
          <w:sz w:val="52"/>
          <w:szCs w:val="52"/>
        </w:rPr>
      </w:pPr>
      <w:r>
        <w:rPr>
          <w:rFonts w:hint="eastAsia" w:ascii="黑体" w:hAnsi="Calibri" w:eastAsia="黑体" w:cs="黑体"/>
          <w:b/>
          <w:bCs/>
          <w:sz w:val="52"/>
          <w:szCs w:val="52"/>
        </w:rPr>
        <w:t>技术服务要求及货物需求一览表</w:t>
      </w:r>
    </w:p>
    <w:p>
      <w:pPr>
        <w:widowControl w:val="0"/>
        <w:spacing w:line="360" w:lineRule="auto"/>
        <w:rPr>
          <w:rFonts w:ascii="宋体" w:hAnsi="Calibri" w:cs="Times New Roman"/>
          <w:b/>
          <w:bCs/>
          <w:sz w:val="24"/>
          <w:szCs w:val="24"/>
        </w:rPr>
      </w:pPr>
    </w:p>
    <w:p>
      <w:pPr>
        <w:widowControl w:val="0"/>
        <w:spacing w:line="780" w:lineRule="exact"/>
        <w:jc w:val="center"/>
        <w:rPr>
          <w:rFonts w:ascii="Calibri" w:hAnsi="Calibri" w:cs="Times New Roman"/>
          <w:color w:val="000000"/>
          <w:sz w:val="32"/>
          <w:szCs w:val="32"/>
        </w:rPr>
        <w:sectPr>
          <w:pgSz w:w="11906" w:h="16838"/>
          <w:pgMar w:top="1440" w:right="1803" w:bottom="1440" w:left="1803" w:header="851" w:footer="992" w:gutter="0"/>
          <w:cols w:space="0" w:num="1"/>
          <w:docGrid w:type="lines" w:linePitch="325" w:charSpace="0"/>
        </w:sectPr>
      </w:pPr>
      <w:r>
        <w:rPr>
          <w:rFonts w:ascii="Calibri" w:hAnsi="Calibri" w:cs="Times New Roman"/>
          <w:color w:val="000000"/>
          <w:sz w:val="32"/>
          <w:szCs w:val="32"/>
        </w:rPr>
        <w:br w:type="page"/>
      </w:r>
    </w:p>
    <w:p>
      <w:pPr>
        <w:pStyle w:val="20"/>
        <w:snapToGrid w:val="0"/>
        <w:outlineLvl w:val="0"/>
        <w:rPr>
          <w:rFonts w:hAnsi="宋体" w:cs="宋体"/>
        </w:rPr>
      </w:pPr>
    </w:p>
    <w:p>
      <w:pPr>
        <w:widowControl w:val="0"/>
        <w:spacing w:line="24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技术服务要求及货物需求一览表</w:t>
      </w:r>
      <w:bookmarkStart w:id="29" w:name="_Toc172029178"/>
      <w:bookmarkStart w:id="30" w:name="_Toc173836489"/>
      <w:bookmarkStart w:id="31" w:name="_Toc212628254"/>
      <w:bookmarkStart w:id="32" w:name="_Toc202244736"/>
    </w:p>
    <w:p>
      <w:pPr>
        <w:pStyle w:val="9"/>
        <w:spacing w:line="240" w:lineRule="auto"/>
        <w:ind w:firstLine="0"/>
        <w:rPr>
          <w:rFonts w:hint="eastAsia" w:ascii="宋体" w:hAnsi="宋体" w:eastAsia="宋体" w:cs="宋体"/>
          <w:snapToGrid/>
          <w:color w:val="auto"/>
          <w:kern w:val="2"/>
          <w:sz w:val="21"/>
          <w:szCs w:val="21"/>
        </w:rPr>
      </w:pPr>
    </w:p>
    <w:p>
      <w:pPr>
        <w:spacing w:line="240" w:lineRule="auto"/>
        <w:ind w:left="720"/>
        <w:rPr>
          <w:rFonts w:hint="eastAsia" w:ascii="宋体" w:hAnsi="宋体" w:eastAsia="宋体" w:cs="宋体"/>
          <w:color w:val="000000"/>
          <w:sz w:val="21"/>
          <w:szCs w:val="21"/>
        </w:rPr>
      </w:pPr>
    </w:p>
    <w:p>
      <w:pPr>
        <w:pStyle w:val="19"/>
        <w:spacing w:line="240" w:lineRule="auto"/>
        <w:ind w:left="0" w:leftChars="0" w:firstLine="420" w:firstLineChars="200"/>
        <w:rPr>
          <w:rFonts w:hint="eastAsia" w:ascii="宋体" w:hAnsi="宋体" w:eastAsia="宋体" w:cs="宋体"/>
          <w:sz w:val="21"/>
          <w:szCs w:val="21"/>
        </w:rPr>
      </w:pPr>
      <w:r>
        <w:rPr>
          <w:rFonts w:hint="eastAsia" w:ascii="宋体" w:hAnsi="宋体" w:eastAsia="宋体" w:cs="宋体"/>
          <w:sz w:val="21"/>
          <w:szCs w:val="21"/>
        </w:rPr>
        <w:t>本次采购项目为</w:t>
      </w:r>
      <w:r>
        <w:rPr>
          <w:rFonts w:hint="eastAsia" w:ascii="宋体" w:hAnsi="宋体" w:eastAsia="宋体" w:cs="宋体"/>
          <w:sz w:val="21"/>
          <w:szCs w:val="21"/>
          <w:lang w:eastAsia="zh-CN"/>
        </w:rPr>
        <w:t>永康市第三中学校园网络监控改造</w:t>
      </w:r>
      <w:r>
        <w:rPr>
          <w:rFonts w:hint="eastAsia" w:ascii="宋体" w:hAnsi="宋体" w:eastAsia="宋体" w:cs="宋体"/>
          <w:sz w:val="21"/>
          <w:szCs w:val="21"/>
        </w:rPr>
        <w:t>采购</w:t>
      </w:r>
      <w:r>
        <w:rPr>
          <w:rFonts w:hint="eastAsia" w:ascii="宋体" w:hAnsi="宋体" w:eastAsia="宋体" w:cs="宋体"/>
          <w:sz w:val="21"/>
          <w:szCs w:val="21"/>
          <w:lang w:eastAsia="zh-CN"/>
        </w:rPr>
        <w:t>，</w:t>
      </w:r>
      <w:r>
        <w:rPr>
          <w:rFonts w:hint="eastAsia" w:ascii="宋体" w:hAnsi="宋体" w:eastAsia="宋体" w:cs="宋体"/>
          <w:sz w:val="21"/>
          <w:szCs w:val="21"/>
          <w:highlight w:val="none"/>
          <w:lang w:eastAsia="zh-CN"/>
        </w:rPr>
        <w:t>项目预算为</w:t>
      </w:r>
      <w:r>
        <w:rPr>
          <w:rFonts w:hint="eastAsia" w:ascii="宋体" w:hAnsi="宋体" w:eastAsia="宋体" w:cs="宋体"/>
          <w:sz w:val="21"/>
          <w:szCs w:val="21"/>
          <w:highlight w:val="none"/>
          <w:lang w:val="en-US" w:eastAsia="zh-CN"/>
        </w:rPr>
        <w:t>96.3万元</w:t>
      </w:r>
      <w:r>
        <w:rPr>
          <w:rFonts w:hint="eastAsia" w:ascii="宋体" w:hAnsi="宋体" w:eastAsia="宋体" w:cs="宋体"/>
          <w:sz w:val="21"/>
          <w:szCs w:val="21"/>
        </w:rPr>
        <w:t>，详见货物需求。</w:t>
      </w:r>
      <w:bookmarkEnd w:id="29"/>
      <w:bookmarkEnd w:id="30"/>
      <w:bookmarkEnd w:id="31"/>
      <w:bookmarkEnd w:id="32"/>
    </w:p>
    <w:p>
      <w:pPr>
        <w:pStyle w:val="20"/>
        <w:snapToGrid w:val="0"/>
        <w:spacing w:line="240" w:lineRule="auto"/>
        <w:jc w:val="both"/>
        <w:outlineLvl w:val="0"/>
        <w:rPr>
          <w:rFonts w:hint="eastAsia" w:ascii="宋体" w:hAnsi="宋体" w:eastAsia="宋体" w:cs="宋体"/>
          <w:sz w:val="21"/>
          <w:szCs w:val="21"/>
          <w:lang w:eastAsia="zh-CN"/>
        </w:rPr>
      </w:pPr>
      <w:r>
        <w:rPr>
          <w:rFonts w:hint="eastAsia" w:ascii="宋体" w:hAnsi="宋体" w:eastAsia="宋体" w:cs="宋体"/>
          <w:b/>
          <w:bCs/>
          <w:color w:val="auto"/>
          <w:sz w:val="21"/>
          <w:szCs w:val="21"/>
          <w:lang w:eastAsia="zh-CN"/>
        </w:rPr>
        <w:t>一、项目总体</w:t>
      </w:r>
      <w:r>
        <w:rPr>
          <w:rFonts w:hint="eastAsia" w:ascii="宋体" w:hAnsi="宋体" w:eastAsia="宋体" w:cs="宋体"/>
          <w:b/>
          <w:bCs/>
          <w:color w:val="auto"/>
          <w:sz w:val="21"/>
          <w:szCs w:val="21"/>
        </w:rPr>
        <w:t>要求</w:t>
      </w:r>
    </w:p>
    <w:p>
      <w:pPr>
        <w:spacing w:line="240" w:lineRule="auto"/>
        <w:ind w:left="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1、说明</w:t>
      </w:r>
      <w:r>
        <w:rPr>
          <w:rFonts w:hint="eastAsia" w:ascii="宋体" w:hAnsi="宋体" w:eastAsia="宋体" w:cs="宋体"/>
          <w:b/>
          <w:color w:val="auto"/>
          <w:sz w:val="21"/>
          <w:szCs w:val="21"/>
          <w:highlight w:val="none"/>
          <w:lang w:eastAsia="zh-CN"/>
        </w:rPr>
        <w:t>：</w:t>
      </w:r>
    </w:p>
    <w:p>
      <w:pPr>
        <w:numPr>
          <w:ilvl w:val="0"/>
          <w:numId w:val="0"/>
        </w:numPr>
        <w:tabs>
          <w:tab w:val="left" w:pos="322"/>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供需双方签订采购合同条款的依据是《中华人民共和国合同法》；</w:t>
      </w:r>
    </w:p>
    <w:p>
      <w:pPr>
        <w:numPr>
          <w:ilvl w:val="0"/>
          <w:numId w:val="0"/>
        </w:numPr>
        <w:tabs>
          <w:tab w:val="left" w:pos="316"/>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招标文件、投标文件、技术澄清及询标承诺的所有内容是构成合同不可分割的部分，与合同具有同等法律效力。当文件有相互矛盾之处，以时间后者为准。</w:t>
      </w:r>
    </w:p>
    <w:p>
      <w:pPr>
        <w:numPr>
          <w:ilvl w:val="0"/>
          <w:numId w:val="0"/>
        </w:numPr>
        <w:tabs>
          <w:tab w:val="left" w:pos="322"/>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合同</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的价款应与投标中确定的中标人投标报价相一致。</w:t>
      </w:r>
    </w:p>
    <w:p>
      <w:pPr>
        <w:numPr>
          <w:ilvl w:val="0"/>
          <w:numId w:val="0"/>
        </w:numPr>
        <w:tabs>
          <w:tab w:val="left" w:pos="316"/>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w:t>
      </w:r>
      <w:r>
        <w:rPr>
          <w:rFonts w:hint="eastAsia" w:ascii="宋体" w:hAnsi="宋体" w:eastAsia="宋体" w:cs="宋体"/>
          <w:color w:val="auto"/>
          <w:sz w:val="21"/>
          <w:szCs w:val="21"/>
          <w:highlight w:val="none"/>
        </w:rPr>
        <w:t>合同</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的质量、技术标准如在投标、投标文件中无相应说明的则按最近的国家或专业标准及相应的国际标准执行。</w:t>
      </w:r>
    </w:p>
    <w:p>
      <w:pPr>
        <w:pStyle w:val="2"/>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1.5 施工单位应严格执行国家和部委的有关施工标准和技术规定。施工单位在施工前应做好施工场地和各种设备器材的检查，在施工过程中严格检查认真管理，保证施工质量。</w:t>
      </w:r>
    </w:p>
    <w:p>
      <w:pPr>
        <w:pStyle w:val="2"/>
        <w:spacing w:line="240" w:lineRule="auto"/>
        <w:ind w:firstLine="210" w:firstLineChars="100"/>
        <w:rPr>
          <w:rFonts w:hint="default" w:eastAsia="宋体"/>
          <w:lang w:val="en-US" w:eastAsia="zh-CN"/>
        </w:rPr>
      </w:pPr>
      <w:r>
        <w:rPr>
          <w:rFonts w:hint="eastAsia" w:ascii="宋体" w:hAnsi="宋体" w:eastAsia="宋体" w:cs="宋体"/>
          <w:color w:val="auto"/>
          <w:sz w:val="21"/>
          <w:szCs w:val="21"/>
          <w:highlight w:val="none"/>
          <w:lang w:val="en-US" w:eastAsia="zh-CN"/>
        </w:rPr>
        <w:t>1.6</w:t>
      </w:r>
      <w:r>
        <w:rPr>
          <w:rFonts w:hint="eastAsia"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弱电施工规范是按照中华人民共和国公共安全行业标准，适用于所有安全防范工程，标准号是GA/T 75-94。</w:t>
      </w:r>
    </w:p>
    <w:p>
      <w:pPr>
        <w:spacing w:line="240" w:lineRule="auto"/>
        <w:ind w:left="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2、现场指导及技术服务</w:t>
      </w:r>
      <w:r>
        <w:rPr>
          <w:rFonts w:hint="eastAsia" w:ascii="宋体" w:hAnsi="宋体" w:eastAsia="宋体" w:cs="宋体"/>
          <w:b/>
          <w:color w:val="auto"/>
          <w:sz w:val="21"/>
          <w:szCs w:val="21"/>
          <w:highlight w:val="none"/>
          <w:lang w:eastAsia="zh-CN"/>
        </w:rPr>
        <w:t>：</w:t>
      </w:r>
    </w:p>
    <w:p>
      <w:pPr>
        <w:numPr>
          <w:ilvl w:val="0"/>
          <w:numId w:val="0"/>
        </w:numPr>
        <w:tabs>
          <w:tab w:val="left" w:pos="362"/>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供方人员在服务期间的费用由供方负责。</w:t>
      </w:r>
    </w:p>
    <w:p>
      <w:pPr>
        <w:numPr>
          <w:ilvl w:val="0"/>
          <w:numId w:val="0"/>
        </w:numPr>
        <w:tabs>
          <w:tab w:val="left" w:pos="362"/>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供方人员在需方服务期间应遵守有关部门的管理，并遵照相关的规定。</w:t>
      </w:r>
    </w:p>
    <w:p>
      <w:pPr>
        <w:numPr>
          <w:ilvl w:val="0"/>
          <w:numId w:val="0"/>
        </w:numPr>
        <w:tabs>
          <w:tab w:val="left" w:pos="362"/>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2.3培训：</w:t>
      </w:r>
      <w:r>
        <w:rPr>
          <w:rFonts w:hint="eastAsia" w:ascii="宋体" w:hAnsi="宋体" w:eastAsia="宋体" w:cs="宋体"/>
          <w:color w:val="auto"/>
          <w:sz w:val="21"/>
          <w:szCs w:val="21"/>
          <w:highlight w:val="none"/>
        </w:rPr>
        <w:t>中标供应商应派专业技术人员对采购人相关人员提供现场培训，培训内容包括产品的功能、操作、日常维护、一般故障处理等内容。培训涉及的所费用由中标供应商承担。</w:t>
      </w:r>
    </w:p>
    <w:p>
      <w:pPr>
        <w:spacing w:line="240" w:lineRule="auto"/>
        <w:ind w:left="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3、投标报价的说明</w:t>
      </w:r>
      <w:r>
        <w:rPr>
          <w:rFonts w:hint="eastAsia" w:ascii="宋体" w:hAnsi="宋体" w:eastAsia="宋体" w:cs="宋体"/>
          <w:b/>
          <w:color w:val="auto"/>
          <w:sz w:val="21"/>
          <w:szCs w:val="21"/>
          <w:highlight w:val="none"/>
          <w:lang w:eastAsia="zh-CN"/>
        </w:rPr>
        <w:t>：</w:t>
      </w:r>
    </w:p>
    <w:p>
      <w:pPr>
        <w:numPr>
          <w:ilvl w:val="0"/>
          <w:numId w:val="0"/>
        </w:numPr>
        <w:tabs>
          <w:tab w:val="left" w:pos="316"/>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3.1</w:t>
      </w:r>
      <w:r>
        <w:rPr>
          <w:rFonts w:hint="eastAsia" w:ascii="宋体" w:hAnsi="宋体" w:eastAsia="宋体" w:cs="宋体"/>
          <w:color w:val="auto"/>
          <w:sz w:val="21"/>
          <w:szCs w:val="21"/>
          <w:highlight w:val="none"/>
        </w:rPr>
        <w:t>本次投标的投标报价为</w:t>
      </w:r>
      <w:r>
        <w:rPr>
          <w:rFonts w:hint="eastAsia" w:ascii="宋体" w:hAnsi="宋体" w:eastAsia="宋体" w:cs="宋体"/>
          <w:color w:val="auto"/>
          <w:sz w:val="21"/>
          <w:szCs w:val="21"/>
          <w:highlight w:val="none"/>
          <w:lang w:eastAsia="zh-CN"/>
        </w:rPr>
        <w:t>招标需求</w:t>
      </w:r>
      <w:r>
        <w:rPr>
          <w:rFonts w:hint="eastAsia" w:ascii="宋体" w:hAnsi="宋体" w:eastAsia="宋体" w:cs="宋体"/>
          <w:color w:val="auto"/>
          <w:sz w:val="21"/>
          <w:szCs w:val="21"/>
          <w:highlight w:val="none"/>
        </w:rPr>
        <w:t>中提供招标所列</w:t>
      </w:r>
      <w:r>
        <w:rPr>
          <w:rFonts w:hint="eastAsia" w:ascii="宋体" w:hAnsi="宋体" w:eastAsia="宋体" w:cs="宋体"/>
          <w:color w:val="auto"/>
          <w:sz w:val="21"/>
          <w:szCs w:val="21"/>
          <w:highlight w:val="none"/>
          <w:lang w:eastAsia="zh-CN"/>
        </w:rPr>
        <w:t>各智能化系统</w:t>
      </w:r>
      <w:r>
        <w:rPr>
          <w:rFonts w:hint="eastAsia" w:ascii="宋体" w:hAnsi="宋体" w:eastAsia="宋体" w:cs="宋体"/>
          <w:color w:val="auto"/>
          <w:sz w:val="21"/>
          <w:szCs w:val="21"/>
          <w:highlight w:val="none"/>
        </w:rPr>
        <w:t>的报价。中标后不得调整，包括投标人发生的差错及有关定额和收费方面政策性调整文件导致的费用变更及市场行情的涨落因素。</w:t>
      </w:r>
      <w:r>
        <w:rPr>
          <w:rFonts w:hint="eastAsia" w:ascii="宋体" w:hAnsi="宋体" w:eastAsia="宋体" w:cs="宋体"/>
          <w:color w:val="auto"/>
          <w:sz w:val="21"/>
          <w:szCs w:val="21"/>
          <w:highlight w:val="none"/>
          <w:lang w:val="en-US" w:eastAsia="zh-CN"/>
        </w:rPr>
        <w:t>本项目为交钥匙工程，供方除需保证完成清单中的全部具体内容与要求的集成工作，其它为保障工程完成所需的所有产品、配件、材料与系统有偏差的全部由中标方负责（采购人不组织统一踏勘）。</w:t>
      </w:r>
    </w:p>
    <w:p>
      <w:pPr>
        <w:numPr>
          <w:ilvl w:val="0"/>
          <w:numId w:val="0"/>
        </w:numPr>
        <w:tabs>
          <w:tab w:val="left" w:pos="316"/>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3.2</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包含的</w:t>
      </w:r>
      <w:r>
        <w:rPr>
          <w:rFonts w:hint="eastAsia" w:ascii="宋体" w:hAnsi="宋体" w:eastAsia="宋体" w:cs="宋体"/>
          <w:color w:val="auto"/>
          <w:sz w:val="21"/>
          <w:szCs w:val="21"/>
          <w:highlight w:val="none"/>
          <w:lang w:eastAsia="zh-CN"/>
        </w:rPr>
        <w:t>安装、</w:t>
      </w:r>
      <w:r>
        <w:rPr>
          <w:rFonts w:hint="eastAsia" w:ascii="宋体" w:hAnsi="宋体" w:eastAsia="宋体" w:cs="宋体"/>
          <w:color w:val="auto"/>
          <w:sz w:val="21"/>
          <w:szCs w:val="21"/>
          <w:highlight w:val="none"/>
        </w:rPr>
        <w:t>调试</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验收</w:t>
      </w:r>
      <w:r>
        <w:rPr>
          <w:rFonts w:hint="eastAsia" w:ascii="宋体" w:hAnsi="宋体" w:eastAsia="宋体" w:cs="宋体"/>
          <w:color w:val="auto"/>
          <w:sz w:val="21"/>
          <w:szCs w:val="21"/>
          <w:highlight w:val="none"/>
          <w:lang w:eastAsia="zh-CN"/>
        </w:rPr>
        <w:t>、检测</w:t>
      </w:r>
      <w:r>
        <w:rPr>
          <w:rFonts w:hint="eastAsia" w:ascii="宋体" w:hAnsi="宋体" w:eastAsia="宋体" w:cs="宋体"/>
          <w:color w:val="auto"/>
          <w:sz w:val="21"/>
          <w:szCs w:val="21"/>
          <w:highlight w:val="none"/>
        </w:rPr>
        <w:t>、技术人员培训、管理、保险、税费、利润及其它投标人应承担的一切工作所发生的费用均包括在投标报价中，招标人不另行支付。</w:t>
      </w:r>
    </w:p>
    <w:p>
      <w:pPr>
        <w:spacing w:line="240" w:lineRule="auto"/>
        <w:ind w:left="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4、服务响应时间：</w:t>
      </w:r>
    </w:p>
    <w:p>
      <w:pPr>
        <w:pStyle w:val="119"/>
        <w:spacing w:line="240" w:lineRule="auto"/>
        <w:ind w:left="1"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4.1提供7*24技术服务；供应商接到报修电话后，半小时内能电话响应，一小时内远程服务响应，二小时内现场响应。</w:t>
      </w:r>
      <w:r>
        <w:rPr>
          <w:rFonts w:hint="eastAsia" w:ascii="宋体" w:hAnsi="宋体" w:eastAsia="宋体" w:cs="宋体"/>
          <w:b w:val="0"/>
          <w:bCs w:val="0"/>
          <w:color w:val="auto"/>
          <w:sz w:val="21"/>
          <w:szCs w:val="21"/>
        </w:rPr>
        <w:t>中标供应商需要提供本地化服务及定期巡检</w:t>
      </w:r>
      <w:r>
        <w:rPr>
          <w:rFonts w:hint="eastAsia" w:ascii="宋体" w:hAnsi="宋体" w:eastAsia="宋体" w:cs="宋体"/>
          <w:b w:val="0"/>
          <w:bCs w:val="0"/>
          <w:color w:val="auto"/>
          <w:sz w:val="21"/>
          <w:szCs w:val="21"/>
          <w:lang w:eastAsia="zh-CN"/>
        </w:rPr>
        <w:t>。</w:t>
      </w:r>
    </w:p>
    <w:p>
      <w:pPr>
        <w:spacing w:line="240" w:lineRule="auto"/>
        <w:ind w:left="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5、验收标准：</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5.1甲方对乙方提交的货物依据招标文件上的技术规格要求和国家有关质量标准进行现场初步验收，外观、说明书符合招标文件技术要求的，给予签收，初步验收不合格的不予签收。货到后，甲方需在五个工作日内签收。</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5.2乙方交货前应对产品作出全面检查和对验收文件进行整理，并列出清单，作为甲方收货验收和使用的技术条件依据，检验的结果应随货物交甲方。</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5.3甲方对乙方提供的货物在使用前进行调试时，乙方需负责安装并培训甲方的使用操作人员，并协助甲方一起调试，直到符合技术要求，甲方才做最终验收。</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5.4验收时乙方必须在现场，验收完毕后作出验收结果报告。</w:t>
      </w:r>
    </w:p>
    <w:p>
      <w:pPr>
        <w:spacing w:line="24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6、验收：</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6.1本项目为交钥匙工程，供方除需保证完成清单中的全部具体内容与要求的集成工作，其它为保障工程完成所需的所有产品、配件、材料与系统有偏差的全部由中标方负责（采购人不组织统一踏勘）。</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6.2必须由具有专业资质人员安装。</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6.3项目设备安装调试，采购人将按规定对货物的品牌、外观、规格、参数配置、数量、配件及安装调试后的使用性能、运行状况、技术资料及其他进行验收，中标人必须在验收现场提供必要的技术支持，验收费用由中标人承担。</w:t>
      </w:r>
    </w:p>
    <w:p>
      <w:pPr>
        <w:spacing w:line="24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6.4如发生所供设备与招标文件中规定的设备不符，由此产生的一切责任和后果由中标人承担。</w:t>
      </w:r>
    </w:p>
    <w:p>
      <w:pPr>
        <w:spacing w:line="24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6.5质量符合国际或国家通用标准，满足招标文件技术标准部分所规定的全部功能。加“▲”的为关键技术指标，不允许负偏离。如出现质量问题或系假冒伪劣产品，供方负责包退、包换，因此而涉及的全部违约责任和费用由供应方承担。</w:t>
      </w:r>
    </w:p>
    <w:p>
      <w:pPr>
        <w:spacing w:line="240" w:lineRule="auto"/>
        <w:ind w:left="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7</w:t>
      </w:r>
      <w:r>
        <w:rPr>
          <w:rFonts w:hint="eastAsia" w:ascii="宋体" w:hAnsi="宋体" w:eastAsia="宋体" w:cs="宋体"/>
          <w:b/>
          <w:color w:val="auto"/>
          <w:sz w:val="21"/>
          <w:szCs w:val="21"/>
          <w:highlight w:val="none"/>
        </w:rPr>
        <w:t>、质量保证</w:t>
      </w:r>
      <w:r>
        <w:rPr>
          <w:rFonts w:hint="eastAsia" w:ascii="宋体" w:hAnsi="宋体" w:eastAsia="宋体" w:cs="宋体"/>
          <w:b/>
          <w:color w:val="auto"/>
          <w:sz w:val="21"/>
          <w:szCs w:val="21"/>
          <w:highlight w:val="none"/>
          <w:lang w:eastAsia="zh-CN"/>
        </w:rPr>
        <w:t>：</w:t>
      </w:r>
    </w:p>
    <w:p>
      <w:pPr>
        <w:spacing w:line="240" w:lineRule="auto"/>
        <w:ind w:firstLine="210" w:firstLineChars="1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7.1</w:t>
      </w:r>
      <w:r>
        <w:rPr>
          <w:rFonts w:hint="eastAsia" w:ascii="宋体" w:hAnsi="宋体" w:eastAsia="宋体" w:cs="宋体"/>
          <w:color w:val="auto"/>
          <w:sz w:val="21"/>
          <w:szCs w:val="21"/>
          <w:highlight w:val="none"/>
        </w:rPr>
        <w:t>乙方保证所提供的</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是符合国家技术规格和投标文件中所承诺的</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质量标准的。如发生所供</w:t>
      </w:r>
      <w:r>
        <w:rPr>
          <w:rFonts w:hint="eastAsia" w:ascii="宋体" w:hAnsi="宋体" w:eastAsia="宋体" w:cs="宋体"/>
          <w:color w:val="auto"/>
          <w:sz w:val="21"/>
          <w:szCs w:val="21"/>
          <w:highlight w:val="none"/>
          <w:lang w:eastAsia="zh-CN"/>
        </w:rPr>
        <w:t>货物</w:t>
      </w:r>
      <w:r>
        <w:rPr>
          <w:rFonts w:hint="eastAsia" w:ascii="宋体" w:hAnsi="宋体" w:eastAsia="宋体" w:cs="宋体"/>
          <w:color w:val="auto"/>
          <w:sz w:val="21"/>
          <w:szCs w:val="21"/>
          <w:highlight w:val="none"/>
        </w:rPr>
        <w:t>与合同不符，甲方（使用方）有权拒收验收，由此产生的一切责任和后果由乙方承担</w:t>
      </w:r>
      <w:r>
        <w:rPr>
          <w:rFonts w:hint="eastAsia" w:ascii="宋体" w:hAnsi="宋体" w:eastAsia="宋体" w:cs="宋体"/>
          <w:color w:val="auto"/>
          <w:sz w:val="21"/>
          <w:szCs w:val="21"/>
          <w:highlight w:val="none"/>
          <w:lang w:eastAsia="zh-CN"/>
        </w:rPr>
        <w:t>：</w:t>
      </w:r>
    </w:p>
    <w:p>
      <w:pPr>
        <w:spacing w:line="24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满足招标内容与技术需求中的要求。</w:t>
      </w:r>
    </w:p>
    <w:p>
      <w:pPr>
        <w:spacing w:line="24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eastAsia="zh-CN"/>
        </w:rPr>
        <w:t>人</w:t>
      </w:r>
      <w:r>
        <w:rPr>
          <w:rFonts w:hint="eastAsia" w:ascii="宋体" w:hAnsi="宋体" w:eastAsia="宋体" w:cs="宋体"/>
          <w:color w:val="auto"/>
          <w:sz w:val="21"/>
          <w:szCs w:val="21"/>
          <w:highlight w:val="none"/>
        </w:rPr>
        <w:t>在投标文件中应提供安装调试计划、对安装场地和环境的要求。</w:t>
      </w:r>
    </w:p>
    <w:p>
      <w:pPr>
        <w:spacing w:line="240" w:lineRule="auto"/>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供货与安装：在规定的时间内由于中标供应商的原因不能完成安装和调试，中标供应商应承担由此给用户造成的损失。</w:t>
      </w:r>
    </w:p>
    <w:p>
      <w:pPr>
        <w:spacing w:line="240" w:lineRule="auto"/>
        <w:ind w:firstLine="210" w:firstLineChars="100"/>
        <w:rPr>
          <w:rFonts w:hint="eastAsia" w:ascii="宋体" w:hAnsi="宋体" w:eastAsia="宋体" w:cs="宋体"/>
          <w:sz w:val="21"/>
          <w:szCs w:val="21"/>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安装标准：符合我国国家有关技术规范要求和技术标准，所有的设备必须保证同时安装到位。</w:t>
      </w:r>
    </w:p>
    <w:p>
      <w:pPr>
        <w:spacing w:line="240" w:lineRule="auto"/>
        <w:ind w:left="2"/>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8、售后服务：</w:t>
      </w:r>
    </w:p>
    <w:p>
      <w:pPr>
        <w:spacing w:line="240" w:lineRule="auto"/>
        <w:ind w:left="2"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8.1质保期：</w:t>
      </w:r>
      <w:r>
        <w:rPr>
          <w:rFonts w:hint="eastAsia" w:ascii="宋体" w:hAnsi="宋体" w:eastAsia="宋体" w:cs="宋体"/>
          <w:color w:val="auto"/>
          <w:sz w:val="21"/>
          <w:szCs w:val="21"/>
          <w:highlight w:val="none"/>
          <w:u w:val="none"/>
          <w:lang w:val="en-US" w:eastAsia="zh-CN"/>
        </w:rPr>
        <w:t>至少3年（通过验收之日起）；</w:t>
      </w:r>
    </w:p>
    <w:p>
      <w:pPr>
        <w:spacing w:line="240" w:lineRule="auto"/>
        <w:ind w:left="2" w:firstLine="210" w:firstLineChars="100"/>
        <w:rPr>
          <w:rFonts w:hint="eastAsia" w:ascii="宋体" w:hAnsi="宋体" w:eastAsia="宋体" w:cs="宋体"/>
          <w:sz w:val="21"/>
          <w:szCs w:val="21"/>
          <w:lang w:val="en-US" w:eastAsia="zh-CN"/>
        </w:rPr>
      </w:pPr>
      <w:r>
        <w:rPr>
          <w:rFonts w:hint="eastAsia" w:ascii="宋体" w:hAnsi="宋体" w:eastAsia="宋体" w:cs="宋体"/>
          <w:color w:val="auto"/>
          <w:sz w:val="21"/>
          <w:szCs w:val="21"/>
          <w:highlight w:val="none"/>
          <w:lang w:val="en-US" w:eastAsia="zh-CN"/>
        </w:rPr>
        <w:t>8.2提供7*24技术服务；供应商接到报修电话后，半小时内能电话响应，一小时内远程服务响应，三小时内现场响应。</w:t>
      </w:r>
    </w:p>
    <w:p>
      <w:pPr>
        <w:numPr>
          <w:ilvl w:val="0"/>
          <w:numId w:val="8"/>
        </w:numPr>
        <w:spacing w:line="240" w:lineRule="auto"/>
        <w:ind w:left="2"/>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付款方法和条件</w:t>
      </w:r>
      <w:r>
        <w:rPr>
          <w:rFonts w:hint="eastAsia" w:ascii="宋体" w:hAnsi="宋体" w:eastAsia="宋体" w:cs="宋体"/>
          <w:b/>
          <w:color w:val="auto"/>
          <w:sz w:val="21"/>
          <w:szCs w:val="21"/>
          <w:highlight w:val="none"/>
          <w:lang w:eastAsia="zh-CN"/>
        </w:rPr>
        <w:t>：</w:t>
      </w:r>
    </w:p>
    <w:p>
      <w:pPr>
        <w:widowControl w:val="0"/>
        <w:spacing w:line="240" w:lineRule="auto"/>
        <w:ind w:firstLine="210" w:firstLineChars="100"/>
        <w:rPr>
          <w:rFonts w:hint="eastAsia" w:ascii="宋体" w:hAnsi="宋体" w:eastAsia="宋体" w:cs="宋体"/>
          <w:sz w:val="21"/>
          <w:szCs w:val="21"/>
        </w:rPr>
      </w:pPr>
      <w:r>
        <w:rPr>
          <w:rFonts w:hint="eastAsia" w:ascii="宋体" w:hAnsi="宋体" w:eastAsia="宋体" w:cs="宋体"/>
          <w:sz w:val="21"/>
          <w:szCs w:val="21"/>
          <w:lang w:val="en-US" w:eastAsia="zh-CN"/>
        </w:rPr>
        <w:t>9.1</w:t>
      </w:r>
      <w:r>
        <w:rPr>
          <w:rFonts w:hint="eastAsia" w:ascii="宋体" w:hAnsi="宋体" w:eastAsia="宋体" w:cs="宋体"/>
          <w:sz w:val="21"/>
          <w:szCs w:val="21"/>
        </w:rPr>
        <w:t>在合同生效以及具备实施条件后 7 个工作日内支付合同总价款40%；</w:t>
      </w:r>
    </w:p>
    <w:p>
      <w:pPr>
        <w:widowControl w:val="0"/>
        <w:spacing w:line="240" w:lineRule="auto"/>
        <w:ind w:firstLine="210" w:firstLineChars="100"/>
        <w:rPr>
          <w:rFonts w:hint="eastAsia" w:ascii="宋体" w:hAnsi="宋体" w:eastAsia="宋体" w:cs="宋体"/>
          <w:sz w:val="21"/>
          <w:szCs w:val="21"/>
          <w:lang w:eastAsia="zh-CN"/>
        </w:rPr>
      </w:pPr>
      <w:r>
        <w:rPr>
          <w:rFonts w:hint="eastAsia" w:ascii="宋体" w:hAnsi="宋体" w:eastAsia="宋体" w:cs="宋体"/>
          <w:sz w:val="21"/>
          <w:szCs w:val="21"/>
          <w:lang w:val="en-US" w:eastAsia="zh-CN"/>
        </w:rPr>
        <w:t>9.2</w:t>
      </w:r>
      <w:r>
        <w:rPr>
          <w:rFonts w:hint="eastAsia" w:ascii="宋体" w:hAnsi="宋体" w:eastAsia="宋体" w:cs="宋体"/>
          <w:sz w:val="21"/>
          <w:szCs w:val="21"/>
        </w:rPr>
        <w:t>所有硬件设备软件安装调试完成开始试运行并完成培训及相关的修改验收合格，收到发票后7个工作日内支付合同总价款的60%。</w:t>
      </w:r>
    </w:p>
    <w:p>
      <w:pPr>
        <w:spacing w:line="240" w:lineRule="auto"/>
        <w:ind w:left="2"/>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10</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交货地点</w:t>
      </w:r>
      <w:r>
        <w:rPr>
          <w:rFonts w:hint="eastAsia" w:ascii="宋体" w:hAnsi="宋体" w:eastAsia="宋体" w:cs="宋体"/>
          <w:b/>
          <w:color w:val="auto"/>
          <w:sz w:val="21"/>
          <w:szCs w:val="21"/>
          <w:highlight w:val="none"/>
        </w:rPr>
        <w:t>与</w:t>
      </w:r>
      <w:r>
        <w:rPr>
          <w:rFonts w:hint="eastAsia" w:ascii="宋体" w:hAnsi="宋体" w:eastAsia="宋体" w:cs="宋体"/>
          <w:b/>
          <w:color w:val="auto"/>
          <w:sz w:val="21"/>
          <w:szCs w:val="21"/>
          <w:highlight w:val="none"/>
          <w:lang w:eastAsia="zh-CN"/>
        </w:rPr>
        <w:t>安装工期：</w:t>
      </w:r>
    </w:p>
    <w:p>
      <w:pPr>
        <w:numPr>
          <w:ilvl w:val="0"/>
          <w:numId w:val="0"/>
        </w:numPr>
        <w:tabs>
          <w:tab w:val="left" w:pos="362"/>
        </w:tabs>
        <w:spacing w:line="240" w:lineRule="auto"/>
        <w:ind w:leftChars="0" w:firstLine="210" w:firstLineChars="1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10.1</w:t>
      </w:r>
      <w:r>
        <w:rPr>
          <w:rFonts w:hint="eastAsia" w:ascii="宋体" w:hAnsi="宋体" w:eastAsia="宋体" w:cs="宋体"/>
          <w:color w:val="auto"/>
          <w:sz w:val="21"/>
          <w:szCs w:val="21"/>
          <w:highlight w:val="none"/>
          <w:lang w:eastAsia="zh-CN"/>
        </w:rPr>
        <w:t>交货</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lang w:val="en-US" w:eastAsia="zh-CN"/>
        </w:rPr>
        <w:t>采购人指定场地。所有中标设备必须原包装运送到指定地点，原包装内均需有生产厂商标识、装箱清单、使用说明书、质保卡、联系方式等。</w:t>
      </w:r>
    </w:p>
    <w:p>
      <w:pPr>
        <w:numPr>
          <w:ilvl w:val="0"/>
          <w:numId w:val="0"/>
        </w:numPr>
        <w:tabs>
          <w:tab w:val="left" w:pos="362"/>
        </w:tabs>
        <w:spacing w:line="240" w:lineRule="auto"/>
        <w:ind w:leftChars="0" w:firstLine="210" w:firstLineChars="100"/>
        <w:jc w:val="both"/>
        <w:rPr>
          <w:rFonts w:hint="eastAsia" w:ascii="宋体" w:hAnsi="宋体" w:eastAsia="宋体" w:cs="宋体"/>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10.2</w:t>
      </w:r>
      <w:r>
        <w:rPr>
          <w:rFonts w:hint="eastAsia" w:ascii="宋体" w:hAnsi="宋体" w:eastAsia="宋体" w:cs="宋体"/>
          <w:b w:val="0"/>
          <w:bCs w:val="0"/>
          <w:color w:val="auto"/>
          <w:sz w:val="21"/>
          <w:szCs w:val="21"/>
          <w:highlight w:val="none"/>
          <w:lang w:eastAsia="zh-CN"/>
        </w:rPr>
        <w:t>安装工期</w:t>
      </w:r>
      <w:r>
        <w:rPr>
          <w:rFonts w:hint="eastAsia" w:ascii="宋体" w:hAnsi="宋体" w:eastAsia="宋体" w:cs="宋体"/>
          <w:b w:val="0"/>
          <w:bCs w:val="0"/>
          <w:color w:val="auto"/>
          <w:sz w:val="21"/>
          <w:szCs w:val="21"/>
          <w:highlight w:val="none"/>
        </w:rPr>
        <w:t>：</w:t>
      </w:r>
      <w:r>
        <w:rPr>
          <w:rFonts w:hint="eastAsia" w:ascii="宋体" w:hAnsi="宋体" w:eastAsia="宋体" w:cs="宋体"/>
          <w:color w:val="auto"/>
          <w:sz w:val="21"/>
          <w:szCs w:val="21"/>
          <w:highlight w:val="none"/>
          <w:lang w:eastAsia="zh-CN"/>
        </w:rPr>
        <w:t>合同签订后</w:t>
      </w:r>
      <w:r>
        <w:rPr>
          <w:rFonts w:hint="eastAsia" w:ascii="宋体" w:hAnsi="宋体" w:eastAsia="宋体" w:cs="宋体"/>
          <w:color w:val="auto"/>
          <w:sz w:val="21"/>
          <w:szCs w:val="21"/>
          <w:highlight w:val="none"/>
          <w:lang w:val="en-US" w:eastAsia="zh-CN"/>
        </w:rPr>
        <w:t>1个月内完成交付，并安装调试验收完成</w:t>
      </w:r>
      <w:r>
        <w:rPr>
          <w:rFonts w:hint="eastAsia" w:ascii="宋体" w:hAnsi="宋体" w:eastAsia="宋体" w:cs="宋体"/>
          <w:color w:val="auto"/>
          <w:sz w:val="21"/>
          <w:szCs w:val="21"/>
          <w:highlight w:val="none"/>
          <w:lang w:eastAsia="zh-CN"/>
        </w:rPr>
        <w:t>。</w:t>
      </w:r>
    </w:p>
    <w:p>
      <w:pPr>
        <w:numPr>
          <w:ilvl w:val="0"/>
          <w:numId w:val="0"/>
        </w:numPr>
        <w:tabs>
          <w:tab w:val="left" w:pos="362"/>
        </w:tabs>
        <w:spacing w:line="240" w:lineRule="auto"/>
        <w:ind w:leftChars="0"/>
        <w:jc w:val="both"/>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11、安全要求：</w:t>
      </w:r>
    </w:p>
    <w:p>
      <w:pPr>
        <w:numPr>
          <w:ilvl w:val="0"/>
          <w:numId w:val="0"/>
        </w:numPr>
        <w:tabs>
          <w:tab w:val="left" w:pos="362"/>
        </w:tabs>
        <w:spacing w:line="240" w:lineRule="auto"/>
        <w:ind w:leftChars="0" w:firstLine="210" w:firstLineChars="10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11.1运输中注意设备的完整性，运输至项目现场处设备破损或影响其正常功能的，甲方有权拒收验收。</w:t>
      </w:r>
    </w:p>
    <w:p>
      <w:pPr>
        <w:numPr>
          <w:ilvl w:val="0"/>
          <w:numId w:val="0"/>
        </w:numPr>
        <w:tabs>
          <w:tab w:val="left" w:pos="362"/>
        </w:tabs>
        <w:spacing w:line="240" w:lineRule="auto"/>
        <w:ind w:leftChars="0" w:firstLine="210" w:firstLineChars="10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11.2中标单位在项目现场进行安装过程中应注意自身安全，要设置防护设备，参加工伤和意外伤害险，加强对安装人员的安全教育，在安装过程中，如发生意外事故的，由中标单位负全责。安装期间，中标人应妥善保管货物、产品、各种材料和器材，如有被盗和其它损失的，采购人不承担任何责任。</w:t>
      </w:r>
    </w:p>
    <w:p>
      <w:pPr>
        <w:spacing w:line="240" w:lineRule="auto"/>
        <w:ind w:firstLine="210" w:firstLineChars="10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11.3</w:t>
      </w:r>
      <w:r>
        <w:rPr>
          <w:rFonts w:hint="eastAsia" w:ascii="宋体" w:hAnsi="宋体" w:eastAsia="宋体" w:cs="宋体"/>
          <w:b w:val="0"/>
          <w:bCs w:val="0"/>
          <w:color w:val="auto"/>
          <w:sz w:val="21"/>
          <w:szCs w:val="21"/>
        </w:rPr>
        <w:t>中标人需文明安装，保证安全</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安装期间应妥善</w:t>
      </w:r>
      <w:r>
        <w:rPr>
          <w:rFonts w:hint="eastAsia" w:ascii="宋体" w:hAnsi="宋体" w:eastAsia="宋体" w:cs="宋体"/>
          <w:b w:val="0"/>
          <w:bCs w:val="0"/>
          <w:color w:val="auto"/>
          <w:sz w:val="21"/>
          <w:szCs w:val="21"/>
          <w:lang w:eastAsia="zh-CN"/>
        </w:rPr>
        <w:t>保护学校内相关物件</w:t>
      </w:r>
      <w:r>
        <w:rPr>
          <w:rFonts w:hint="eastAsia" w:ascii="宋体" w:hAnsi="宋体" w:eastAsia="宋体" w:cs="宋体"/>
          <w:b w:val="0"/>
          <w:bCs w:val="0"/>
          <w:color w:val="auto"/>
          <w:sz w:val="21"/>
          <w:szCs w:val="21"/>
        </w:rPr>
        <w:t>，中标人应妥善保管</w:t>
      </w:r>
      <w:r>
        <w:rPr>
          <w:rFonts w:hint="eastAsia" w:ascii="宋体" w:hAnsi="宋体" w:eastAsia="宋体" w:cs="宋体"/>
          <w:b w:val="0"/>
          <w:bCs w:val="0"/>
          <w:color w:val="auto"/>
          <w:sz w:val="21"/>
          <w:szCs w:val="21"/>
          <w:lang w:eastAsia="zh-CN"/>
        </w:rPr>
        <w:t>项目</w:t>
      </w:r>
      <w:r>
        <w:rPr>
          <w:rFonts w:hint="eastAsia" w:ascii="宋体" w:hAnsi="宋体" w:eastAsia="宋体" w:cs="宋体"/>
          <w:b w:val="0"/>
          <w:bCs w:val="0"/>
          <w:color w:val="auto"/>
          <w:sz w:val="21"/>
          <w:szCs w:val="21"/>
        </w:rPr>
        <w:t>货物、产品、各种材料和器材，如有被盗和其它损失的，采购人不承担任何责任。</w:t>
      </w:r>
    </w:p>
    <w:p>
      <w:pPr>
        <w:numPr>
          <w:ilvl w:val="0"/>
          <w:numId w:val="0"/>
        </w:numPr>
        <w:tabs>
          <w:tab w:val="left" w:pos="362"/>
        </w:tabs>
        <w:spacing w:line="240" w:lineRule="auto"/>
        <w:jc w:val="both"/>
        <w:rPr>
          <w:rFonts w:hint="eastAsia" w:ascii="宋体" w:hAnsi="宋体" w:eastAsia="宋体" w:cs="宋体"/>
          <w:sz w:val="21"/>
          <w:szCs w:val="21"/>
          <w:lang w:eastAsia="zh-CN"/>
        </w:rPr>
      </w:pPr>
      <w:r>
        <w:rPr>
          <w:rFonts w:hint="eastAsia" w:ascii="宋体" w:hAnsi="宋体" w:eastAsia="宋体" w:cs="宋体"/>
          <w:b/>
          <w:bCs/>
          <w:sz w:val="21"/>
          <w:szCs w:val="21"/>
          <w:lang w:val="en-US" w:eastAsia="zh-CN"/>
        </w:rPr>
        <w:t>12、其他事项：</w:t>
      </w:r>
      <w:r>
        <w:rPr>
          <w:rFonts w:hint="eastAsia" w:ascii="宋体" w:hAnsi="宋体" w:eastAsia="宋体" w:cs="宋体"/>
          <w:sz w:val="21"/>
          <w:szCs w:val="21"/>
          <w:lang w:val="en-US" w:eastAsia="zh-CN"/>
        </w:rPr>
        <w:t>投标单位应充分考虑产品报价，与总包单位妥善协商确保按时完工。</w:t>
      </w:r>
    </w:p>
    <w:p>
      <w:pPr>
        <w:keepNext w:val="0"/>
        <w:keepLines w:val="0"/>
        <w:pageBreakBefore/>
        <w:widowControl/>
        <w:numPr>
          <w:ilvl w:val="0"/>
          <w:numId w:val="9"/>
        </w:numPr>
        <w:kinsoku/>
        <w:wordWrap/>
        <w:overflowPunct/>
        <w:topLinePunct w:val="0"/>
        <w:autoSpaceDE/>
        <w:autoSpaceDN/>
        <w:bidi w:val="0"/>
        <w:adjustRightInd/>
        <w:snapToGrid/>
        <w:spacing w:line="240" w:lineRule="auto"/>
        <w:textAlignment w:val="auto"/>
        <w:outlineLvl w:val="0"/>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具体项目采购清单及参数</w:t>
      </w:r>
    </w:p>
    <w:p>
      <w:pPr>
        <w:pStyle w:val="2"/>
        <w:numPr>
          <w:ilvl w:val="0"/>
          <w:numId w:val="10"/>
        </w:numPr>
        <w:spacing w:line="240" w:lineRule="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校园网络</w:t>
      </w:r>
    </w:p>
    <w:tbl>
      <w:tblPr>
        <w:tblStyle w:val="36"/>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42"/>
        <w:gridCol w:w="736"/>
        <w:gridCol w:w="6198"/>
        <w:gridCol w:w="573"/>
        <w:gridCol w:w="5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43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设备名称</w:t>
            </w:r>
          </w:p>
        </w:tc>
        <w:tc>
          <w:tcPr>
            <w:tcW w:w="3641" w:type="pct"/>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widowControl/>
              <w:suppressLineNumbers w:val="0"/>
              <w:spacing w:line="240" w:lineRule="auto"/>
              <w:jc w:val="center"/>
              <w:textAlignment w:val="top"/>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规格要求</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48口接入交换机</w:t>
            </w:r>
          </w:p>
        </w:tc>
        <w:tc>
          <w:tcPr>
            <w:tcW w:w="364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1.交换容量≥880Gbps，包转发率≥402Mpps；</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2.固化48个10/100/1000M自适应电口，4个1G/10G SFP+光口，支持在64Bytes-1518Bytes下线速转发。</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3.整机采用绿色环保设计，满负荷情况下功耗≤70W，要求提供官网截图；</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4.要求所投设备MAC地址≥196K，路由表项≥64K；</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5.支持RIPv2，OSPFv2/v3，BGP4/4+，IS-ISv4/v6；</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6.支持IGMP v1/v2/v3，PIM-SM等组播协议；</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7.支持基于IPv4/IPv6五元组、基于源/目的MAC、基于VLAN、基于802.1P优先级的ACL；</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8.★支持特有的CPU保护策略，对发往CPU的数据流，进行流区分和优先级队列分级处理，并根据需要实施带宽限速，充分保护CPU不被非法流量占用、恶意攻击和资源消耗，提高官网截图及查询链接；</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9.★支持基础网络保护策略，限制用户向网络中发送ARP报文、ICMP请求报文、DHCP请求报文的数率，对超过限速阈值的报文进行丢弃处理，能够识别攻击行为，对有攻击行为的用户进行隔离，提高官网截图及查询链接；</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10.★支持基于流的采样功能，对所选数据流包头中的源IP地址、目的IP地址、协议号、源端口号、包长等信息进行采样，并发送至网管主机，投标时提供具有 CMA或CAL或 CNAS认证章的第三方权威机构检验报告证明；</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11.支持虚拟化功能，可将多台物理设备虚拟化为一台逻辑设备统一管理，并且链路故障的收敛时间达到毫秒级，提供官网截图；</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12.提供工信部三层交换机进网许可证,并且入网许可证须提供工信部官网查询结果截图及链接（标明是三层交换机入网证）；</w:t>
            </w:r>
          </w:p>
          <w:p>
            <w:pPr>
              <w:jc w:val="both"/>
              <w:textAlignment w:val="center"/>
              <w:rPr>
                <w:rFonts w:hint="eastAsia" w:ascii="宋体" w:cs="宋体"/>
                <w:color w:val="000000" w:themeColor="text1"/>
                <w14:textFill>
                  <w14:solidFill>
                    <w14:schemeClr w14:val="tx1"/>
                  </w14:solidFill>
                </w14:textFill>
              </w:rPr>
            </w:pPr>
            <w:r>
              <w:rPr>
                <w:rFonts w:hint="eastAsia" w:ascii="宋体" w:cs="宋体"/>
                <w:color w:val="000000" w:themeColor="text1"/>
                <w14:textFill>
                  <w14:solidFill>
                    <w14:schemeClr w14:val="tx1"/>
                  </w14:solidFill>
                </w14:textFill>
              </w:rPr>
              <w:t>13.要求所投产品具备节能环保设计，提供中国质量中心颁发的节能证书，并在中国质量中心官网上可以查询到产品型号；</w:t>
            </w:r>
          </w:p>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cs="宋体"/>
                <w:color w:val="000000" w:themeColor="text1"/>
                <w14:textFill>
                  <w14:solidFill>
                    <w14:schemeClr w14:val="tx1"/>
                  </w14:solidFill>
                </w14:textFill>
              </w:rPr>
              <w:t>14.要求所投设备遵守国家标准的设计规则，并提供中国质量认证中心出具的《中国国家强制性产品认证证书》。</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24口接入交换机</w:t>
            </w:r>
          </w:p>
        </w:tc>
        <w:tc>
          <w:tcPr>
            <w:tcW w:w="364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textAlignment w:val="center"/>
              <w:rPr>
                <w:rFonts w:ascii="宋体" w:cs="宋体"/>
                <w:color w:val="000000"/>
                <w:kern w:val="0"/>
                <w:lang w:bidi="ar"/>
              </w:rPr>
            </w:pPr>
            <w:r>
              <w:rPr>
                <w:rFonts w:hint="eastAsia" w:ascii="宋体" w:cs="宋体"/>
                <w:color w:val="000000"/>
                <w:kern w:val="0"/>
                <w:lang w:bidi="ar"/>
              </w:rPr>
              <w:t>1.实配电源模块≥2；</w:t>
            </w:r>
          </w:p>
          <w:p>
            <w:pPr>
              <w:jc w:val="left"/>
              <w:textAlignment w:val="center"/>
              <w:rPr>
                <w:rFonts w:ascii="宋体" w:cs="宋体"/>
                <w:color w:val="000000"/>
                <w:kern w:val="0"/>
                <w:lang w:bidi="ar"/>
              </w:rPr>
            </w:pPr>
            <w:r>
              <w:rPr>
                <w:rFonts w:hint="eastAsia" w:ascii="宋体" w:cs="宋体"/>
                <w:color w:val="000000"/>
                <w:kern w:val="0"/>
                <w:lang w:bidi="ar"/>
              </w:rPr>
              <w:t>2.交换容量≥596G，包转发率≥221Mpps；</w:t>
            </w:r>
          </w:p>
          <w:p>
            <w:pPr>
              <w:jc w:val="left"/>
              <w:textAlignment w:val="center"/>
              <w:rPr>
                <w:rFonts w:ascii="宋体" w:cs="宋体"/>
                <w:color w:val="000000"/>
                <w:kern w:val="0"/>
                <w:lang w:bidi="ar"/>
              </w:rPr>
            </w:pPr>
            <w:r>
              <w:rPr>
                <w:rFonts w:hint="eastAsia" w:ascii="宋体" w:cs="宋体"/>
                <w:color w:val="000000"/>
                <w:kern w:val="0"/>
                <w:lang w:bidi="ar"/>
              </w:rPr>
              <w:t>3.固化100/1000M以太网SFP光端口≥28，复用千兆电口≥8个，固化10G/1G SFP+光接口≥4个；</w:t>
            </w:r>
          </w:p>
          <w:p>
            <w:pPr>
              <w:jc w:val="left"/>
              <w:textAlignment w:val="center"/>
              <w:rPr>
                <w:rFonts w:ascii="宋体" w:cs="宋体"/>
                <w:color w:val="000000"/>
                <w:kern w:val="0"/>
                <w:lang w:bidi="ar"/>
              </w:rPr>
            </w:pPr>
            <w:r>
              <w:rPr>
                <w:rFonts w:hint="eastAsia" w:ascii="宋体" w:cs="宋体"/>
                <w:color w:val="000000"/>
                <w:kern w:val="0"/>
                <w:lang w:bidi="ar"/>
              </w:rPr>
              <w:t>4.★为保证设备在受到外界机械碰撞时能够正常运行，要求所投交换机IK防护测试级别至少达到IK05，提供具有 CMA或CAL或 CNAS认证章的测试报告；</w:t>
            </w:r>
          </w:p>
          <w:p>
            <w:pPr>
              <w:jc w:val="left"/>
              <w:textAlignment w:val="center"/>
              <w:rPr>
                <w:rFonts w:ascii="宋体" w:cs="宋体"/>
                <w:color w:val="000000"/>
                <w:kern w:val="0"/>
                <w:lang w:bidi="ar"/>
              </w:rPr>
            </w:pPr>
            <w:r>
              <w:rPr>
                <w:rFonts w:hint="eastAsia" w:ascii="宋体" w:cs="宋体"/>
                <w:color w:val="000000"/>
                <w:kern w:val="0"/>
                <w:lang w:bidi="ar"/>
              </w:rPr>
              <w:t>5.★支持特有的CPU保护策略，对发往CPU的数据流，进行流区分和优先级队列分级处理，并根据需要实施带宽限速，充分保护CPU不被非法流量占用、恶意攻击和资源消耗，提供官网截图及查询链接；</w:t>
            </w:r>
          </w:p>
          <w:p>
            <w:pPr>
              <w:jc w:val="left"/>
              <w:textAlignment w:val="center"/>
              <w:rPr>
                <w:rFonts w:ascii="宋体" w:cs="宋体"/>
                <w:color w:val="000000"/>
                <w:kern w:val="0"/>
                <w:lang w:bidi="ar"/>
              </w:rPr>
            </w:pPr>
            <w:r>
              <w:rPr>
                <w:rFonts w:hint="eastAsia" w:ascii="宋体" w:cs="宋体"/>
                <w:color w:val="000000"/>
                <w:kern w:val="0"/>
                <w:lang w:bidi="ar"/>
              </w:rPr>
              <w:t>6.支持基础网络保护策略，限制用户向网络中发送ARP报文、ICMP请求报文、DHCP请求报文的数率，对超过限速阈值的报文进行丢弃处理，能够识别攻击行为，对有攻击行为的用户进行隔离；</w:t>
            </w:r>
          </w:p>
          <w:p>
            <w:pPr>
              <w:jc w:val="left"/>
              <w:textAlignment w:val="center"/>
              <w:rPr>
                <w:rFonts w:ascii="宋体" w:cs="宋体"/>
                <w:color w:val="000000"/>
                <w:kern w:val="0"/>
                <w:lang w:bidi="ar"/>
              </w:rPr>
            </w:pPr>
            <w:r>
              <w:rPr>
                <w:rFonts w:hint="eastAsia" w:ascii="宋体" w:cs="宋体"/>
                <w:color w:val="000000"/>
                <w:kern w:val="0"/>
                <w:lang w:bidi="ar"/>
              </w:rPr>
              <w:t>7.支持快速链路检测协议RLDP，可快速检测链路的通断和光纤链路的单向性，并支持端口下的环路检测功能，防止端口下因私接Hub等设备形成的环路而导致网络故障的现象；</w:t>
            </w:r>
          </w:p>
          <w:p>
            <w:pPr>
              <w:jc w:val="left"/>
              <w:textAlignment w:val="center"/>
              <w:rPr>
                <w:rFonts w:ascii="宋体" w:cs="宋体"/>
                <w:color w:val="000000"/>
                <w:kern w:val="0"/>
                <w:lang w:bidi="ar"/>
              </w:rPr>
            </w:pPr>
            <w:r>
              <w:rPr>
                <w:rFonts w:hint="eastAsia" w:ascii="宋体" w:cs="宋体"/>
                <w:color w:val="000000"/>
                <w:kern w:val="0"/>
                <w:lang w:bidi="ar"/>
              </w:rPr>
              <w:t>8.设备自带云管理功能，即插即用，可随时查看网络健康度，告警及时推送，有日记事件供回溯；</w:t>
            </w:r>
          </w:p>
          <w:p>
            <w:pPr>
              <w:jc w:val="left"/>
              <w:textAlignment w:val="center"/>
              <w:rPr>
                <w:rFonts w:ascii="宋体" w:cs="宋体"/>
                <w:color w:val="000000"/>
                <w:kern w:val="0"/>
                <w:lang w:bidi="ar"/>
              </w:rPr>
            </w:pPr>
            <w:r>
              <w:rPr>
                <w:rFonts w:hint="eastAsia" w:ascii="宋体" w:cs="宋体"/>
                <w:color w:val="000000"/>
                <w:kern w:val="0"/>
                <w:lang w:bidi="ar"/>
              </w:rPr>
              <w:t>9.提供工信部设备进网许可证；</w:t>
            </w:r>
          </w:p>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cs="宋体"/>
                <w:color w:val="000000"/>
                <w:kern w:val="0"/>
                <w:lang w:bidi="ar"/>
              </w:rPr>
              <w:t>10.要求所投设备遵守国家标准的设计规则，并提供中国质量认证中心出具的《中国国家强制性产品认证证书》。</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交换机</w:t>
            </w:r>
          </w:p>
        </w:tc>
        <w:tc>
          <w:tcPr>
            <w:tcW w:w="3641"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千兆8口交换机</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光纤模块</w:t>
            </w:r>
          </w:p>
        </w:tc>
        <w:tc>
          <w:tcPr>
            <w:tcW w:w="3641"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SFP光纤模块</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收发器</w:t>
            </w:r>
          </w:p>
        </w:tc>
        <w:tc>
          <w:tcPr>
            <w:tcW w:w="3641"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3KM千兆单模收发器</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光纤跳线</w:t>
            </w:r>
          </w:p>
        </w:tc>
        <w:tc>
          <w:tcPr>
            <w:tcW w:w="3641"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ST-LC</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光纤跳线</w:t>
            </w:r>
          </w:p>
        </w:tc>
        <w:tc>
          <w:tcPr>
            <w:tcW w:w="3641"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ST-SC</w:t>
            </w:r>
          </w:p>
        </w:tc>
        <w:tc>
          <w:tcPr>
            <w:tcW w:w="33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3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单口信息点</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cs="宋体"/>
                <w:i w:val="0"/>
                <w:iCs w:val="0"/>
                <w:color w:val="auto"/>
                <w:kern w:val="0"/>
                <w:sz w:val="21"/>
                <w:szCs w:val="21"/>
                <w:u w:val="none"/>
                <w:lang w:val="en-US" w:eastAsia="zh-CN" w:bidi="ar"/>
              </w:rPr>
              <w:t>斜口</w:t>
            </w:r>
            <w:r>
              <w:rPr>
                <w:rFonts w:hint="eastAsia" w:ascii="宋体" w:hAnsi="宋体" w:eastAsia="宋体" w:cs="宋体"/>
                <w:i w:val="0"/>
                <w:iCs w:val="0"/>
                <w:color w:val="auto"/>
                <w:kern w:val="0"/>
                <w:sz w:val="21"/>
                <w:szCs w:val="21"/>
                <w:u w:val="none"/>
                <w:lang w:val="en-US" w:eastAsia="zh-CN" w:bidi="ar"/>
              </w:rPr>
              <w:t>六类面板+模块</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1.插接：插接稳定，不易脱落，不会造成信号丢失。</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2.传输性能：必须过福禄克永久链路。</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3.线序标识：亮眼的标识能加快施工进度。</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155</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双口信息点</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cs="宋体"/>
                <w:i w:val="0"/>
                <w:iCs w:val="0"/>
                <w:color w:val="auto"/>
                <w:kern w:val="0"/>
                <w:sz w:val="21"/>
                <w:szCs w:val="21"/>
                <w:u w:val="none"/>
                <w:lang w:val="en-US" w:eastAsia="zh-CN" w:bidi="ar"/>
              </w:rPr>
              <w:t>斜口</w:t>
            </w:r>
            <w:r>
              <w:rPr>
                <w:rFonts w:hint="eastAsia" w:ascii="宋体" w:hAnsi="宋体" w:eastAsia="宋体" w:cs="宋体"/>
                <w:i w:val="0"/>
                <w:iCs w:val="0"/>
                <w:color w:val="auto"/>
                <w:kern w:val="0"/>
                <w:sz w:val="21"/>
                <w:szCs w:val="21"/>
                <w:u w:val="none"/>
                <w:lang w:val="en-US" w:eastAsia="zh-CN" w:bidi="ar"/>
              </w:rPr>
              <w:t>六类面板+模块</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1.插接：插接稳定，不易脱落，不会造成信号丢失。</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2.传输性能：必须过福禄克永久链路。</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3.线序标识：亮眼的标识能加快施工进度。</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30</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配线架</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24位六类非屏蔽配线架，24口全通，每工程验收口都过检测</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hAnsi="宋体" w:eastAsia="宋体" w:cs="宋体"/>
                <w:i w:val="0"/>
                <w:iCs w:val="0"/>
                <w:color w:val="auto"/>
                <w:kern w:val="0"/>
                <w:sz w:val="21"/>
                <w:szCs w:val="21"/>
                <w:u w:val="none"/>
                <w:lang w:val="en-US" w:eastAsia="zh-CN" w:bidi="ar"/>
              </w:rPr>
              <w:t>100%过福禄克永久链路测试，</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同时线序标识清晰简单，利于施工。</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理线架</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24口机架式</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网络跳线</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cs="宋体"/>
                <w:i w:val="0"/>
                <w:iCs w:val="0"/>
                <w:color w:val="auto"/>
                <w:kern w:val="0"/>
                <w:sz w:val="21"/>
                <w:szCs w:val="21"/>
                <w:u w:val="none"/>
                <w:lang w:val="en-US" w:eastAsia="zh-CN" w:bidi="ar"/>
              </w:rPr>
              <w:t>1、</w:t>
            </w:r>
            <w:r>
              <w:rPr>
                <w:rFonts w:hint="eastAsia" w:ascii="宋体" w:hAnsi="宋体" w:eastAsia="宋体" w:cs="宋体"/>
                <w:i w:val="0"/>
                <w:iCs w:val="0"/>
                <w:color w:val="auto"/>
                <w:kern w:val="0"/>
                <w:sz w:val="21"/>
                <w:szCs w:val="21"/>
                <w:u w:val="none"/>
                <w:lang w:val="en-US" w:eastAsia="zh-CN" w:bidi="ar"/>
              </w:rPr>
              <w:t xml:space="preserve">成品定制，多股，8股*7芯，总共：56股芯，更柔软，适应易折弯的机房使用环境； </w:t>
            </w:r>
          </w:p>
          <w:p>
            <w:pPr>
              <w:keepNext w:val="0"/>
              <w:keepLines w:val="0"/>
              <w:widowControl/>
              <w:suppressLineNumbers w:val="0"/>
              <w:spacing w:line="240" w:lineRule="auto"/>
              <w:jc w:val="left"/>
              <w:textAlignment w:val="center"/>
              <w:rPr>
                <w:rFonts w:hint="eastAsia" w:ascii="宋体" w:hAnsi="宋体" w:eastAsia="宋体" w:cs="宋体"/>
                <w:i w:val="0"/>
                <w:iCs w:val="0"/>
                <w:color w:val="auto"/>
                <w:kern w:val="0"/>
                <w:sz w:val="21"/>
                <w:szCs w:val="21"/>
                <w:u w:val="none"/>
                <w:lang w:val="en-US" w:eastAsia="zh-CN" w:bidi="ar"/>
              </w:rPr>
            </w:pPr>
            <w:r>
              <w:rPr>
                <w:rFonts w:hint="eastAsia" w:ascii="宋体" w:cs="宋体"/>
                <w:i w:val="0"/>
                <w:iCs w:val="0"/>
                <w:color w:val="auto"/>
                <w:kern w:val="0"/>
                <w:sz w:val="21"/>
                <w:szCs w:val="21"/>
                <w:u w:val="none"/>
                <w:lang w:val="en-US" w:eastAsia="zh-CN" w:bidi="ar"/>
              </w:rPr>
              <w:t>2、</w:t>
            </w:r>
            <w:r>
              <w:rPr>
                <w:rFonts w:hint="eastAsia" w:ascii="宋体" w:hAnsi="宋体" w:eastAsia="宋体" w:cs="宋体"/>
                <w:i w:val="0"/>
                <w:iCs w:val="0"/>
                <w:color w:val="auto"/>
                <w:kern w:val="0"/>
                <w:sz w:val="21"/>
                <w:szCs w:val="21"/>
                <w:u w:val="none"/>
                <w:lang w:val="en-US" w:eastAsia="zh-CN" w:bidi="ar"/>
              </w:rPr>
              <w:t>采用多件式水晶头生产工艺，抗干扰，保证传输性能；</w:t>
            </w:r>
          </w:p>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cs="宋体"/>
                <w:i w:val="0"/>
                <w:iCs w:val="0"/>
                <w:color w:val="auto"/>
                <w:kern w:val="0"/>
                <w:sz w:val="21"/>
                <w:szCs w:val="21"/>
                <w:u w:val="none"/>
                <w:lang w:val="en-US" w:eastAsia="zh-CN" w:bidi="ar"/>
              </w:rPr>
              <w:t>3、</w:t>
            </w:r>
            <w:r>
              <w:rPr>
                <w:rFonts w:hint="eastAsia" w:ascii="宋体" w:hAnsi="宋体" w:eastAsia="宋体" w:cs="宋体"/>
                <w:i w:val="0"/>
                <w:iCs w:val="0"/>
                <w:color w:val="auto"/>
                <w:kern w:val="0"/>
                <w:sz w:val="21"/>
                <w:szCs w:val="21"/>
                <w:u w:val="none"/>
                <w:lang w:val="en-US" w:eastAsia="zh-CN" w:bidi="ar"/>
              </w:rPr>
              <w:t>必须使用100%通过福禄克测试的跳线。</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200</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13</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双绞线</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jc w:val="left"/>
              <w:textAlignment w:val="center"/>
              <w:rPr>
                <w:rFonts w:ascii="宋体" w:cs="宋体"/>
                <w:color w:val="000000"/>
                <w:kern w:val="0"/>
                <w:lang w:bidi="ar"/>
              </w:rPr>
            </w:pPr>
            <w:r>
              <w:rPr>
                <w:rFonts w:hint="eastAsia" w:ascii="宋体" w:cs="宋体"/>
                <w:color w:val="000000"/>
                <w:kern w:val="0"/>
                <w:lang w:bidi="ar"/>
              </w:rPr>
              <w:t>1、采用4对六类23AWG非屏蔽双绞线</w:t>
            </w:r>
          </w:p>
          <w:p>
            <w:pPr>
              <w:jc w:val="left"/>
              <w:textAlignment w:val="center"/>
              <w:rPr>
                <w:rFonts w:ascii="宋体" w:cs="宋体"/>
                <w:color w:val="000000"/>
                <w:kern w:val="0"/>
                <w:lang w:bidi="ar"/>
              </w:rPr>
            </w:pPr>
            <w:r>
              <w:rPr>
                <w:rFonts w:hint="eastAsia" w:ascii="宋体" w:cs="宋体"/>
                <w:color w:val="000000"/>
                <w:kern w:val="0"/>
                <w:lang w:bidi="ar"/>
              </w:rPr>
              <w:t>2、双绞线护套采用PVC材料。</w:t>
            </w:r>
          </w:p>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cs="宋体"/>
                <w:color w:val="auto"/>
                <w:kern w:val="0"/>
                <w:lang w:bidi="ar"/>
              </w:rPr>
              <w:t>3、</w:t>
            </w:r>
            <w:r>
              <w:rPr>
                <w:rFonts w:hint="eastAsia" w:ascii="宋体" w:cs="宋体"/>
                <w:color w:val="000000"/>
                <w:kern w:val="0"/>
                <w:lang w:bidi="ar"/>
              </w:rPr>
              <w:t xml:space="preserve">电缆直径 ：约6.2±0.2mm  裸铜直径：约0.57 </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45</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14</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桥架</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不锈钢镀锌线槽，规格要求</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000000"/>
                <w:kern w:val="0"/>
                <w:sz w:val="21"/>
                <w:szCs w:val="21"/>
                <w:u w:val="none"/>
                <w:lang w:val="en-US" w:eastAsia="zh-CN" w:bidi="ar"/>
              </w:rPr>
              <w:t>200*100*1.2mm</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900</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cs="宋体"/>
                <w:i w:val="0"/>
                <w:iCs w:val="0"/>
                <w:color w:val="000000"/>
                <w:kern w:val="0"/>
                <w:sz w:val="21"/>
                <w:szCs w:val="21"/>
                <w:u w:val="none"/>
                <w:lang w:val="en-US" w:eastAsia="zh-CN" w:bidi="ar"/>
              </w:rPr>
              <w:t>5</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机柜</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600*600*1200mm网络机柜</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4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系统集成</w:t>
            </w:r>
          </w:p>
        </w:tc>
        <w:tc>
          <w:tcPr>
            <w:tcW w:w="364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rPr>
              <w:t>国标阻燃PVC管、国标阻燃线槽、老线路拆除需要补漏等、新线路安装及调试费，需要符合弱电施工要求，对应标签，PVC管施工美观，横平竖直。</w:t>
            </w:r>
          </w:p>
        </w:tc>
        <w:tc>
          <w:tcPr>
            <w:tcW w:w="33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3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r>
    </w:tbl>
    <w:p>
      <w:pPr>
        <w:spacing w:line="240" w:lineRule="auto"/>
        <w:rPr>
          <w:rFonts w:hint="eastAsia" w:ascii="宋体" w:hAnsi="宋体" w:eastAsia="宋体" w:cs="宋体"/>
          <w:sz w:val="21"/>
          <w:szCs w:val="21"/>
          <w:lang w:val="en-US" w:eastAsia="zh-CN"/>
        </w:rPr>
      </w:pPr>
    </w:p>
    <w:p>
      <w:pPr>
        <w:keepNext w:val="0"/>
        <w:keepLines w:val="0"/>
        <w:pageBreakBefore w:val="0"/>
        <w:widowControl/>
        <w:numPr>
          <w:ilvl w:val="0"/>
          <w:numId w:val="10"/>
        </w:numPr>
        <w:kinsoku/>
        <w:wordWrap/>
        <w:overflowPunct/>
        <w:topLinePunct w:val="0"/>
        <w:autoSpaceDE/>
        <w:autoSpaceDN/>
        <w:bidi w:val="0"/>
        <w:adjustRightInd/>
        <w:snapToGrid/>
        <w:spacing w:line="240" w:lineRule="auto"/>
        <w:textAlignment w:val="auto"/>
        <w:outlineLvl w:val="1"/>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校园监控</w:t>
      </w:r>
    </w:p>
    <w:tbl>
      <w:tblPr>
        <w:tblStyle w:val="3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6"/>
        <w:gridCol w:w="722"/>
        <w:gridCol w:w="6199"/>
        <w:gridCol w:w="613"/>
        <w:gridCol w:w="5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424"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产品名称</w:t>
            </w:r>
          </w:p>
        </w:tc>
        <w:tc>
          <w:tcPr>
            <w:tcW w:w="363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产品参数</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枪机摄像头</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w:t>
            </w:r>
            <w:r>
              <w:rPr>
                <w:rFonts w:hint="eastAsia" w:ascii="宋体" w:hAnsi="宋体" w:eastAsia="宋体" w:cs="宋体"/>
                <w:i w:val="0"/>
                <w:iCs w:val="0"/>
                <w:color w:val="auto"/>
                <w:sz w:val="21"/>
                <w:szCs w:val="21"/>
                <w:highlight w:val="none"/>
                <w:u w:val="none"/>
              </w:rPr>
              <w:t>400万 1/2.7"</w:t>
            </w:r>
            <w:r>
              <w:rPr>
                <w:rFonts w:hint="eastAsia" w:ascii="宋体" w:hAnsi="宋体" w:eastAsia="宋体" w:cs="宋体"/>
                <w:i w:val="0"/>
                <w:iCs w:val="0"/>
                <w:color w:val="auto"/>
                <w:sz w:val="21"/>
                <w:szCs w:val="21"/>
                <w:u w:val="none"/>
              </w:rPr>
              <w:t xml:space="preserve"> CMOS ICR 红外阵列筒型网络摄像机</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2、</w:t>
            </w:r>
            <w:r>
              <w:rPr>
                <w:rFonts w:hint="eastAsia" w:ascii="宋体" w:hAnsi="宋体" w:eastAsia="宋体" w:cs="宋体"/>
                <w:i w:val="0"/>
                <w:iCs w:val="0"/>
                <w:color w:val="auto"/>
                <w:sz w:val="21"/>
                <w:szCs w:val="21"/>
                <w:u w:val="none"/>
              </w:rPr>
              <w:t>最低照度: 彩色：0.005 Lux @（F1.2，AGC ON），0 Lux with IR</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3、</w:t>
            </w:r>
            <w:r>
              <w:rPr>
                <w:rFonts w:hint="eastAsia" w:ascii="宋体" w:hAnsi="宋体" w:eastAsia="宋体" w:cs="宋体"/>
                <w:i w:val="0"/>
                <w:iCs w:val="0"/>
                <w:color w:val="auto"/>
                <w:sz w:val="21"/>
                <w:szCs w:val="21"/>
                <w:u w:val="none"/>
              </w:rPr>
              <w:t>宽动态: 数字宽动态</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4、</w:t>
            </w:r>
            <w:r>
              <w:rPr>
                <w:rFonts w:hint="eastAsia" w:ascii="宋体" w:hAnsi="宋体" w:eastAsia="宋体" w:cs="宋体"/>
                <w:i w:val="0"/>
                <w:iCs w:val="0"/>
                <w:color w:val="auto"/>
                <w:sz w:val="21"/>
                <w:szCs w:val="21"/>
                <w:u w:val="none"/>
              </w:rPr>
              <w:t xml:space="preserve">焦距&amp;视场角: </w:t>
            </w:r>
          </w:p>
          <w:p>
            <w:pPr>
              <w:pStyle w:val="2"/>
              <w:spacing w:line="240" w:lineRule="auto"/>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rPr>
              <w:t>4 mm，水平视场角：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75.3°，垂直视场角：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41.4°，对角视场角：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88.2°</w:t>
            </w:r>
          </w:p>
          <w:p>
            <w:pPr>
              <w:pStyle w:val="2"/>
              <w:spacing w:line="240" w:lineRule="auto"/>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rPr>
              <w:t>6 mm，水平视场角：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49°，垂直视场角：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26.3°，对角视场角：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57.2°</w:t>
            </w:r>
          </w:p>
          <w:p>
            <w:pPr>
              <w:pStyle w:val="2"/>
              <w:spacing w:line="240" w:lineRule="auto"/>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rPr>
              <w:t>8 mm，水平视场角：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37.5°，垂直视场角：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20.7°，对角视场角：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43.3°</w:t>
            </w:r>
          </w:p>
          <w:p>
            <w:pPr>
              <w:pStyle w:val="2"/>
              <w:spacing w:line="240" w:lineRule="auto"/>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rPr>
              <w:t>12 mm，水平视场角：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23.4°，垂直视场角：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13.3°，对角视场角：</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26.8°</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5、</w:t>
            </w:r>
            <w:r>
              <w:rPr>
                <w:rFonts w:hint="eastAsia" w:ascii="宋体" w:hAnsi="宋体" w:eastAsia="宋体" w:cs="宋体"/>
                <w:i w:val="0"/>
                <w:iCs w:val="0"/>
                <w:color w:val="auto"/>
                <w:sz w:val="21"/>
                <w:szCs w:val="21"/>
                <w:u w:val="none"/>
              </w:rPr>
              <w:t>红外波长范围: 850 nm</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6、</w:t>
            </w:r>
            <w:r>
              <w:rPr>
                <w:rFonts w:hint="eastAsia" w:ascii="宋体" w:hAnsi="宋体" w:eastAsia="宋体" w:cs="宋体"/>
                <w:i w:val="0"/>
                <w:iCs w:val="0"/>
                <w:color w:val="auto"/>
                <w:sz w:val="21"/>
                <w:szCs w:val="21"/>
                <w:u w:val="none"/>
              </w:rPr>
              <w:t>防补光过曝: 支持</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7、</w:t>
            </w:r>
            <w:r>
              <w:rPr>
                <w:rFonts w:hint="eastAsia" w:ascii="宋体" w:hAnsi="宋体" w:eastAsia="宋体" w:cs="宋体"/>
                <w:i w:val="0"/>
                <w:iCs w:val="0"/>
                <w:color w:val="auto"/>
                <w:sz w:val="21"/>
                <w:szCs w:val="21"/>
                <w:u w:val="none"/>
              </w:rPr>
              <w:t>补光灯类型: 红外灯</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8、</w:t>
            </w:r>
            <w:r>
              <w:rPr>
                <w:rFonts w:hint="eastAsia" w:ascii="宋体" w:hAnsi="宋体" w:eastAsia="宋体" w:cs="宋体"/>
                <w:i w:val="0"/>
                <w:iCs w:val="0"/>
                <w:color w:val="auto"/>
                <w:sz w:val="21"/>
                <w:szCs w:val="21"/>
                <w:u w:val="none"/>
              </w:rPr>
              <w:t>补光距离: 最远可达50 m</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9、</w:t>
            </w:r>
            <w:r>
              <w:rPr>
                <w:rFonts w:hint="eastAsia" w:ascii="宋体" w:hAnsi="宋体" w:eastAsia="宋体" w:cs="宋体"/>
                <w:i w:val="0"/>
                <w:iCs w:val="0"/>
                <w:color w:val="auto"/>
                <w:sz w:val="21"/>
                <w:szCs w:val="21"/>
                <w:u w:val="none"/>
              </w:rPr>
              <w:t>最大图像尺寸: 2560 × 1440</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10、</w:t>
            </w:r>
            <w:r>
              <w:rPr>
                <w:rFonts w:hint="eastAsia" w:ascii="宋体" w:hAnsi="宋体" w:eastAsia="宋体" w:cs="宋体"/>
                <w:i w:val="0"/>
                <w:iCs w:val="0"/>
                <w:color w:val="auto"/>
                <w:sz w:val="21"/>
                <w:szCs w:val="21"/>
                <w:u w:val="none"/>
              </w:rPr>
              <w:t>视频压缩标准: 主码流：H.265/H.264</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11、</w:t>
            </w:r>
            <w:r>
              <w:rPr>
                <w:rFonts w:hint="eastAsia" w:ascii="宋体" w:hAnsi="宋体" w:eastAsia="宋体" w:cs="宋体"/>
                <w:i w:val="0"/>
                <w:iCs w:val="0"/>
                <w:color w:val="auto"/>
                <w:sz w:val="21"/>
                <w:szCs w:val="21"/>
                <w:u w:val="none"/>
              </w:rPr>
              <w:t>音频: 1个内置麦克风</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12、</w:t>
            </w:r>
            <w:r>
              <w:rPr>
                <w:rFonts w:hint="eastAsia" w:ascii="宋体" w:hAnsi="宋体" w:eastAsia="宋体" w:cs="宋体"/>
                <w:i w:val="0"/>
                <w:iCs w:val="0"/>
                <w:color w:val="auto"/>
                <w:sz w:val="21"/>
                <w:szCs w:val="21"/>
                <w:u w:val="none"/>
              </w:rPr>
              <w:t>网络: 1个RJ45 10 M/100 M自适应以太网口</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13、</w:t>
            </w:r>
            <w:r>
              <w:rPr>
                <w:rFonts w:hint="eastAsia" w:ascii="宋体" w:hAnsi="宋体" w:eastAsia="宋体" w:cs="宋体"/>
                <w:i w:val="0"/>
                <w:iCs w:val="0"/>
                <w:color w:val="auto"/>
                <w:sz w:val="21"/>
                <w:szCs w:val="21"/>
                <w:u w:val="none"/>
              </w:rPr>
              <w:t>启动及工作温湿度: -30 ℃~60 ℃，湿度小于95%（无凝结）</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14、</w:t>
            </w:r>
            <w:r>
              <w:rPr>
                <w:rFonts w:hint="eastAsia" w:ascii="宋体" w:hAnsi="宋体" w:eastAsia="宋体" w:cs="宋体"/>
                <w:i w:val="0"/>
                <w:iCs w:val="0"/>
                <w:color w:val="auto"/>
                <w:sz w:val="21"/>
                <w:szCs w:val="21"/>
                <w:u w:val="none"/>
              </w:rPr>
              <w:t>存储温湿度: -30 ℃~60 ℃，湿度小于95%（无凝结）</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rPr>
              <w:t>供电方式: DC：12 V ± 25%，支持防反接保护；PoE：802.3af，Class 3</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15、</w:t>
            </w:r>
            <w:r>
              <w:rPr>
                <w:rFonts w:hint="eastAsia" w:ascii="宋体" w:hAnsi="宋体" w:eastAsia="宋体" w:cs="宋体"/>
                <w:i w:val="0"/>
                <w:iCs w:val="0"/>
                <w:color w:val="auto"/>
                <w:sz w:val="21"/>
                <w:szCs w:val="21"/>
                <w:u w:val="none"/>
              </w:rPr>
              <w:t>电流及功耗: DC：12 V，0.4 A，最大功耗：5 W；PoE：802.3af，36 V~57 V，0.2 A~0.15 A，最大功耗：6.5 W</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16、</w:t>
            </w:r>
            <w:r>
              <w:rPr>
                <w:rFonts w:hint="eastAsia" w:ascii="宋体" w:hAnsi="宋体" w:eastAsia="宋体" w:cs="宋体"/>
                <w:i w:val="0"/>
                <w:iCs w:val="0"/>
                <w:color w:val="auto"/>
                <w:sz w:val="21"/>
                <w:szCs w:val="21"/>
                <w:u w:val="none"/>
              </w:rPr>
              <w:t>电源接口类型: Ø5.5 mm圆口</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auto"/>
                <w:sz w:val="21"/>
                <w:szCs w:val="21"/>
                <w:u w:val="none"/>
                <w:lang w:eastAsia="zh-CN"/>
              </w:rPr>
            </w:pPr>
            <w:r>
              <w:rPr>
                <w:rFonts w:hint="eastAsia" w:ascii="宋体" w:hAnsi="宋体" w:eastAsia="宋体" w:cs="宋体"/>
                <w:i w:val="0"/>
                <w:iCs w:val="0"/>
                <w:color w:val="auto"/>
                <w:sz w:val="21"/>
                <w:szCs w:val="21"/>
                <w:u w:val="none"/>
                <w:lang w:val="en-US" w:eastAsia="zh-CN"/>
              </w:rPr>
              <w:t>17、</w:t>
            </w:r>
            <w:r>
              <w:rPr>
                <w:rFonts w:hint="eastAsia" w:ascii="宋体" w:hAnsi="宋体" w:eastAsia="宋体" w:cs="宋体"/>
                <w:i w:val="0"/>
                <w:iCs w:val="0"/>
                <w:color w:val="auto"/>
                <w:sz w:val="21"/>
                <w:szCs w:val="21"/>
                <w:u w:val="none"/>
              </w:rPr>
              <w:t xml:space="preserve">产品尺寸: </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87.1 × 83.7 × 171.7 mm</w:t>
            </w:r>
            <w:r>
              <w:rPr>
                <w:rFonts w:hint="eastAsia" w:ascii="宋体" w:hAnsi="宋体" w:eastAsia="宋体" w:cs="宋体"/>
                <w:i w:val="0"/>
                <w:iCs w:val="0"/>
                <w:color w:val="auto"/>
                <w:sz w:val="21"/>
                <w:szCs w:val="21"/>
                <w:u w:val="none"/>
                <w:lang w:eastAsia="zh-CN"/>
              </w:rPr>
              <w:t>；</w:t>
            </w:r>
            <w:r>
              <w:rPr>
                <w:rFonts w:hint="eastAsia" w:ascii="宋体" w:hAnsi="宋体" w:eastAsia="宋体" w:cs="宋体"/>
                <w:i w:val="0"/>
                <w:iCs w:val="0"/>
                <w:color w:val="auto"/>
                <w:sz w:val="21"/>
                <w:szCs w:val="21"/>
                <w:u w:val="none"/>
              </w:rPr>
              <w:t>包装尺寸:</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 xml:space="preserve"> 216 × 121 × 118 mm</w:t>
            </w:r>
            <w:r>
              <w:rPr>
                <w:rFonts w:hint="eastAsia" w:ascii="宋体" w:hAnsi="宋体" w:eastAsia="宋体" w:cs="宋体"/>
                <w:i w:val="0"/>
                <w:iCs w:val="0"/>
                <w:color w:val="auto"/>
                <w:sz w:val="21"/>
                <w:szCs w:val="21"/>
                <w:u w:val="none"/>
                <w:lang w:eastAsia="zh-CN"/>
              </w:rPr>
              <w:t>；</w:t>
            </w:r>
            <w:r>
              <w:rPr>
                <w:rFonts w:hint="eastAsia" w:ascii="宋体" w:hAnsi="宋体" w:eastAsia="宋体" w:cs="宋体"/>
                <w:i w:val="0"/>
                <w:iCs w:val="0"/>
                <w:color w:val="auto"/>
                <w:sz w:val="21"/>
                <w:szCs w:val="21"/>
                <w:u w:val="none"/>
              </w:rPr>
              <w:t xml:space="preserve">设备重量: </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350 g</w:t>
            </w:r>
            <w:r>
              <w:rPr>
                <w:rFonts w:hint="eastAsia" w:ascii="宋体" w:hAnsi="宋体" w:eastAsia="宋体" w:cs="宋体"/>
                <w:i w:val="0"/>
                <w:iCs w:val="0"/>
                <w:color w:val="auto"/>
                <w:sz w:val="21"/>
                <w:szCs w:val="21"/>
                <w:u w:val="none"/>
                <w:lang w:eastAsia="zh-CN"/>
              </w:rPr>
              <w:t>；</w:t>
            </w:r>
            <w:r>
              <w:rPr>
                <w:rFonts w:hint="eastAsia" w:ascii="宋体" w:hAnsi="宋体" w:eastAsia="宋体" w:cs="宋体"/>
                <w:i w:val="0"/>
                <w:iCs w:val="0"/>
                <w:color w:val="auto"/>
                <w:sz w:val="21"/>
                <w:szCs w:val="21"/>
                <w:u w:val="none"/>
              </w:rPr>
              <w:t xml:space="preserve">带包装重量: </w:t>
            </w:r>
            <w:r>
              <w:rPr>
                <w:rFonts w:hint="eastAsia" w:ascii="宋体" w:hAnsi="宋体" w:cs="宋体"/>
                <w:i w:val="0"/>
                <w:iCs w:val="0"/>
                <w:color w:val="000000"/>
                <w:kern w:val="0"/>
                <w:sz w:val="21"/>
                <w:szCs w:val="21"/>
                <w:u w:val="none"/>
                <w:lang w:val="en-US" w:eastAsia="zh-CN" w:bidi="ar"/>
              </w:rPr>
              <w:t>约</w:t>
            </w:r>
            <w:r>
              <w:rPr>
                <w:rFonts w:hint="eastAsia" w:ascii="宋体" w:hAnsi="宋体" w:eastAsia="宋体" w:cs="宋体"/>
                <w:i w:val="0"/>
                <w:iCs w:val="0"/>
                <w:color w:val="auto"/>
                <w:sz w:val="21"/>
                <w:szCs w:val="21"/>
                <w:u w:val="none"/>
              </w:rPr>
              <w:t>510 g</w:t>
            </w:r>
            <w:r>
              <w:rPr>
                <w:rFonts w:hint="eastAsia" w:ascii="宋体" w:hAnsi="宋体" w:eastAsia="宋体" w:cs="宋体"/>
                <w:i w:val="0"/>
                <w:iCs w:val="0"/>
                <w:color w:val="auto"/>
                <w:sz w:val="21"/>
                <w:szCs w:val="21"/>
                <w:u w:val="none"/>
                <w:lang w:eastAsia="zh-CN"/>
              </w:rPr>
              <w:t>。</w:t>
            </w:r>
          </w:p>
          <w:p>
            <w:pPr>
              <w:pStyle w:val="2"/>
              <w:spacing w:line="240" w:lineRule="auto"/>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auto"/>
                <w:sz w:val="21"/>
                <w:szCs w:val="21"/>
                <w:u w:val="none"/>
                <w:lang w:val="en-US" w:eastAsia="zh-CN"/>
              </w:rPr>
              <w:t>18、</w:t>
            </w:r>
            <w:r>
              <w:rPr>
                <w:rFonts w:hint="eastAsia" w:ascii="宋体" w:hAnsi="宋体" w:eastAsia="宋体" w:cs="宋体"/>
                <w:i w:val="0"/>
                <w:iCs w:val="0"/>
                <w:color w:val="auto"/>
                <w:sz w:val="21"/>
                <w:szCs w:val="21"/>
                <w:u w:val="none"/>
              </w:rPr>
              <w:t>防护: IP66</w:t>
            </w:r>
            <w:r>
              <w:rPr>
                <w:rFonts w:hint="eastAsia" w:ascii="宋体" w:hAnsi="宋体" w:eastAsia="宋体" w:cs="宋体"/>
                <w:i w:val="0"/>
                <w:iCs w:val="0"/>
                <w:color w:val="auto"/>
                <w:sz w:val="21"/>
                <w:szCs w:val="21"/>
                <w:u w:val="none"/>
                <w:lang w:eastAsia="zh-CN"/>
              </w:rPr>
              <w:t>。</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spacing w:line="240" w:lineRule="auto"/>
              <w:jc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2</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臻全彩广角双摄筒型摄像机</w:t>
            </w:r>
          </w:p>
        </w:tc>
        <w:tc>
          <w:tcPr>
            <w:tcW w:w="363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1、</w:t>
            </w:r>
            <w:r>
              <w:rPr>
                <w:rFonts w:hint="eastAsia" w:ascii="宋体" w:hAnsi="宋体" w:eastAsia="宋体" w:cs="宋体"/>
                <w:i w:val="0"/>
                <w:iCs w:val="0"/>
                <w:color w:val="000000"/>
                <w:sz w:val="21"/>
                <w:szCs w:val="21"/>
                <w:highlight w:val="none"/>
                <w:u w:val="none"/>
              </w:rPr>
              <w:t>具有800万像素</w:t>
            </w:r>
            <w:r>
              <w:rPr>
                <w:rFonts w:hint="eastAsia" w:ascii="宋体" w:hAnsi="宋体" w:eastAsia="宋体" w:cs="宋体"/>
                <w:i w:val="0"/>
                <w:iCs w:val="0"/>
                <w:color w:val="000000"/>
                <w:sz w:val="21"/>
                <w:szCs w:val="21"/>
                <w:u w:val="none"/>
              </w:rPr>
              <w:t xml:space="preserve"> CMOS传感器。</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2、</w:t>
            </w:r>
            <w:r>
              <w:rPr>
                <w:rFonts w:hint="eastAsia" w:ascii="宋体" w:hAnsi="宋体" w:eastAsia="宋体" w:cs="宋体"/>
                <w:i w:val="0"/>
                <w:iCs w:val="0"/>
                <w:color w:val="000000"/>
                <w:sz w:val="21"/>
                <w:szCs w:val="21"/>
                <w:u w:val="none"/>
              </w:rPr>
              <w:t>具有不小于1/1.8"靶面尺寸。（公安部检验报告证明）</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3、</w:t>
            </w:r>
            <w:r>
              <w:rPr>
                <w:rFonts w:hint="eastAsia" w:ascii="宋体" w:hAnsi="宋体" w:eastAsia="宋体" w:cs="宋体"/>
                <w:i w:val="0"/>
                <w:iCs w:val="0"/>
                <w:color w:val="000000"/>
                <w:sz w:val="21"/>
                <w:szCs w:val="21"/>
                <w:u w:val="none"/>
              </w:rPr>
              <w:t>★内置1个麦克风、1个扬声器，支持语音对讲；内置2个F1.0大光圈镜头。（公安部检验报告证明）</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4、</w:t>
            </w:r>
            <w:r>
              <w:rPr>
                <w:rFonts w:hint="eastAsia" w:ascii="宋体" w:hAnsi="宋体" w:eastAsia="宋体" w:cs="宋体"/>
                <w:i w:val="0"/>
                <w:iCs w:val="0"/>
                <w:color w:val="000000"/>
                <w:sz w:val="21"/>
                <w:szCs w:val="21"/>
                <w:u w:val="none"/>
              </w:rPr>
              <w:t>最低照度彩色：0.0005 lx，最大亮度鉴别等级不小于11级。（公安部检验报告证明）</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5、</w:t>
            </w:r>
            <w:r>
              <w:rPr>
                <w:rFonts w:hint="eastAsia" w:ascii="宋体" w:hAnsi="宋体" w:eastAsia="宋体" w:cs="宋体"/>
                <w:i w:val="0"/>
                <w:iCs w:val="0"/>
                <w:color w:val="000000"/>
                <w:sz w:val="21"/>
                <w:szCs w:val="21"/>
                <w:u w:val="none"/>
              </w:rPr>
              <w:t>在彩色模式下，当照度降低至一定值时，可自动开启白光灯补光，在白天、夜晚均可输出彩色视频图像；白光补光距离不小于60米。（公安部检验报告证明）</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6、</w:t>
            </w:r>
            <w:r>
              <w:rPr>
                <w:rFonts w:hint="eastAsia" w:ascii="宋体" w:hAnsi="宋体" w:eastAsia="宋体" w:cs="宋体"/>
                <w:i w:val="0"/>
                <w:iCs w:val="0"/>
                <w:color w:val="000000"/>
                <w:sz w:val="21"/>
                <w:szCs w:val="21"/>
                <w:u w:val="none"/>
              </w:rPr>
              <w:t>信噪比不小于62dB。</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7、</w:t>
            </w:r>
            <w:r>
              <w:rPr>
                <w:rFonts w:hint="eastAsia" w:ascii="宋体" w:hAnsi="宋体" w:eastAsia="宋体" w:cs="宋体"/>
                <w:i w:val="0"/>
                <w:iCs w:val="0"/>
                <w:color w:val="000000"/>
                <w:sz w:val="21"/>
                <w:szCs w:val="21"/>
                <w:u w:val="none"/>
              </w:rPr>
              <w:t>支持MD5、SHA256加密算法。（公安部检验报告证明）</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8、</w:t>
            </w:r>
            <w:r>
              <w:rPr>
                <w:rFonts w:hint="eastAsia" w:ascii="宋体" w:hAnsi="宋体" w:eastAsia="宋体" w:cs="宋体"/>
                <w:i w:val="0"/>
                <w:iCs w:val="0"/>
                <w:color w:val="000000"/>
                <w:sz w:val="21"/>
                <w:szCs w:val="21"/>
                <w:u w:val="none"/>
              </w:rPr>
              <w:t>不低于IP66防尘防水等级。</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9、</w:t>
            </w:r>
            <w:r>
              <w:rPr>
                <w:rFonts w:hint="eastAsia" w:ascii="宋体" w:hAnsi="宋体" w:eastAsia="宋体" w:cs="宋体"/>
                <w:i w:val="0"/>
                <w:iCs w:val="0"/>
                <w:color w:val="000000"/>
                <w:sz w:val="21"/>
                <w:szCs w:val="21"/>
                <w:u w:val="none"/>
              </w:rPr>
              <w:t>★射频电磁场辐射抗扰度限值应符合GB/T 17626.3-2006中试验等级3的规定。（公安部检验报告证明）</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lang w:val="en-US" w:eastAsia="zh-CN"/>
              </w:rPr>
              <w:t>10、</w:t>
            </w:r>
            <w:r>
              <w:rPr>
                <w:rFonts w:hint="eastAsia" w:ascii="宋体" w:hAnsi="宋体" w:eastAsia="宋体" w:cs="宋体"/>
                <w:i w:val="0"/>
                <w:iCs w:val="0"/>
                <w:color w:val="000000"/>
                <w:sz w:val="21"/>
                <w:szCs w:val="21"/>
                <w:u w:val="none"/>
              </w:rPr>
              <w:t>★传导骚扰限值应符合GB/T 9254-2008中等级A的规定。（公安部检验报告证明）</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3</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枪机支架</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壁装支架</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74"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4</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核心交换机</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color w:val="auto"/>
                <w:sz w:val="21"/>
                <w:szCs w:val="21"/>
                <w:lang w:val="en-US" w:eastAsia="zh-CN"/>
              </w:rPr>
            </w:pPr>
            <w:r>
              <w:rPr>
                <w:rFonts w:hint="eastAsia" w:ascii="宋体" w:hAnsi="宋体" w:eastAsia="宋体" w:cs="宋体"/>
                <w:sz w:val="21"/>
                <w:szCs w:val="21"/>
                <w:lang w:val="en-US" w:eastAsia="zh-CN"/>
              </w:rPr>
              <w:t>1、全网管三层交换机，机架式，48个千兆电口，4个万兆SFP+光口；1个业务扩展槽，2个电源模块槽位，2个风扇模块槽位，交换容量598Gbps，包转发率252Mpps，1U高度，19英寸宽，工作温度：0℃～45℃，支持交直流供电，满负荷功耗88W（单交流电源情况下）；支持RIP/OSPF/BGP/IS-IS/VRRP，IPv6，VLAN，流量控制，ACL，QoS，端口镜像，环网RRPP/ERPS、</w:t>
            </w:r>
            <w:r>
              <w:rPr>
                <w:rFonts w:hint="eastAsia" w:ascii="宋体" w:hAnsi="宋体" w:eastAsia="宋体" w:cs="宋体"/>
                <w:color w:val="auto"/>
                <w:sz w:val="21"/>
                <w:szCs w:val="21"/>
                <w:lang w:val="en-US" w:eastAsia="zh-CN"/>
              </w:rPr>
              <w:t>支持SNMP V1/V2c/V3网管。</w:t>
            </w:r>
          </w:p>
          <w:p>
            <w:pPr>
              <w:pStyle w:val="2"/>
              <w:spacing w:line="240" w:lineRule="auto"/>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★支持通过网管平台实现统一运维管理，在平台上实现对接入的交换机和终端设备进行系统拓扑展示及管理，支持以不同图标展示接入设备间的连接方式，包括网线、光纤和无线连接</w:t>
            </w:r>
            <w:r>
              <w:rPr>
                <w:rFonts w:hint="eastAsia" w:ascii="宋体" w:hAnsi="宋体" w:eastAsia="宋体" w:cs="宋体"/>
                <w:color w:val="auto"/>
                <w:sz w:val="21"/>
                <w:szCs w:val="21"/>
                <w:lang w:eastAsia="zh-CN"/>
              </w:rPr>
              <w:t>。</w:t>
            </w:r>
          </w:p>
          <w:p>
            <w:pPr>
              <w:spacing w:line="240" w:lineRule="auto"/>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支持链路聚合功能及聚合零丢包功能</w:t>
            </w:r>
            <w:r>
              <w:rPr>
                <w:rFonts w:hint="eastAsia" w:ascii="宋体" w:hAnsi="宋体" w:eastAsia="宋体" w:cs="宋体"/>
                <w:color w:val="auto"/>
                <w:sz w:val="21"/>
                <w:szCs w:val="21"/>
                <w:lang w:eastAsia="zh-CN"/>
              </w:rPr>
              <w:t>。</w:t>
            </w:r>
          </w:p>
          <w:p>
            <w:pPr>
              <w:pStyle w:val="2"/>
              <w:spacing w:line="240" w:lineRule="auto"/>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支持Vxlan二层互通、Vxlan集中式网关三层互通、EVPN分布式网关二三层互通功能</w:t>
            </w:r>
            <w:r>
              <w:rPr>
                <w:rFonts w:hint="eastAsia" w:ascii="宋体" w:hAnsi="宋体" w:eastAsia="宋体" w:cs="宋体"/>
                <w:color w:val="auto"/>
                <w:sz w:val="21"/>
                <w:szCs w:val="21"/>
                <w:lang w:eastAsia="zh-CN"/>
              </w:rPr>
              <w:t>。</w:t>
            </w:r>
          </w:p>
          <w:p>
            <w:pPr>
              <w:spacing w:line="240" w:lineRule="auto"/>
              <w:rPr>
                <w:rFonts w:hint="eastAsia" w:ascii="宋体" w:hAnsi="宋体" w:eastAsia="宋体" w:cs="宋体"/>
                <w:sz w:val="21"/>
                <w:szCs w:val="21"/>
              </w:rPr>
            </w:pP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5</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交换机</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全钢材壳体24口POE交换机</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6</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交换机</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全钢材壳体16口POE交换机</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7</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交换机</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全钢材壳体8口POE交换机</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8</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光纤收发器机架</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双电源14槽</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单口光纤收发器</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内置2个高可靠性的开关电源，冗余备份</w:t>
            </w:r>
          </w:p>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标准19英寸2U的机架设计</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9</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收发器</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单模单纤</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10</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光纤跳线</w:t>
            </w:r>
          </w:p>
        </w:tc>
        <w:tc>
          <w:tcPr>
            <w:tcW w:w="3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ST-SC</w:t>
            </w:r>
          </w:p>
        </w:tc>
        <w:tc>
          <w:tcPr>
            <w:tcW w:w="360"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11</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不锈钢箱</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300*400，配备插排</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12</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9U墙柜</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kern w:val="0"/>
                <w:sz w:val="21"/>
                <w:szCs w:val="21"/>
                <w:u w:val="none"/>
                <w:lang w:val="en-US" w:eastAsia="zh-CN" w:bidi="ar"/>
              </w:rPr>
              <w:t>600*600*600</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3"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13</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网络存储设备</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w:t>
            </w:r>
            <w:r>
              <w:rPr>
                <w:rFonts w:hint="eastAsia" w:ascii="宋体" w:hAnsi="宋体" w:eastAsia="宋体" w:cs="宋体"/>
                <w:i w:val="0"/>
                <w:iCs w:val="0"/>
                <w:color w:val="auto"/>
                <w:sz w:val="21"/>
                <w:szCs w:val="21"/>
                <w:u w:val="none"/>
              </w:rPr>
              <w:t>单设备应配置≥64位多核处理器，≥4GB内存，内存支持扩展到≥32GB，需配置冗余金牌电源，支持双系统</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2、</w:t>
            </w:r>
            <w:r>
              <w:rPr>
                <w:rFonts w:hint="eastAsia" w:ascii="宋体" w:hAnsi="宋体" w:eastAsia="宋体" w:cs="宋体"/>
                <w:i w:val="0"/>
                <w:iCs w:val="0"/>
                <w:color w:val="auto"/>
                <w:sz w:val="21"/>
                <w:szCs w:val="21"/>
                <w:u w:val="none"/>
              </w:rPr>
              <w:t>单设备应标配≥2个千兆网口，可增扩≥2个万兆口或≥2个光纤接口或增配≥4个HDMI接口或≥2个SAS3.0接口</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3、</w:t>
            </w:r>
            <w:r>
              <w:rPr>
                <w:rFonts w:hint="eastAsia" w:ascii="宋体" w:hAnsi="宋体" w:eastAsia="宋体" w:cs="宋体"/>
                <w:i w:val="0"/>
                <w:iCs w:val="0"/>
                <w:color w:val="auto"/>
                <w:sz w:val="21"/>
                <w:szCs w:val="21"/>
                <w:u w:val="none"/>
              </w:rPr>
              <w:t>可接入2T/3T/4T/6T/8TSATA磁盘，支持磁盘交错启动和漫游，并支持在线热插拔；</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4、</w:t>
            </w:r>
            <w:r>
              <w:rPr>
                <w:rFonts w:hint="eastAsia" w:ascii="宋体" w:hAnsi="宋体" w:eastAsia="宋体" w:cs="宋体"/>
                <w:i w:val="0"/>
                <w:iCs w:val="0"/>
                <w:color w:val="auto"/>
                <w:sz w:val="21"/>
                <w:szCs w:val="21"/>
                <w:u w:val="none"/>
              </w:rPr>
              <w:t>可接入硬盘≥36块，支持SATA和SAS混插，并支持≥12级扩展柜级联扩展；</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5、</w:t>
            </w:r>
            <w:r>
              <w:rPr>
                <w:rFonts w:hint="eastAsia" w:ascii="宋体" w:hAnsi="宋体" w:eastAsia="宋体" w:cs="宋体"/>
                <w:i w:val="0"/>
                <w:iCs w:val="0"/>
                <w:color w:val="auto"/>
                <w:sz w:val="21"/>
                <w:szCs w:val="21"/>
                <w:u w:val="none"/>
              </w:rPr>
              <w:t>应能提供RAID0、1、3、5、6、10、50，60、JBOD模式，支持全局、局部等多种热备选择，支持坏盘自动重构；</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6、</w:t>
            </w:r>
            <w:r>
              <w:rPr>
                <w:rFonts w:hint="eastAsia" w:ascii="宋体" w:hAnsi="宋体" w:eastAsia="宋体" w:cs="宋体"/>
                <w:i w:val="0"/>
                <w:iCs w:val="0"/>
                <w:color w:val="auto"/>
                <w:sz w:val="21"/>
                <w:szCs w:val="21"/>
                <w:u w:val="none"/>
              </w:rPr>
              <w:t>应能接入并存储1880Mbps视频图像，同时转发1880Mbps的视频图像；同时回放512Mbps的视频图像；</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7、</w:t>
            </w:r>
            <w:r>
              <w:rPr>
                <w:rFonts w:hint="eastAsia" w:ascii="宋体" w:hAnsi="宋体" w:eastAsia="宋体" w:cs="宋体"/>
                <w:i w:val="0"/>
                <w:iCs w:val="0"/>
                <w:color w:val="auto"/>
                <w:sz w:val="21"/>
                <w:szCs w:val="21"/>
                <w:u w:val="none"/>
              </w:rPr>
              <w:t>支持不低于600MBps图片并发输入，同时不低于600MBps图片并发输出</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8、</w:t>
            </w:r>
            <w:r>
              <w:rPr>
                <w:rFonts w:hint="eastAsia" w:ascii="宋体" w:hAnsi="宋体" w:eastAsia="宋体" w:cs="宋体"/>
                <w:i w:val="0"/>
                <w:iCs w:val="0"/>
                <w:color w:val="auto"/>
                <w:sz w:val="21"/>
                <w:szCs w:val="21"/>
                <w:u w:val="none"/>
              </w:rPr>
              <w:t>可接入MPEG4、H.264、H.265、Smart265、SVAC编码格式的前端设备并存储录像文件,可将大华、宇视、海康等厂商SDK封装格式的视频流转成标准（MPEG4、H.264、H.265、SVAC、4K等编码格式）PS流（ProgramStream）输出。</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9、</w:t>
            </w:r>
            <w:r>
              <w:rPr>
                <w:rFonts w:hint="eastAsia" w:ascii="宋体" w:hAnsi="宋体" w:eastAsia="宋体" w:cs="宋体"/>
                <w:i w:val="0"/>
                <w:iCs w:val="0"/>
                <w:color w:val="auto"/>
                <w:sz w:val="21"/>
                <w:szCs w:val="21"/>
                <w:u w:val="none"/>
              </w:rPr>
              <w:t>★网络中断后重新恢复，设备可续存断网期间存储在前端设备中的录像文件，并可通过IE浏览器设置自动回传和手动回传。支持256路4M的录像回传。（以检测报告为准）</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10、</w:t>
            </w:r>
            <w:r>
              <w:rPr>
                <w:rFonts w:hint="eastAsia" w:ascii="宋体" w:hAnsi="宋体" w:eastAsia="宋体" w:cs="宋体"/>
                <w:i w:val="0"/>
                <w:iCs w:val="0"/>
                <w:color w:val="auto"/>
                <w:sz w:val="21"/>
                <w:szCs w:val="21"/>
                <w:u w:val="none"/>
              </w:rPr>
              <w:t>当录像视频流发生丢失5s以上可在日志中记录报警信息。</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11、</w:t>
            </w:r>
            <w:r>
              <w:rPr>
                <w:rFonts w:hint="eastAsia" w:ascii="宋体" w:hAnsi="宋体" w:eastAsia="宋体" w:cs="宋体"/>
                <w:i w:val="0"/>
                <w:iCs w:val="0"/>
                <w:color w:val="auto"/>
                <w:sz w:val="21"/>
                <w:szCs w:val="21"/>
                <w:u w:val="none"/>
              </w:rPr>
              <w:t>提供多设备同步升级功能，可以通过一键式操作对整个局域网内的所有设备同步升级。</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12、</w:t>
            </w:r>
            <w:r>
              <w:rPr>
                <w:rFonts w:hint="eastAsia" w:ascii="宋体" w:hAnsi="宋体" w:eastAsia="宋体" w:cs="宋体"/>
                <w:i w:val="0"/>
                <w:iCs w:val="0"/>
                <w:color w:val="auto"/>
                <w:sz w:val="21"/>
                <w:szCs w:val="21"/>
                <w:u w:val="none"/>
              </w:rPr>
              <w:t>设备可同时支持视频、图片、智能流和文件直写存储。</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13、</w:t>
            </w:r>
            <w:r>
              <w:rPr>
                <w:rFonts w:hint="eastAsia" w:ascii="宋体" w:hAnsi="宋体" w:eastAsia="宋体" w:cs="宋体"/>
                <w:i w:val="0"/>
                <w:iCs w:val="0"/>
                <w:color w:val="auto"/>
                <w:sz w:val="21"/>
                <w:szCs w:val="21"/>
                <w:u w:val="none"/>
              </w:rPr>
              <w:t>支持多路文件采用非NAS方式直接上传存储，且速度可设置。</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14、</w:t>
            </w:r>
            <w:r>
              <w:rPr>
                <w:rFonts w:hint="eastAsia" w:ascii="宋体" w:hAnsi="宋体" w:eastAsia="宋体" w:cs="宋体"/>
                <w:i w:val="0"/>
                <w:iCs w:val="0"/>
                <w:color w:val="auto"/>
                <w:sz w:val="21"/>
                <w:szCs w:val="21"/>
                <w:u w:val="none"/>
              </w:rPr>
              <w:t>★可对指定的录像段或指定事件的1个或多个前端的不同时间段的录像段添加标签，并自动备份到存档卷中，使之不会被覆盖删除；（以检测报告为准）</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15、</w:t>
            </w:r>
            <w:r>
              <w:rPr>
                <w:rFonts w:hint="eastAsia" w:ascii="宋体" w:hAnsi="宋体" w:eastAsia="宋体" w:cs="宋体"/>
                <w:i w:val="0"/>
                <w:iCs w:val="0"/>
                <w:color w:val="auto"/>
                <w:sz w:val="21"/>
                <w:szCs w:val="21"/>
                <w:u w:val="none"/>
              </w:rPr>
              <w:t>★可根据事件名称查询所有相关联的不同前端或时间的录像段并进行回放和下载；（以检测报告为准）</w:t>
            </w:r>
          </w:p>
          <w:p>
            <w:pPr>
              <w:keepNext w:val="0"/>
              <w:keepLines w:val="0"/>
              <w:widowControl/>
              <w:suppressLineNumbers w:val="0"/>
              <w:spacing w:line="240" w:lineRule="auto"/>
              <w:jc w:val="both"/>
              <w:textAlignment w:val="center"/>
              <w:rPr>
                <w:rFonts w:hint="eastAsia" w:ascii="宋体" w:hAnsi="宋体" w:eastAsia="宋体" w:cs="宋体"/>
                <w:i w:val="0"/>
                <w:iCs w:val="0"/>
                <w:color w:val="auto"/>
                <w:sz w:val="21"/>
                <w:szCs w:val="21"/>
                <w:u w:val="none"/>
              </w:rPr>
            </w:pPr>
            <w:r>
              <w:rPr>
                <w:rFonts w:hint="eastAsia" w:ascii="宋体" w:hAnsi="宋体" w:eastAsia="宋体" w:cs="宋体"/>
                <w:i w:val="0"/>
                <w:iCs w:val="0"/>
                <w:color w:val="auto"/>
                <w:sz w:val="21"/>
                <w:szCs w:val="21"/>
                <w:u w:val="none"/>
                <w:lang w:val="en-US" w:eastAsia="zh-CN"/>
              </w:rPr>
              <w:t>16、</w:t>
            </w:r>
            <w:r>
              <w:rPr>
                <w:rFonts w:hint="eastAsia" w:ascii="宋体" w:hAnsi="宋体" w:eastAsia="宋体" w:cs="宋体"/>
                <w:i w:val="0"/>
                <w:iCs w:val="0"/>
                <w:color w:val="auto"/>
                <w:sz w:val="21"/>
                <w:szCs w:val="21"/>
                <w:u w:val="none"/>
              </w:rPr>
              <w:t>★可通过IE浏览器对一台、多台样机或扩展柜中的磁盘进行定位，使对应的磁盘指示灯闪烁，闪烁的时长可设；（以检测报告为准）</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14</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硬盘</w:t>
            </w:r>
          </w:p>
        </w:tc>
        <w:tc>
          <w:tcPr>
            <w:tcW w:w="3639" w:type="pct"/>
            <w:tcBorders>
              <w:top w:val="single" w:color="000000" w:sz="4" w:space="0"/>
              <w:left w:val="single" w:color="000000" w:sz="4" w:space="0"/>
              <w:bottom w:val="nil"/>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6T,3.5"7200转,SATA,企业盘</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15</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安装施工</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sz w:val="21"/>
                <w:szCs w:val="21"/>
                <w:u w:val="none"/>
              </w:rPr>
              <w:t>拆除模拟摄像头、超五类双绞线、电源线、PVC管子、地面开槽、安装及调试需要符合弱电施工要求，对应标签，PVC管施工美观，横平竖直。</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16</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55寸监视器</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jc w:val="left"/>
              <w:textAlignment w:val="center"/>
              <w:rPr>
                <w:rFonts w:ascii="宋体" w:cs="宋体"/>
                <w:color w:val="auto"/>
                <w:kern w:val="0"/>
                <w:lang w:bidi="ar"/>
              </w:rPr>
            </w:pPr>
            <w:r>
              <w:rPr>
                <w:rFonts w:hint="eastAsia" w:ascii="宋体" w:cs="宋体"/>
                <w:color w:val="auto"/>
                <w:kern w:val="0"/>
                <w:lang w:bidi="ar"/>
              </w:rPr>
              <w:t>1.投标产品响应时间≤8ms</w:t>
            </w:r>
          </w:p>
          <w:p>
            <w:pPr>
              <w:jc w:val="left"/>
              <w:textAlignment w:val="center"/>
              <w:rPr>
                <w:rFonts w:ascii="宋体" w:cs="宋体"/>
                <w:color w:val="auto"/>
              </w:rPr>
            </w:pPr>
            <w:r>
              <w:rPr>
                <w:rFonts w:hint="eastAsia" w:ascii="宋体" w:cs="宋体"/>
                <w:color w:val="auto"/>
                <w:kern w:val="0"/>
                <w:lang w:bidi="ar"/>
              </w:rPr>
              <w:t>2.投标产品静态对比度≤1200:1</w:t>
            </w:r>
          </w:p>
          <w:p>
            <w:pPr>
              <w:jc w:val="left"/>
              <w:textAlignment w:val="center"/>
              <w:rPr>
                <w:rFonts w:ascii="宋体" w:cs="宋体"/>
                <w:color w:val="auto"/>
              </w:rPr>
            </w:pPr>
            <w:r>
              <w:rPr>
                <w:rFonts w:hint="eastAsia" w:ascii="宋体" w:cs="宋体"/>
                <w:color w:val="auto"/>
                <w:kern w:val="0"/>
                <w:lang w:bidi="ar"/>
              </w:rPr>
              <w:t>3.投标产品亮度≥500cd/m²</w:t>
            </w:r>
          </w:p>
          <w:p>
            <w:pPr>
              <w:jc w:val="left"/>
              <w:textAlignment w:val="center"/>
              <w:rPr>
                <w:rFonts w:ascii="宋体" w:cs="宋体"/>
                <w:color w:val="auto"/>
              </w:rPr>
            </w:pPr>
            <w:r>
              <w:rPr>
                <w:rFonts w:hint="eastAsia" w:ascii="宋体" w:cs="宋体"/>
                <w:color w:val="auto"/>
                <w:kern w:val="0"/>
                <w:lang w:bidi="ar"/>
              </w:rPr>
              <w:t>4.投标产品可视角度≥178°</w:t>
            </w:r>
          </w:p>
          <w:p>
            <w:pPr>
              <w:jc w:val="left"/>
              <w:textAlignment w:val="center"/>
              <w:rPr>
                <w:rFonts w:ascii="宋体" w:cs="宋体"/>
                <w:color w:val="auto"/>
              </w:rPr>
            </w:pPr>
            <w:r>
              <w:rPr>
                <w:rFonts w:hint="eastAsia" w:ascii="宋体" w:cs="宋体"/>
                <w:color w:val="auto"/>
                <w:kern w:val="0"/>
                <w:lang w:bidi="ar"/>
              </w:rPr>
              <w:t>5.投标产品待机功耗≤0.5W</w:t>
            </w:r>
          </w:p>
          <w:p>
            <w:pPr>
              <w:jc w:val="left"/>
              <w:textAlignment w:val="center"/>
              <w:rPr>
                <w:rFonts w:ascii="宋体" w:cs="宋体"/>
                <w:color w:val="auto"/>
              </w:rPr>
            </w:pPr>
            <w:r>
              <w:rPr>
                <w:rFonts w:hint="eastAsia" w:ascii="宋体" w:cs="宋体"/>
                <w:color w:val="auto"/>
                <w:kern w:val="0"/>
                <w:lang w:bidi="ar"/>
              </w:rPr>
              <w:t>6.具有丰富的输入输出接口：HDMI*1,DVI*1、VGA*1、USB*1、RS232 IN*1、RS232 OUT*1、IR IN*1</w:t>
            </w:r>
          </w:p>
          <w:p>
            <w:pPr>
              <w:jc w:val="left"/>
              <w:textAlignment w:val="center"/>
              <w:rPr>
                <w:rFonts w:ascii="宋体" w:cs="宋体"/>
                <w:color w:val="auto"/>
              </w:rPr>
            </w:pPr>
            <w:r>
              <w:rPr>
                <w:rFonts w:hint="eastAsia" w:ascii="宋体" w:cs="宋体"/>
                <w:color w:val="auto"/>
                <w:kern w:val="0"/>
                <w:lang w:bidi="ar"/>
              </w:rPr>
              <w:t>7.投标时提供产品CCC认证证书复印件并加盖公章</w:t>
            </w:r>
          </w:p>
          <w:p>
            <w:pPr>
              <w:jc w:val="left"/>
              <w:textAlignment w:val="center"/>
              <w:rPr>
                <w:rFonts w:ascii="宋体" w:cs="宋体"/>
                <w:color w:val="auto"/>
              </w:rPr>
            </w:pPr>
            <w:r>
              <w:rPr>
                <w:rFonts w:hint="eastAsia" w:ascii="宋体" w:cs="宋体"/>
                <w:color w:val="auto"/>
                <w:kern w:val="0"/>
                <w:lang w:bidi="ar"/>
              </w:rPr>
              <w:t>8.整机采用无风扇设计，具有良好的散热性能。</w:t>
            </w:r>
          </w:p>
          <w:p>
            <w:pPr>
              <w:jc w:val="left"/>
              <w:textAlignment w:val="center"/>
              <w:rPr>
                <w:rFonts w:hint="eastAsia" w:ascii="宋体" w:eastAsia="宋体" w:cs="宋体"/>
                <w:color w:val="auto"/>
                <w:lang w:eastAsia="zh-CN"/>
              </w:rPr>
            </w:pPr>
            <w:r>
              <w:rPr>
                <w:rFonts w:hint="eastAsia" w:ascii="宋体" w:cs="宋体"/>
                <w:color w:val="auto"/>
                <w:kern w:val="0"/>
                <w:lang w:bidi="ar"/>
              </w:rPr>
              <w:t>★9、为保证系统安全性，保证相关单位具有专业的信息安全研发及较强的事件分析能力，投标时提供中国信息安全测评中心办法的国家信息安全漏洞库（CNNVD）技术支撑单位登记一级证书</w:t>
            </w:r>
          </w:p>
          <w:p>
            <w:pPr>
              <w:jc w:val="left"/>
              <w:textAlignment w:val="center"/>
              <w:rPr>
                <w:rFonts w:ascii="宋体" w:cs="宋体"/>
                <w:color w:val="auto"/>
              </w:rPr>
            </w:pPr>
            <w:r>
              <w:rPr>
                <w:rFonts w:hint="eastAsia" w:ascii="宋体" w:cs="宋体"/>
                <w:color w:val="auto"/>
                <w:kern w:val="0"/>
                <w:lang w:bidi="ar"/>
              </w:rPr>
              <w:t>10.支持U盘点播：内置MPEG、JPEG和Real Media解码器，支持点播U盘、移动硬盘中的视频、图片、音频或文本资源。</w:t>
            </w:r>
          </w:p>
          <w:p>
            <w:pPr>
              <w:jc w:val="left"/>
              <w:textAlignment w:val="center"/>
              <w:rPr>
                <w:rFonts w:ascii="宋体" w:cs="宋体"/>
                <w:color w:val="auto"/>
              </w:rPr>
            </w:pPr>
            <w:r>
              <w:rPr>
                <w:rFonts w:hint="eastAsia" w:ascii="宋体" w:cs="宋体"/>
                <w:color w:val="auto"/>
                <w:kern w:val="0"/>
                <w:lang w:bidi="ar"/>
              </w:rPr>
              <w:t>11.具有防灼烧功能，能够有效改善液晶长时间显示静态画面时造成的残影现象。（提供第三方检测报告）</w:t>
            </w:r>
          </w:p>
          <w:p>
            <w:pPr>
              <w:jc w:val="left"/>
              <w:textAlignment w:val="center"/>
              <w:rPr>
                <w:rFonts w:ascii="宋体" w:cs="宋体"/>
                <w:color w:val="auto"/>
              </w:rPr>
            </w:pPr>
            <w:r>
              <w:rPr>
                <w:rFonts w:hint="eastAsia" w:ascii="宋体" w:cs="宋体"/>
                <w:color w:val="auto"/>
                <w:kern w:val="0"/>
                <w:lang w:bidi="ar"/>
              </w:rPr>
              <w:t>12.投标时提供视频图像数据的网络发送速率的平滑方法证书</w:t>
            </w:r>
          </w:p>
          <w:p>
            <w:pPr>
              <w:jc w:val="left"/>
              <w:textAlignment w:val="center"/>
              <w:rPr>
                <w:rFonts w:ascii="宋体" w:cs="宋体"/>
                <w:color w:val="auto"/>
              </w:rPr>
            </w:pPr>
            <w:r>
              <w:rPr>
                <w:rFonts w:hint="eastAsia" w:ascii="宋体" w:cs="宋体"/>
                <w:color w:val="auto"/>
                <w:kern w:val="0"/>
                <w:lang w:bidi="ar"/>
              </w:rPr>
              <w:t>★13.拼接屏具备智能温控功能，当屏幕温度在55℃-60℃之间时，会提醒用户温度过高，请及时通风；当温度超过60℃，屏幕会立即进入休眠状态；等温度降至50℃一下会被唤醒或者通过遥控器主动唤醒。（投标时提供第三方检测报告）</w:t>
            </w:r>
          </w:p>
          <w:p>
            <w:pPr>
              <w:jc w:val="left"/>
              <w:textAlignment w:val="center"/>
              <w:rPr>
                <w:rFonts w:ascii="宋体" w:cs="宋体"/>
                <w:color w:val="auto"/>
              </w:rPr>
            </w:pPr>
            <w:r>
              <w:rPr>
                <w:rFonts w:hint="eastAsia" w:ascii="宋体" w:cs="宋体"/>
                <w:color w:val="auto"/>
                <w:kern w:val="0"/>
                <w:lang w:bidi="ar"/>
              </w:rPr>
              <w:t>14.为保证产品的稳定性及可靠性，需在检验环境温度23℃-24摄氏度，湿度（%RH）:66-67,大气压力（kPa）：100.5-100.7</w:t>
            </w:r>
          </w:p>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cs="宋体"/>
                <w:color w:val="auto"/>
                <w:kern w:val="0"/>
                <w:lang w:bidi="ar"/>
              </w:rPr>
              <w:t>★1</w:t>
            </w:r>
            <w:r>
              <w:rPr>
                <w:rFonts w:ascii="宋体" w:cs="宋体"/>
                <w:color w:val="auto"/>
                <w:kern w:val="0"/>
                <w:lang w:bidi="ar"/>
              </w:rPr>
              <w:t>5</w:t>
            </w:r>
            <w:r>
              <w:rPr>
                <w:rFonts w:hint="eastAsia" w:ascii="宋体" w:cs="宋体"/>
                <w:color w:val="auto"/>
                <w:kern w:val="0"/>
                <w:lang w:bidi="ar"/>
              </w:rPr>
              <w:t>、为确保品牌真实性，投标时提供针对本项目质保函</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17</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LCD屏支架</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支架均采用SPCC优质冷轧钢板保障质量的源头；表面采用静电喷塑工艺，喷塑固化温度180-210度，涂层厚度80-100微米，对高防腐要求产品还可选择阴极电泳底漆工艺，防腐耐锈。户外支架外观材料可依据场景选择如冷板、SUS304、SUS316、铝塑板、铝单板等材料，表面处理方式可选户外塑粉、喷漆、氟碳漆等工艺。</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18</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超高清解码器</w:t>
            </w:r>
          </w:p>
        </w:tc>
        <w:tc>
          <w:tcPr>
            <w:tcW w:w="3639" w:type="pct"/>
            <w:tcBorders>
              <w:top w:val="single" w:color="000000" w:sz="4" w:space="0"/>
              <w:left w:val="single" w:color="000000" w:sz="4" w:space="0"/>
              <w:bottom w:val="single" w:color="000000" w:sz="4" w:space="0"/>
              <w:right w:val="single" w:color="000000" w:sz="4" w:space="0"/>
            </w:tcBorders>
            <w:noWrap/>
            <w:vAlign w:val="center"/>
          </w:tcPr>
          <w:p>
            <w:pPr>
              <w:textAlignment w:val="center"/>
              <w:rPr>
                <w:rFonts w:ascii="宋体" w:cs="宋体"/>
                <w:color w:val="auto"/>
              </w:rPr>
            </w:pPr>
            <w:r>
              <w:rPr>
                <w:rFonts w:hint="eastAsia" w:ascii="宋体" w:cs="宋体"/>
                <w:color w:val="auto"/>
              </w:rPr>
              <w:t>1、高清视音频解码器，采用</w:t>
            </w:r>
            <w:r>
              <w:rPr>
                <w:rFonts w:ascii="宋体" w:cs="宋体"/>
                <w:color w:val="auto"/>
              </w:rPr>
              <w:t>Linux操作系统，运行稳定可靠</w:t>
            </w:r>
          </w:p>
          <w:p>
            <w:pPr>
              <w:textAlignment w:val="center"/>
              <w:rPr>
                <w:rFonts w:ascii="宋体" w:cs="宋体"/>
                <w:color w:val="auto"/>
              </w:rPr>
            </w:pPr>
            <w:r>
              <w:rPr>
                <w:rFonts w:hint="eastAsia" w:ascii="宋体" w:cs="宋体"/>
                <w:color w:val="auto"/>
              </w:rPr>
              <w:t>2、输入接口：</w:t>
            </w:r>
            <w:r>
              <w:rPr>
                <w:rFonts w:ascii="宋体" w:cs="宋体"/>
                <w:color w:val="auto"/>
              </w:rPr>
              <w:t>1路HDMI, 1路DVI</w:t>
            </w:r>
          </w:p>
          <w:p>
            <w:pPr>
              <w:textAlignment w:val="center"/>
              <w:rPr>
                <w:rFonts w:ascii="宋体" w:cs="宋体"/>
                <w:color w:val="auto"/>
              </w:rPr>
            </w:pPr>
            <w:r>
              <w:rPr>
                <w:rFonts w:hint="eastAsia" w:ascii="宋体" w:cs="宋体"/>
                <w:color w:val="auto"/>
              </w:rPr>
              <w:t>3、输出接口：</w:t>
            </w:r>
            <w:r>
              <w:rPr>
                <w:rFonts w:ascii="宋体" w:cs="宋体"/>
                <w:color w:val="auto"/>
              </w:rPr>
              <w:t>4路HDMI，2路BNC</w:t>
            </w:r>
          </w:p>
          <w:p>
            <w:pPr>
              <w:textAlignment w:val="center"/>
              <w:rPr>
                <w:rFonts w:ascii="宋体" w:cs="宋体"/>
                <w:color w:val="auto"/>
              </w:rPr>
            </w:pPr>
            <w:r>
              <w:rPr>
                <w:rFonts w:hint="eastAsia" w:ascii="宋体" w:cs="宋体"/>
                <w:color w:val="auto"/>
              </w:rPr>
              <w:t>4、输入分辨率：</w:t>
            </w:r>
            <w:r>
              <w:rPr>
                <w:rFonts w:ascii="宋体" w:cs="宋体"/>
                <w:color w:val="auto"/>
              </w:rPr>
              <w:t>4K: 3840 × 2160@30Hz, WSXGA: 1680 × 1050/60 Hz, WXGA: 1440 × 900/60 Hz, WXGA: 1280 × 800/60 Hz, 1366 × 768/60 Hz, 1080p: 1920 × 1080@50/60 Hz, UXGA: 1600 × 1200@ 60Hz, XVGA: 1280 × 960@60 Hz, 720p: 1280 × 720@50 Hz/60 Hz, SXGA: 1280 × 1024@60 Hz, XGA: 1024 × 768@60 Hz</w:t>
            </w:r>
            <w:r>
              <w:rPr>
                <w:rFonts w:hint="eastAsia" w:ascii="宋体" w:cs="宋体"/>
                <w:color w:val="auto"/>
              </w:rPr>
              <w:t>/</w:t>
            </w:r>
            <w:r>
              <w:rPr>
                <w:rFonts w:ascii="宋体" w:cs="宋体"/>
                <w:color w:val="auto"/>
              </w:rPr>
              <w:t xml:space="preserve">  </w:t>
            </w:r>
            <w:r>
              <w:rPr>
                <w:rFonts w:hint="eastAsia" w:ascii="宋体" w:cs="宋体"/>
                <w:color w:val="auto"/>
              </w:rPr>
              <w:t>5、输出分辨率：</w:t>
            </w:r>
          </w:p>
          <w:p>
            <w:pPr>
              <w:textAlignment w:val="center"/>
              <w:rPr>
                <w:rFonts w:ascii="宋体" w:cs="宋体"/>
                <w:color w:val="auto"/>
              </w:rPr>
            </w:pPr>
            <w:r>
              <w:rPr>
                <w:rFonts w:ascii="宋体" w:cs="宋体"/>
                <w:color w:val="auto"/>
              </w:rPr>
              <w:t>HDMI：4K: 3840 × 2160@30 Hz(仅奇数口), 1080p: 1920 × 1080@50/60 Hz, WSXGA: 1680×1050/60Hz, UXGA: 1600 × 1200@60 Hz (仅奇数口), 720p: 1280 × 720@50 Hz/60 Hz, SXGA: 1280 × 1024@60 Hz, XGA: 1024 × 768@60 Hz</w:t>
            </w:r>
          </w:p>
          <w:p>
            <w:pPr>
              <w:textAlignment w:val="center"/>
              <w:rPr>
                <w:rFonts w:ascii="宋体" w:cs="宋体"/>
                <w:color w:val="auto"/>
              </w:rPr>
            </w:pPr>
            <w:r>
              <w:rPr>
                <w:rFonts w:ascii="宋体" w:cs="宋体"/>
                <w:color w:val="auto"/>
              </w:rPr>
              <w:t>BNC：支持PAL、NTSC制式</w:t>
            </w:r>
          </w:p>
          <w:p>
            <w:pPr>
              <w:textAlignment w:val="center"/>
              <w:rPr>
                <w:rFonts w:ascii="宋体" w:cs="宋体"/>
                <w:color w:val="auto"/>
              </w:rPr>
            </w:pPr>
            <w:r>
              <w:rPr>
                <w:rFonts w:hint="eastAsia" w:ascii="宋体" w:cs="宋体"/>
                <w:color w:val="auto"/>
              </w:rPr>
              <w:t>6、采用嵌入式架构，专用</w:t>
            </w:r>
            <w:r>
              <w:rPr>
                <w:rFonts w:ascii="宋体" w:cs="宋体"/>
                <w:color w:val="auto"/>
              </w:rPr>
              <w:t>Linux系统，使用DSP解码。为了设备稳定可靠运行，不得采用工控机或者PC机的X86架构。</w:t>
            </w:r>
          </w:p>
          <w:p>
            <w:pPr>
              <w:textAlignment w:val="center"/>
              <w:rPr>
                <w:rFonts w:ascii="宋体" w:cs="宋体"/>
                <w:color w:val="auto"/>
              </w:rPr>
            </w:pPr>
            <w:r>
              <w:rPr>
                <w:rFonts w:hint="eastAsia" w:ascii="宋体" w:cs="宋体"/>
                <w:color w:val="auto"/>
              </w:rPr>
              <w:t>具有</w:t>
            </w:r>
            <w:r>
              <w:rPr>
                <w:rFonts w:ascii="宋体" w:cs="宋体"/>
                <w:color w:val="auto"/>
              </w:rPr>
              <w:t>4个HDMI输出接口、1个HDMI输入接口、1个DVI输入接口、1个USB口、4个音频输出、1个RS485接口、2个CVBS输出接口（通过转接头实现）、1个RJ45网络接口。样机采用AC220V电源供电。</w:t>
            </w:r>
          </w:p>
          <w:p>
            <w:pPr>
              <w:textAlignment w:val="center"/>
              <w:rPr>
                <w:rFonts w:ascii="宋体" w:cs="宋体"/>
                <w:color w:val="auto"/>
              </w:rPr>
            </w:pPr>
            <w:r>
              <w:rPr>
                <w:rFonts w:hint="eastAsia" w:ascii="宋体" w:cs="宋体"/>
                <w:color w:val="auto"/>
                <w:lang w:val="en-US" w:eastAsia="zh-CN"/>
              </w:rPr>
              <w:t>7、</w:t>
            </w:r>
            <w:r>
              <w:rPr>
                <w:rFonts w:hint="eastAsia" w:ascii="宋体" w:cs="宋体"/>
                <w:color w:val="auto"/>
              </w:rPr>
              <w:t>★支持对输入的视频画面进行</w:t>
            </w:r>
            <w:r>
              <w:rPr>
                <w:rFonts w:ascii="宋体" w:cs="宋体"/>
                <w:color w:val="auto"/>
              </w:rPr>
              <w:t>90°、180°、270°旋转显示。（提供封面具有CNAS认证标识的公安部报告证明。）</w:t>
            </w:r>
          </w:p>
          <w:p>
            <w:pPr>
              <w:textAlignment w:val="center"/>
              <w:rPr>
                <w:rFonts w:ascii="宋体" w:cs="宋体"/>
                <w:color w:val="auto"/>
              </w:rPr>
            </w:pPr>
            <w:r>
              <w:rPr>
                <w:rFonts w:hint="eastAsia" w:ascii="宋体" w:cs="宋体"/>
                <w:color w:val="auto"/>
                <w:lang w:val="en-US" w:eastAsia="zh-CN"/>
              </w:rPr>
              <w:t>8、</w:t>
            </w:r>
            <w:r>
              <w:rPr>
                <w:rFonts w:hint="eastAsia" w:ascii="宋体" w:cs="宋体"/>
                <w:color w:val="auto"/>
              </w:rPr>
              <w:t>★设备接入具有智能行为分析功能的摄像机，可解码显示智能行为分析信息，包括移动侦测、越界入侵、区域入侵、起身离开等，并上传报警信息。（提供封面具有</w:t>
            </w:r>
            <w:r>
              <w:rPr>
                <w:rFonts w:ascii="宋体" w:cs="宋体"/>
                <w:color w:val="auto"/>
              </w:rPr>
              <w:t>CNAS认证标识的公安部报告证明。）</w:t>
            </w:r>
          </w:p>
          <w:p>
            <w:pPr>
              <w:textAlignment w:val="center"/>
              <w:rPr>
                <w:rFonts w:ascii="宋体" w:cs="宋体"/>
                <w:color w:val="auto"/>
              </w:rPr>
            </w:pPr>
            <w:r>
              <w:rPr>
                <w:rFonts w:hint="eastAsia" w:ascii="宋体" w:cs="宋体"/>
                <w:color w:val="auto"/>
                <w:lang w:val="en-US" w:eastAsia="zh-CN"/>
              </w:rPr>
              <w:t>9、</w:t>
            </w:r>
            <w:r>
              <w:rPr>
                <w:rFonts w:hint="eastAsia" w:ascii="宋体" w:cs="宋体"/>
                <w:color w:val="auto"/>
              </w:rPr>
              <w:t>★支持黑白名单功能，可设置</w:t>
            </w:r>
            <w:r>
              <w:rPr>
                <w:rFonts w:ascii="宋体" w:cs="宋体"/>
                <w:color w:val="auto"/>
              </w:rPr>
              <w:t>256个黑白名单；当设置白名单时，只允许白名单IP访问设备；当设置黑名单时，黑名单内IP无法访问设备（提供封面具有CNAS认证标识的公安部报告证明。）</w:t>
            </w:r>
          </w:p>
          <w:p>
            <w:pPr>
              <w:textAlignment w:val="center"/>
              <w:rPr>
                <w:rFonts w:ascii="宋体" w:cs="宋体"/>
                <w:color w:val="auto"/>
              </w:rPr>
            </w:pPr>
            <w:r>
              <w:rPr>
                <w:rFonts w:hint="eastAsia" w:ascii="宋体" w:cs="宋体"/>
                <w:color w:val="auto"/>
                <w:lang w:val="en-US" w:eastAsia="zh-CN"/>
              </w:rPr>
              <w:t>10、</w:t>
            </w:r>
            <w:r>
              <w:rPr>
                <w:rFonts w:hint="eastAsia" w:ascii="宋体" w:cs="宋体"/>
                <w:color w:val="auto"/>
              </w:rPr>
              <w:t>★输入信号接入解码器后上墙显示，支持</w:t>
            </w:r>
            <w:r>
              <w:rPr>
                <w:rFonts w:ascii="宋体" w:cs="宋体"/>
                <w:color w:val="auto"/>
              </w:rPr>
              <w:t>YUV422上墙显示；（提供封面具有CNAS认证标识的公安部报告证明。）</w:t>
            </w:r>
          </w:p>
          <w:p>
            <w:pPr>
              <w:textAlignment w:val="center"/>
              <w:rPr>
                <w:rFonts w:ascii="宋体" w:cs="宋体"/>
                <w:color w:val="auto"/>
              </w:rPr>
            </w:pPr>
            <w:r>
              <w:rPr>
                <w:rFonts w:hint="eastAsia" w:ascii="宋体" w:cs="宋体"/>
                <w:color w:val="auto"/>
              </w:rPr>
              <w:t>支持</w:t>
            </w:r>
            <w:r>
              <w:rPr>
                <w:rFonts w:ascii="宋体" w:cs="宋体"/>
                <w:color w:val="auto"/>
              </w:rPr>
              <w:t>PC 软件客户端、WEB 浏览器客户端、平台客户端、IPAD、可视化触控平台方式访问管理。（提供封面具有CNAS认证标识的公安部报告证明）</w:t>
            </w:r>
          </w:p>
          <w:p>
            <w:pPr>
              <w:textAlignment w:val="center"/>
              <w:rPr>
                <w:rFonts w:ascii="宋体" w:cs="宋体"/>
                <w:color w:val="auto"/>
              </w:rPr>
            </w:pPr>
            <w:r>
              <w:rPr>
                <w:rFonts w:hint="eastAsia" w:ascii="宋体" w:cs="宋体"/>
                <w:color w:val="auto"/>
                <w:lang w:val="en-US" w:eastAsia="zh-CN"/>
              </w:rPr>
              <w:t>11、</w:t>
            </w:r>
            <w:r>
              <w:rPr>
                <w:rFonts w:hint="eastAsia" w:ascii="宋体" w:cs="宋体"/>
                <w:color w:val="auto"/>
              </w:rPr>
              <w:t>支持通过</w:t>
            </w:r>
            <w:r>
              <w:rPr>
                <w:rFonts w:ascii="宋体" w:cs="宋体"/>
                <w:color w:val="auto"/>
              </w:rPr>
              <w:t>IE浏览器进行网络模式设置，包括设置为流畅性优先/实时性优先。（提供封面具有CNAS认证标识的公安部报告证明。）</w:t>
            </w:r>
          </w:p>
          <w:p>
            <w:pPr>
              <w:textAlignment w:val="center"/>
              <w:rPr>
                <w:rFonts w:ascii="宋体" w:cs="宋体"/>
                <w:color w:val="auto"/>
              </w:rPr>
            </w:pPr>
            <w:r>
              <w:rPr>
                <w:rFonts w:hint="eastAsia" w:ascii="宋体" w:cs="宋体"/>
                <w:color w:val="auto"/>
                <w:lang w:val="en-US" w:eastAsia="zh-CN"/>
              </w:rPr>
              <w:t>12、</w:t>
            </w:r>
            <w:r>
              <w:rPr>
                <w:rFonts w:hint="eastAsia" w:ascii="宋体" w:cs="宋体"/>
                <w:color w:val="auto"/>
              </w:rPr>
              <w:t>可通过设备抓屏软件，将远程电脑桌面实时解码上墙显示，画面帧率可达</w:t>
            </w:r>
            <w:r>
              <w:rPr>
                <w:rFonts w:ascii="宋体" w:cs="宋体"/>
                <w:color w:val="auto"/>
              </w:rPr>
              <w:t>30fps。（提供封面具有CNAS认证标识的公安部报告证明）</w:t>
            </w:r>
          </w:p>
          <w:p>
            <w:pPr>
              <w:textAlignment w:val="center"/>
              <w:rPr>
                <w:rFonts w:ascii="宋体" w:cs="宋体"/>
                <w:color w:val="auto"/>
              </w:rPr>
            </w:pPr>
            <w:r>
              <w:rPr>
                <w:rFonts w:hint="eastAsia" w:ascii="宋体" w:cs="宋体"/>
                <w:color w:val="auto"/>
                <w:lang w:val="en-US" w:eastAsia="zh-CN"/>
              </w:rPr>
              <w:t>13、</w:t>
            </w:r>
            <w:r>
              <w:rPr>
                <w:rFonts w:hint="eastAsia" w:ascii="宋体" w:cs="宋体"/>
                <w:color w:val="auto"/>
              </w:rPr>
              <w:t>支持</w:t>
            </w:r>
            <w:r>
              <w:rPr>
                <w:rFonts w:ascii="宋体" w:cs="宋体"/>
                <w:color w:val="auto"/>
              </w:rPr>
              <w:t>1、2、4、6、8、9、10、12、16、25、36画面分割显示；支持平均分割；支持分割线开启/关闭设置，支持底色设置功能。（提供封面具有CNAS认证标识的公安部报告证明）</w:t>
            </w:r>
          </w:p>
          <w:p>
            <w:pPr>
              <w:keepNext w:val="0"/>
              <w:keepLines w:val="0"/>
              <w:widowControl/>
              <w:suppressLineNumbers w:val="0"/>
              <w:spacing w:line="240" w:lineRule="auto"/>
              <w:jc w:val="both"/>
              <w:textAlignment w:val="center"/>
              <w:rPr>
                <w:rFonts w:hint="eastAsia" w:ascii="宋体" w:hAnsi="宋体" w:eastAsia="宋体" w:cs="宋体"/>
                <w:sz w:val="21"/>
                <w:szCs w:val="21"/>
              </w:rPr>
            </w:pPr>
            <w:r>
              <w:rPr>
                <w:rFonts w:hint="eastAsia" w:ascii="宋体" w:cs="宋体"/>
                <w:color w:val="auto"/>
                <w:lang w:val="en-US" w:eastAsia="zh-CN"/>
              </w:rPr>
              <w:t>14、</w:t>
            </w:r>
            <w:r>
              <w:rPr>
                <w:rFonts w:hint="eastAsia" w:ascii="宋体" w:cs="宋体"/>
                <w:color w:val="auto"/>
              </w:rPr>
              <w:t>可将样机当前的解码输出模式设置为一个场景，样机可保存多个场景，并可通过客户端软件切换样机场景提供封面具有</w:t>
            </w:r>
            <w:r>
              <w:rPr>
                <w:rFonts w:ascii="宋体" w:cs="宋体"/>
                <w:color w:val="auto"/>
              </w:rPr>
              <w:t>CNAS认证标识的公安部报告证明。（提供封面具有CNAS认证标识的公安部报告证明。）</w:t>
            </w:r>
          </w:p>
        </w:tc>
        <w:tc>
          <w:tcPr>
            <w:tcW w:w="3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r>
    </w:tbl>
    <w:p>
      <w:pPr>
        <w:keepNext/>
        <w:keepLines/>
        <w:pageBreakBefore w:val="0"/>
        <w:widowControl/>
        <w:kinsoku/>
        <w:wordWrap/>
        <w:overflowPunct/>
        <w:topLinePunct w:val="0"/>
        <w:autoSpaceDE/>
        <w:autoSpaceDN/>
        <w:bidi w:val="0"/>
        <w:adjustRightInd/>
        <w:snapToGrid/>
        <w:spacing w:line="240" w:lineRule="auto"/>
        <w:textAlignment w:val="auto"/>
        <w:outlineLvl w:val="9"/>
        <w:rPr>
          <w:rFonts w:hint="eastAsia" w:ascii="宋体" w:hAnsi="宋体" w:eastAsia="宋体" w:cs="宋体"/>
          <w:sz w:val="21"/>
          <w:szCs w:val="21"/>
          <w:lang w:val="en-US" w:eastAsia="zh-CN"/>
        </w:rPr>
      </w:pPr>
    </w:p>
    <w:p>
      <w:pPr>
        <w:pStyle w:val="2"/>
        <w:numPr>
          <w:ilvl w:val="0"/>
          <w:numId w:val="10"/>
        </w:numPr>
        <w:spacing w:line="240" w:lineRule="auto"/>
        <w:ind w:left="0" w:leftChars="0" w:firstLine="0" w:firstLineChars="0"/>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会议室设备</w:t>
      </w:r>
    </w:p>
    <w:tbl>
      <w:tblPr>
        <w:tblStyle w:val="3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0"/>
        <w:gridCol w:w="722"/>
        <w:gridCol w:w="6212"/>
        <w:gridCol w:w="586"/>
        <w:gridCol w:w="52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设备名称</w:t>
            </w:r>
          </w:p>
        </w:tc>
        <w:tc>
          <w:tcPr>
            <w:tcW w:w="36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技术参数</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000" w:type="pct"/>
            <w:gridSpan w:val="5"/>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一、电子屏部分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显示视频</w:t>
            </w:r>
          </w:p>
        </w:tc>
        <w:tc>
          <w:tcPr>
            <w:tcW w:w="364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1、LED灯管：LED主动发光，每个像素点采用1纯红1纯绿1纯蓝三像数，表贴三合一封装。</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2、像数点间距≤1.86mm;像素密度：288906点/㎡ ;单元尺寸（W*H）:</w:t>
            </w:r>
            <w:r>
              <w:rPr>
                <w:rFonts w:hint="eastAsia" w:ascii="宋体" w:cs="宋体"/>
                <w:i w:val="0"/>
                <w:iCs w:val="0"/>
                <w:color w:val="0D0D0D"/>
                <w:kern w:val="0"/>
                <w:sz w:val="21"/>
                <w:szCs w:val="21"/>
                <w:u w:val="none"/>
                <w:lang w:val="en-US" w:eastAsia="zh-CN" w:bidi="ar"/>
              </w:rPr>
              <w:t>约</w:t>
            </w:r>
            <w:r>
              <w:rPr>
                <w:rFonts w:hint="eastAsia" w:ascii="宋体" w:hAnsi="宋体" w:eastAsia="宋体" w:cs="宋体"/>
                <w:i w:val="0"/>
                <w:iCs w:val="0"/>
                <w:color w:val="0D0D0D"/>
                <w:kern w:val="0"/>
                <w:sz w:val="21"/>
                <w:szCs w:val="21"/>
                <w:u w:val="none"/>
                <w:lang w:val="en-US" w:eastAsia="zh-CN" w:bidi="ar"/>
              </w:rPr>
              <w:t>320mm*160mm；</w:t>
            </w:r>
          </w:p>
          <w:p>
            <w:pP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 xml:space="preserve">▲3、显示屏尺寸： </w:t>
            </w:r>
            <w:r>
              <w:rPr>
                <w:rFonts w:hint="eastAsia" w:ascii="宋体" w:cs="宋体"/>
                <w:i w:val="0"/>
                <w:iCs w:val="0"/>
                <w:color w:val="0D0D0D"/>
                <w:kern w:val="0"/>
                <w:sz w:val="21"/>
                <w:szCs w:val="21"/>
                <w:u w:val="none"/>
                <w:lang w:val="en-US" w:eastAsia="zh-CN" w:bidi="ar"/>
              </w:rPr>
              <w:t>约</w:t>
            </w:r>
            <w:r>
              <w:rPr>
                <w:rFonts w:hint="eastAsia" w:ascii="宋体" w:hAnsi="宋体" w:eastAsia="宋体" w:cs="宋体"/>
                <w:i w:val="0"/>
                <w:iCs w:val="0"/>
                <w:color w:val="0D0D0D"/>
                <w:kern w:val="0"/>
                <w:sz w:val="21"/>
                <w:szCs w:val="21"/>
                <w:u w:val="none"/>
                <w:lang w:val="en-US" w:eastAsia="zh-CN" w:bidi="ar"/>
              </w:rPr>
              <w:t>长2.88m*高1.6m= 4.608m²</w:t>
            </w:r>
            <w:r>
              <w:rPr>
                <w:rFonts w:hint="eastAsia" w:ascii="宋体" w:cs="宋体"/>
                <w:i w:val="0"/>
                <w:iCs w:val="0"/>
                <w:color w:val="0D0D0D"/>
                <w:kern w:val="0"/>
                <w:sz w:val="21"/>
                <w:szCs w:val="21"/>
                <w:u w:val="none"/>
                <w:lang w:val="en-US" w:eastAsia="zh-CN" w:bidi="ar"/>
              </w:rPr>
              <w:t>，</w:t>
            </w:r>
            <w:r>
              <w:rPr>
                <w:rFonts w:hint="eastAsia" w:ascii="宋体" w:hAnsi="宋体" w:eastAsia="宋体" w:cs="宋体"/>
                <w:i w:val="0"/>
                <w:iCs w:val="0"/>
                <w:color w:val="0D0D0D"/>
                <w:kern w:val="0"/>
                <w:sz w:val="21"/>
                <w:szCs w:val="21"/>
                <w:u w:val="none"/>
                <w:lang w:val="en-US" w:eastAsia="zh-CN" w:bidi="ar"/>
              </w:rPr>
              <w:t>单元板采用铝底壳工艺，底壳材质为AL6063铝合金，产品轻薄且安装精度高：</w:t>
            </w:r>
            <w:r>
              <w:rPr>
                <w:rFonts w:hint="eastAsia" w:ascii="宋体" w:cs="宋体"/>
                <w:i w:val="0"/>
                <w:iCs w:val="0"/>
                <w:color w:val="0D0D0D"/>
                <w:kern w:val="0"/>
                <w:sz w:val="21"/>
                <w:szCs w:val="21"/>
                <w:u w:val="none"/>
                <w:lang w:val="en-US" w:eastAsia="zh-CN" w:bidi="ar"/>
              </w:rPr>
              <w:t>投标时提供证明文件</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★4、灯板与套件通过贴合设计，可实现快速散热；具备后盖防护设计，且具备可拆卸维护功能。投标时提供具有CNAS标识的检测报告及证书证明文件</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5、模组自带黑色面罩，对比度高，不反射环境光，有效提高一致性，保护灯珠，抑制摩尔纹；PCB设计焊盘采用沉金工艺处理，充分保证单模块安装的稳定性和抗氧化性；显示屏产品可定制无面罩、采用喷墨工艺，且采用低反射率LED灯板；接插件采用镀金高性能接插件，提高抗氧化特性。</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★6、投标时提供视频图像数据的网络发送速率的平滑方法证书</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7、刷新率≥3840Hz；水平视角≥170°；垂直视角≥170°；最大对比度：≥8000:1</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7、电气参数：峰值功耗300w/㎡,平均功耗＜91w/㎡，供电要求110～220VAC±15%；模组最大功耗≤20W</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8、远程控制：可通过控制PC实现联网控制，远程唤醒、关闭等功能。视觉舒适度：（VICO指数）范围在0-1级，满足CSA035.2-2017标准</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cs="宋体"/>
                <w:i w:val="0"/>
                <w:iCs w:val="0"/>
                <w:color w:val="0D0D0D"/>
                <w:kern w:val="0"/>
                <w:sz w:val="21"/>
                <w:szCs w:val="21"/>
                <w:u w:val="none"/>
                <w:lang w:val="en-US" w:eastAsia="zh-CN" w:bidi="ar"/>
              </w:rPr>
              <w:t>9</w:t>
            </w:r>
            <w:r>
              <w:rPr>
                <w:rFonts w:hint="eastAsia" w:ascii="宋体" w:hAnsi="宋体" w:eastAsia="宋体" w:cs="宋体"/>
                <w:i w:val="0"/>
                <w:iCs w:val="0"/>
                <w:color w:val="0D0D0D"/>
                <w:kern w:val="0"/>
                <w:sz w:val="21"/>
                <w:szCs w:val="21"/>
                <w:u w:val="none"/>
                <w:lang w:val="en-US" w:eastAsia="zh-CN" w:bidi="ar"/>
              </w:rPr>
              <w:t>、通过构造非线性校正曲线和色坐标变换系数矩阵实现了显示效果的不断改善，各项重要指标如色彩还原性、色温调节范围、亮度均匀性、色度均匀性、刷新率、换帧频率等，均符合广电级标准。投标时提供具有CNAS标识的检测报告及证书证明文件</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w:t>
            </w:r>
            <w:r>
              <w:rPr>
                <w:rFonts w:hint="eastAsia" w:ascii="宋体" w:cs="宋体"/>
                <w:i w:val="0"/>
                <w:iCs w:val="0"/>
                <w:color w:val="0D0D0D"/>
                <w:kern w:val="0"/>
                <w:sz w:val="21"/>
                <w:szCs w:val="21"/>
                <w:u w:val="none"/>
                <w:lang w:val="en-US" w:eastAsia="zh-CN" w:bidi="ar"/>
              </w:rPr>
              <w:t>0</w:t>
            </w:r>
            <w:r>
              <w:rPr>
                <w:rFonts w:hint="eastAsia" w:ascii="宋体" w:hAnsi="宋体" w:eastAsia="宋体" w:cs="宋体"/>
                <w:i w:val="0"/>
                <w:iCs w:val="0"/>
                <w:color w:val="0D0D0D"/>
                <w:kern w:val="0"/>
                <w:sz w:val="21"/>
                <w:szCs w:val="21"/>
                <w:u w:val="none"/>
                <w:lang w:val="en-US" w:eastAsia="zh-CN" w:bidi="ar"/>
              </w:rPr>
              <w:t>、显示屏支持模组级LED防撞灯保护设计。</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w:t>
            </w:r>
            <w:r>
              <w:rPr>
                <w:rFonts w:hint="eastAsia" w:ascii="宋体" w:cs="宋体"/>
                <w:i w:val="0"/>
                <w:iCs w:val="0"/>
                <w:color w:val="0D0D0D"/>
                <w:kern w:val="0"/>
                <w:sz w:val="21"/>
                <w:szCs w:val="21"/>
                <w:u w:val="none"/>
                <w:lang w:val="en-US" w:eastAsia="zh-CN" w:bidi="ar"/>
              </w:rPr>
              <w:t>1</w:t>
            </w:r>
            <w:r>
              <w:rPr>
                <w:rFonts w:hint="eastAsia" w:ascii="宋体" w:hAnsi="宋体" w:eastAsia="宋体" w:cs="宋体"/>
                <w:i w:val="0"/>
                <w:iCs w:val="0"/>
                <w:color w:val="0D0D0D"/>
                <w:kern w:val="0"/>
                <w:sz w:val="21"/>
                <w:szCs w:val="21"/>
                <w:u w:val="none"/>
                <w:lang w:val="en-US" w:eastAsia="zh-CN" w:bidi="ar"/>
              </w:rPr>
              <w:t>、依据标准进行光生物安全及蓝光危害评估检测，无危害类，在8h（3000s）包辐射不造成化学紫外线危害（ES），并在1000s（16min）内不造成近紫外线危害（EUVA），并在10000s约（2.8h）内部造成对视网膜伤害，并且在1000s倍不造成对眼睛的红外辐射危害。</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w:t>
            </w:r>
            <w:r>
              <w:rPr>
                <w:rFonts w:hint="eastAsia" w:ascii="宋体" w:cs="宋体"/>
                <w:i w:val="0"/>
                <w:iCs w:val="0"/>
                <w:color w:val="0D0D0D"/>
                <w:kern w:val="0"/>
                <w:sz w:val="21"/>
                <w:szCs w:val="21"/>
                <w:u w:val="none"/>
                <w:lang w:val="en-US" w:eastAsia="zh-CN" w:bidi="ar"/>
              </w:rPr>
              <w:t>2</w:t>
            </w:r>
            <w:r>
              <w:rPr>
                <w:rFonts w:hint="eastAsia" w:ascii="宋体" w:hAnsi="宋体" w:eastAsia="宋体" w:cs="宋体"/>
                <w:i w:val="0"/>
                <w:iCs w:val="0"/>
                <w:color w:val="0D0D0D"/>
                <w:kern w:val="0"/>
                <w:sz w:val="21"/>
                <w:szCs w:val="21"/>
                <w:u w:val="none"/>
                <w:lang w:val="en-US" w:eastAsia="zh-CN" w:bidi="ar"/>
              </w:rPr>
              <w:t>、按照GB/T2423.5-2019《环境试验 第2部分；试验方法 试验Ea和导则：冲击》，对产品进行150m/s²，11ms，6个面各三次冲击试验，试验后产品无异常。</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w:t>
            </w:r>
            <w:r>
              <w:rPr>
                <w:rFonts w:hint="eastAsia" w:ascii="宋体" w:cs="宋体"/>
                <w:i w:val="0"/>
                <w:iCs w:val="0"/>
                <w:color w:val="0D0D0D"/>
                <w:kern w:val="0"/>
                <w:sz w:val="21"/>
                <w:szCs w:val="21"/>
                <w:u w:val="none"/>
                <w:lang w:val="en-US" w:eastAsia="zh-CN" w:bidi="ar"/>
              </w:rPr>
              <w:t>3</w:t>
            </w:r>
            <w:r>
              <w:rPr>
                <w:rFonts w:hint="eastAsia" w:ascii="宋体" w:hAnsi="宋体" w:eastAsia="宋体" w:cs="宋体"/>
                <w:i w:val="0"/>
                <w:iCs w:val="0"/>
                <w:color w:val="0D0D0D"/>
                <w:kern w:val="0"/>
                <w:sz w:val="21"/>
                <w:szCs w:val="21"/>
                <w:u w:val="none"/>
                <w:lang w:val="en-US" w:eastAsia="zh-CN" w:bidi="ar"/>
              </w:rPr>
              <w:t>、电信端口的传导共模骚扰、显示屏辐射骚扰30～1000MHz和在150kHz～30MHz电源端子骚扰电压须符合GB/T9254-2008 Classa B限值要求</w:t>
            </w:r>
            <w:r>
              <w:rPr>
                <w:rFonts w:hint="eastAsia" w:ascii="宋体" w:cs="宋体"/>
                <w:i w:val="0"/>
                <w:iCs w:val="0"/>
                <w:color w:val="0D0D0D"/>
                <w:kern w:val="0"/>
                <w:sz w:val="21"/>
                <w:szCs w:val="21"/>
                <w:u w:val="none"/>
                <w:lang w:val="en-US" w:eastAsia="zh-CN" w:bidi="ar"/>
              </w:rPr>
              <w:t>。</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w:t>
            </w:r>
            <w:r>
              <w:rPr>
                <w:rFonts w:hint="eastAsia" w:ascii="宋体" w:cs="宋体"/>
                <w:i w:val="0"/>
                <w:iCs w:val="0"/>
                <w:color w:val="0D0D0D"/>
                <w:kern w:val="0"/>
                <w:sz w:val="21"/>
                <w:szCs w:val="21"/>
                <w:u w:val="none"/>
                <w:lang w:val="en-US" w:eastAsia="zh-CN" w:bidi="ar"/>
              </w:rPr>
              <w:t>4</w:t>
            </w:r>
            <w:r>
              <w:rPr>
                <w:rFonts w:hint="eastAsia" w:ascii="宋体" w:hAnsi="宋体" w:eastAsia="宋体" w:cs="宋体"/>
                <w:i w:val="0"/>
                <w:iCs w:val="0"/>
                <w:color w:val="0D0D0D"/>
                <w:kern w:val="0"/>
                <w:sz w:val="21"/>
                <w:szCs w:val="21"/>
                <w:u w:val="none"/>
                <w:lang w:val="en-US" w:eastAsia="zh-CN" w:bidi="ar"/>
              </w:rPr>
              <w:t xml:space="preserve">、显示屏静电放电抗扰度符合GB/T17626.2-2018空气±8kV，接触±4kV，试验后，设备功能正常使用                                                                                                                                     </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w:t>
            </w:r>
            <w:r>
              <w:rPr>
                <w:rFonts w:hint="eastAsia" w:ascii="宋体" w:cs="宋体"/>
                <w:i w:val="0"/>
                <w:iCs w:val="0"/>
                <w:color w:val="0D0D0D"/>
                <w:kern w:val="0"/>
                <w:sz w:val="21"/>
                <w:szCs w:val="21"/>
                <w:u w:val="none"/>
                <w:lang w:val="en-US" w:eastAsia="zh-CN" w:bidi="ar"/>
              </w:rPr>
              <w:t>15</w:t>
            </w:r>
            <w:r>
              <w:rPr>
                <w:rFonts w:hint="eastAsia" w:ascii="宋体" w:hAnsi="宋体" w:eastAsia="宋体" w:cs="宋体"/>
                <w:i w:val="0"/>
                <w:iCs w:val="0"/>
                <w:color w:val="0D0D0D"/>
                <w:kern w:val="0"/>
                <w:sz w:val="21"/>
                <w:szCs w:val="21"/>
                <w:u w:val="none"/>
                <w:lang w:val="en-US" w:eastAsia="zh-CN" w:bidi="ar"/>
              </w:rPr>
              <w:t>、为保证系统安全性，保证相关单位具有专业的信息安全研发及较强的事件分析能力，投标时提供中国信息安全测评中心办法的国家信息安全漏洞库（CNNVD）技术支撑单位登记一级证书并加盖公章</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cs="宋体"/>
                <w:i w:val="0"/>
                <w:iCs w:val="0"/>
                <w:color w:val="0D0D0D"/>
                <w:kern w:val="0"/>
                <w:sz w:val="21"/>
                <w:szCs w:val="21"/>
                <w:u w:val="none"/>
                <w:lang w:val="en-US" w:eastAsia="zh-CN" w:bidi="ar"/>
              </w:rPr>
              <w:t>16</w:t>
            </w:r>
            <w:r>
              <w:rPr>
                <w:rFonts w:hint="eastAsia" w:ascii="宋体" w:hAnsi="宋体" w:eastAsia="宋体" w:cs="宋体"/>
                <w:i w:val="0"/>
                <w:iCs w:val="0"/>
                <w:color w:val="0D0D0D"/>
                <w:kern w:val="0"/>
                <w:sz w:val="21"/>
                <w:szCs w:val="21"/>
                <w:u w:val="none"/>
                <w:lang w:val="en-US" w:eastAsia="zh-CN" w:bidi="ar"/>
              </w:rPr>
              <w:t>、为保证本项目产品、服务及信息系统的稳定性与可靠性，投标人或投标所投监控、网络产品制造商需具备较强的信息安全分析评估能力</w:t>
            </w:r>
            <w:r>
              <w:rPr>
                <w:rFonts w:hint="eastAsia" w:ascii="宋体" w:cs="宋体"/>
                <w:i w:val="0"/>
                <w:iCs w:val="0"/>
                <w:color w:val="0D0D0D"/>
                <w:kern w:val="0"/>
                <w:sz w:val="21"/>
                <w:szCs w:val="21"/>
                <w:u w:val="none"/>
                <w:lang w:val="en-US" w:eastAsia="zh-CN" w:bidi="ar"/>
              </w:rPr>
              <w:t>。</w:t>
            </w:r>
            <w:r>
              <w:rPr>
                <w:rFonts w:hint="eastAsia" w:ascii="宋体" w:hAnsi="宋体" w:eastAsia="宋体" w:cs="宋体"/>
                <w:i w:val="0"/>
                <w:iCs w:val="0"/>
                <w:color w:val="0D0D0D"/>
                <w:kern w:val="0"/>
                <w:sz w:val="21"/>
                <w:szCs w:val="21"/>
                <w:u w:val="none"/>
                <w:lang w:val="en-US" w:eastAsia="zh-CN" w:bidi="ar"/>
              </w:rPr>
              <w:t xml:space="preserve">                                                                                                                                                                                                 </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cs="宋体"/>
                <w:i w:val="0"/>
                <w:iCs w:val="0"/>
                <w:color w:val="0D0D0D"/>
                <w:kern w:val="0"/>
                <w:sz w:val="21"/>
                <w:szCs w:val="21"/>
                <w:u w:val="none"/>
                <w:lang w:val="en-US" w:eastAsia="zh-CN" w:bidi="ar"/>
              </w:rPr>
              <w:t>17</w:t>
            </w:r>
            <w:r>
              <w:rPr>
                <w:rFonts w:hint="eastAsia" w:ascii="宋体" w:hAnsi="宋体" w:eastAsia="宋体" w:cs="宋体"/>
                <w:i w:val="0"/>
                <w:iCs w:val="0"/>
                <w:color w:val="0D0D0D"/>
                <w:kern w:val="0"/>
                <w:sz w:val="21"/>
                <w:szCs w:val="21"/>
                <w:u w:val="none"/>
                <w:lang w:val="en-US" w:eastAsia="zh-CN" w:bidi="ar"/>
              </w:rPr>
              <w:t>、为保证系统的安全应急服务性需投标时提供由工业信息安全产业发展联盟提供的工业信息安全应急服务支撑单位证书                                                         ★</w:t>
            </w:r>
            <w:r>
              <w:rPr>
                <w:rFonts w:hint="eastAsia" w:ascii="宋体" w:cs="宋体"/>
                <w:i w:val="0"/>
                <w:iCs w:val="0"/>
                <w:color w:val="0D0D0D"/>
                <w:kern w:val="0"/>
                <w:sz w:val="21"/>
                <w:szCs w:val="21"/>
                <w:u w:val="none"/>
                <w:lang w:val="en-US" w:eastAsia="zh-CN" w:bidi="ar"/>
              </w:rPr>
              <w:t>18</w:t>
            </w:r>
            <w:r>
              <w:rPr>
                <w:rFonts w:hint="eastAsia" w:ascii="宋体" w:hAnsi="宋体" w:eastAsia="宋体" w:cs="宋体"/>
                <w:i w:val="0"/>
                <w:iCs w:val="0"/>
                <w:color w:val="0D0D0D"/>
                <w:kern w:val="0"/>
                <w:sz w:val="21"/>
                <w:szCs w:val="21"/>
                <w:u w:val="none"/>
                <w:lang w:val="en-US" w:eastAsia="zh-CN" w:bidi="ar"/>
              </w:rPr>
              <w:t>、为确保品牌真实性，投标时提供针对本项目质保函</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w:t>
            </w:r>
          </w:p>
        </w:tc>
        <w:tc>
          <w:tcPr>
            <w:tcW w:w="364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5V40A</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为保证系统的稳定性，需与</w:t>
            </w:r>
            <w:r>
              <w:rPr>
                <w:rFonts w:hint="eastAsia" w:ascii="宋体" w:hAnsi="宋体" w:cs="宋体"/>
                <w:i w:val="0"/>
                <w:iCs w:val="0"/>
                <w:color w:val="0D0D0D"/>
                <w:kern w:val="0"/>
                <w:sz w:val="21"/>
                <w:szCs w:val="21"/>
                <w:u w:val="none"/>
                <w:lang w:val="en-US" w:eastAsia="zh-CN" w:bidi="ar"/>
              </w:rPr>
              <w:t>显示</w:t>
            </w:r>
            <w:r>
              <w:rPr>
                <w:rFonts w:hint="eastAsia" w:ascii="宋体" w:hAnsi="宋体" w:eastAsia="宋体" w:cs="宋体"/>
                <w:i w:val="0"/>
                <w:iCs w:val="0"/>
                <w:color w:val="0D0D0D"/>
                <w:kern w:val="0"/>
                <w:sz w:val="21"/>
                <w:szCs w:val="21"/>
                <w:u w:val="none"/>
                <w:lang w:val="en-US" w:eastAsia="zh-CN" w:bidi="ar"/>
              </w:rPr>
              <w:t>屏同品牌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接收卡</w:t>
            </w:r>
          </w:p>
        </w:tc>
        <w:tc>
          <w:tcPr>
            <w:tcW w:w="364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1.支持逐点亮色度校正，可以对每个灯点的亮度和色度进项校正，有效消除色差，使整屏的亮度和速度达到高度均匀一致，提高显示屏的画质。</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2.投标时提供一种接收卡的实用新型证书</w:t>
            </w:r>
          </w:p>
          <w:p>
            <w:pPr>
              <w:keepNext w:val="0"/>
              <w:keepLines w:val="0"/>
              <w:widowControl/>
              <w:suppressLineNumbers w:val="0"/>
              <w:spacing w:line="240" w:lineRule="auto"/>
              <w:jc w:val="left"/>
              <w:textAlignment w:val="center"/>
            </w:pPr>
            <w:r>
              <w:rPr>
                <w:rFonts w:hint="eastAsia" w:ascii="宋体" w:hAnsi="宋体" w:eastAsia="宋体" w:cs="宋体"/>
                <w:i w:val="0"/>
                <w:iCs w:val="0"/>
                <w:color w:val="0D0D0D"/>
                <w:kern w:val="0"/>
                <w:sz w:val="21"/>
                <w:szCs w:val="21"/>
                <w:u w:val="none"/>
                <w:lang w:val="en-US" w:eastAsia="zh-CN" w:bidi="ar"/>
              </w:rPr>
              <w:t>3.快速亮暗线调节在调试软件上进行快速亮暗线调节，快速解决因箱体及模组拼接造成的显示屏亮暗线，调节过程中即时生效，简单易用。</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4.可以将指定图片设置为显示屏的开机、网线断开或无视频源信号时的画面或者最后一帧画面。</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5.可以监测自身的温度和电压，无需其他外设，在软件上可以查看接收卡的温度和电压。</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6.检测发送设备与接收卡间或接收卡与接收卡间的网络通讯质量，记录错误包数，协助排除网络通讯隐患。</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7.支持5pin液晶模块，用于显示接收卡的温度、电压、单次运行时间和总运行时间。</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8.支持千兆网，可通过网线直接连接到PC端进行调试和显示，无需发送卡。</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9.投标时提供一种实现屏幕拼接的系统及方法证书</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10.投标时提供多屏控制的图像显示系统、方法及多屏控制装置证书</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★11.支持各种PWM芯片、逐点检测芯片及通用芯片；支持任意抽点，实现各种异形屏拼接。投标时提供第三方检测机构出具的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★12.支持色彩变换技术，使人脸肤色更真实；支持任意倍增技术，手机拍摄无扫描线。投标时提供第三方检测机构出具的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13.为保证产品的稳定性及可靠性，需在检验环境温度21℃-26摄氏度，湿度（%RH）:62-71,大气压力（kPa）：100.2-101.8</w:t>
            </w:r>
          </w:p>
          <w:p>
            <w:pPr>
              <w:keepNext w:val="0"/>
              <w:keepLines w:val="0"/>
              <w:widowControl/>
              <w:suppressLineNumbers w:val="0"/>
              <w:spacing w:line="240" w:lineRule="auto"/>
              <w:jc w:val="left"/>
              <w:textAlignment w:val="center"/>
            </w:pPr>
            <w:r>
              <w:rPr>
                <w:rFonts w:hint="eastAsia" w:ascii="宋体" w:hAnsi="宋体" w:eastAsia="宋体" w:cs="宋体"/>
                <w:i w:val="0"/>
                <w:iCs w:val="0"/>
                <w:color w:val="0D0D0D"/>
                <w:kern w:val="0"/>
                <w:sz w:val="21"/>
                <w:szCs w:val="21"/>
                <w:u w:val="none"/>
                <w:lang w:val="en-US" w:eastAsia="zh-CN" w:bidi="ar"/>
              </w:rPr>
              <w:t>14.设备在正常工作条件下，连续工作168h，不应出现电、机械或操作系统的故障。</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15.产品放入60℃±2℃，90%RH±3%RH环境中，通电连续工作48小时，试验过程中能正常工作，外观无明显变形，损伤。投标时提供第三方检测机构出具的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both"/>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16.为保证系统的兼容性及稳定性控制系统需与LED显示屏为同一品牌，投标时提供证明文件</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视频处理器</w:t>
            </w:r>
          </w:p>
        </w:tc>
        <w:tc>
          <w:tcPr>
            <w:tcW w:w="364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1.无需电脑，支持通过设备旋转按钮快捷配屏和高级配屏功能点亮屏体，简单操作即可完成屏体配置。</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2.支持设备默认开启自动信源搜索功能。</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★3.为增强产品实用性，设备需通过面板数字按键，可快速准确定义窗口大小位置等坐标信息。投标时提供第三方检测机构出具的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4.支持屏体参数调整，例如亮度、Gamma等。</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5.为保证系统的兼容性和稳定性，发送卡和视频处理器为二合一产品。</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6.设备前面板配备液晶面板，可实时显示设备型号，ip地址，窗口和信号源的分辨率及状态信息，输出网口的状态，屏幕大小，帧屏信息，设备同步模式展示，USB连接或网线连接状态，屏体亮度。★7.主界面下，按下旋钮进入菜单操作界面。菜单操作界面下，旋转旋钮旋转菜单，按下旋钮选定当前菜单或者进入子菜单。选定带有参数的菜单后可以通过旋转旋钮调节参数，调节完成后需要再次按下旋钮进行确认。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8.无需电脑，FREEZE画面冻结按键可以快捷冻结画面。</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9.投标时提供一种视频分析设备的算法配置方法和系统证书。</w:t>
            </w:r>
          </w:p>
          <w:p>
            <w:pPr>
              <w:keepNext w:val="0"/>
              <w:keepLines w:val="0"/>
              <w:widowControl/>
              <w:suppressLineNumbers w:val="0"/>
              <w:spacing w:line="240" w:lineRule="auto"/>
              <w:jc w:val="left"/>
              <w:textAlignment w:val="center"/>
            </w:pPr>
            <w:r>
              <w:rPr>
                <w:rFonts w:hint="eastAsia" w:ascii="宋体" w:hAnsi="宋体" w:eastAsia="宋体" w:cs="宋体"/>
                <w:i w:val="0"/>
                <w:iCs w:val="0"/>
                <w:color w:val="0D0D0D"/>
                <w:kern w:val="0"/>
                <w:sz w:val="21"/>
                <w:szCs w:val="21"/>
                <w:u w:val="none"/>
                <w:lang w:val="en-US" w:eastAsia="zh-CN" w:bidi="ar"/>
              </w:rPr>
              <w:t>10.支持逐点亮度校正，可以对每个灯点的亮度和色度进行校正，有效消除色彩，使整屏的亮度色度达到高度均匀一致，提高显示屏的画质。</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★11.支持配置显示屏的传输方式和方向；支持配置控制器的映射位置和大小；支持保存和加载控制系统参数；支持周期刷新显示屏控制系统的工作状态。投标时提供第三方检测机构出具的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★12.支持LED校正、亮度智能调节、色温调节、Gamma调节、授权管理。投标时提供第三方检测机构出具的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13.产品机内交流配电系统单元符合TN配电系统在90V 50Hz至264V 60Hz之间仍可正常工作，保证设备在异常断电情况下正常运行。</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14.产品输入输出端子在接触温度检测的限值至少为70℃。</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15.设备在正常工作条件下，联系工作168h，不应出现电、机械或操作系统的故障。</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16.产品放入60℃±2℃，90%±3%HR环境中，通电连续工作48小时或放置48小时，试验过程中能正常工作，外观无明显变形，损伤。</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17.为保证系统的兼容性及稳定性控制系统需与显示屏为同一品牌，投标时提供证明文件</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★18.投标时提供超高分辨率显示系统及显示控制方法证书</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配电系统</w:t>
            </w:r>
          </w:p>
        </w:tc>
        <w:tc>
          <w:tcPr>
            <w:tcW w:w="364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按实际所用功率进行定制                                                                                                                                                                               </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安装</w:t>
            </w:r>
          </w:p>
        </w:tc>
        <w:tc>
          <w:tcPr>
            <w:tcW w:w="36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专业技术安装、调试、专业维护</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4.61</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屏框架安装</w:t>
            </w:r>
          </w:p>
        </w:tc>
        <w:tc>
          <w:tcPr>
            <w:tcW w:w="36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设计、定制结构、框架，满足屏体安装使用需求，用材符合国家标准</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4.61</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内部线材连接</w:t>
            </w:r>
          </w:p>
        </w:tc>
        <w:tc>
          <w:tcPr>
            <w:tcW w:w="36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屏体内部电缆线，长排线，超五类网线等                                                                                                                                                                 </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4.61</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控制软件</w:t>
            </w:r>
          </w:p>
        </w:tc>
        <w:tc>
          <w:tcPr>
            <w:tcW w:w="364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line="240" w:lineRule="auto"/>
              <w:jc w:val="left"/>
              <w:textAlignment w:val="center"/>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1.支持按照当前选定的显示屏建立相同分辨率的场景，以图形化编辑方式对窗口的开窗参数、窗口比例、窗口位置、窗口大小、窗口层级等参数进行设置，以鼠标拖动方式将信号、视频文件、字幕、图片、程序包等加载至场景中指定播放窗口；支持将网页、程序包、图片、视频、 PPT、Word 文档、 Excel、 PDF、文本等内容窗口拖动到大屏中，每种类型窗口可添加多个文件，可设置内容文件播放时长，内容播放顺序等属性；支持实时查看大屏显示的内容，可远程操控数据可视化面本、AR 客户端、VR 网页端、第三方业务系统等；为保证系统信息数据安全性，需提供公安部安全防范报警系统产品质量监督检验中心认证的检测报告复印件并加盖公章</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cs="宋体"/>
                <w:color w:val="000000"/>
                <w:kern w:val="0"/>
                <w:sz w:val="21"/>
                <w:szCs w:val="21"/>
                <w:lang w:val="en-US" w:eastAsia="zh-CN" w:bidi="ar"/>
              </w:rPr>
              <w:t>2</w:t>
            </w:r>
            <w:r>
              <w:rPr>
                <w:rFonts w:hint="eastAsia" w:ascii="宋体" w:hAnsi="宋体" w:eastAsia="宋体" w:cs="宋体"/>
                <w:color w:val="000000"/>
                <w:kern w:val="0"/>
                <w:sz w:val="21"/>
                <w:szCs w:val="21"/>
                <w:lang w:val="en-US" w:eastAsia="zh-CN" w:bidi="ar"/>
              </w:rPr>
              <w:t>.大屏上支持显示配置好的门户，作为统一的门户入口，可控制单块或多块屏幕一起切换；支持自定义设置门户标题、背景图片、菜单名称、菜单图片、菜单链接内容，包含页面、场景、二级门户等，需提供公安部安全防范报警系统产品质量监督检验中心认证的检测报告复印件</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cs="宋体"/>
                <w:color w:val="000000"/>
                <w:kern w:val="0"/>
                <w:sz w:val="21"/>
                <w:szCs w:val="21"/>
                <w:lang w:val="en-US" w:eastAsia="zh-CN" w:bidi="ar"/>
              </w:rPr>
              <w:t>3</w:t>
            </w:r>
            <w:r>
              <w:rPr>
                <w:rFonts w:hint="eastAsia" w:ascii="宋体" w:hAnsi="宋体" w:eastAsia="宋体" w:cs="宋体"/>
                <w:color w:val="000000"/>
                <w:kern w:val="0"/>
                <w:sz w:val="21"/>
                <w:szCs w:val="21"/>
                <w:lang w:val="en-US" w:eastAsia="zh-CN" w:bidi="ar"/>
              </w:rPr>
              <w:t>.支持屏幕、网页、窗口等类型投屏，不需要外接物理线缆；通过电脑/平板远程控制播控主机，并可实时显示画面，支持设置抓屏区域的分辨率，可设置为7680×2160、 3840×2160、 2736×1824、 1920×1080、 1280×720；需提供公安部安全防范报警系统产品质量监督检验中心认证的检测报告复印件</w:t>
            </w:r>
          </w:p>
          <w:p>
            <w:pPr>
              <w:keepNext w:val="0"/>
              <w:keepLines w:val="0"/>
              <w:widowControl/>
              <w:numPr>
                <w:ilvl w:val="0"/>
                <w:numId w:val="11"/>
              </w:numPr>
              <w:suppressLineNumbers w:val="0"/>
              <w:spacing w:line="240" w:lineRule="auto"/>
              <w:jc w:val="left"/>
              <w:textAlignment w:val="center"/>
              <w:rPr>
                <w:rFonts w:hint="eastAsia"/>
                <w:lang w:val="en-US" w:eastAsia="zh-CN"/>
              </w:rPr>
            </w:pPr>
            <w:r>
              <w:rPr>
                <w:rFonts w:hint="eastAsia" w:ascii="宋体" w:hAnsi="宋体" w:eastAsia="宋体" w:cs="宋体"/>
                <w:color w:val="000000"/>
                <w:kern w:val="0"/>
                <w:sz w:val="21"/>
                <w:szCs w:val="21"/>
                <w:lang w:val="en-US" w:eastAsia="zh-CN" w:bidi="ar"/>
              </w:rPr>
              <w:t>支持通过平板设置大屏门户菜单，可切换屏幕进行内容显示；支持通过门户菜单实现对大屏内容显示的导航操作；支持控制正在播放视频的进度，启动、停止播放；支持在平板上进行 PPT 上一页、下一页等操作；支持同步 WEB 端平台添加的所有内容，可实时切换大屏中显示的网页、视频、图片等；支持查看场景详情；支持拖动信号源至场景，可设置该信号窗口的大小、位置、置顶、放大/还原、层级等；支持查看服务器 cpu、 gpu、内存参数；可实时查看大屏正在播放内容；可在播放信号源内容之前进行预查看，不影响大屏内容当前显示的内容；支持在平板上移动、删除虚拟 LED；支持实时查看大屏显示的内容，可远程操控数据可视化面本、AR 客户端、VR 网页端、第三方业务系统等。需提供公安部安全防范报警系统产品质量监督检验中心认证的检测报告复印件</w:t>
            </w:r>
          </w:p>
          <w:p>
            <w:pPr>
              <w:pStyle w:val="2"/>
              <w:rPr>
                <w:rFonts w:hint="eastAsia"/>
                <w:lang w:val="en-US" w:eastAsia="zh-CN"/>
              </w:rPr>
            </w:pPr>
            <w:r>
              <w:rPr>
                <w:rFonts w:hint="eastAsia" w:ascii="宋体" w:hAnsi="宋体" w:eastAsia="宋体" w:cs="宋体"/>
                <w:sz w:val="21"/>
                <w:szCs w:val="21"/>
                <w:lang w:val="en-US" w:eastAsia="zh-CN"/>
              </w:rPr>
              <w:t>▲以上产品功能描述投标时需提供国家权威部门的检测报告证明</w:t>
            </w:r>
          </w:p>
          <w:p>
            <w:pPr>
              <w:keepNext w:val="0"/>
              <w:keepLines w:val="0"/>
              <w:widowControl/>
              <w:suppressLineNumbers w:val="0"/>
              <w:spacing w:line="240" w:lineRule="auto"/>
              <w:jc w:val="left"/>
              <w:textAlignment w:val="center"/>
              <w:rPr>
                <w:rFonts w:hint="eastAsia"/>
              </w:rPr>
            </w:pPr>
            <w:r>
              <w:rPr>
                <w:rFonts w:hint="eastAsia" w:ascii="宋体" w:cs="宋体"/>
                <w:color w:val="000000"/>
                <w:kern w:val="0"/>
                <w:sz w:val="21"/>
                <w:szCs w:val="21"/>
                <w:lang w:val="en-US" w:eastAsia="zh-CN" w:bidi="ar"/>
              </w:rPr>
              <w:t>5</w:t>
            </w:r>
            <w:r>
              <w:rPr>
                <w:rFonts w:hint="eastAsia" w:ascii="宋体" w:hAnsi="宋体" w:eastAsia="宋体" w:cs="宋体"/>
                <w:color w:val="000000"/>
                <w:kern w:val="0"/>
                <w:sz w:val="21"/>
                <w:szCs w:val="21"/>
                <w:lang w:val="en-US" w:eastAsia="zh-CN" w:bidi="ar"/>
              </w:rPr>
              <w:t>.支持查看指定屏幕场景的播放状态，可添加、修改、删除、切换场景，并且可将场景关联中控模式，使场景与灯光、空调、投影等设备开关量模式联动</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6.支持通过触摸板（ Surface 显控端、会议平板）控制多个屏幕场景的展示。需提供公安部安全防范报警系统产品质量监督检验中心认证的检测报告复印件</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7.提供操作提示，每一步操作成功或失败都会有弹框提醒，并有日志记录；需提供公安部安全防范报警系统产品质量监督检验中心认证的检测报告复印件</w:t>
            </w:r>
          </w:p>
          <w:p>
            <w:pPr>
              <w:keepNext w:val="0"/>
              <w:keepLines w:val="0"/>
              <w:widowControl/>
              <w:suppressLineNumbers w:val="0"/>
              <w:spacing w:line="240" w:lineRule="auto"/>
              <w:jc w:val="both"/>
              <w:textAlignment w:val="center"/>
              <w:rPr>
                <w:rFonts w:hint="eastAsia" w:ascii="宋体" w:hAnsi="宋体" w:eastAsia="宋体" w:cs="宋体"/>
                <w:i w:val="0"/>
                <w:iCs w:val="0"/>
                <w:color w:val="0D0D0D"/>
                <w:sz w:val="21"/>
                <w:szCs w:val="21"/>
                <w:u w:val="none"/>
              </w:rPr>
            </w:pPr>
            <w:r>
              <w:rPr>
                <w:rFonts w:hint="eastAsia" w:ascii="宋体" w:hAnsi="宋体" w:eastAsia="宋体" w:cs="宋体"/>
                <w:color w:val="000000"/>
                <w:kern w:val="0"/>
                <w:sz w:val="21"/>
                <w:szCs w:val="21"/>
                <w:lang w:val="en-US" w:eastAsia="zh-CN" w:bidi="ar"/>
              </w:rPr>
              <w:t>8.支持大屏预编辑功能，在不影响大屏显示的前提下进行后台布局；需提供公安部安全防范报警系统产品质量监督检验中心认证的检测报告复印件</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000"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auto"/>
                <w:kern w:val="0"/>
                <w:sz w:val="21"/>
                <w:szCs w:val="21"/>
                <w:u w:val="none"/>
                <w:lang w:val="en-US" w:eastAsia="zh-CN" w:bidi="ar"/>
              </w:rPr>
              <w:t>二、扩声部分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专业吸顶音箱</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top"/>
          </w:tcPr>
          <w:p>
            <w:pPr>
              <w:keepNext w:val="0"/>
              <w:keepLines w:val="0"/>
              <w:widowControl/>
              <w:numPr>
                <w:ilvl w:val="0"/>
                <w:numId w:val="12"/>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本产品是一款优质的6.5寸同轴吸顶音箱；</w:t>
            </w:r>
          </w:p>
          <w:p>
            <w:pPr>
              <w:keepNext w:val="0"/>
              <w:keepLines w:val="0"/>
              <w:widowControl/>
              <w:numPr>
                <w:ilvl w:val="0"/>
                <w:numId w:val="12"/>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人声干净，高音清晰，低音丰富。</w:t>
            </w:r>
          </w:p>
          <w:p>
            <w:pPr>
              <w:keepNext w:val="0"/>
              <w:keepLines w:val="0"/>
              <w:widowControl/>
              <w:numPr>
                <w:ilvl w:val="0"/>
                <w:numId w:val="12"/>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 25芯丝膜高音可360°旋转，声场定位更精准。</w:t>
            </w:r>
          </w:p>
          <w:p>
            <w:pPr>
              <w:pStyle w:val="2"/>
              <w:numPr>
                <w:ilvl w:val="0"/>
                <w:numId w:val="0"/>
              </w:numPr>
              <w:spacing w:line="240" w:lineRule="auto"/>
              <w:jc w:val="left"/>
              <w:rPr>
                <w:rFonts w:hint="eastAsia" w:ascii="宋体" w:hAnsi="宋体" w:eastAsia="宋体" w:cs="宋体"/>
                <w:sz w:val="21"/>
                <w:szCs w:val="21"/>
                <w:lang w:val="en-US" w:eastAsia="zh-CN"/>
              </w:rPr>
            </w:pPr>
            <w:r>
              <w:rPr>
                <w:rFonts w:hint="eastAsia" w:ascii="宋体" w:hAnsi="宋体" w:eastAsia="宋体" w:cs="宋体"/>
                <w:b/>
                <w:bCs/>
                <w:sz w:val="21"/>
                <w:szCs w:val="21"/>
                <w:lang w:val="en-US" w:eastAsia="zh-CN"/>
              </w:rPr>
              <w:t>4.同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两通道功率放大器</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top"/>
          </w:tcPr>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1、立体声/并联/单声道桥接模式； </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2、输入灵敏度0.775V和1.4V可选择； </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3、XLR输入接口，喇叭接线柱输出接口； </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4、2个增益控制旋钮，1个电源开关，1个电源LED灯，2组信号灯分别</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表示对应声道处于工作、削波和故障状态； </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5、防止短路、空载、开/关机噪音、射频干扰保护电路。</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6、频率响应(1W) 20Hz-20KHz,+0/-1dB</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7、总谐波失真 ＜0.5%，20Hz-20KHz</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8、互调失真 = / ＜0.35%</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9、转换速率 ＞10V/us</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10、电压增益 28dB</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11、信噪比 ＞100dB</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12、输入灵敏度 0.775V/1.4V</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13、输入阻抗 平衡20K ohms/非平衡10K ohms</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14、保护线路 直流、过载、温度、啸叫</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15、保护电路 防止短路、空载、开/关机噪音、无线电干扰保护电路</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16、通风 由前往后的空气对流机制</w:t>
            </w:r>
          </w:p>
          <w:p>
            <w:pPr>
              <w:keepNext w:val="0"/>
              <w:keepLines w:val="0"/>
              <w:widowControl/>
              <w:numPr>
                <w:ilvl w:val="0"/>
                <w:numId w:val="0"/>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17、冷却 内部空气强排散热，风扇冷却，快速调节，温度保护</w:t>
            </w:r>
          </w:p>
          <w:p>
            <w:pPr>
              <w:pStyle w:val="2"/>
              <w:numPr>
                <w:ilvl w:val="0"/>
                <w:numId w:val="0"/>
              </w:numPr>
              <w:spacing w:line="240" w:lineRule="auto"/>
              <w:jc w:val="left"/>
              <w:rPr>
                <w:rFonts w:hint="eastAsia" w:ascii="宋体" w:hAnsi="宋体" w:eastAsia="宋体" w:cs="宋体"/>
                <w:sz w:val="21"/>
                <w:szCs w:val="21"/>
              </w:rPr>
            </w:pPr>
            <w:r>
              <w:rPr>
                <w:rFonts w:hint="eastAsia" w:ascii="宋体" w:hAnsi="宋体" w:eastAsia="宋体" w:cs="宋体"/>
                <w:b/>
                <w:bCs/>
                <w:color w:val="auto"/>
                <w:sz w:val="21"/>
                <w:szCs w:val="21"/>
                <w:lang w:val="en-US" w:eastAsia="zh-CN"/>
              </w:rPr>
              <w:t>18、</w:t>
            </w: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调音台</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top"/>
          </w:tcPr>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1、12输入通道,4路单声道+4对立体声</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2、6个高性能话筒放大器带幻象电源开关</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3、1-4通道内置通道压缩器</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4、所有话筒输入均配置三段式通道均衡器和HPF</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5、2路辅助发送/立体声辅助返回</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6、4母线(立体声, 编组)</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7、内置SPX效果器</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8、极佳手感的60mm推子和发光ON/OFF开关轻巧</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9、耐用的机身设计</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10、总谐波失真：低于0.1%（THD+N）</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11、频率响应：  20Hz-20KHz+1dB /-3dB</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12、等效输入噪声：Rs=150Ω GAIN:</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13、最大值：-128 dBu</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14、残余输出噪声：-99 dBu</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15、通道处于哑音状态：-70dB</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16、头戴耳机输出功率：75mW(1KHz,THD=0.5%，100Ω)</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17、串音：-70dB 单声道/立体声高通滤波器：80Hz -120Hz 12dB/oct</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单声均衡器：高：10KHz±15dB，中：250Hz-5KHz±15dB，低：100Hz±15dB</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18、立体声均衡器： 高：10KHz±15dB，中高：3KHz±15dB，中低：800Hz±15dB，低：100Hz±15dB</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19、输入和输出阻抗： 话筒输入：3KΩ 适用阻抗50-600Ω话筒</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单声输入：10KΩ 适用阻抗600Ω线路</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20、立体声输入：10KΩ 适用阻抗50-600Ω话筒、线路</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21、录音输入阻抗：10KΩ 适用阻抗600Ω线路</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22、主输出阻抗：150Ω</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23、编组输出阻抗：150Ω AUX</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24、输出阻抗：150Ω</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25、录音输出阻抗：600Ω</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26、消耗功率：35W</w:t>
            </w:r>
          </w:p>
          <w:p>
            <w:pPr>
              <w:pStyle w:val="2"/>
              <w:spacing w:line="240" w:lineRule="auto"/>
              <w:jc w:val="left"/>
              <w:rPr>
                <w:rFonts w:hint="eastAsia" w:ascii="宋体" w:hAnsi="宋体" w:eastAsia="宋体" w:cs="宋体"/>
                <w:sz w:val="21"/>
                <w:szCs w:val="21"/>
              </w:rPr>
            </w:pPr>
            <w:r>
              <w:rPr>
                <w:rFonts w:hint="eastAsia" w:ascii="宋体" w:hAnsi="宋体" w:eastAsia="宋体" w:cs="宋体"/>
                <w:b/>
                <w:bCs/>
                <w:color w:val="auto"/>
                <w:sz w:val="21"/>
                <w:szCs w:val="21"/>
                <w:lang w:val="en-US" w:eastAsia="zh-CN"/>
              </w:rPr>
              <w:t>27、</w:t>
            </w: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数字音频处理器</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top"/>
          </w:tcPr>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1、96KHz采样频率，32-bit DSP处理器，24-bit A/D及D/A转换</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2、有2路输入4路输出多种型号选择，可灵活组合多种分频模式，高、低通分频点均可达20Hz～20KHz；</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3、提供USB2.0、USB3.0和RS485连接电脑，其中RS485接口可最多连接250台设备和超过1500米的距离外用电脑来控制</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4、直接用面板的功能键和拔轮进行功能设置或是连接电脑通过PC控制软件来控制，均十分方便、直观和简洁</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5、单机最多可存储30组用户程序</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7、可通过面板的SYSTEM按键来设定密码锁定面板控制功能，以防止参数被修改</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8、每个输入和输出均有6段独立的全参量均衡，调节增益范围可达±20dB，同时还可选择参量、高调、低调、1阶全通、2阶全通5种均衡模式</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9、每个输入通道可调噪声门，并且每个输入通道有两段全参数可调的动态均衡（DEQ），自动增益控制 </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10、2×24 LCD蓝色背光显示功能设置，5段LED显示输入/输出的精确数字电平表、哑音及编辑状态</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11、每个输入和输出均有延时和相位控制及哑音设置，延时最长可达1000ms，延时单位可选择毫秒(ms)、米(m)、英尺(ft)三种，延时可通过粗调及细调模式进行调节。</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12、输出通道还可控制压缩、限幅及选择输入信号通道，并能将某通道的所有参数复制到另外一个通道同时进行联动控制</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13、可以通过USB接口或RS485接口连接中控来控制矩阵和通道的哑音</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14、支持设备输入、输出、系统功能分别设置密码进行锁定，实现数据保密</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15、设备软件内置中控代码生成器、可实现一键中英文切换</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16、可通过外置UTWR1盒与电脑进行连接,可实现互联网远程控制</w:t>
            </w:r>
          </w:p>
          <w:p>
            <w:pPr>
              <w:pStyle w:val="2"/>
              <w:spacing w:line="240" w:lineRule="auto"/>
              <w:jc w:val="left"/>
              <w:rPr>
                <w:rFonts w:hint="eastAsia" w:ascii="宋体" w:hAnsi="宋体" w:eastAsia="宋体" w:cs="宋体"/>
                <w:sz w:val="21"/>
                <w:szCs w:val="21"/>
              </w:rPr>
            </w:pPr>
            <w:r>
              <w:rPr>
                <w:rFonts w:hint="eastAsia" w:ascii="宋体" w:hAnsi="宋体" w:eastAsia="宋体" w:cs="宋体"/>
                <w:color w:val="auto"/>
                <w:sz w:val="21"/>
                <w:szCs w:val="21"/>
                <w:lang w:val="en-US" w:eastAsia="zh-CN"/>
              </w:rPr>
              <w:t>17</w:t>
            </w:r>
            <w:r>
              <w:rPr>
                <w:rFonts w:hint="eastAsia" w:ascii="宋体" w:hAnsi="宋体" w:eastAsia="宋体" w:cs="宋体"/>
                <w:b/>
                <w:bCs/>
                <w:color w:val="auto"/>
                <w:sz w:val="21"/>
                <w:szCs w:val="21"/>
                <w:lang w:val="en-US" w:eastAsia="zh-CN"/>
              </w:rPr>
              <w:t>.</w:t>
            </w: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反馈抑制器</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top"/>
          </w:tcPr>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1、96KHz采样频率，32-bit DSP处理器，24-bit A/D及D/A转换</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2、可通过面板的BYPASS/ON按键切换工作模式为直通或抑制</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3、全自动窄带陷波式反馈抑制</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4、每通道独立12个固定滤波器和12个动态滤波器,可通过“系统”键来设定固定或动态滤波器的个数</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5、可通过面板液晶上显示的48个啸叫点显示灯,显示当前啸叫点个数</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6、带有压缩,限幅,噪声门功能</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7、单机提供30组设备数据存储,存储压缩,限幅,噪声门的参数。关机后可保存关机前的啸叫抑制状态.</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8、可通过面板的“系统”键来设定密码锁定面板操作的部分或全部功能，以防止非相关人员的操作破坏机器的工作状态</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9、采用液晶屏和段码彩色液晶显示输出的精确数字电平表</w:t>
            </w:r>
          </w:p>
          <w:p>
            <w:pPr>
              <w:keepNext w:val="0"/>
              <w:keepLines w:val="0"/>
              <w:widowControl/>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10、提供模拟输入输出或数字AES 3, 光纤，同轴输入输出。</w:t>
            </w:r>
          </w:p>
          <w:p>
            <w:pPr>
              <w:pStyle w:val="2"/>
              <w:spacing w:line="240" w:lineRule="auto"/>
              <w:jc w:val="left"/>
              <w:rPr>
                <w:rFonts w:hint="eastAsia" w:ascii="宋体" w:hAnsi="宋体" w:eastAsia="宋体" w:cs="宋体"/>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b/>
                <w:bCs/>
                <w:color w:val="auto"/>
                <w:sz w:val="21"/>
                <w:szCs w:val="21"/>
                <w:lang w:val="en-US" w:eastAsia="zh-CN"/>
              </w:rPr>
              <w:t>1.</w:t>
            </w: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电源时序器</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top"/>
          </w:tcPr>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采用ARM核32位处理器控制，使时间更精确性能更稳定；</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2、8路通道总承受功率为8KW电源，每通道拥有独立高性能RFI/EMI电源滤波器，为用户的设备提供干净而稳定的电源；</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3、2×24 LCD蓝色背光显示功能设置操作界面使设备操作变得更加直观；</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4、每通道设立独立的硬件紧急关闭开关，可以通过开关紧急关闭某一路的电源输出；</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5、可设置密码功能，更好的保护系统用电安全管理；</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6、软件编辑功能，可独立调整通道开机及关机的延时时间；</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7、设备内置定时开关机功能，最长可达12个月的定时时间设置；</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8、设备内置中控代码生成器，方便第三方设备进行代码编辑；</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9、设备内置远程控制，让用户能随时随地的对设备进行开启关闭操作；</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11、能与同型号的电源时序器进行多台扩展及级联设置，而无需再购置其它控制器件；</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12、设备受控控制方式多样，TCP/IP、WIFI、USB，RS485，RS232联机控制加上外部（远程）控制能控制复杂的电源系统。</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13、本设备可通过红外学习功能及IO控制功能对第三方设备进行控制。</w:t>
            </w:r>
          </w:p>
          <w:p>
            <w:pPr>
              <w:keepNext w:val="0"/>
              <w:keepLines w:val="0"/>
              <w:widowControl/>
              <w:numPr>
                <w:ilvl w:val="0"/>
                <w:numId w:val="13"/>
              </w:numPr>
              <w:suppressLineNumbers w:val="0"/>
              <w:spacing w:line="240" w:lineRule="auto"/>
              <w:jc w:val="left"/>
              <w:textAlignment w:val="top"/>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14、采用新国家标准的10A和16A通用安全划盖插座，使得用电安全更加有保障。</w:t>
            </w:r>
          </w:p>
          <w:p>
            <w:pPr>
              <w:pStyle w:val="2"/>
              <w:numPr>
                <w:ilvl w:val="0"/>
                <w:numId w:val="0"/>
              </w:numPr>
              <w:spacing w:line="240" w:lineRule="auto"/>
              <w:jc w:val="left"/>
              <w:rPr>
                <w:rFonts w:hint="eastAsia" w:ascii="宋体" w:hAnsi="宋体" w:eastAsia="宋体" w:cs="宋体"/>
                <w:sz w:val="21"/>
                <w:szCs w:val="21"/>
              </w:rPr>
            </w:pPr>
            <w:r>
              <w:rPr>
                <w:rFonts w:hint="eastAsia" w:ascii="宋体" w:hAnsi="宋体" w:eastAsia="宋体" w:cs="宋体"/>
                <w:color w:val="auto"/>
                <w:sz w:val="21"/>
                <w:szCs w:val="21"/>
                <w:lang w:val="en-US" w:eastAsia="zh-CN"/>
              </w:rPr>
              <w:t>15</w:t>
            </w:r>
            <w:r>
              <w:rPr>
                <w:rFonts w:hint="eastAsia" w:ascii="宋体" w:hAnsi="宋体" w:eastAsia="宋体" w:cs="宋体"/>
                <w:b/>
                <w:bCs/>
                <w:color w:val="auto"/>
                <w:sz w:val="21"/>
                <w:szCs w:val="21"/>
                <w:lang w:val="en-US" w:eastAsia="zh-CN"/>
              </w:rPr>
              <w:t>.</w:t>
            </w: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无线手持话筒</w:t>
            </w:r>
          </w:p>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（一拖二）</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功能特性：</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接收机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1.针对KTV等固定安装场所开发设计的高稳定机型。</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2.背光式显示屏指示了RF和AF信号强度，电池状态，频率，频率组/频道等工作状态。</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3.采用数字音码锁定技术，有效阻隔使用环境中的杂讯干扰。</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4.采用最新红外线自动对频（IR）技术，设定和操作更简便。</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5.独立隐藏式系统锁键. 一键上锁. 方便实用.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发射机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1.全锌合金管体,表面电镀黑镍加硬处理.</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屏幕采用白色背光指示组号、通道、电池寿命、锁定状态等信息.</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3.红外数据同步功能.</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4.射频功率约12mW.</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5.话筒可互换使用，通用性强，全金属电镀管体，坚固，抗摔，耐磨。</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技术参数：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接收机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频率范围 610~670 MHz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调制方式  FM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可调范围 60MHz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信道数目  200</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信道间隔 300KHz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频率稳定度 ±0.005%</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动态范围 100dB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音频响应 80Hz-18KHz(±3dB)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综合信噪比 &gt;105 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综合失真  ≤0.5%</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工作温度  -10℃ -+40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无线接口 BNC/50Ω</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灵敏度 12dBμV（80DbS/N）</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灵敏度调节范围  12-32 dBμV</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杂散抑制 &gt;75dB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最大输出电平 +10dBV</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工作电压电流 12V/ 250mA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发射机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音频频率响应 40~18,000Hz,(+1 dB,-3 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输出功率 12mW</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杂散抑制 -60dB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工作频段   610-670MHz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频率调整 红外调频/手动调节</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拾音头 动圈式</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使用电池 5号AA电池x2</w:t>
            </w:r>
          </w:p>
          <w:p>
            <w:pPr>
              <w:pStyle w:val="2"/>
              <w:spacing w:line="240" w:lineRule="auto"/>
              <w:jc w:val="left"/>
              <w:rPr>
                <w:rFonts w:hint="eastAsia" w:ascii="宋体" w:hAnsi="宋体" w:eastAsia="宋体" w:cs="宋体"/>
                <w:sz w:val="21"/>
                <w:szCs w:val="21"/>
              </w:rPr>
            </w:pPr>
            <w:r>
              <w:rPr>
                <w:rFonts w:hint="eastAsia" w:ascii="宋体" w:hAnsi="宋体" w:eastAsia="宋体" w:cs="宋体"/>
                <w:b/>
                <w:bCs/>
                <w:color w:val="auto"/>
                <w:sz w:val="21"/>
                <w:szCs w:val="21"/>
                <w:lang w:val="en-US" w:eastAsia="zh-CN"/>
              </w:rPr>
              <w:t>6、</w:t>
            </w: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一拖四会议无线话筒 (短杆)</w:t>
            </w:r>
          </w:p>
        </w:tc>
        <w:tc>
          <w:tcPr>
            <w:tcW w:w="364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功能特性：</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接收机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1.固定安装场所开发设计的高稳定机型。</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2.背光式显示屏指示了RF和AF信号强度，电池状态，频率，频率组/频道等工作状态。</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3.采用数字音码锁定技术，有效阻隔使用环境中的杂讯干扰。</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4.采用最新红外线自动对频（IR）技术，设定和操作更简便。</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5.独立隐藏式系统锁键. 一键上锁. 方便实用.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发射机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1.全锌合金管体,表面电镀黑镍加硬处理.</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屏幕采用白色背光指示组号、通道、电池寿命、锁定状态等信息.</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3.红外数据同步功能.</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4.射频功率约12mW.</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5.话筒可互换使用，通用性强，全金属电镀管体，坚固，抗摔，耐磨。</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技术参数：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接收机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频率范围 610~670 MHz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调制方式  FM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可调范围 60MHz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信道数目  200</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信道间隔 300KHz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频率稳定度 ±0.005%</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动态范围 100dB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音频响应 80Hz-18KHz(±3dB)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综合信噪比 &gt;105 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综合失真  ≤0.5%</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工作温度  -10℃ -+40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无线接口 BNC/50Ω</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灵敏度 12dBμV（80DbS/N）</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灵敏度调节范围  12-32 dBμV</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杂散抑制 &gt;75dB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最大输出电平 +10dBV</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工作电压电流 12V/ 250mA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发射机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音频频率响应 40~18,000Hz,(+1 dB,-3 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输出功率 12mW</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杂散抑制 -60dB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工作频段   610-670MHz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频率调整 红外调频/手动调节</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拾音头 动圈式</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使用电池 5号AA电池x2</w:t>
            </w:r>
          </w:p>
          <w:p>
            <w:pPr>
              <w:pStyle w:val="2"/>
              <w:spacing w:line="240" w:lineRule="auto"/>
              <w:jc w:val="left"/>
              <w:rPr>
                <w:rFonts w:hint="eastAsia" w:ascii="宋体" w:hAnsi="宋体" w:eastAsia="宋体" w:cs="宋体"/>
                <w:sz w:val="21"/>
                <w:szCs w:val="21"/>
              </w:rPr>
            </w:pP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424"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无线鹅颈话筒（一拖四）</w:t>
            </w:r>
          </w:p>
        </w:tc>
        <w:tc>
          <w:tcPr>
            <w:tcW w:w="364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接收机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 全全新的无线数字导频技术。</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自动跟踪调谐技术,保证系统在任何频率工作时保持最佳的选择性。</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 高亮度液晶显示，工作状态清晰全面。</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 轻触式数字音量和静噪控制系统，易于设定和操作。</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 8段式发射机电池电量指示功能。</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射频载波范围 640-690MHZ</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工作距离 理想条件下100M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制式 FM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导频 数字导频</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最大频道数 200</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系统兼容性 可8台接收机同时叠机使用</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频率响应 30HZ ~ 18KHz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系统失真/总谐波失真THD &lt; 0.3%</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信噪比 &gt; 85db</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射频灵敏度 &lt; -105dbm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输出接口 (XLRx2)/(1/4-inch connector×1)/(1/4-inch PHONES JACKx1)</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音频输出水平 (XLR:+10dbV) / (1/4-inch connector:+8dbV)/(1/4-inch PHONES JACK:100mW)</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输出阻抗 (XLR:3KΩ) / (1/4-inch connector:3KΩ)/(1/4-inch PHONES JACK:32Ω)</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显示方式 LCD</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电源要求 12V/1A直流电源适配器</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工作温度范围 0-50 ℃</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发射机</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   模块化麦克风头设计，易于更换。</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屏幕采用白色背光指示组号、通道、电池寿命、锁定状态等信息。</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   红外数据同步功能。</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输入阻抗 5KΩ</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射频输出功率 10-14dbm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频率误差 &lt;15ppm</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导频 数字导频</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电源要求 5号AA电池×2节</w:t>
            </w:r>
          </w:p>
          <w:p>
            <w:pPr>
              <w:keepNext w:val="0"/>
              <w:keepLines w:val="0"/>
              <w:widowControl/>
              <w:suppressLineNumbers w:val="0"/>
              <w:spacing w:line="240" w:lineRule="auto"/>
              <w:jc w:val="left"/>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电池寿命 7小时/ 以1300mAH计算</w:t>
            </w:r>
          </w:p>
          <w:p>
            <w:pPr>
              <w:pStyle w:val="2"/>
              <w:spacing w:line="240" w:lineRule="auto"/>
              <w:jc w:val="left"/>
              <w:rPr>
                <w:rFonts w:hint="eastAsia" w:ascii="宋体" w:hAnsi="宋体" w:eastAsia="宋体" w:cs="宋体"/>
                <w:sz w:val="21"/>
                <w:szCs w:val="21"/>
              </w:rPr>
            </w:pPr>
            <w:r>
              <w:rPr>
                <w:rFonts w:hint="eastAsia" w:ascii="宋体" w:hAnsi="宋体" w:eastAsia="宋体" w:cs="宋体"/>
                <w:b/>
                <w:bCs/>
                <w:sz w:val="21"/>
                <w:szCs w:val="21"/>
                <w:lang w:val="en-US" w:eastAsia="zh-CN"/>
              </w:rPr>
              <w:t>同</w:t>
            </w:r>
            <w:r>
              <w:rPr>
                <w:rFonts w:hint="eastAsia" w:ascii="宋体" w:hAnsi="宋体" w:eastAsia="宋体" w:cs="宋体"/>
                <w:b/>
                <w:bCs/>
                <w:i w:val="0"/>
                <w:iCs w:val="0"/>
                <w:color w:val="000000"/>
                <w:kern w:val="0"/>
                <w:sz w:val="21"/>
                <w:szCs w:val="21"/>
                <w:u w:val="none"/>
                <w:lang w:val="en-US" w:eastAsia="zh-CN" w:bidi="ar"/>
              </w:rPr>
              <w:t>电子大屏必须为同一品牌</w:t>
            </w:r>
          </w:p>
        </w:tc>
        <w:tc>
          <w:tcPr>
            <w:tcW w:w="343"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000"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三、配套部分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机柜</w:t>
            </w:r>
          </w:p>
        </w:tc>
        <w:tc>
          <w:tcPr>
            <w:tcW w:w="36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600*600*1600</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42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综合布线</w:t>
            </w:r>
          </w:p>
        </w:tc>
        <w:tc>
          <w:tcPr>
            <w:tcW w:w="364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包含强电线、网络线、光纤线等，根据屏体面积按国标规格布线</w:t>
            </w:r>
          </w:p>
        </w:tc>
        <w:tc>
          <w:tcPr>
            <w:tcW w:w="34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r>
    </w:tbl>
    <w:p>
      <w:pPr>
        <w:spacing w:line="240" w:lineRule="auto"/>
        <w:rPr>
          <w:rFonts w:hint="eastAsia" w:ascii="宋体" w:hAnsi="宋体" w:eastAsia="宋体" w:cs="宋体"/>
          <w:sz w:val="21"/>
          <w:szCs w:val="21"/>
          <w:lang w:val="en-US" w:eastAsia="zh-CN"/>
        </w:rPr>
      </w:pPr>
    </w:p>
    <w:p>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leftChars="0" w:firstLine="0" w:firstLineChars="0"/>
        <w:textAlignment w:val="auto"/>
        <w:outlineLvl w:val="1"/>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校门口显示大屏</w:t>
      </w:r>
    </w:p>
    <w:tbl>
      <w:tblPr>
        <w:tblStyle w:val="3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0"/>
        <w:gridCol w:w="662"/>
        <w:gridCol w:w="6203"/>
        <w:gridCol w:w="709"/>
        <w:gridCol w:w="4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序号</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设备名称</w:t>
            </w:r>
          </w:p>
        </w:tc>
        <w:tc>
          <w:tcPr>
            <w:tcW w:w="364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技 术 要 求</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数量</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kern w:val="0"/>
                <w:sz w:val="21"/>
                <w:szCs w:val="21"/>
                <w:u w:val="none"/>
                <w:lang w:val="en-US" w:eastAsia="zh-CN" w:bidi="ar"/>
              </w:rPr>
              <w:t>显示屏</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left"/>
              <w:textAlignment w:val="center"/>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1、LED灯管：LED主动发光，每个像素点采用1纯红1纯绿1纯蓝三像数，表贴三合一封装。</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2、像数间距： 8 mm；单元板尺寸：</w:t>
            </w:r>
            <w:r>
              <w:rPr>
                <w:rFonts w:hint="eastAsia" w:ascii="宋体" w:cs="宋体"/>
                <w:sz w:val="21"/>
                <w:szCs w:val="21"/>
                <w:lang w:val="en-US" w:eastAsia="zh-CN"/>
              </w:rPr>
              <w:t>约</w:t>
            </w:r>
            <w:r>
              <w:rPr>
                <w:rFonts w:hint="eastAsia" w:ascii="宋体" w:hAnsi="宋体" w:eastAsia="宋体" w:cs="宋体"/>
                <w:color w:val="000000"/>
                <w:kern w:val="0"/>
                <w:sz w:val="21"/>
                <w:szCs w:val="21"/>
                <w:lang w:val="en-US" w:eastAsia="zh-CN" w:bidi="ar"/>
              </w:rPr>
              <w:t>320mm*160mm；单元板分辨率：40*20。3、显示屏尺寸：≥9.28  m*  ≥4.64 m</w:t>
            </w:r>
          </w:p>
          <w:p>
            <w:pPr>
              <w:keepNext w:val="0"/>
              <w:keepLines w:val="0"/>
              <w:widowControl/>
              <w:suppressLineNumbers w:val="0"/>
              <w:spacing w:line="240" w:lineRule="auto"/>
              <w:jc w:val="left"/>
              <w:textAlignment w:val="center"/>
            </w:pPr>
            <w:r>
              <w:rPr>
                <w:rFonts w:hint="eastAsia" w:ascii="宋体" w:hAnsi="宋体" w:eastAsia="宋体" w:cs="宋体"/>
                <w:color w:val="000000"/>
                <w:kern w:val="0"/>
                <w:sz w:val="21"/>
                <w:szCs w:val="21"/>
                <w:lang w:val="en-US" w:eastAsia="zh-CN" w:bidi="ar"/>
              </w:rPr>
              <w:t>4、显示屏模组具有灯驱和一技术</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5、投标产品满足低亮高灰要求:100%亮度，灰度等级为≥16bit；70%亮度，灰度等级为≥14bit；50%亮度，灰度等级为≥13bit；205亮度，灰度等级为≥12bit（投标时提供具有CNAS标识的检测报告证明）</w:t>
            </w:r>
          </w:p>
          <w:p>
            <w:pPr>
              <w:keepNext w:val="0"/>
              <w:keepLines w:val="0"/>
              <w:widowControl/>
              <w:suppressLineNumbers w:val="0"/>
              <w:spacing w:line="240" w:lineRule="auto"/>
              <w:jc w:val="left"/>
              <w:textAlignment w:val="center"/>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6、投标产品白平衡亮度≥7500cd/m²，亮度均匀性≥99%，色度均匀性±0.001Cx，Cy之内</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7、投标产品水平视角≥170°，垂直视角≥170°，最大对比度≥8000：1</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★8、投标产品视觉舒适度（VICO指数）范围在0-1级，满足CSA035.2-2017标准（投标时提供具有CNAS标识的检测报告证明）</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9、辐射骚扰（EMC）：30-1000MHz符合GB/T9254-2008 class B 限值要求</w:t>
            </w:r>
          </w:p>
          <w:p>
            <w:pPr>
              <w:keepNext w:val="0"/>
              <w:keepLines w:val="0"/>
              <w:widowControl/>
              <w:suppressLineNumbers w:val="0"/>
              <w:spacing w:line="240" w:lineRule="auto"/>
              <w:jc w:val="left"/>
              <w:textAlignment w:val="center"/>
            </w:pPr>
            <w:r>
              <w:rPr>
                <w:rFonts w:hint="eastAsia" w:ascii="宋体" w:hAnsi="宋体" w:eastAsia="宋体" w:cs="宋体"/>
                <w:color w:val="000000"/>
                <w:kern w:val="0"/>
                <w:sz w:val="21"/>
                <w:szCs w:val="21"/>
                <w:lang w:val="en-US" w:eastAsia="zh-CN" w:bidi="ar"/>
              </w:rPr>
              <w:t>10、支持逐点亮度、色度校正:支持多bin色度校正，校正数据存储在模组里，采用色彩管理系统，在LED控制系统对视频解码后，添加二次过滤显示算法，对显示屏每一个发光二极管进行逐点14位颜色校正。</w:t>
            </w:r>
          </w:p>
          <w:p>
            <w:pPr>
              <w:keepNext w:val="0"/>
              <w:keepLines w:val="0"/>
              <w:widowControl/>
              <w:suppressLineNumbers w:val="0"/>
              <w:spacing w:line="240" w:lineRule="auto"/>
              <w:jc w:val="left"/>
              <w:textAlignment w:val="center"/>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11、投标产品通过光生物安全测试，测验依据标准进行光生物安全及蓝光危害评估检测，无危害类，在8h(3000s)包辐射不造成化学紫外线危害（ES），并在1000s(16min)内不造成近紫外线危害（EUVA），并在10000s倍不造成对眼睛得红外辐射危害</w:t>
            </w:r>
          </w:p>
          <w:p>
            <w:pPr>
              <w:keepNext w:val="0"/>
              <w:keepLines w:val="0"/>
              <w:widowControl/>
              <w:suppressLineNumbers w:val="0"/>
              <w:spacing w:line="240" w:lineRule="auto"/>
              <w:jc w:val="left"/>
              <w:textAlignment w:val="center"/>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12、组成LED显示屏的显示模组的平均失效间隔工作时间MTBF≥100000小时，平均修复时间MTTR≤5分钟</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13、产品在正常工作条件下，连续工作168H，不出现电、机械或操作系统的故障</w:t>
            </w:r>
          </w:p>
          <w:p>
            <w:pPr>
              <w:keepNext w:val="0"/>
              <w:keepLines w:val="0"/>
              <w:widowControl/>
              <w:suppressLineNumbers w:val="0"/>
              <w:spacing w:line="240" w:lineRule="auto"/>
              <w:jc w:val="left"/>
              <w:textAlignment w:val="center"/>
              <w:rPr>
                <w:rFonts w:hint="eastAsia" w:ascii="宋体" w:hAnsi="宋体" w:eastAsia="宋体" w:cs="宋体"/>
                <w:color w:val="000000"/>
                <w:kern w:val="0"/>
                <w:sz w:val="21"/>
                <w:szCs w:val="21"/>
                <w:lang w:val="en-US" w:eastAsia="zh-CN" w:bidi="ar"/>
              </w:rPr>
            </w:pPr>
            <w:r>
              <w:rPr>
                <w:rFonts w:hint="eastAsia" w:ascii="宋体" w:hAnsi="宋体" w:eastAsia="宋体" w:cs="宋体"/>
                <w:color w:val="000000"/>
                <w:kern w:val="0"/>
                <w:sz w:val="21"/>
                <w:szCs w:val="21"/>
                <w:lang w:val="en-US" w:eastAsia="zh-CN" w:bidi="ar"/>
              </w:rPr>
              <w:t>14、投标产品符合抗紫外线UV辐射5级，盐雾10级要求，抗雷击4级要求符合CB/T 17626.5-2019标准。</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15、投标产品SJ/T 11590-2016规定，LED显示屏图像质量主观评价优级</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★16、投标时提供视频图像数据的网络发送速率的平滑方法证书</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17、投标产品符合GB/T 5169.16-2017的火焰测试标准，产品选用PCB阻燃登记达到V-0级，产品选用的底壳套件阻燃等级达到V-0级，产品选用的面罩阻燃登记满足HB级（投标时提供具有CNAS标识的检测报告证明）</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★18、为保证系统的安全应急服务性需提供由工业信息安全产业发展联盟提供的工业信息安全应急服务支撑单位证书</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19、电线端口的传导共模骚扰符合GB/T 9254-2008 Class B限值要求（投标时提供具有CNAS标识的检测报告证明）</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cs="宋体"/>
                <w:color w:val="000000"/>
                <w:kern w:val="0"/>
                <w:sz w:val="21"/>
                <w:szCs w:val="21"/>
                <w:lang w:val="en-US" w:eastAsia="zh-CN" w:bidi="ar"/>
              </w:rPr>
              <w:t>20</w:t>
            </w:r>
            <w:r>
              <w:rPr>
                <w:rFonts w:hint="eastAsia" w:ascii="宋体" w:hAnsi="宋体" w:eastAsia="宋体" w:cs="宋体"/>
                <w:color w:val="000000"/>
                <w:kern w:val="0"/>
                <w:sz w:val="21"/>
                <w:szCs w:val="21"/>
                <w:lang w:val="en-US" w:eastAsia="zh-CN" w:bidi="ar"/>
              </w:rPr>
              <w:t>、投标产品谐波电流、电压变化符合GB 17625.1-2012标准中A类限值（投标时提供具有CNAS标识的检测报告证明）</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2</w:t>
            </w:r>
            <w:r>
              <w:rPr>
                <w:rFonts w:hint="eastAsia" w:ascii="宋体" w:cs="宋体"/>
                <w:color w:val="000000"/>
                <w:kern w:val="0"/>
                <w:sz w:val="21"/>
                <w:szCs w:val="21"/>
                <w:lang w:val="en-US" w:eastAsia="zh-CN" w:bidi="ar"/>
              </w:rPr>
              <w:t>1</w:t>
            </w:r>
            <w:r>
              <w:rPr>
                <w:rFonts w:hint="eastAsia" w:ascii="宋体" w:hAnsi="宋体" w:eastAsia="宋体" w:cs="宋体"/>
                <w:color w:val="000000"/>
                <w:kern w:val="0"/>
                <w:sz w:val="21"/>
                <w:szCs w:val="21"/>
                <w:lang w:val="en-US" w:eastAsia="zh-CN" w:bidi="ar"/>
              </w:rPr>
              <w:t>、为确保品牌真实性，提供针对本项目质保函</w:t>
            </w:r>
          </w:p>
          <w:p>
            <w:pPr>
              <w:keepNext w:val="0"/>
              <w:keepLines w:val="0"/>
              <w:widowControl/>
              <w:suppressLineNumbers w:val="0"/>
              <w:spacing w:line="240" w:lineRule="auto"/>
              <w:jc w:val="left"/>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val="en-US" w:eastAsia="zh-CN" w:bidi="ar"/>
              </w:rPr>
              <w:t>2</w:t>
            </w:r>
            <w:r>
              <w:rPr>
                <w:rFonts w:hint="eastAsia" w:ascii="宋体" w:cs="宋体"/>
                <w:color w:val="000000"/>
                <w:kern w:val="0"/>
                <w:sz w:val="21"/>
                <w:szCs w:val="21"/>
                <w:lang w:val="en-US" w:eastAsia="zh-CN" w:bidi="ar"/>
              </w:rPr>
              <w:t>2</w:t>
            </w:r>
            <w:r>
              <w:rPr>
                <w:rFonts w:hint="eastAsia" w:ascii="宋体" w:hAnsi="宋体" w:eastAsia="宋体" w:cs="宋体"/>
                <w:color w:val="000000"/>
                <w:kern w:val="0"/>
                <w:sz w:val="21"/>
                <w:szCs w:val="21"/>
                <w:lang w:val="en-US" w:eastAsia="zh-CN" w:bidi="ar"/>
              </w:rPr>
              <w:t>、为确保产品的软件系统成熟度需提供显示屏平台开发体系CMMI-DEV 成熟度5级证书和中国软件行业信用AAA级证书,投标时提供证明文件复印件加盖公章</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color w:val="000000"/>
                <w:kern w:val="0"/>
                <w:sz w:val="21"/>
                <w:szCs w:val="21"/>
                <w:lang w:val="en-US" w:eastAsia="zh-CN" w:bidi="ar"/>
              </w:rPr>
              <w:t>2</w:t>
            </w:r>
            <w:r>
              <w:rPr>
                <w:rFonts w:hint="eastAsia" w:ascii="宋体" w:cs="宋体"/>
                <w:color w:val="000000"/>
                <w:kern w:val="0"/>
                <w:sz w:val="21"/>
                <w:szCs w:val="21"/>
                <w:lang w:val="en-US" w:eastAsia="zh-CN" w:bidi="ar"/>
              </w:rPr>
              <w:t>3</w:t>
            </w:r>
            <w:r>
              <w:rPr>
                <w:rFonts w:hint="eastAsia" w:ascii="宋体" w:hAnsi="宋体" w:eastAsia="宋体" w:cs="宋体"/>
                <w:color w:val="000000"/>
                <w:kern w:val="0"/>
                <w:sz w:val="21"/>
                <w:szCs w:val="21"/>
                <w:lang w:val="en-US" w:eastAsia="zh-CN" w:bidi="ar"/>
              </w:rPr>
              <w:t>、为保证本项目产品、服务及信息系统的稳定性与可靠性，投标人或投标所投监控、网络产品制造商需具备较强的信息安全分析评估能力，投标时提供中国信息安全测评中心颁发的信息安全服务资质（风险评估）证书</w:t>
            </w:r>
          </w:p>
        </w:tc>
        <w:tc>
          <w:tcPr>
            <w:tcW w:w="41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43.06</w:t>
            </w:r>
          </w:p>
        </w:tc>
        <w:tc>
          <w:tcPr>
            <w:tcW w:w="27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箱体</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室外防水箱体</w:t>
            </w:r>
          </w:p>
        </w:tc>
        <w:tc>
          <w:tcPr>
            <w:tcW w:w="41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43.06</w:t>
            </w:r>
          </w:p>
        </w:tc>
        <w:tc>
          <w:tcPr>
            <w:tcW w:w="27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5V40A，为保证系统的稳定性，需与LED屏同品牌</w:t>
            </w:r>
          </w:p>
        </w:tc>
        <w:tc>
          <w:tcPr>
            <w:tcW w:w="41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w:t>
            </w:r>
          </w:p>
        </w:tc>
        <w:tc>
          <w:tcPr>
            <w:tcW w:w="27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接收卡     </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numPr>
                <w:ilvl w:val="0"/>
                <w:numId w:val="14"/>
              </w:numPr>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支持逐点亮色度校正，可以对每个灯点的亮度和色度进项校正，有效消除色差，使整屏的亮度和速度达到高度均匀一致，提高显示屏的画质。</w:t>
            </w:r>
          </w:p>
          <w:p>
            <w:pPr>
              <w:keepNext w:val="0"/>
              <w:keepLines w:val="0"/>
              <w:widowControl/>
              <w:numPr>
                <w:ilvl w:val="0"/>
                <w:numId w:val="0"/>
              </w:numPr>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2.投标时提供一种接收卡的实用新型证书</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★3.快速亮暗线调节在调试软件上进行快速亮暗线调节，快速解决因箱体及模组拼接造成的显示屏亮暗线，调节过程中即时生效，简单易用。投标时提供第三方检测机构出具的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pPr>
            <w:r>
              <w:rPr>
                <w:rFonts w:hint="eastAsia" w:ascii="宋体" w:hAnsi="宋体" w:eastAsia="宋体" w:cs="宋体"/>
                <w:i w:val="0"/>
                <w:iCs w:val="0"/>
                <w:color w:val="0D0D0D"/>
                <w:kern w:val="0"/>
                <w:sz w:val="21"/>
                <w:szCs w:val="21"/>
                <w:u w:val="none"/>
                <w:lang w:val="en-US" w:eastAsia="zh-CN" w:bidi="ar"/>
              </w:rPr>
              <w:t>4.可以将指定图片设置为显示屏的开机、网线断开或无视频源信号时的画面或者最后一帧画面。</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5.可以监测自身的温度和电压，无需其他外设，在软件上可以查看接收卡的温度和电压。</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6.检测发送设备与接收卡间或接收卡与接收卡间的网络通讯质量，记录错误包数，协助排除网络通讯隐患。</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7.支持5pin液晶模块，用于显示接收卡的温度、电压、单次运行时间和总运行时间。</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8.支持千兆网，可通过网线直接连接到PC端进行调试和显示，无需发送卡。</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★9.投标时提供一种实现屏幕拼接的系统及方法证书</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10.投标时提供多屏控制的图像显示系统、方法及多屏控制装置证书</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★11.支持各种PWM芯片、逐点检测芯片及通用芯片；支持任意抽点，实现各种异形屏拼接。投标时提供第三方检测机构出具的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12.支持色彩变换技术，使人脸肤色更真实；支持任意倍增技术，手机拍摄无扫描线。投标时提供第三方检测机构出具的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★13.为保证产品的稳定性及可靠性，需在检验环境温度21℃-26摄氏度，湿度（%RH）:62-71,大气压力（kPa）：100.2-101.8（投标时提供的第三方检测报告中需体现此数据）</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14.设备在正常工作条件下，连续工作168h，不应出现电、机械或操作系统的故障。</w:t>
            </w:r>
          </w:p>
          <w:p>
            <w:pPr>
              <w:keepNext w:val="0"/>
              <w:keepLines w:val="0"/>
              <w:widowControl/>
              <w:suppressLineNumbers w:val="0"/>
              <w:spacing w:line="240" w:lineRule="auto"/>
              <w:jc w:val="center"/>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15.产品放入60℃±2℃，90%RH±3%RH环境中，通电连续工作48小时，试验过程中能正常工作，外观无明显变形，损伤。投标时提供第三方检测机构出具的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suppressLineNumbers w:val="0"/>
              <w:spacing w:line="240" w:lineRule="auto"/>
              <w:jc w:val="both"/>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★16.为保证系统的兼容性及稳定性控制系统需与LED显示屏为同一品牌，投标时提供证明文件</w:t>
            </w:r>
          </w:p>
        </w:tc>
        <w:tc>
          <w:tcPr>
            <w:tcW w:w="41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音柱</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 xml:space="preserve">1、材料:铝质   </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2、室外豪华型防水音柱对人声、音乐都有还原真实的放大特性，由铝合金材料制成，更适合户外全天候使用。如网球场、游泳池、花园、学校操场、市集。</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3、额定功率 60W</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4、输入电压 100V</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5、灵敏度  98dB±3dB</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kern w:val="0"/>
                <w:sz w:val="21"/>
                <w:szCs w:val="21"/>
                <w:u w:val="none"/>
                <w:lang w:val="en-US" w:eastAsia="zh-CN" w:bidi="ar"/>
              </w:rPr>
            </w:pPr>
            <w:r>
              <w:rPr>
                <w:rFonts w:hint="eastAsia" w:ascii="宋体" w:hAnsi="宋体" w:eastAsia="宋体" w:cs="宋体"/>
                <w:i w:val="0"/>
                <w:iCs w:val="0"/>
                <w:color w:val="0D0D0D"/>
                <w:kern w:val="0"/>
                <w:sz w:val="21"/>
                <w:szCs w:val="21"/>
                <w:u w:val="none"/>
                <w:lang w:val="en-US" w:eastAsia="zh-CN" w:bidi="ar"/>
              </w:rPr>
              <w:t>6、频率响应 130-14KHz</w:t>
            </w:r>
          </w:p>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7、为保证系统的兼容性及稳定性控制系统需与显示屏为同一品牌，投标时提供证明文件</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功放</w:t>
            </w:r>
          </w:p>
        </w:tc>
        <w:tc>
          <w:tcPr>
            <w:tcW w:w="364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120W，6分区功放，纯铜变压器；1.2倍功率预留；每路分区输出音量可独立调节</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视频处理器</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numPr>
                <w:ilvl w:val="0"/>
                <w:numId w:val="15"/>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无需电脑，支持通过设备旋转按钮快捷配屏和高级配屏功能点亮屏体，简单操作即可完成屏体配置。</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2.支持设备默认开启自动信源搜索功能。</w:t>
            </w:r>
          </w:p>
          <w:p>
            <w:pPr>
              <w:keepNext w:val="0"/>
              <w:keepLines w:val="0"/>
              <w:widowControl/>
              <w:numPr>
                <w:ilvl w:val="-1"/>
                <w:numId w:val="0"/>
              </w:numPr>
              <w:suppressLineNumbers w:val="0"/>
              <w:spacing w:line="240" w:lineRule="auto"/>
              <w:jc w:val="left"/>
              <w:textAlignment w:val="center"/>
            </w:pPr>
            <w:r>
              <w:rPr>
                <w:rFonts w:hint="eastAsia" w:ascii="宋体" w:hAnsi="宋体" w:eastAsia="宋体" w:cs="宋体"/>
                <w:i w:val="0"/>
                <w:iCs w:val="0"/>
                <w:color w:val="0D0D0D"/>
                <w:kern w:val="0"/>
                <w:sz w:val="21"/>
                <w:szCs w:val="21"/>
                <w:u w:val="none"/>
                <w:lang w:val="en-US" w:eastAsia="zh-CN" w:bidi="ar"/>
              </w:rPr>
              <w:t>3.为增强产品实用性，设备需通过面板数字按键，可快速准确定义窗口大小位置等坐标信息。</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4.支持屏体参数调整，例如亮度、Gamma等。</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5.为保证系统的兼容性和稳定性，发送卡和视频处理器为二合一产品。</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6.设备前面板配备液晶面板，可实时显示设备型号，ip地址，窗口和信号源的分辨率及状态信息，输出网口的状态，屏幕大小，帧屏信息，设备同步模式展示，USB连接或网线连接状态，屏体亮度。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7.主界面下，按下旋钮进入菜单操作界面。菜单操作界面下，旋转旋钮旋转菜单，按下旋钮选定当前菜单或者进入子菜单。选定带有参数的菜单后可以通过旋转旋钮调节参数，调节完成后需要再次按下旋钮进行确认。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8.无需电脑，FREEZE画面冻结按键可以快捷冻结画面。投标时提供第三方检测机构出具的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★9.投标时提供一种视频分析设备的算法配置方法和系统证书。</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10.支持逐点亮度校正，可以对每个灯点的亮度和色度进行校正，有效消除色彩，使整屏的亮度色度达到高度均匀一致，提高显示屏的画质。</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11.支持配置显示屏的传输方式和方向；支持配置控制器的映射位置和大小；支持保存和加载控制系统参数；支持周期刷新显示屏控制系统的工作状态。</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★12.支持校正、亮度智能调节、色温调节、Gamma调节、授权管理。投标时提供第三方检测机构出具的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13.产品机内交流配电系统单元符合TN配电系统在90V 50Hz至264V 60Hz之间仍可正常工作，保证设备在异常断电情况下正常运行。</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14.产品输入输出端子在接触温度检测的限值至少为70℃。投标时提供第三方检测机构出具的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★15.设备在正常工作条件下，联系工作168h，不应出现电、机械或操作系统的故障。投标时提供第三方检测机构出具的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16.产品放入60℃±2℃，90%±3%HR环境中，通电连续工作48小时或放置48小时，试验过程中能正常工作，外观无明显变形，损伤。投标时提供第三方检测机构出具的</w:t>
            </w:r>
            <w:r>
              <w:rPr>
                <w:rFonts w:hint="eastAsia" w:ascii="宋体" w:hAnsi="宋体" w:cs="宋体"/>
                <w:i w:val="0"/>
                <w:iCs w:val="0"/>
                <w:color w:val="0D0D0D"/>
                <w:kern w:val="0"/>
                <w:sz w:val="21"/>
                <w:szCs w:val="21"/>
                <w:u w:val="none"/>
                <w:lang w:val="en-US" w:eastAsia="zh-CN" w:bidi="ar"/>
              </w:rPr>
              <w:t>CNAS或 CMA或ilac-MRA</w:t>
            </w:r>
            <w:r>
              <w:rPr>
                <w:rFonts w:hint="eastAsia" w:ascii="宋体" w:hAnsi="宋体" w:eastAsia="宋体" w:cs="宋体"/>
                <w:i w:val="0"/>
                <w:iCs w:val="0"/>
                <w:color w:val="0D0D0D"/>
                <w:kern w:val="0"/>
                <w:sz w:val="21"/>
                <w:szCs w:val="21"/>
                <w:u w:val="none"/>
                <w:lang w:val="en-US" w:eastAsia="zh-CN" w:bidi="ar"/>
              </w:rPr>
              <w:t>的检测报告</w:t>
            </w:r>
          </w:p>
          <w:p>
            <w:pPr>
              <w:keepNext w:val="0"/>
              <w:keepLines w:val="0"/>
              <w:widowControl/>
              <w:numPr>
                <w:ilvl w:val="-1"/>
                <w:numId w:val="0"/>
              </w:numPr>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★17.为保证系统的兼容性及稳定性控制系统需与LED显示屏为同一品牌，投标时提供证明文件</w:t>
            </w:r>
          </w:p>
          <w:p>
            <w:pPr>
              <w:keepNext w:val="0"/>
              <w:keepLines w:val="0"/>
              <w:widowControl/>
              <w:numPr>
                <w:ilvl w:val="0"/>
                <w:numId w:val="0"/>
              </w:numPr>
              <w:suppressLineNumbers w:val="0"/>
              <w:spacing w:line="240" w:lineRule="auto"/>
              <w:jc w:val="both"/>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★1</w:t>
            </w:r>
            <w:r>
              <w:rPr>
                <w:rFonts w:hint="eastAsia" w:ascii="宋体" w:cs="宋体"/>
                <w:i w:val="0"/>
                <w:iCs w:val="0"/>
                <w:color w:val="0D0D0D"/>
                <w:kern w:val="0"/>
                <w:sz w:val="21"/>
                <w:szCs w:val="21"/>
                <w:u w:val="none"/>
                <w:lang w:val="en-US" w:eastAsia="zh-CN" w:bidi="ar"/>
              </w:rPr>
              <w:t>8</w:t>
            </w:r>
            <w:r>
              <w:rPr>
                <w:rFonts w:hint="eastAsia" w:ascii="宋体" w:hAnsi="宋体" w:eastAsia="宋体" w:cs="宋体"/>
                <w:i w:val="0"/>
                <w:iCs w:val="0"/>
                <w:color w:val="0D0D0D"/>
                <w:kern w:val="0"/>
                <w:sz w:val="21"/>
                <w:szCs w:val="21"/>
                <w:u w:val="none"/>
                <w:lang w:val="en-US" w:eastAsia="zh-CN" w:bidi="ar"/>
              </w:rPr>
              <w:t>.投标时提供多点温度测量系统软件著作权证书</w:t>
            </w:r>
          </w:p>
        </w:tc>
        <w:tc>
          <w:tcPr>
            <w:tcW w:w="4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多功能卡</w:t>
            </w:r>
          </w:p>
        </w:tc>
        <w:tc>
          <w:tcPr>
            <w:tcW w:w="36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D0D0D"/>
                <w:sz w:val="21"/>
                <w:szCs w:val="21"/>
                <w:u w:val="none"/>
              </w:rPr>
            </w:pPr>
            <w:r>
              <w:rPr>
                <w:rFonts w:hint="eastAsia" w:ascii="宋体" w:hAnsi="宋体" w:eastAsia="宋体" w:cs="宋体"/>
                <w:i w:val="0"/>
                <w:iCs w:val="0"/>
                <w:color w:val="0D0D0D"/>
                <w:kern w:val="0"/>
                <w:sz w:val="21"/>
                <w:szCs w:val="21"/>
                <w:u w:val="none"/>
                <w:lang w:val="en-US" w:eastAsia="zh-CN" w:bidi="ar"/>
              </w:rPr>
              <w:t>可控制显示屏电源开关</w:t>
            </w:r>
          </w:p>
        </w:tc>
        <w:tc>
          <w:tcPr>
            <w:tcW w:w="41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制冷设备</w:t>
            </w:r>
          </w:p>
        </w:tc>
        <w:tc>
          <w:tcPr>
            <w:tcW w:w="364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cs="宋体"/>
                <w:i w:val="0"/>
                <w:iCs w:val="0"/>
                <w:color w:val="000000"/>
                <w:kern w:val="0"/>
                <w:sz w:val="21"/>
                <w:szCs w:val="21"/>
                <w:u w:val="none"/>
                <w:lang w:val="en-US" w:eastAsia="zh-CN" w:bidi="ar"/>
              </w:rPr>
              <w:t>按照设备投标人自行设计</w:t>
            </w:r>
            <w:r>
              <w:rPr>
                <w:rFonts w:hint="eastAsia" w:ascii="宋体" w:hAnsi="宋体" w:eastAsia="宋体" w:cs="宋体"/>
                <w:i w:val="0"/>
                <w:iCs w:val="0"/>
                <w:color w:val="000000"/>
                <w:kern w:val="0"/>
                <w:sz w:val="21"/>
                <w:szCs w:val="21"/>
                <w:u w:val="none"/>
                <w:lang w:val="en-US" w:eastAsia="zh-CN" w:bidi="ar"/>
              </w:rPr>
              <w:t>，自动加电功能</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388" w:type="pct"/>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配电系统</w:t>
            </w:r>
          </w:p>
        </w:tc>
        <w:tc>
          <w:tcPr>
            <w:tcW w:w="36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按实际所用功率进行定制                                                                                                                                                                               </w:t>
            </w:r>
          </w:p>
        </w:tc>
        <w:tc>
          <w:tcPr>
            <w:tcW w:w="41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安装</w:t>
            </w:r>
          </w:p>
        </w:tc>
        <w:tc>
          <w:tcPr>
            <w:tcW w:w="364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专业技术安装、调试、专业维护</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43.06</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框架安装</w:t>
            </w:r>
          </w:p>
        </w:tc>
        <w:tc>
          <w:tcPr>
            <w:tcW w:w="364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设计、定制结构、框架，满足屏体安装使用需求，用材符合国家标准</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43.06</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内部线材连接</w:t>
            </w:r>
          </w:p>
        </w:tc>
        <w:tc>
          <w:tcPr>
            <w:tcW w:w="364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屏体内部电缆线，长排线，超五类网线等                                                                                                                                                                 </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43.06</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27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38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综合布线</w:t>
            </w:r>
          </w:p>
        </w:tc>
        <w:tc>
          <w:tcPr>
            <w:tcW w:w="364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line="240" w:lineRule="auto"/>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根据屏体面积按国标规格布线</w:t>
            </w:r>
          </w:p>
        </w:tc>
        <w:tc>
          <w:tcPr>
            <w:tcW w:w="4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7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批</w:t>
            </w:r>
          </w:p>
        </w:tc>
      </w:tr>
    </w:tbl>
    <w:p>
      <w:pPr>
        <w:adjustRightInd w:val="0"/>
        <w:snapToGrid w:val="0"/>
        <w:spacing w:line="240" w:lineRule="auto"/>
        <w:rPr>
          <w:rFonts w:hint="eastAsia" w:ascii="宋体" w:hAnsi="宋体" w:eastAsia="宋体" w:cs="宋体"/>
          <w:color w:val="auto"/>
          <w:sz w:val="21"/>
          <w:szCs w:val="21"/>
        </w:rPr>
      </w:pPr>
    </w:p>
    <w:p>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leftChars="0" w:firstLine="0" w:firstLineChars="0"/>
        <w:textAlignment w:val="auto"/>
        <w:outlineLvl w:val="1"/>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专用教室装备</w:t>
      </w:r>
    </w:p>
    <w:tbl>
      <w:tblPr>
        <w:tblStyle w:val="36"/>
        <w:tblW w:w="5654" w:type="pct"/>
        <w:tblInd w:w="-23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1"/>
        <w:gridCol w:w="1777"/>
        <w:gridCol w:w="2957"/>
        <w:gridCol w:w="667"/>
        <w:gridCol w:w="683"/>
        <w:gridCol w:w="28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备注：演示用的仪器要大一些的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电流表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产品由测量机构、外壳等组成。1.指示面板与水平面成45度夹角。2.测量范围：（-0.2A~0~0.6A）（-1~0~3A）。3.仪表准确度等级：2.5级。4.对外界磁场的防御等级为Ⅲ级。5.规格：</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130mm×95mm×90mm。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直流电流表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3"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电池盒</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仪器由可放置1节1号电池，可做串连或并联使用。1.各触点采用不锈钢或铜制，并装有红黑接线柱，接触良好。2.盒体材料采用ABS塑料注塑成型，每个的外形尺寸：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100mm×40mm×29mm。可串并联</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276225</wp:posOffset>
                  </wp:positionH>
                  <wp:positionV relativeFrom="paragraph">
                    <wp:posOffset>38100</wp:posOffset>
                  </wp:positionV>
                  <wp:extent cx="1329055" cy="1372235"/>
                  <wp:effectExtent l="0" t="0" r="4445" b="18415"/>
                  <wp:wrapNone/>
                  <wp:docPr id="40" name="图片_2"/>
                  <wp:cNvGraphicFramePr/>
                  <a:graphic xmlns:a="http://schemas.openxmlformats.org/drawingml/2006/main">
                    <a:graphicData uri="http://schemas.openxmlformats.org/drawingml/2006/picture">
                      <pic:pic xmlns:pic="http://schemas.openxmlformats.org/drawingml/2006/picture">
                        <pic:nvPicPr>
                          <pic:cNvPr id="40" name="图片_2"/>
                          <pic:cNvPicPr/>
                        </pic:nvPicPr>
                        <pic:blipFill>
                          <a:blip r:embed="rId10"/>
                          <a:stretch>
                            <a:fillRect/>
                          </a:stretch>
                        </pic:blipFill>
                        <pic:spPr>
                          <a:xfrm>
                            <a:off x="0" y="0"/>
                            <a:ext cx="1329055" cy="13722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电压表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产品由测量机构、外壳等组成。1.指示面板与水平面成45度夹角。2.测量范围：（-1~0~3V）（-5~0~15V）。3.仪表准确度等级：2.5级。4.对外界磁场的防御等级为Ⅲ级。5.规格：</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130mm×95mm×90mm。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直流电压表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滑动变阻器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技术规格：10欧姆；额定电流5 A。 2． 电阻值误差应小于10％。 3． 滑动变阻器绕线应紧密排齐、平整。 4． 电阻线绝缘层承受不低于1.5KV的电压不被击穿；滑动变阻器承受1.5KV的电压试验，不应出现飞弧或击穿现象。 5． 在额定电流下工作时，温升不应超过300℃，试验后绕线无松动，绝缘层无破损现象。 6． 瓷管光滑平整，无裂纹，直径不小于Φ38mm，长度不小于280mm。 7． 常温常湿条件下绝缘电阻应大于20MΩ。 8． 滑动头与电阻线、滑杆保持良好的弹性接触，触头应圆滑，压力均匀，滑动应顺畅。滑动头在电阻线上滑动时，电阻值应均匀变化，不得有间断跳跃现象。 9． 支架、护罩采用金属材料制成，护罩呈网状结构，便于散热，表面喷漆处理，与绕线电阻管和滑杆结合牢固、端正，放置平稳，接线柱采用香蕉插直插式，在支架两端10．底座上有4个橡胶脚垫，扣压在地板的固定孔内， 产品应符合JY0028－1999《滑动变阻器》的要求。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滑动变阻器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技术规格：电阻20Ω；额定电流5 A。 2． 电阻值误差应小于10％。 3． 滑动变阻器绕线应紧密排齐、平整。 4． 电阻线绝缘层承受不低于1.5KV的电压不被击穿；滑动变阻器承受1.5KV的电压试验，不应出现飞弧或击穿现象。 5． 在额定电流下工作时，温升不应超过300℃，试验后绕线无松动，绝缘层无破损现象。 6． 瓷管光滑平整，无裂纹，直径不小于Φ38mm，长度不小于280mm。 7． 常温常湿条件下绝缘电阻应大于20MΩ。 8． 滑动头与电阻线、滑杆保持良好的弹性接触，触头应圆滑，压力均匀，滑动应顺畅。滑动头在电阻线上滑动时，电阻值应均匀变化，不得有间断跳跃现象。 9． 支架、护罩采用金属材料制成，护罩呈网状结构，便于散热，表面喷漆处理，与绕线电阻管和滑杆结合牢固、端正，放置平稳，接线柱采用香蕉插直插式，在支架两端10．底座上有4个橡胶脚垫，扣压在地板的固定孔内， 产品应符合JY0028－1999《滑动变阻器》的要求。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滑动变阻器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技术规格：电阻50Ω；额定电流5 A。 2． 电阻值误差应小于10％。 3． 滑动变阻器绕线应紧密排齐、平整。 4． 电阻线绝缘层承受不低于1.5KV的电压不被击穿；滑动变阻器承受1.5KV的电压试验，不应出现飞弧或击穿现象。 5． 在额定电流下工作时，温升不应超过300℃，试验后绕线无松动，绝缘层无破损现象。 6． 瓷管光滑平整，无裂纹，直径不小于Φ38mm，长度不小于280mm。 7． 常温常湿条件下绝缘电阻应大于20MΩ。 8． 滑动头与电阻线、滑杆保持良好的弹性接触，触头应圆滑，压力均匀，滑动应顺畅。滑动头在电阻线上滑动时，电阻值应均匀变化，不得有间断跳跃现象。 9． 支架、护罩采用金属材料制成，护罩呈网状结构，便于散热，表面喷漆处理，与绕线电阻管和滑杆结合牢固、端正，放置平稳，接线柱采用香蕉插直插式，在支架两端10．底座上有4个橡胶脚垫，扣压在地板的固定孔内， 产品应符合JY0028－1999《滑动变阻器》的要求。</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灯座</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螺旋灯座。底座塑料，尺寸：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74mm×34mm×10mm,工作电压不大于36V,工作电流不大于2.5A  </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小灯座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开关</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1、由底座，接线柱，闸刀，刀座，刀承和绝缘手柄组成。2、底座：黑色塑料，尺寸：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74mm×34mm×10mm  ,工作电压不超过36V，工作电流不超过6A。</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单刀开关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开关</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1、由底座，接线柱，闸刀，刀座，刀承和绝缘手柄组成。2、底座：黑色塑料，尺寸：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85mm×34mm×10mm  ,工作电压不超过36V，工作电流不超过6A。3、单刀双掷</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单刀双掷开关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导线</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鳄鱼夹、U型插、香蕉插各200根，红黑各半，全铜1平方导线</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鳄鱼夹、U型插、香蕉插各200根计算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量筒</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100ml玻璃</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玻璃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43"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奥斯特实验演示器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规格：</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250mm×180mm×120mm，验证左右手定则和直线电流的磁场。</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27305</wp:posOffset>
                  </wp:positionH>
                  <wp:positionV relativeFrom="paragraph">
                    <wp:posOffset>431165</wp:posOffset>
                  </wp:positionV>
                  <wp:extent cx="1661160" cy="970915"/>
                  <wp:effectExtent l="0" t="0" r="15240" b="635"/>
                  <wp:wrapNone/>
                  <wp:docPr id="41" name="图片_5"/>
                  <wp:cNvGraphicFramePr/>
                  <a:graphic xmlns:a="http://schemas.openxmlformats.org/drawingml/2006/main">
                    <a:graphicData uri="http://schemas.openxmlformats.org/drawingml/2006/picture">
                      <pic:pic xmlns:pic="http://schemas.openxmlformats.org/drawingml/2006/picture">
                        <pic:nvPicPr>
                          <pic:cNvPr id="41" name="图片_5"/>
                          <pic:cNvPicPr/>
                        </pic:nvPicPr>
                        <pic:blipFill>
                          <a:blip r:embed="rId11"/>
                          <a:stretch>
                            <a:fillRect/>
                          </a:stretch>
                        </pic:blipFill>
                        <pic:spPr>
                          <a:xfrm>
                            <a:off x="0" y="0"/>
                            <a:ext cx="1661160" cy="97091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43"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通电螺线管磁场演示器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演示电流在导线上的右手螺旋定则。</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139065</wp:posOffset>
                  </wp:positionH>
                  <wp:positionV relativeFrom="paragraph">
                    <wp:posOffset>220345</wp:posOffset>
                  </wp:positionV>
                  <wp:extent cx="1486535" cy="1182370"/>
                  <wp:effectExtent l="0" t="0" r="18415" b="17780"/>
                  <wp:wrapNone/>
                  <wp:docPr id="47" name="图片_4"/>
                  <wp:cNvGraphicFramePr/>
                  <a:graphic xmlns:a="http://schemas.openxmlformats.org/drawingml/2006/main">
                    <a:graphicData uri="http://schemas.openxmlformats.org/drawingml/2006/picture">
                      <pic:pic xmlns:pic="http://schemas.openxmlformats.org/drawingml/2006/picture">
                        <pic:nvPicPr>
                          <pic:cNvPr id="47" name="图片_4"/>
                          <pic:cNvPicPr/>
                        </pic:nvPicPr>
                        <pic:blipFill>
                          <a:blip r:embed="rId12"/>
                          <a:stretch>
                            <a:fillRect/>
                          </a:stretch>
                        </pic:blipFill>
                        <pic:spPr>
                          <a:xfrm>
                            <a:off x="0" y="0"/>
                            <a:ext cx="1486535" cy="118237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发电机模型</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电学仪器，供中学物理演示交直流发电机的结构和工作原理使用，可兼作小功率电源；结构：由定子、转子，电刷、转动机构、集流环（或换向器）、小灯座，底板等组成。1.底板采用木制，尺寸：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290mm×200mm×15mm。2.空载电压不小于8V，负载电压不小于4V。</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手摇交直流发电机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电动机模型</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模型主要由机架、转子、转轴螺钉、磁钢、磁钢架、换向器、电刷、接线柱、一字螺丝刀、扳手、连接导线组成。机架用优质工程塑料制作，外形尺寸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为93.5mm×48.6mm×90.5mm，磁钢尺寸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为20mm×20mm×19.5mm，换向器、电刷用磷铜制作，连接导线两端为Y型线夹。</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小型电动机实验器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电磁感应演示器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J2413-1型演示器是由磁极主体、磁力线演示板、直交流转动线圈模型、软线圈、方形线圈、直导线等组成。1.磁极主体是用漆包线绕制成多匝方形线圈，并在绕圈中间紧密放了钢片，分上下两块，每块外形尺寸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：200mm×130mm×25mm。2.磁力线演示板的底板为绝缘材料，钢针9枚。3.三种转动线圈模型为一体，由底座、线圈、支架、碳刷、铜环等构成，底座尺寸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：160mm×65mm×10mm，线圈骨架外尺寸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：80mm×55mm×15mm。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J2413-1型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灵敏电流计</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产品由测量机构、外壳等组成。1.指示面板与水平面成45度夹角。2.测量范围：±300μA内阻。3.仪表准确度等级：2.5级。4.对外界磁场的防御等级为Ⅲ级。5.规格</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：130mm×95mm×90mm。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马蹄形磁铁</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U-085，有极性标注，红色为N极，兰色为S极。</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U-85，大号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条形磁铁</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大D-CG-LT-180，有极性标注，红色为N极，兰色为S极。</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对</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T-180，大号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20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条形磁铁</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小D-CG-LT-100，有极性标注，红色为N极，兰色为S极。</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对</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20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T-100，中号，学生用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磁感线演示盒</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产品由透明有机成型盒内装细铁粉、配条形磁铁组成。透明有机成型盒外形尺寸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：200mm×110mm×30mm，盒体下部一角应有释放铁粉的螺丝孔。</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运动和力演示器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由水平板、斜面板、小车、过渡塑料片、毛巾，布，小球2个(金属球、塑料球），硬盒组成。水平板和斜面板用合页连接，宽度和厚度尺寸要一致，宽度</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118mm，厚度</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12mm。水平板长度</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525mm，斜面板长</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200mm，小车为塑料制品，尺寸不小于110mm×75mm×40mm，金属球直径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为16mm；塑料球直径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为15mm。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惯性演示器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产品由塑料球、立柱、弹簧钢片、底座、塑料片、夹弹片组成。</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1、塑料球直径为Φ32mm，由ABS工程塑料制成，实心结构，底部有一小孔，用来稳立在塑料片上。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2、立柱直径为Φ20mm金属管，表面喷漆，底下有塑料固定座，上端有塑料接球槽，总高度为105mm。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3、弹簧钢片</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为150x27mm，不锈钢制作，一端用螺丝固定在底座上，另一部与立柱平行，端口超出立柱约30mm。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4、底座</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为180x130x15mm高压密度板，底部有4个橡胶脚垫。</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5、塑料片</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为70x45x3mm透明亚克力板，四个角倒圆，一个角上有一个Φ1.5mm小孔，用细线与立柱相连，防止实验过程中击飞。</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6、夹弹片为金属制成，固定在底座上，用来固定塑料球，防止其丢失。</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压缩引火仪</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1、由手柄、连杆、端盖、耐油橡皮圈、气缸体、底座等组成。2、手柄和底座为塑料制品。3、气缸体为透明塑料注塑成型，表面光洁、透明。</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体积相同质量不同的金属小球</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直径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20mm钢制摆球和塑料摆球各1个，带穿线孔，线长1500mm。附固定夹（一点固定摆线，固定在方座支架上）。</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26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动能势能演示仪</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规格：</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760mm×140mm×400mm，直观演示动能势能的种类、产生和相互转化，以及能的守恒。由大刻度板、定位圈及滑竿、小滑块、圆筒、弹簧及释放手柄、底座、小刻度板、大滑块、导轨二根、钢球组成。</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224155</wp:posOffset>
                  </wp:positionH>
                  <wp:positionV relativeFrom="paragraph">
                    <wp:posOffset>314325</wp:posOffset>
                  </wp:positionV>
                  <wp:extent cx="1497330" cy="768350"/>
                  <wp:effectExtent l="0" t="0" r="7620" b="12700"/>
                  <wp:wrapNone/>
                  <wp:docPr id="44" name="图片_6"/>
                  <wp:cNvGraphicFramePr/>
                  <a:graphic xmlns:a="http://schemas.openxmlformats.org/drawingml/2006/main">
                    <a:graphicData uri="http://schemas.openxmlformats.org/drawingml/2006/picture">
                      <pic:pic xmlns:pic="http://schemas.openxmlformats.org/drawingml/2006/picture">
                        <pic:nvPicPr>
                          <pic:cNvPr id="44" name="图片_6"/>
                          <pic:cNvPicPr/>
                        </pic:nvPicPr>
                        <pic:blipFill>
                          <a:blip r:embed="rId13"/>
                          <a:stretch>
                            <a:fillRect/>
                          </a:stretch>
                        </pic:blipFill>
                        <pic:spPr>
                          <a:xfrm>
                            <a:off x="0" y="0"/>
                            <a:ext cx="1497330" cy="76835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离心轨道</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有捕球网1、由底座、环形轨道、接球槽和高度调节器组成。2、底座塑料制成，长：300mm，宽：125mm。3、环形轨道采用宽20mm,厚9mm铝槽弯制而成，中心圆环的外径约140mm。4、接球槽为塑料制成，钢球Φ22mm。5、高度调节器为塑料制成，可在长轨上调节移动，长轨长约400mm,短轨长约120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滚摆</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21033型1、滚摆摆体（摆轮和摆轴）、悬线、支柱、横梁和底座组成。2、摆轮Φ115mm。摆轴Φ8mm，长</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160mm，轴上两个穿线孔距离</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140mm，穿线孔径Φ1.5mm。支柱高</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350mm，横梁长</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240mm。3、摆轴对摆轮的垂直度公差约0.5mm。4、摆轴应粗细均匀。轴上二穿线孔对于摆轮的对称公差约1mm。5、摆轴镀铬。底座应稳固，表面涂漆，支柱表面应作防锈处理。</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21033型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阿基米德演示器</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产品由筒、圆柱体、溢液杯等组成。透明溢液杯内径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65mm、高</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140mm、离杯口</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20mm处有一倾角的溢水嘴，溢水嘴长不小于15mm；透明筒筒内径50mm,高约50mm；圆柱体外径50mm,高约50mm，内装细砂，上部带挂环。</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2118型阿基米德原理演示器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塑料水槽</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产品为半透明塑料注塑成型。外形尺寸：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250mm×180mm×100mm,水槽表面无瑕疵。</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水透镜</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通过控制注射器压力、改变水透镜的焦距，行程凸透镜和凹透镜的转换。模仿近视眼和远视眼。</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强光电源</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激光笔，可USB充电，手持式长</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激光笔，可USB充电，手持式长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光栅</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50、100、500各6个</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50、100、500各6个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滑轮</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1、可卡式单滑轮。2、滑轮框架结构均为封闭式，采用ABS塑料制成。3、滑轮挂钩由金属制成，使用时将挂钩置于滑轮的挂钩孔位内即可。</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461"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176530</wp:posOffset>
                  </wp:positionH>
                  <wp:positionV relativeFrom="paragraph">
                    <wp:posOffset>389255</wp:posOffset>
                  </wp:positionV>
                  <wp:extent cx="1548130" cy="1145540"/>
                  <wp:effectExtent l="0" t="0" r="13970" b="16510"/>
                  <wp:wrapNone/>
                  <wp:docPr id="37" name="图片_15"/>
                  <wp:cNvGraphicFramePr/>
                  <a:graphic xmlns:a="http://schemas.openxmlformats.org/drawingml/2006/main">
                    <a:graphicData uri="http://schemas.openxmlformats.org/drawingml/2006/picture">
                      <pic:pic xmlns:pic="http://schemas.openxmlformats.org/drawingml/2006/picture">
                        <pic:nvPicPr>
                          <pic:cNvPr id="37" name="图片_15"/>
                          <pic:cNvPicPr/>
                        </pic:nvPicPr>
                        <pic:blipFill>
                          <a:blip r:embed="rId14"/>
                          <a:stretch>
                            <a:fillRect/>
                          </a:stretch>
                        </pic:blipFill>
                        <pic:spPr>
                          <a:xfrm>
                            <a:off x="0" y="0"/>
                            <a:ext cx="1548130" cy="11455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滑轮</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1、可卡式2串滑轮。2、滑轮框架结构均为封闭式，采用ABS塑料制成。3、滑轮挂钩由金属制成，使用时将挂钩置于滑轮的挂钩孔位内即可。</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滑轮</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1、可卡式2并滑轮。2、滑轮框架结构均为封闭式，采用ABS塑料制成。3、滑轮挂钩由金属制成，使用时将挂钩置于滑轮的挂钩孔位内即可。</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滑轮</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1、可卡式3串滑轮。2、滑轮框架结构均为封闭式，采用ABS塑料制成。3、滑轮挂钩由金属制成，使用时将挂钩置于滑轮的挂钩孔位内即可。</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滑轮</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1、可卡式3并滑轮。2、滑轮框架结构均为封闭式，采用ABS塑料制成。3、滑轮挂钩由金属制成，使用时将挂钩置于滑轮的挂钩孔位内即可。</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汽油机模型</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产品由塑料制成，高度</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300mm。由进气管、进气阀、排气管、排气阀、气缸、活塞、连杆、曲轴、火花塞、齿轮组、主动轮、挺杆等组成，外壳剖开，能看清内部结构。模型各部件比例适当，位置正确，联接牢固，工作可靠，原理正确。模型能直观地演示出吸气过程、压缩过程、做功过程及排气过程，在做功冲程时活塞到达上止点时，演示火花点火的灯泡应发光，点火完成后灯熄灭。底座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 165mm×105mm×22mm。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柴油机模型</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塑料制成，高度</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300mm。由进气管、进气阀、排气管、排气阀、气缸、活塞、连杆、曲轴、喷油嘴、油针、齿轮、凸轮总成、手柄齿轮、介轮、挺杆等组成，外壳剖开，能看清内部结构。各部件比例适当，位置正确，联接牢固，工作可靠，原理正确。模型能直观地演示出吸气过程、压缩过程、做功过程及排气过程，在做功冲程时，油针应开启。底座尺寸： </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165mm×105mm×22mm。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天平</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教师版电磁学演示，箱体为手提式高档铝合金制成，由电表箱和零配件箱二箱配置而成，其中电表箱外观尺寸（cm）：</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43*30*43，零配件箱外观尺寸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cm）：63*33.5*13，主要用材：塑料件，通用性强，结构稳定，安全，美观，耐用。产品以开放的零件构建平台，采用拼插式结构为基础，主要部件采用优质ABS材料。产品具有尺寸精确、耐磨损，可反复拆装且不影响构件的精确度。独特的设计可实现随心所欲的组合和扩充。其中电表箱内装演示电压表(3-15V，尺寸41.5*39*7.5cm)和演示电流表(0.6-3A，尺寸41.5*39*7.5cm)。零配件箱内装20Ω滑动变阻器</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1个、50Ω滑动变阻器</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1个、单刀单掷开关</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2个、单刀双掷开关</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2个、5Ω定值电阻</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1个、10Ω定值电阻</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1个、15Ω定值电阻</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1个、20Ω定值电阻</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1个、保险丝</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1套、灯座</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3个、印字绿色发光二极管</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1个、印字红色发光二极管</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1个、教室版专用电池盒</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2套、演示铁粉盒</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1个、电阻定律</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1套、铜线管</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1个、电铃</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1个、磁场对电流作用</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1个、演示电动机模型</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1套、马蹄形磁铁</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2套、3.8V0.3A灯泡</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1颗、2.5V0.3A灯泡</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1颗、鳄鱼夹导线若干根。所有产品后置强磁汝铁硼磁铁，可有效吸附在黑板上进行教学实验。配有详细说明书教程。</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电子天平</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1．最大称量200g，分度值0.2 g。 2．秤量允许误差为±0.5d(分度值)。 3．砝码组合的总质量（包括标尺计量值）应不小于天平的最大秤量。 4．冲压件表面应光洁平整，不应有毛刺、锋棱、裂纹。 5．电镀件的镀层应色泽均匀，不应有露底和显见的麻点、水迹、擦伤等缺陷。 6．油漆件表面应平整光滑，色泽均匀，不应有露底、起泡、挂漆、擦伤等缺陷。</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400g，0.01g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8"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单目显微镜</w:t>
            </w:r>
          </w:p>
        </w:tc>
        <w:tc>
          <w:tcPr>
            <w:tcW w:w="295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1.最大秤量1000g ,分度值 0.01g，天平等级三级。</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2.塑料上下壳，配有调整脚，LED显示。</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3.秤盘不锈钢材质，圆盘，秤盘直径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128mm,。</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4.使用电源：220V 50Hz。</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5.全量程去皮称重模式，附防风透明罩。</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459105</wp:posOffset>
                  </wp:positionH>
                  <wp:positionV relativeFrom="paragraph">
                    <wp:posOffset>179070</wp:posOffset>
                  </wp:positionV>
                  <wp:extent cx="1156970" cy="736600"/>
                  <wp:effectExtent l="0" t="0" r="5080" b="6350"/>
                  <wp:wrapNone/>
                  <wp:docPr id="42" name="图片_3"/>
                  <wp:cNvGraphicFramePr/>
                  <a:graphic xmlns:a="http://schemas.openxmlformats.org/drawingml/2006/main">
                    <a:graphicData uri="http://schemas.openxmlformats.org/drawingml/2006/picture">
                      <pic:pic xmlns:pic="http://schemas.openxmlformats.org/drawingml/2006/picture">
                        <pic:nvPicPr>
                          <pic:cNvPr id="42" name="图片_3"/>
                          <pic:cNvPicPr/>
                        </pic:nvPicPr>
                        <pic:blipFill>
                          <a:blip r:embed="rId15"/>
                          <a:stretch>
                            <a:fillRect/>
                          </a:stretch>
                        </pic:blipFill>
                        <pic:spPr>
                          <a:xfrm>
                            <a:off x="0" y="0"/>
                            <a:ext cx="1156970" cy="73660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带显示器的数码显微镜</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物镜：4X,10X,40XS，100X（弹簧物镜，保护镜头）,195消色差物镜；</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2、目镜：广角目镜WF10X,显微镜光学放大倍数：40倍，100倍，400倍,1000倍；4X/0.10成像清晰圆直径≥16.7mm；10X/0.25成像清晰圆直径≥16.6mm，景深范围内像面的偏摆≤0.03mm；40X/0.65（弹簧），成像清晰圆直径≥16.5mm；100X/1.25≥15.8mm。所有物镜均保证齐焦，10倍－4倍不超过±0.053mm；10倍－40倍不超过±0.034mm；10倍－100倍不超过±0.023mm；带有限位装置，可防止物镜压坏切片致使物镜损坏，物镜放大率准确度不超过±1.38%。</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3、双目目TV镜筒：360度可旋转，瞳距可调48-75MM，带TV镜筒,数码视野范围≥83%；</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4、</w:t>
            </w:r>
            <w:r>
              <w:rPr>
                <w:rFonts w:hint="eastAsia" w:ascii="宋体" w:hAnsi="宋体" w:cs="宋体"/>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10.1寸液晶显示屏，400万内置CMOS传感器，静态拍照像素1600万，数码放大1600倍以上；</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5、内置电光源：内置1W LED冷光源照明，显微镜带可充电电池，亮度可调节；</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6、载物台：双层机械移动平台，双切片夹，大小</w:t>
            </w:r>
            <w:r>
              <w:rPr>
                <w:rFonts w:hint="eastAsia" w:ascii="宋体" w:hAnsi="宋体" w:cs="宋体"/>
                <w:i w:val="0"/>
                <w:iCs w:val="0"/>
                <w:color w:val="auto"/>
                <w:kern w:val="0"/>
                <w:sz w:val="20"/>
                <w:szCs w:val="20"/>
                <w:u w:val="none"/>
                <w:lang w:val="en-US" w:eastAsia="zh-CN" w:bidi="ar"/>
              </w:rPr>
              <w:t>约</w:t>
            </w:r>
            <w:r>
              <w:rPr>
                <w:rFonts w:hint="eastAsia" w:ascii="宋体" w:hAnsi="宋体" w:eastAsia="宋体" w:cs="宋体"/>
                <w:i w:val="0"/>
                <w:iCs w:val="0"/>
                <w:color w:val="auto"/>
                <w:kern w:val="0"/>
                <w:sz w:val="20"/>
                <w:szCs w:val="20"/>
                <w:u w:val="none"/>
                <w:lang w:val="en-US" w:eastAsia="zh-CN" w:bidi="ar"/>
              </w:rPr>
              <w:t>120×115mm，移动范围</w:t>
            </w:r>
            <w:r>
              <w:rPr>
                <w:rFonts w:hint="eastAsia" w:ascii="宋体" w:hAnsi="宋体" w:cs="宋体"/>
                <w:i w:val="0"/>
                <w:iCs w:val="0"/>
                <w:color w:val="auto"/>
                <w:kern w:val="0"/>
                <w:sz w:val="20"/>
                <w:szCs w:val="20"/>
                <w:u w:val="none"/>
                <w:lang w:val="en-US" w:eastAsia="zh-CN" w:bidi="ar"/>
              </w:rPr>
              <w:t>约</w:t>
            </w:r>
            <w:r>
              <w:rPr>
                <w:rFonts w:hint="eastAsia" w:ascii="宋体" w:hAnsi="宋体" w:eastAsia="宋体" w:cs="宋体"/>
                <w:i w:val="0"/>
                <w:iCs w:val="0"/>
                <w:color w:val="auto"/>
                <w:kern w:val="0"/>
                <w:sz w:val="20"/>
                <w:szCs w:val="20"/>
                <w:u w:val="none"/>
                <w:lang w:val="en-US" w:eastAsia="zh-CN" w:bidi="ar"/>
              </w:rPr>
              <w:t>76×54mm。X、Y向低手位同轴调节手轮，符合人机工程，使用更舒适。载物台受5N水平方向作用力最大位移≤0.025mm；不重复性≤0.004mm；用机械使标本在5mm*5mm范围内移动时的离焦量≤0.01mm。</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7、显示屏电池：显示屏内置18650可充电电池，电池容量不低于1800mha，带USB电源适配器；</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8、聚光镜：NA1.25阿贝聚光镜，带可调光圈的光栏，光圈孔径任意调节大小；</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9、显示屏带</w:t>
            </w:r>
            <w:r>
              <w:rPr>
                <w:rFonts w:hint="eastAsia" w:ascii="宋体" w:hAnsi="宋体" w:cs="宋体"/>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8G内存，支持升级到32G内存卡；</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10、</w:t>
            </w:r>
            <w:r>
              <w:rPr>
                <w:rFonts w:hint="eastAsia" w:ascii="宋体" w:hAnsi="宋体" w:cs="宋体"/>
                <w:i w:val="0"/>
                <w:iCs w:val="0"/>
                <w:color w:val="auto"/>
                <w:kern w:val="0"/>
                <w:sz w:val="20"/>
                <w:szCs w:val="20"/>
                <w:u w:val="none"/>
                <w:lang w:val="en-US" w:eastAsia="zh-CN" w:bidi="ar"/>
              </w:rPr>
              <w:t>≥</w:t>
            </w:r>
            <w:r>
              <w:rPr>
                <w:rFonts w:hint="eastAsia" w:ascii="宋体" w:hAnsi="宋体" w:eastAsia="宋体" w:cs="宋体"/>
                <w:i w:val="0"/>
                <w:iCs w:val="0"/>
                <w:color w:val="auto"/>
                <w:kern w:val="0"/>
                <w:sz w:val="20"/>
                <w:szCs w:val="20"/>
                <w:u w:val="none"/>
                <w:lang w:val="en-US" w:eastAsia="zh-CN" w:bidi="ar"/>
              </w:rPr>
              <w:t>10.1寸液晶显示屏带HDMI、USB接口，可以输出接电视，接一体机、电脑等多媒体设备,支持无线热点WIFI接入；</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11、220V交流电源，50/60HZ,可以给显微镜充电，充满电，显微镜可以使用50小时以上；</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12、显示屏角度可以360度旋转，任意角度观看；</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13、也可以使用目镜直接看亚细胞结构，目镜和显示屏可以同时观看；</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14、显微镜目镜物镜采用多层镀膜技术，色彩还原性更好；</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15、调焦机构：粗调焦、细调焦同轴，双手可以同时操作粗调焦和细调焦手轮对焦。</w:t>
            </w:r>
          </w:p>
          <w:p>
            <w:pPr>
              <w:keepNext w:val="0"/>
              <w:keepLines w:val="0"/>
              <w:widowControl/>
              <w:numPr>
                <w:ilvl w:val="0"/>
                <w:numId w:val="16"/>
              </w:numPr>
              <w:suppressLineNumbers w:val="0"/>
              <w:jc w:val="left"/>
              <w:textAlignment w:val="center"/>
              <w:rPr>
                <w:rFonts w:hint="eastAsia" w:ascii="宋体" w:hAnsi="宋体" w:eastAsia="宋体" w:cs="宋体"/>
                <w:i w:val="0"/>
                <w:iCs w:val="0"/>
                <w:color w:val="auto"/>
                <w:kern w:val="2"/>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16、提供国家光学仪器质量监督检验中心2020年以来的检测报告复印件盖公章以证明满足参数要求。提供货物的显微镜生产必须通过ISO9001认证，ISO14001认证,ISO45001认证</w:t>
            </w:r>
            <w:r>
              <w:rPr>
                <w:rFonts w:hint="eastAsia" w:ascii="宋体" w:hAnsi="宋体" w:cs="宋体"/>
                <w:i w:val="0"/>
                <w:iCs w:val="0"/>
                <w:color w:val="auto"/>
                <w:kern w:val="0"/>
                <w:sz w:val="20"/>
                <w:szCs w:val="20"/>
                <w:u w:val="none"/>
                <w:lang w:val="en-US" w:eastAsia="zh-CN" w:bidi="ar"/>
              </w:rPr>
              <w:t>以</w:t>
            </w:r>
            <w:r>
              <w:rPr>
                <w:rFonts w:hint="eastAsia" w:ascii="宋体" w:hAnsi="宋体" w:eastAsia="宋体" w:cs="宋体"/>
                <w:i w:val="0"/>
                <w:iCs w:val="0"/>
                <w:color w:val="auto"/>
                <w:kern w:val="0"/>
                <w:sz w:val="20"/>
                <w:szCs w:val="20"/>
                <w:u w:val="none"/>
                <w:lang w:val="en-US" w:eastAsia="zh-CN" w:bidi="ar"/>
              </w:rPr>
              <w:t>证明产品符合实验设备生产技术标准。</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242570</wp:posOffset>
                  </wp:positionH>
                  <wp:positionV relativeFrom="paragraph">
                    <wp:posOffset>107315</wp:posOffset>
                  </wp:positionV>
                  <wp:extent cx="1685290" cy="1409700"/>
                  <wp:effectExtent l="0" t="0" r="10160" b="0"/>
                  <wp:wrapNone/>
                  <wp:docPr id="45" name="图片_1"/>
                  <wp:cNvGraphicFramePr/>
                  <a:graphic xmlns:a="http://schemas.openxmlformats.org/drawingml/2006/main">
                    <a:graphicData uri="http://schemas.openxmlformats.org/drawingml/2006/picture">
                      <pic:pic xmlns:pic="http://schemas.openxmlformats.org/drawingml/2006/picture">
                        <pic:nvPicPr>
                          <pic:cNvPr id="45" name="图片_1"/>
                          <pic:cNvPicPr/>
                        </pic:nvPicPr>
                        <pic:blipFill>
                          <a:blip r:embed="rId16"/>
                          <a:stretch>
                            <a:fillRect/>
                          </a:stretch>
                        </pic:blipFill>
                        <pic:spPr>
                          <a:xfrm>
                            <a:off x="0" y="0"/>
                            <a:ext cx="1685290" cy="1409700"/>
                          </a:xfrm>
                          <a:prstGeom prst="rect">
                            <a:avLst/>
                          </a:prstGeom>
                          <a:noFill/>
                          <a:ln>
                            <a:noFill/>
                          </a:ln>
                        </pic:spPr>
                      </pic:pic>
                    </a:graphicData>
                  </a:graphic>
                </wp:anchor>
              </w:drawing>
            </w:r>
            <w:r>
              <w:rPr>
                <w:rFonts w:hint="eastAsia" w:ascii="宋体" w:hAnsi="宋体" w:eastAsia="宋体" w:cs="宋体"/>
                <w:i w:val="0"/>
                <w:iCs w:val="0"/>
                <w:color w:val="FF0000"/>
                <w:kern w:val="0"/>
                <w:sz w:val="22"/>
                <w:szCs w:val="22"/>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动物、植物、微生物永久装片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动物，植物（单子叶，双子叶）微生物（细菌、真菌、病毒）各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 xml:space="preserve"> 不少于</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50片</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14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动物，植物（单子叶，双子叶）微生物（细菌、真菌、病毒）各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不少于</w:t>
            </w:r>
            <w:r>
              <w:rPr>
                <w:rFonts w:hint="eastAsia" w:ascii="宋体" w:hAnsi="宋体" w:eastAsia="宋体" w:cs="宋体"/>
                <w:i w:val="0"/>
                <w:iCs w:val="0"/>
                <w:color w:val="000000"/>
                <w:kern w:val="0"/>
                <w:sz w:val="22"/>
                <w:szCs w:val="22"/>
                <w:u w:val="none"/>
                <w:lang w:val="en-US" w:eastAsia="zh-CN" w:bidi="ar"/>
              </w:rPr>
              <w:t>50片，种类多一点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解剖包</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1． 用优质不锈钢制成。 2． 由圆刃解剖刀、直刃解剖刀、尖头解剖剪、剪毛解剖剪、普通镊子、弯头镊子、解剖针等组成。</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7件套解剖器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电烙铁套装</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电烙铁+烙铁架+焊锡丝+焊锡膏</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电烙铁+烙铁架+焊锡丝+焊锡膏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双锥体上滚演示器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规格：</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420mm×300mm×240mm，根据科学课中运动和力的教学内容扩展而设置的。探究重心的变化对物体运动的作用，1.由底座、导轨、及锥体组成。2.底座为优质杉木，导轨采用</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10mm圆钢，两轨道夹角可变。3.通过锥体在轨道上由低到高的奇妙运动现象，吸引学生主动探究重心变化的规律</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伽利略理想斜面演示器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产品长度为</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1200mm，一端高度可连续升降，连接曲面光滑。由轨道、底板、标尺、小球、接球网、手轮、底脚螺丝、指示器2个组成。1、底板采用密度板，表面颜色为灰色，四周封边，外形尺寸：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1200mm×230mm×12mm。底板右边有一滑槽，槽宽</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为6mm，长</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165mm，槽边印有0－15度的刻线。2、轨道采用软塑拉制而成，槽宽（内空）12mm－1mm，槽深7mm，右端印有20－70mm的刻线，轨道长</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1200mm。轨道底部两端为工字槽并带滑槽的铝型材，长度分别</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为380mm和550mm。3、小球直径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19mm，表面镀铬处理一。4、接球网框架为直径2mm不锈钢丝绕制而成，尺寸：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145mm×45mm，网兜为鱼网，角度可调。5、手轮为塑料制品，可在滑槽内连续升降，并可靠的固定轨道。6、指示器采用厚1mm冷轧板冲压成型，表面电镀处理，指示器上应有红色刻线，指示器可在右端铝轨上任意滑动。    </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大弹簧测力</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由弹簧、指针、刻度板、拉杆、悬挂装置、夹持柄等组成，刻度板为塑料制品，外形尺寸：310mm×85mm×8mm，中间槽孔尺寸：272mm×25mm，刻度值为 0N～2N，最小分度值为0.1N、最大分度值为0.5N。右左侧刻度线一致。</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演示测力计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4"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themeColor="text1"/>
                <w:kern w:val="0"/>
                <w:sz w:val="20"/>
                <w:szCs w:val="20"/>
                <w:u w:val="none"/>
                <w:lang w:bidi="ar"/>
                <w14:textFill>
                  <w14:solidFill>
                    <w14:schemeClr w14:val="tx1"/>
                  </w14:solidFill>
                </w14:textFill>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离心水泵模型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1.仪器为齿轮式，由泵体、叶轮、机轴、吸水口、出水口、排水口、手轮、齿轮、手柄组成。</w:t>
            </w:r>
          </w:p>
          <w:p>
            <w:pPr>
              <w:keepNext w:val="0"/>
              <w:keepLines w:val="0"/>
              <w:widowControl/>
              <w:suppressLineNumbers w:val="0"/>
              <w:jc w:val="left"/>
              <w:textAlignment w:val="cente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2.扬水和吸水高度均不小于0.6米。</w:t>
            </w:r>
          </w:p>
          <w:p>
            <w:pPr>
              <w:keepNext w:val="0"/>
              <w:keepLines w:val="0"/>
              <w:widowControl/>
              <w:suppressLineNumbers w:val="0"/>
              <w:jc w:val="left"/>
              <w:textAlignment w:val="cente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3.泵体表面经防锈处理，泵体轴孔应密封不漏水。</w:t>
            </w:r>
          </w:p>
          <w:p>
            <w:pPr>
              <w:keepNext w:val="0"/>
              <w:keepLines w:val="0"/>
              <w:widowControl/>
              <w:suppressLineNumbers w:val="0"/>
              <w:jc w:val="left"/>
              <w:textAlignment w:val="cente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4.叶轮应该转动灵活，无跳动卡滞现象。</w:t>
            </w:r>
          </w:p>
          <w:p>
            <w:pPr>
              <w:keepNext w:val="0"/>
              <w:keepLines w:val="0"/>
              <w:widowControl/>
              <w:suppressLineNumbers w:val="0"/>
              <w:jc w:val="left"/>
              <w:textAlignment w:val="center"/>
              <w:rPr>
                <w:rFonts w:hint="eastAsia" w:ascii="新宋体" w:hAnsi="新宋体" w:eastAsia="新宋体" w:cs="新宋体"/>
                <w:i w:val="0"/>
                <w:iCs w:val="0"/>
                <w:color w:val="000000" w:themeColor="text1"/>
                <w:kern w:val="0"/>
                <w:sz w:val="20"/>
                <w:szCs w:val="20"/>
                <w:u w:val="none"/>
                <w:lang w:bidi="ar"/>
                <w14:textFill>
                  <w14:solidFill>
                    <w14:schemeClr w14:val="tx1"/>
                  </w14:solidFill>
                </w14:textFill>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5.泵轴转速可达900转/分，叶轮Φ100mm，扬程 1m。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31004型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多束激光盒</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带磁性三线激光光源（三线同色）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带磁性三线激光光源（三线同色）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钩码</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50g*10，一盒10个50g钩码，塑料盒包装。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盒</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50g*10，一盒10个50g钩码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光的反射实验仪</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新课标</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平面镜成像实验器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由平面镜1个、平面镜支架1对、带刻度三角尺、像物2个组成。平面镜尺寸约：120mm×70mm，厚度5mm。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光导纤维组</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新课标</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电阻定律演示器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23019型 1、电学仪器，供中学演示金属导体电阻定律用。2、木质底板尺寸：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1050mm×130mm×15mm， 3、 三种金属导线 分别为：铜丝（Φ0.5mm），铁丝（Φ0.5mm），镍铬丝（Φ0.5mm）2个组成。4、三种线的有效长度均</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为1000mm。 </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23019型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家庭电路示教板</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家庭照明电路演示器</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家庭照明电路演示器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能的转化实验器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24025型 势能→动能,机械能→电能→热能→光能；化学能→电能→机械能→热能</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24025型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水轮机模型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混流式、轴流式、冲击式三种转轮可视</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冷凝器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直固，</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300mm冷凝管</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冷凝管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分子间隔演示器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产品由盛液显示柱、油酸、注射器5ml、底座组成。显示柱带底座为透明塑料注塑成型，容量不小于20mL，高度不小于100mm。底盘直径</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45mm。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分子结构模型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学生分组用，可搭出各种版本新化学课本中所要求的无机分子和有机分子的模型40余种，球与棍应采用新型材料，结构元件：碳（黑色）、氧（红色）、氯（绿色）、氮（蓝色）、硫（黄色）、磷（紫色）、氢（白色）、金属（银灰色）、单键（银灰色）、单离子键（紫色）、双、三键（银灰色）、双离子键（紫色）等。防水纸盒外包装,规格：190×110×50mm，球Φ23mm，球棍组成。</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水电解演示器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铂金电极 化学用仪器，供中学化学演示水的电解实验用。电源电压：DC16～24V。有底座、玻管两支和球形漏斗各部分。电极为铂片，纯度99.8%。玻管：外径15±2mm，长度450±3mm，容积为40ml。玻管上口带活塞，活塞密封性能良好。安全漏斗容积不少于60ml。玻件应光洁透明，厚度不小于1mm，烧结口厚薄均匀，平整光滑牢固。玻件经退火处理，用偏光应力仪观察。应呈紫红色。底座应稳固，不变形。</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铂金电极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中学生物显微图谱</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内容包括细胞、植物、动物、动物(人体)生理和其他生物，不少于180幅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健康地生活</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对开  7幅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挂图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青春期教育</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对开  7幅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挂图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生物的生殖、发育和遗传</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对开  7幅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挂图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生物圈中的绿色植物</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对开  10幅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挂图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生物圈中的人</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对开  16幅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挂图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植物细胞模型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模型为洋葱表皮细胞显微结构的立体模型。长约33cm，宽为18～25cm，厚为5cm。 2. 模型应采用无毒硬质塑料制作，细胞壁、细胞膜和液泡应为透明，细胞质应为半透明状。细胞核应呈半球状，直径5～7cm，厚2～3cm，能明显显示核膜、核质、核仁部位。液泡1～2个，呈不规则的囊状。 3. 各部分结构从不同角度观察应正确，着色应协调、自然。 4. 缝口、内部元件的粘合应牢固，无明显错缝的痕迹。</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629920</wp:posOffset>
                  </wp:positionH>
                  <wp:positionV relativeFrom="paragraph">
                    <wp:posOffset>-855980</wp:posOffset>
                  </wp:positionV>
                  <wp:extent cx="780415" cy="674370"/>
                  <wp:effectExtent l="0" t="0" r="635" b="11430"/>
                  <wp:wrapNone/>
                  <wp:docPr id="43" name="Picture_40"/>
                  <wp:cNvGraphicFramePr/>
                  <a:graphic xmlns:a="http://schemas.openxmlformats.org/drawingml/2006/main">
                    <a:graphicData uri="http://schemas.openxmlformats.org/drawingml/2006/picture">
                      <pic:pic xmlns:pic="http://schemas.openxmlformats.org/drawingml/2006/picture">
                        <pic:nvPicPr>
                          <pic:cNvPr id="43" name="Picture_40"/>
                          <pic:cNvPicPr/>
                        </pic:nvPicPr>
                        <pic:blipFill>
                          <a:blip r:embed="rId17"/>
                          <a:stretch>
                            <a:fillRect/>
                          </a:stretch>
                        </pic:blipFill>
                        <pic:spPr>
                          <a:xfrm>
                            <a:off x="0" y="0"/>
                            <a:ext cx="780415" cy="67437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动物细胞模型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国家部标,PVC制作</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647700</wp:posOffset>
                  </wp:positionH>
                  <wp:positionV relativeFrom="paragraph">
                    <wp:posOffset>252095</wp:posOffset>
                  </wp:positionV>
                  <wp:extent cx="683260" cy="544195"/>
                  <wp:effectExtent l="0" t="0" r="2540" b="8255"/>
                  <wp:wrapNone/>
                  <wp:docPr id="39" name="Picture_133"/>
                  <wp:cNvGraphicFramePr/>
                  <a:graphic xmlns:a="http://schemas.openxmlformats.org/drawingml/2006/main">
                    <a:graphicData uri="http://schemas.openxmlformats.org/drawingml/2006/picture">
                      <pic:pic xmlns:pic="http://schemas.openxmlformats.org/drawingml/2006/picture">
                        <pic:nvPicPr>
                          <pic:cNvPr id="39" name="Picture_133"/>
                          <pic:cNvPicPr/>
                        </pic:nvPicPr>
                        <pic:blipFill>
                          <a:blip r:embed="rId18"/>
                          <a:stretch>
                            <a:fillRect/>
                          </a:stretch>
                        </pic:blipFill>
                        <pic:spPr>
                          <a:xfrm>
                            <a:off x="0" y="0"/>
                            <a:ext cx="683260" cy="54419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4"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草履虫模型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产品应选用无毒硬质塑料制作，长约370mm,中部宽约80mm的草履虫解剖模型,用支架固定于底板上。 2. 产品应示表面六角形小区及纤毛，纤毛长约10mm，口沟及后端部分稍长，应在剖面周围显示数圈，纤毛方向与表膜垂直。 3. 纵剖面上显示：表膜、口沟、胞口、胞咽、波动膜、食物泡、肛点；两个伸缩泡及其集管；大、小核；外质及其中的刺丝泡，颗料状的内质。 4. 各部着色应协调，能相互区分。</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102870</wp:posOffset>
                  </wp:positionH>
                  <wp:positionV relativeFrom="paragraph">
                    <wp:posOffset>460375</wp:posOffset>
                  </wp:positionV>
                  <wp:extent cx="1054735" cy="941070"/>
                  <wp:effectExtent l="0" t="0" r="12065" b="11430"/>
                  <wp:wrapNone/>
                  <wp:docPr id="38" name="Picture_55"/>
                  <wp:cNvGraphicFramePr/>
                  <a:graphic xmlns:a="http://schemas.openxmlformats.org/drawingml/2006/main">
                    <a:graphicData uri="http://schemas.openxmlformats.org/drawingml/2006/picture">
                      <pic:pic xmlns:pic="http://schemas.openxmlformats.org/drawingml/2006/picture">
                        <pic:nvPicPr>
                          <pic:cNvPr id="38" name="Picture_55"/>
                          <pic:cNvPicPr/>
                        </pic:nvPicPr>
                        <pic:blipFill>
                          <a:blip r:embed="rId19"/>
                          <a:stretch>
                            <a:fillRect/>
                          </a:stretch>
                        </pic:blipFill>
                        <pic:spPr>
                          <a:xfrm>
                            <a:off x="0" y="0"/>
                            <a:ext cx="1054735" cy="94107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植物细胞有丝分裂切片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单层扁平上皮装片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复层扁平上皮装片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在400×生物显微镜下观察复层扁平上皮的结构。  2. 能看清复层扁平上皮细胞耷近表层呈扁平形，胞核较扁，有脱落现象，表层以 下的细胞逐渐增厚，呈不规则的多边形，胞核圆形，紧贴基膜的深部细胞有呈方形成矩形的。  3. 取材于幼小哺乳动物的食道或上腮。  4. 横切或纵切，切片厚度在8um以内。  5. 胞核、胞质着色对比应明显，上皮细胞界限度清晰，表层细胞不应脱落较多。 6. 标本具下列一项时为二级品：  6.1 着色对比欠佳，但上皮细胞界限基本清晰；  6.2 除复层扁平上皮细胞外，有轻微刀痕或皱褶、破损不超过一处；  6.3 材料稍有不平整，但在同一视野下不影响观察。</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纤维结缔组织切片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疏松结缔组织装片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骨骼肌纵横切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1．标本在80×和200×学生显微镜下观察骨骼肌纵横断面的结构；</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2．在纵断面上能看清肌外膜和成束的肌纤维，肌纤维上有明暗相间的横纹，即明带和暗带。在肌膜下可见圆形和长形的胞核；</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3．在横断面上能看清肌外膜、肌束膜、肌纤维膜、肌纤维及胞核和血小管；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4．标本取材于哺乳动物的膈肌；</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5．纵切材料的肌纤维应伸直，成纵断面的肌纤维不得少于90%。</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平滑肌分离装片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1．标本在80×和200×学生显微镜下观察平滑肌细胞的形态；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2．能看清大部分被分离成单个的长棱形平滑肌细胞，在细胞中部有被染成深色杆状或椭圆状的细胞核；</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3．标本取材于两栖动物或哺乳动物消化道的肌层，去掉粘膜及粘膜下层后作分离处理；</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4．细胞应分离适中、形态正常，材料内不得有污物。</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心肌切片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1．标本在80×和200×学生显微镜下观察心肌的结构；</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2．在心肌的断面上能看清柱状并具有分枝的肌纤维（肌细胞），胞核呈圆形或椭圆形，位于肌纤维的中央；</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3．在肌纤维彼此衔接的地方能看清心肌的特有结构—“闰盘”；</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4．在肌纤维的横断面上能看清肌原纤维和圆形核的横断面结构；</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5．在400×镜下能看清肌原纤维上有纤细的横纹；</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6．标本取材于哺乳动物的心脏；</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7．切片厚度在8μm以内，材料面积不小于4×4mm2；</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8．用能显示闰盘和横纹的方法染色，要求闰盘、胞核着色明显，横纹清晰，胞质不着色或色淡；</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9．呈纵断面的肌纤维应不少于材料面积的2/5；</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10．应保持细胞结构正常。</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运动神经元装片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1．标本在80×和200×学生显微镜下观察运动神经元的形态；</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2．能看清运动神经元的细胞体和突起、细胞体内的胞核、少量的神经纤维和神经胶质细胞的胞核；</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3．不要求显示尼氏体；</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4．标本取材于脊髓灰质前角中的运动神经元，作涂片或分离装片；</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5．用能显示细胞结构和不易褪色的方法染色；</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6．神经元应分布均匀，形态正常，无破碎现象；在80×镜下盖玻片中间部分的任一视野内应不少于五个运动神经元。</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竹节虫拟态标本</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玉米种子纵切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能看清果皮、种皮、糊粉层、胚和胚乳。 2. 能看清胚内的胚芽包括幼叶和生长锥、胚芽鞘、胚根、胚根鞘、胚轴及一侧的一片子叶，并可见维管束。</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根纵剖模型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模型取材于单子叶植物玉米根尖，做纵、横剖面，置于支架上，可水平转动。2、根尖中部做不同向的纵剖面，突出维管柱，示根冠、分生区、伸长区、成熟区和原形成层等。3、成熟区做不同层次的横剖，示表皮、皮层和维管柱。4、皮层示厚壁细胞、薄壁细胞和内皮层细胞，维管柱地木质部和韧皮部呈辐射状相同排列的顺序。5、成熟区的部分根毛做剖面，示根毛的发育顺序和各个发育顺序的细胞排列位置。</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植物根尖纵切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顶芽纵切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桃花模型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产品为桃花放大模型，示盛开形态；2. 产品直径约35cm；3. 花瓣、子房可拆装；4. 子房纵剖面示胚珠；5. 桃花的结构示：花柄、花托、花萼（花萼5片）、花冠（花瓣5片）、雄蕊（25或30个）、雌蕊；6、产品性能：雄蕊的花丝长约100mm；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小麦花模型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产品为放大之小麦花模型，高约30cm，附以小穗为单位至少八个的复穗状花序模型，放于支架上。 2. 大部小穗可拆下，个别小穗去掉频片和外稃。 3. 小穗示两片频片和3～5朵小花。 4. 放大小麦花的结构示：外稃、内稃、雄蕊3个、雌蕊一个和两个浆片。 5. 各部的形态结构及颜色应正确自然、富有真实感。 6. 各部的接插件应安装牢固，松紧适度，便于拆装。 7. 应显示每个小穗着生在穗轴上的正确位置。 8. 小麦花的外稃和内稃的形态应正确。外稃应示中脉和芒的一般。 9. 雄蕊应示花丝，花丝顶端与花药背面中部相连。 10.花药其中应有一个呈纵裂状态，示花粉粒。一个做横剖示四个花粉囊和药隔。 11.雌蕊的柱头二裂，应呈羽毛状。 12.浆片应供于外稃和子房之间，呈膨大状</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花粉萌发装片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JY67-88《生物玻片标本通用技术条件》的规定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百合子房切片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标本在80×和200×学生显微镜下观察百合子房橫切。 2. 可观察花粉子房壁、子房室和胚珠。</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百合花药切片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标本在80×和200×学生显微镜下观察百合花药横切，示成熟花粉。 2. 产品符合JY67－82《生物玻片标本通用技术条件试行》的规定。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荠菜幼胚切片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JY67-91《生物玻片标本通用技术条件》的规定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荠菜老胚切片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JY67-92《生物玻片标本通用技术条件》的规定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单子叶植物茎模型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产品应重点突出、轮廓正确、比例适当、自然逼真、结构简明、有利于对实物的理解；2. 产品示单子叶植物茎纵、横切面的模型；3. 为茎横切面的1/10（去掉中央部分）；4. 高不小于12cm；5. 长约40cm；6. 跨径约40cm；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双子叶草本植物茎模型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产品示双子叶草本植物纵、横切面的模型；2. 横切面约为茎的2/3；；3. 高15cm~18cm；4. 直径32cm~35cm；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导管、筛管结构模型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产品为显微结构的立体放大模型。包括环纹导管、螺纹导管、网纹导管、孔纹导管及筛管。各种导管及筛管的外直径依次不小于40mm、40mm、50mm、60mm、40mm。长度不小于250mm，两端开口。2． 环、螺、网纹导管模型须显示至少一个分子间界，筛管及孔纹导管至少显示一个分子，筛管一侧还应示伴胞。3． 各种导管及筛管的形态结构应正确、自然。4． 各部位粘接应牢固，且内部纹路应相互吻合。5． 符合JY296—87《导管、筛管结构模型技术条件》的规定。符合JY0001－2003《教学仪器设备产品一般质量要求》的有关规定。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单子叶植物茎横切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产品是单子叶植物茎纵、横切面的模型，为横切面的1/10去掉中央部分，高不小于12cm，长约40cm，跨径约40cm。 2. 通过节间做横剖，示表皮、机械组织及散生在基本组织中的维管束。在纵剖面上示上述组织的纵剖结构。 3. 维管束横剖面上，示气道、导管、筛管、筛板和筛孔。在一侧的纵剖面上，示环纹导管、螺纹导管、孔纹导管、筛管和筛板等结构。 4. 以玉米茎为参考材料。 5. 各部细胞的形态结构、比例应正确，在模型上应示细胞的表面观和不同剖面。各部结构的颜色应有区别。 6. 纵、横剖面上的细胞应对应准确。 7. 表皮细胞应由长短不同的细胞组成。 8. 表皮内方应示几层厚壁细胞。 9. 薄壁细胞由外向内逐渐增大，细胞壁薄、具胞间隙，部分细胞应示胞核。 10.维管束为外韧型，靠茎边缘的小而多，靠中央的大而少。并示维管束鞘。 11.在横剖面上，导管应呈“V”型，其尖端部位除气道外，应有1～2个直径较小的导管，两侧各有一个口径较大的导管。 12.应正确显示环纹、螺纹、孔纹导管、筛管和伴胞的位置、形态结构以及导管厚壁的颜色。 13.纤维应为狭长两端渐尖的细胞，有较厚的壁及小的胞腔。 14.合缝处应修饰自然、正确、牢固。</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双子叶植物茎横切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在80×和200×学生显微镜下,观察双子叶植物茎横断面的结构。 2. 能看清表皮有时可看到表皮毛厚角组织、薄壁组织、髓及环列于茎中的维管束等。 3. 能看清维管束为外韧型，分别认出韧皮纤维、筛板、筛管、形成层和木质导管等横断结构。 4. 取材于人工培养的向日葵幼茎。 5. 切片厚度在25um以内。 6. 表皮、厚角组织、薄壁组织和维管束等处细胞倾斜部分不超过茎横断面的1/4。形成层形态正常。 7. 用番红、固绿染色，导管、厚壁组织，呈红色，其它组织绿色，厚角组织、筛板等有时也可呈红色。 8. 标本具下列一项时为二级品： 8.1 表皮、角组织、维管束等处细胞倾斜部分不超过茎横断面的1/3； 8.2 除导管、厚壁组织呈红色外，其它组织分色不清； 8.3 表皮细胞破损不超过茎横断面的1/3； 8.4 其它组织破损或裂隙不超过两处。</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木本双子叶植物茎横切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3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植物光合作用、呼吸作用、蒸腾作用演示器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植物光合、呼吸、蒸腾作用演示器用途：本仪器具备演示植物光合、呼吸、沸腾作用三个实验功能，结构简易，操作方便，采用特制出口透明ABS溶液漏斗，上盖试管；与试管架等组成。 结构1透明的塑料容器，其容积大约为10000ML2集气盖{四棱锥漏斗}3试管 4漏斗5盖板6试管架</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85"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101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人体半身模型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65cm人体半身躯干模型</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437515</wp:posOffset>
                  </wp:positionH>
                  <wp:positionV relativeFrom="paragraph">
                    <wp:posOffset>429895</wp:posOffset>
                  </wp:positionV>
                  <wp:extent cx="1186180" cy="892175"/>
                  <wp:effectExtent l="0" t="0" r="13970" b="3175"/>
                  <wp:wrapNone/>
                  <wp:docPr id="46" name="Picture_144"/>
                  <wp:cNvGraphicFramePr/>
                  <a:graphic xmlns:a="http://schemas.openxmlformats.org/drawingml/2006/main">
                    <a:graphicData uri="http://schemas.openxmlformats.org/drawingml/2006/picture">
                      <pic:pic xmlns:pic="http://schemas.openxmlformats.org/drawingml/2006/picture">
                        <pic:nvPicPr>
                          <pic:cNvPr id="46" name="Picture_144"/>
                          <pic:cNvPicPr/>
                        </pic:nvPicPr>
                        <pic:blipFill>
                          <a:blip r:embed="rId20"/>
                          <a:stretch>
                            <a:fillRect/>
                          </a:stretch>
                        </pic:blipFill>
                        <pic:spPr>
                          <a:xfrm>
                            <a:off x="0" y="0"/>
                            <a:ext cx="1186180" cy="892175"/>
                          </a:xfrm>
                          <a:prstGeom prst="rect">
                            <a:avLst/>
                          </a:prstGeom>
                          <a:noFill/>
                          <a:ln>
                            <a:noFill/>
                          </a:ln>
                        </pic:spPr>
                      </pic:pic>
                    </a:graphicData>
                  </a:graphic>
                </wp:anchor>
              </w:drawing>
            </w:r>
            <w:r>
              <w:rPr>
                <w:rFonts w:hint="eastAsia" w:ascii="宋体" w:hAnsi="宋体" w:eastAsia="宋体" w:cs="宋体"/>
                <w:i w:val="0"/>
                <w:iCs w:val="0"/>
                <w:color w:val="FF0000"/>
                <w:kern w:val="0"/>
                <w:sz w:val="22"/>
                <w:szCs w:val="22"/>
                <w:u w:val="none"/>
                <w:lang w:val="en-US" w:eastAsia="zh-CN" w:bidi="ar"/>
              </w:rPr>
              <w:t>65cm人体半身躯干模型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胃壁切片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取材为幼小哺乳动物的胃体。  2. 切片厚度在8μm以内，材料长度不小于5mm，每张玻片横放材料一片。  3. 材料染色对比协调，主细胞、壁细胞区分明显，粘膜与粘膜下层之间不脱离，粘膜下层无破裂现象。  4. 在400×生物显微镜下清楚观察胃壁的结构。</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小肠切片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喉解剖模型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材质为PVC无毒且环保。供中学生物教学实验用。生物模型，用于观察喉形态结构的教学与实验。产品应符合JY160－84《喉解剖放大模型技术要求》的规定。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肺泡模型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肺泡放大模型 一、产品外观：1. 产品高约40cm；2. 产品固定于底板上；3. 产品示细末支气管分支为呼吸性细支气管、肺泡管、肺泡囊和肺泡的立体结构；4. 肺泡管做纵断面，肺泡囊做横断面，示其部分壁的结构；5. 示肺动脉、肺静脉的逐级分支及形成毛细血管网包饶于肺泡壁；6. 示支气管动、静脉；</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肺泡放大模型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106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人体呼吸运动模型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电动式，本模型适用于大、中医学院校及中等校讲解人体呼吸运动时作直观教具，模型能形象演示表达人体呼吸运动过程中所体现的生理机制。   模型根据解剖学原理制作，由透明的塑料人体胸廊外部形态和PVC塑料的肋骨、胸骨、膈肌等内部结构构成。</w:t>
            </w:r>
          </w:p>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模型是由力学机械和同步电子电路组合组成的，能动态模拟人体呼吸运动。</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电动式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107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膈肌运动模拟器</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电动式，透明塑料材质，电动模拟人体呼吸运动时膈肌的运动。产品由木质框架、气管、胸骨等组成:结构简单、布局合理、原理正确，使用方便。</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电动式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肺活量计</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肺活量计为浮筒式，，可测量容积≥0～7000ml.2、 肺活量外桶为不锈钢制作。,总高390mm,外桶尺寸为Φ185±3mm×332±3mm.厚≥0.4mm,浮筒（内筒）为铝合金材料制做，标有刻度尺，尺寸为Φ170±3mm×325±3mm,厚0.2mm,进气管采用Φ14mm不锈钢管。3、 产品重量≥1.1KG,产品表面拉丝抛光处理。4、 标志、说明书、包装、运输、存储应符合JY0001-2003的有关规定。</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人血涂片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动静脉血管横切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肺血管注射切片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取材为小哺乳动物的肺。 2. 做肺叶一部分的断面切片，材料两边应具浆膜，切片厚度视注射情况在20～80μm以内，每张玻片放材料一片。 3. 用洋红胶液作血管注射，胶液色泽鲜艳，无颜色沉淀，不浸染其他组织。 4. 可清楚观察由肺动脉形成的包绕肺泡外的毛细血管网、肺泡、肺泡囊等。</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肾血管注射切片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取材于家兔、猫或小狗的肾脏。 2. 作肾的横切片，厚度在5～100μm以内，每张玻片横放材料一片；材料可为肾衡切片的一半，但应沿肾乳头纵行切开。 3. 色胶注射适中，80%以上血管注射充分，肾小球内血管不可注射过满，血管形态整体，无收缩现象。 4. 在50×和100×生物显微镜下可清楚观察肾血管的分布形态及皮质、髓质、肾小球、肾小管等。</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心脏解剖模型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模型PVC材质。自然大成人心脏，以正常生理位置放置在支架上，能水平旋转。左右心房剖面，左右心室剖面。</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自然大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心脏解剖模型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模型PVC材质。3倍大成人心脏，以正常生理位置放置在支架上，能水平旋转。左右心房剖面，左右心室剖面。</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3倍大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115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心搏与血液循环模型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电动式，本模型适用于中小学校与大专院校讲解人体解剖学课程，帮助学生了解心脏的结构与血循环的途径。心脏作冠状切面，显示心脏左、右心房，左、右心室及在整个心动周期内的搏动状况与血液循环的生理机制。本模型应用机械力学原理，可模拟人体心脏一个心动周期的活动。</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电动式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肾单位、肾小体模型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产品由放大的肾、肾单位及肾小体组成。产品应采用硬塑料或复合材料制作， 不应采用软塑料制作。分别置于支架或底座上。  2. 肾模型作额状剖面，不小于210mm×100mm。示肾门、肾动脉、肾静脉、肾皮质、肾髂质、肾乳头、肾小盏、肾大盏、肾盂。 2.1 肾皮质应占肾实质的三分之一，肾锥体不少于7个。  2.2 肾小盏5～7个，肾大盏2～3个，其中两个肾小盏不作剖面。肾盂出肾门后移行为输尿管。 2.3 肾蒂处从前向后依次为肾静脉、肾动脉和肾盂；由上而下依次为肾动脉、肾静脉和肾盂。肾静脉、肾盂出肾门作横断。  3. 肾单位模型不小于400mm×240mm。示一肾小体和连接肾小体的肾小管，一段集合管以及包绕在肾小管周围的小叶间动、静脉及毛细血管网。肾小管示近端小管的曲部、直部；远端小管的直部、曲部。  4. 肾小体模型，直径不小于100mm。作半剖，示肾小囊、肾小囊腔、入球小动脉、肾小球、出球小动 脉、血管极和尿极。     4.1 肾小球示由数十条毛细血管曲折盘绕而形成的毛细血管球，入球动脉较出球动脉粗。 4.2 肾小囊的脏层和壁层移行应清楚，相距不大于15mm，肾小囊壁层示由单层扁平上皮细胞构面，在尿极处移行为单层立方上皮细胞构成的近端小管壁，近端小管不短于20mm。  5. 除执行JY 0001第9章的规定外，模型上各部位或器官均应贴名签或号签。如贴号签时必须有与号签相对应的号签注解，贴在底座上。  6. 本模型下列部位贴名签或号签：     6.1 肾：肾门、肾动脉、肾静脉、肾皮质、肾髓质、肾锥体、肾乳头、肾小盏、肾大盏、肾盂、输尿管； 6.2 肾单位：肾小体、近端小管的曲部、近端小管的直部、远端小管的直部、集合管；     6.3 肾、肾单位和肾小体的名签分别贴在各模型正面的明显部位或底座上。  7. 产品应能适应气温在－25℃和40℃的环境条件下运输和贮存。</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25"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肾脏纵切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在50×和400×生物显微镜下观察肾脏纵断面的结构。  2. 能看清经过肾门的肾脏整体纵断面，并区分出皮质、髓质和皮质外的被膜。在皮质内有髓放线、肾小体和肾小管。髓质内有集合管等断面结构。皮质和髓质交界处可见较大血管的断面。  3. 肾小体、肾小管、集合管等处能看清肾球囊、肾小球、近端小管、远端小管和髓样等的结构。  4. 髓放线在个别标本上有时显示不清。  5. 取材于哺乳动物的肾脏，以单乳头型的鼠类肾脏较好。不得有炎症和病变。  6. 过肾门的肾脏整体纵切，切片厚度在8um以内，每张玻片纵放材料一片。  7. 染色应适中，使之能区分细微结构。  8. 应使近端小管的刷状缘显示清楚。肾小球不得从肾球囊中脱出，但可有轻微收缩现象。  9. 应符合Jy67一82《生物玻片标本通用技术条件试行》的规定。  10.标本具下列一项时为二级品：  10.1 染色对比欠佳，但尚能区分细微结构；  10.2 有个别肾小球从肾球囊中脱出；  10.3 有轻微刀痕或破损，不超过两处；  10.4 有轻微龟裂，不超过材料的1／3。</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619125</wp:posOffset>
                  </wp:positionH>
                  <wp:positionV relativeFrom="paragraph">
                    <wp:posOffset>38100</wp:posOffset>
                  </wp:positionV>
                  <wp:extent cx="956945" cy="1056640"/>
                  <wp:effectExtent l="0" t="0" r="14605" b="10160"/>
                  <wp:wrapNone/>
                  <wp:docPr id="48" name="Picture_91"/>
                  <wp:cNvGraphicFramePr/>
                  <a:graphic xmlns:a="http://schemas.openxmlformats.org/drawingml/2006/main">
                    <a:graphicData uri="http://schemas.openxmlformats.org/drawingml/2006/picture">
                      <pic:pic xmlns:pic="http://schemas.openxmlformats.org/drawingml/2006/picture">
                        <pic:nvPicPr>
                          <pic:cNvPr id="48" name="Picture_91"/>
                          <pic:cNvPicPr/>
                        </pic:nvPicPr>
                        <pic:blipFill>
                          <a:blip r:embed="rId21"/>
                          <a:stretch>
                            <a:fillRect/>
                          </a:stretch>
                        </pic:blipFill>
                        <pic:spPr>
                          <a:xfrm>
                            <a:off x="0" y="0"/>
                            <a:ext cx="956945" cy="10566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118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尿的形成动态模型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电动式，本模型适用于中学及大专院校讲解人体血液循环课程时做直观教具，解决教学时的重点和难点，帮助学生了解心搏周期和备注循环的途径。血液及尿液定向流动采用发光管置，其中血液用红色发光管显示。尿液用黄色发光管置显示。</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电动式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眼球解剖模型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产品为放大六倍的成人眼球模型，装置于支架上。</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 通过眼球前后极做正中水平切面，示眼球壁三层被膜，眼球内晶状体、玻璃体和虹膜（均可拆下）。由外向内三层被膜部分做成梯形切面，并示全部结构。</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 眼球壁外部显示：眼球、角膜、巩膜、虹膜、瞳孔、六块眼肌的断端、视神经、涡静脉、睫状后长动脉（虹膜动脉）、睫状后短动脉（脉络膜动脉）。</w:t>
            </w:r>
          </w:p>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4． 眼球壁剖面及内部主要显示：外膜（前部1/6的角膜及后部5/6的巩膜）、中膜（虹膜、睫状体和脉络膜）、内膜（视网膜及其后部的视神经盘、黄斑及视网膜血管、晶状体及玻璃体）。</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6"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眼球仪</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产品由成人眼球、光源、校正镜片、活动成像显示屏及底座组成</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通过眼球前后极在正中与水平成75°切面，示眼球壁三层被膜，眼球内晶状体（可改变曲率），玻璃体和虹膜。由外向内三层被膜做成梯形切面，并示其各部结构。</w:t>
            </w:r>
          </w:p>
          <w:p>
            <w:pPr>
              <w:keepNext w:val="0"/>
              <w:keepLines w:val="0"/>
              <w:widowControl/>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在眼球后部装一垂直眼球轴的剖面，以示视网膜成像。晶状体系有机玻璃制成，二张拉紧的透明橡胶薄膜，里面充满液体。</w:t>
            </w:r>
          </w:p>
          <w:p>
            <w:pPr>
              <w:keepNext w:val="0"/>
              <w:keepLines w:val="0"/>
              <w:widowControl/>
              <w:suppressLineNumbers w:val="0"/>
              <w:jc w:val="left"/>
              <w:textAlignment w:val="center"/>
              <w:rPr>
                <w:rFonts w:hint="eastAsia" w:ascii="宋体" w:hAnsi="宋体"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其曲率通过改变波纹管的容积来改变薄膜的曲率。</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361950</wp:posOffset>
                  </wp:positionH>
                  <wp:positionV relativeFrom="paragraph">
                    <wp:posOffset>19050</wp:posOffset>
                  </wp:positionV>
                  <wp:extent cx="1514475" cy="1176655"/>
                  <wp:effectExtent l="0" t="0" r="9525" b="4445"/>
                  <wp:wrapNone/>
                  <wp:docPr id="26" name="Picture_69"/>
                  <wp:cNvGraphicFramePr/>
                  <a:graphic xmlns:a="http://schemas.openxmlformats.org/drawingml/2006/main">
                    <a:graphicData uri="http://schemas.openxmlformats.org/drawingml/2006/picture">
                      <pic:pic xmlns:pic="http://schemas.openxmlformats.org/drawingml/2006/picture">
                        <pic:nvPicPr>
                          <pic:cNvPr id="26" name="Picture_69"/>
                          <pic:cNvPicPr/>
                        </pic:nvPicPr>
                        <pic:blipFill>
                          <a:blip r:embed="rId22"/>
                          <a:stretch>
                            <a:fillRect/>
                          </a:stretch>
                        </pic:blipFill>
                        <pic:spPr>
                          <a:xfrm>
                            <a:off x="0" y="0"/>
                            <a:ext cx="1514475" cy="117665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耳解剖模型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中型耳模型，显示有关听力和平衡的所有主要结构。3倍放大。尺寸：</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32x16x11cm。</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3倍大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脑解剖模型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本模型展示了脑的整体概念，以及大脑、小脑和脑干之间的相互关系。自然大，分成3件，置于底座上。</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脊髓横切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1. 在80×和200×学生显微镜下观察脊髓横断面的结构。   2. 在完整的脊髓横断面上能看清被膜、灰质和白质。   </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 xml:space="preserve">     </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3. 在灰质中能看清中央管、神经胶质细胞的胞核、交错的神经纤维断面、前角处的运动神经原等。  </w:t>
            </w: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 xml:space="preserve">                     </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 4. 能看清前正中裂、后正中沟和前、后根的痕迹以及白质中神经纤维的轴索和髓鞘的横断结构。  5. 取材于哺乳动物的脊髓，取材部位为颈膨大或腰膨大处。6. 切片厚度在8um以内，被膜应完整。7. 脊髓外形应正常，灰、白质中不得有空腔等病变现象。  8. 运动神经原和灰质问可有轻微裂隙。</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运动神经末梢装片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0"/>
                <w:numId w:val="17"/>
              </w:numPr>
              <w:suppressLineNumbers w:val="0"/>
              <w:jc w:val="left"/>
              <w:textAlignment w:val="cente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 xml:space="preserve">取材为小型哺乳动物的肋间肌或其他动物的骨骼肌。  </w:t>
            </w:r>
          </w:p>
          <w:p>
            <w:pPr>
              <w:keepNext w:val="0"/>
              <w:keepLines w:val="0"/>
              <w:widowControl/>
              <w:numPr>
                <w:ilvl w:val="-1"/>
                <w:numId w:val="0"/>
              </w:numPr>
              <w:suppressLineNumbers w:val="0"/>
              <w:jc w:val="left"/>
              <w:textAlignment w:val="center"/>
              <w:rPr>
                <w:rFonts w:hint="eastAsia" w:ascii="宋体" w:hAnsi="宋体" w:eastAsia="宋体" w:cs="宋体"/>
                <w:i w:val="0"/>
                <w:iCs w:val="0"/>
                <w:color w:val="000000" w:themeColor="text1"/>
                <w:kern w:val="2"/>
                <w:sz w:val="20"/>
                <w:szCs w:val="20"/>
                <w:u w:val="none"/>
                <w:lang w:val="en-US" w:eastAsia="zh-CN" w:bidi="ar-SA"/>
                <w14:textFill>
                  <w14:solidFill>
                    <w14:schemeClr w14:val="tx1"/>
                  </w14:solidFill>
                </w14:textFill>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2. 材料用甲酸、氯化金处理，显示神经纤维和运动神经末梢。  3. 肌纤维应无缠绕和压碎现象，并不得与运动终板脱离。  4. 在80×和200×学生显微镜下可清楚观察肌纤维和运动神经末梢的形态能看清被染成蓝紫色和紫红色的肌纤维和蓝黑色成束的神经纤维。</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125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人体骨骼模型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新宋体" w:hAnsi="新宋体" w:eastAsia="新宋体" w:cs="新宋体"/>
                <w:i w:val="0"/>
                <w:iCs w:val="0"/>
                <w:color w:val="000000" w:themeColor="text1"/>
                <w:kern w:val="0"/>
                <w:sz w:val="20"/>
                <w:szCs w:val="20"/>
                <w:u w:val="none"/>
                <w:lang w:val="en-US" w:eastAsia="zh-CN" w:bidi="ar"/>
                <w14:textFill>
                  <w14:solidFill>
                    <w14:schemeClr w14:val="tx1"/>
                  </w14:solidFill>
                </w14:textFill>
              </w:rPr>
              <w:t>模型PVC材质。男性成人骨骼模型，高约170cm，串制成正常直立姿态于支架上，各部位骨骼尺寸。</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170cm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6"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126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病毒模型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国家部标,PVC制作</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581025</wp:posOffset>
                  </wp:positionH>
                  <wp:positionV relativeFrom="paragraph">
                    <wp:posOffset>47625</wp:posOffset>
                  </wp:positionV>
                  <wp:extent cx="802005" cy="789305"/>
                  <wp:effectExtent l="0" t="0" r="17145" b="10795"/>
                  <wp:wrapNone/>
                  <wp:docPr id="28" name="Picture_122"/>
                  <wp:cNvGraphicFramePr/>
                  <a:graphic xmlns:a="http://schemas.openxmlformats.org/drawingml/2006/main">
                    <a:graphicData uri="http://schemas.openxmlformats.org/drawingml/2006/picture">
                      <pic:pic xmlns:pic="http://schemas.openxmlformats.org/drawingml/2006/picture">
                        <pic:nvPicPr>
                          <pic:cNvPr id="28" name="Picture_122"/>
                          <pic:cNvPicPr/>
                        </pic:nvPicPr>
                        <pic:blipFill>
                          <a:blip r:embed="rId23"/>
                          <a:stretch>
                            <a:fillRect/>
                          </a:stretch>
                        </pic:blipFill>
                        <pic:spPr>
                          <a:xfrm>
                            <a:off x="0" y="0"/>
                            <a:ext cx="802005" cy="78930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6"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127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细菌模型</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国家部标,PVC制作</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FF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lang w:val="en-US" w:eastAsia="zh-CN" w:bidi="ar"/>
              </w:rPr>
              <w:t>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2"/>
                <w:szCs w:val="22"/>
                <w:u w:val="none"/>
              </w:rPr>
            </w:pPr>
            <w:r>
              <w:rPr>
                <w:rFonts w:hint="eastAsia" w:ascii="宋体" w:hAnsi="宋体" w:eastAsia="宋体" w:cs="宋体"/>
                <w:i w:val="0"/>
                <w:iCs w:val="0"/>
                <w:color w:val="FF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428625</wp:posOffset>
                  </wp:positionH>
                  <wp:positionV relativeFrom="paragraph">
                    <wp:posOffset>28575</wp:posOffset>
                  </wp:positionV>
                  <wp:extent cx="1078230" cy="873760"/>
                  <wp:effectExtent l="0" t="0" r="7620" b="2540"/>
                  <wp:wrapNone/>
                  <wp:docPr id="29" name="图片_2_SpCnt_1"/>
                  <wp:cNvGraphicFramePr/>
                  <a:graphic xmlns:a="http://schemas.openxmlformats.org/drawingml/2006/main">
                    <a:graphicData uri="http://schemas.openxmlformats.org/drawingml/2006/picture">
                      <pic:pic xmlns:pic="http://schemas.openxmlformats.org/drawingml/2006/picture">
                        <pic:nvPicPr>
                          <pic:cNvPr id="29" name="图片_2_SpCnt_1"/>
                          <pic:cNvPicPr/>
                        </pic:nvPicPr>
                        <pic:blipFill>
                          <a:blip r:embed="rId24"/>
                          <a:stretch>
                            <a:fillRect/>
                          </a:stretch>
                        </pic:blipFill>
                        <pic:spPr>
                          <a:xfrm>
                            <a:off x="0" y="0"/>
                            <a:ext cx="1078230" cy="8737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细菌三型涂片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酵母菌装片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1．标本取材于人工培养的体大的酵母菌。  2．材料应纯净，无杂菌、污物，不密集成团。</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青霉装片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曲霉装片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黑根霉装片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能看清黑根霉的营养菌丝、匍匐菌丝、假根、孢子梗、孢子囊的形态结构。</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伞蕈切片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1. 在100×和400×生物显微镜下，观察伞蕈菌盖的部分结构。  2. 能看清帽状菌盖的横切面，中间有菌柄横切面和菌褶的纵切面，两侧有担子。  3. 能认出菌褶子实层的结构，认出担子，担子小柄和担孢子。  4. 能认出担子顶端的有二或四个担子小柄及小柄顶有一个担孢子的典型结构。  5. 选用同担子菌亚纲Homobasidiomycetidae伞菌目Agaricales中任一种伞菌。  6. 取材不宜过老，菌盖尚未张开，呈帽形状时为佳。  7. 帽状菌盖的横切片，其厚度在8μm以内。铁苏木精染色，每张玻片放材料一片。  8. 菌柄居中，菌褶、担了和担孢子不收缩。  9. 菌褶两侧的担子，除达到1.4条要求外，近半数担子顶端也应看到孢子。  10.担孢子散落不应过多，材料无破损现象。</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果酒果醋发酵装置</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透明，最大容积1L，具水封及气泡限速装置，可进行气泡观察计数。产品由发酵瓶、硅胶管、支架、不锈钢管、水封管组成。</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木本双子叶植物永久装片</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多重染色</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片</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亚甲基蓝</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25g</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瓶</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红墨水</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大瓶装</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瓶</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小鼓</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themeColor="text1"/>
                <w:kern w:val="0"/>
                <w:sz w:val="20"/>
                <w:szCs w:val="20"/>
                <w:u w:val="none"/>
                <w:lang w:val="en-US" w:eastAsia="zh-CN" w:bidi="ar"/>
                <w14:textFill>
                  <w14:solidFill>
                    <w14:schemeClr w14:val="tx1"/>
                  </w14:solidFill>
                </w14:textFill>
              </w:rPr>
              <w:t>约</w:t>
            </w: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5寸红色堂鼓，鼓面：天然水牛皮鼓面，边缘包有优质双排铜铆钉长久耐用，牢固性强，两侧装有加固铁质环扣，鼓面采用环保底漆，无害无毒，附双木棰。</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小锣</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响铜制，声音清脆</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1"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小钹</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themeColor="text1"/>
                <w:kern w:val="0"/>
                <w:sz w:val="20"/>
                <w:szCs w:val="20"/>
                <w:u w:val="none"/>
                <w:lang w:val="en-US" w:eastAsia="zh-CN" w:bidi="ar"/>
                <w14:textFill>
                  <w14:solidFill>
                    <w14:schemeClr w14:val="tx1"/>
                  </w14:solidFill>
                </w14:textFill>
              </w:rPr>
              <w:t>响铜制，声音清脆</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PP仪器柜</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1000*500*2000mm，（1）柜体框架：采用模具成型的专用铝合金方管制作，通过ABS专用连接件组装而成，保证连接牢固。前立柱、前横梁外径</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为27mm×36mm（误差≤±1mm），后立柱、后横梁外径</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为36mm×36mm（误差≤±1mm），铝合金管材的壁厚≥1.1 mm（误差≤±0.15 mm）。铝合金型材带凹槽，凹槽的宽度与柜体衬板相匹配，凹槽的深度足够，保证柜体衬板与铝型材之间接缝严密，无晃动现象，不发生脱落。铝合金型材表面需经静电粉沫喷涂处理，整体耐腐蚀、防火、防潮、稳固耐用。（2）柜体衬板：厚度</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16mm三聚氰胺贴面刨花板。（3）柜门：上部为专用木框对开玻璃门，下部为对开木门，铝合金拉手。（4）隔板：上柜设置2块活动隔板，下柜设置1块活动隔板。隔板所用的板材与柜体板材相同，厚度不小于16mm。（5）高度升降条：上部柜体内侧均安装高度升降条。（6）支脚：采用直径不小于8mm的不锈钢螺杆与ABS工程塑料一次注塑成型的脚垫。</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62865</wp:posOffset>
                  </wp:positionH>
                  <wp:positionV relativeFrom="paragraph">
                    <wp:posOffset>695325</wp:posOffset>
                  </wp:positionV>
                  <wp:extent cx="1483360" cy="1732915"/>
                  <wp:effectExtent l="0" t="0" r="2540" b="635"/>
                  <wp:wrapNone/>
                  <wp:docPr id="27" name="图片_18"/>
                  <wp:cNvGraphicFramePr/>
                  <a:graphic xmlns:a="http://schemas.openxmlformats.org/drawingml/2006/main">
                    <a:graphicData uri="http://schemas.openxmlformats.org/drawingml/2006/picture">
                      <pic:pic xmlns:pic="http://schemas.openxmlformats.org/drawingml/2006/picture">
                        <pic:nvPicPr>
                          <pic:cNvPr id="27" name="图片_18"/>
                          <pic:cNvPicPr/>
                        </pic:nvPicPr>
                        <pic:blipFill>
                          <a:blip r:embed="rId25"/>
                          <a:stretch>
                            <a:fillRect/>
                          </a:stretch>
                        </pic:blipFill>
                        <pic:spPr>
                          <a:xfrm>
                            <a:off x="0" y="0"/>
                            <a:ext cx="1483360" cy="173291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9" w:hRule="atLeast"/>
        </w:trPr>
        <w:tc>
          <w:tcPr>
            <w:tcW w:w="37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9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危化品柜</w:t>
            </w:r>
          </w:p>
        </w:tc>
        <w:tc>
          <w:tcPr>
            <w:tcW w:w="15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900×500×1840mm，柜整体为两层防火钢板构造，壳体全部采用</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1.2mm优质冷轧钢板，柜底采用</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2.0mm冷轧钢板，柜体内胆采用pp板，柜底配有可调风阀，柜体的底板中部有直径</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为10mm的漏液孔，柜体底部设有高度</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为160mm的黄沙挡板，最下层留有</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120mm厚的黄沙填埋腔，柜底装有4个直径</w:t>
            </w:r>
            <w:r>
              <w:rPr>
                <w:rFonts w:hint="eastAsia" w:ascii="宋体" w:hAnsi="宋体" w:cs="宋体"/>
                <w:i w:val="0"/>
                <w:iCs w:val="0"/>
                <w:color w:val="000000"/>
                <w:kern w:val="0"/>
                <w:sz w:val="22"/>
                <w:szCs w:val="22"/>
                <w:u w:val="none"/>
                <w:lang w:val="en-US" w:eastAsia="zh-CN" w:bidi="ar"/>
              </w:rPr>
              <w:t>约</w:t>
            </w:r>
            <w:r>
              <w:rPr>
                <w:rFonts w:hint="eastAsia" w:ascii="宋体" w:hAnsi="宋体" w:eastAsia="宋体" w:cs="宋体"/>
                <w:i w:val="0"/>
                <w:iCs w:val="0"/>
                <w:color w:val="000000"/>
                <w:kern w:val="0"/>
                <w:sz w:val="22"/>
                <w:szCs w:val="22"/>
                <w:u w:val="none"/>
                <w:lang w:val="en-US" w:eastAsia="zh-CN" w:bidi="ar"/>
              </w:rPr>
              <w:t>是60mm的移动钢轮，前轮后有2个手动调节螺杆，柜中有3个三层阶梯式活动隔板并附有pp板，下层隔板边沿镶有护栏，护栏中间嵌有红黄蓝警示标志，柜子顶部中间带有风机出风口，电源电压220V，控制开关位于柜体右上角，柜门上安装有电子密码锁和机械锁（双锁结构）。防火，防盗，防腐蚀。</w:t>
            </w:r>
          </w:p>
        </w:tc>
        <w:tc>
          <w:tcPr>
            <w:tcW w:w="34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35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86995</wp:posOffset>
                  </wp:positionH>
                  <wp:positionV relativeFrom="paragraph">
                    <wp:posOffset>269240</wp:posOffset>
                  </wp:positionV>
                  <wp:extent cx="1495425" cy="2873375"/>
                  <wp:effectExtent l="0" t="0" r="9525" b="3175"/>
                  <wp:wrapNone/>
                  <wp:docPr id="30" name="Picture_7"/>
                  <wp:cNvGraphicFramePr/>
                  <a:graphic xmlns:a="http://schemas.openxmlformats.org/drawingml/2006/main">
                    <a:graphicData uri="http://schemas.openxmlformats.org/drawingml/2006/picture">
                      <pic:pic xmlns:pic="http://schemas.openxmlformats.org/drawingml/2006/picture">
                        <pic:nvPicPr>
                          <pic:cNvPr id="30" name="Picture_7"/>
                          <pic:cNvPicPr/>
                        </pic:nvPicPr>
                        <pic:blipFill>
                          <a:blip r:embed="rId26"/>
                          <a:stretch>
                            <a:fillRect/>
                          </a:stretch>
                        </pic:blipFill>
                        <pic:spPr>
                          <a:xfrm>
                            <a:off x="0" y="0"/>
                            <a:ext cx="1495425" cy="2873375"/>
                          </a:xfrm>
                          <a:prstGeom prst="rect">
                            <a:avLst/>
                          </a:prstGeom>
                          <a:noFill/>
                          <a:ln>
                            <a:noFill/>
                          </a:ln>
                        </pic:spPr>
                      </pic:pic>
                    </a:graphicData>
                  </a:graphic>
                </wp:anchor>
              </w:drawing>
            </w:r>
          </w:p>
        </w:tc>
      </w:tr>
    </w:tbl>
    <w:p>
      <w:pPr>
        <w:pStyle w:val="14"/>
        <w:rPr>
          <w:rFonts w:hint="eastAsia"/>
          <w:lang w:val="en-US" w:eastAsia="zh-CN"/>
        </w:rPr>
      </w:pPr>
    </w:p>
    <w:p>
      <w:pPr>
        <w:adjustRightInd w:val="0"/>
        <w:snapToGrid w:val="0"/>
        <w:spacing w:line="240" w:lineRule="auto"/>
        <w:rPr>
          <w:rFonts w:hint="eastAsia" w:ascii="宋体" w:hAnsi="宋体" w:eastAsia="宋体" w:cs="宋体"/>
          <w:color w:val="FF0000"/>
          <w:sz w:val="21"/>
          <w:szCs w:val="21"/>
          <w:highlight w:val="yellow"/>
        </w:rPr>
      </w:pPr>
    </w:p>
    <w:p>
      <w:pPr>
        <w:keepNext w:val="0"/>
        <w:keepLines w:val="0"/>
        <w:pageBreakBefore w:val="0"/>
        <w:widowControl/>
        <w:numPr>
          <w:ilvl w:val="0"/>
          <w:numId w:val="10"/>
        </w:numPr>
        <w:kinsoku/>
        <w:wordWrap/>
        <w:overflowPunct/>
        <w:topLinePunct w:val="0"/>
        <w:autoSpaceDE/>
        <w:autoSpaceDN/>
        <w:bidi w:val="0"/>
        <w:adjustRightInd/>
        <w:snapToGrid/>
        <w:spacing w:line="240" w:lineRule="auto"/>
        <w:ind w:left="0" w:leftChars="0" w:firstLine="0" w:firstLineChars="0"/>
        <w:textAlignment w:val="auto"/>
        <w:outlineLvl w:val="1"/>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路灯项目</w:t>
      </w:r>
    </w:p>
    <w:tbl>
      <w:tblPr>
        <w:tblStyle w:val="36"/>
        <w:tblW w:w="550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63"/>
        <w:gridCol w:w="600"/>
        <w:gridCol w:w="2799"/>
        <w:gridCol w:w="588"/>
        <w:gridCol w:w="928"/>
        <w:gridCol w:w="1553"/>
        <w:gridCol w:w="24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246" w:type="pct"/>
            <w:tcBorders>
              <w:top w:val="single" w:color="auto" w:sz="4" w:space="0"/>
              <w:left w:val="single" w:color="auto"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序号</w:t>
            </w:r>
          </w:p>
        </w:tc>
        <w:tc>
          <w:tcPr>
            <w:tcW w:w="319"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产品名称</w:t>
            </w:r>
          </w:p>
        </w:tc>
        <w:tc>
          <w:tcPr>
            <w:tcW w:w="149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产品参数</w:t>
            </w:r>
          </w:p>
        </w:tc>
        <w:tc>
          <w:tcPr>
            <w:tcW w:w="313"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数量（套）</w:t>
            </w:r>
          </w:p>
        </w:tc>
        <w:tc>
          <w:tcPr>
            <w:tcW w:w="494"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备注</w:t>
            </w:r>
          </w:p>
        </w:tc>
        <w:tc>
          <w:tcPr>
            <w:tcW w:w="827"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灯型参考图片</w:t>
            </w:r>
          </w:p>
        </w:tc>
        <w:tc>
          <w:tcPr>
            <w:tcW w:w="1306"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center"/>
              <w:rPr>
                <w:rFonts w:hint="eastAsia" w:ascii="新宋体" w:hAnsi="新宋体" w:eastAsia="新宋体" w:cs="新宋体"/>
                <w:b/>
                <w:bCs/>
                <w:i w:val="0"/>
                <w:iCs w:val="0"/>
                <w:color w:val="000000"/>
                <w:sz w:val="21"/>
                <w:szCs w:val="21"/>
                <w:u w:val="none"/>
              </w:rPr>
            </w:pPr>
            <w:r>
              <w:rPr>
                <w:rFonts w:hint="eastAsia" w:ascii="新宋体" w:hAnsi="新宋体" w:eastAsia="新宋体" w:cs="新宋体"/>
                <w:b/>
                <w:bCs/>
                <w:i w:val="0"/>
                <w:iCs w:val="0"/>
                <w:color w:val="000000"/>
                <w:kern w:val="0"/>
                <w:sz w:val="21"/>
                <w:szCs w:val="21"/>
                <w:u w:val="none"/>
                <w:lang w:val="en-US" w:eastAsia="zh-CN" w:bidi="ar"/>
              </w:rPr>
              <w:t>灯型参考图片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7" w:hRule="atLeast"/>
        </w:trPr>
        <w:tc>
          <w:tcPr>
            <w:tcW w:w="246" w:type="pct"/>
            <w:tcBorders>
              <w:top w:val="single" w:color="auto"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1</w:t>
            </w:r>
          </w:p>
        </w:tc>
        <w:tc>
          <w:tcPr>
            <w:tcW w:w="319"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庭院灯</w:t>
            </w:r>
          </w:p>
        </w:tc>
        <w:tc>
          <w:tcPr>
            <w:tcW w:w="1491"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灯具名称：庭院灯                              高度：灯具总高度约3.3m，                               灯头尺寸：φ700*H410mm                                      光源：功率定制20w*3片造型，优质芯片及驱动，  灯杆材质：201不锈钢材质，厚度≥1.5mm，灯杆上部分激光切割星月花纹（不影响灯杆强度的前提下，可定制花纹，logo等，）法兰≥240*8mm                          杆内光源：T5灯管*2支（不含）                                       灯头材质：铝压铸成型，</w:t>
            </w:r>
          </w:p>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加工工艺：焊接</w:t>
            </w:r>
          </w:p>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表面处理：静电喷塑</w:t>
            </w:r>
          </w:p>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安装固定方式:预埋基础固定，规格约M14*500mm  对角线约240mm，（不含）</w:t>
            </w:r>
          </w:p>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防水等级：IP65                                      工作电压：AC220V</w:t>
            </w:r>
          </w:p>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颜色：浅灰砂纹</w:t>
            </w:r>
          </w:p>
        </w:tc>
        <w:tc>
          <w:tcPr>
            <w:tcW w:w="313"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29</w:t>
            </w:r>
          </w:p>
        </w:tc>
        <w:tc>
          <w:tcPr>
            <w:tcW w:w="494" w:type="pct"/>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含施工安装</w:t>
            </w:r>
          </w:p>
        </w:tc>
        <w:tc>
          <w:tcPr>
            <w:tcW w:w="827"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FF0000"/>
                <w:sz w:val="24"/>
                <w:szCs w:val="24"/>
                <w:u w:val="none"/>
              </w:rPr>
            </w:pPr>
            <w:r>
              <w:rPr>
                <w:rFonts w:hint="eastAsia" w:ascii="新宋体" w:hAnsi="新宋体" w:eastAsia="新宋体" w:cs="新宋体"/>
                <w:i w:val="0"/>
                <w:iCs w:val="0"/>
                <w:color w:val="FF0000"/>
                <w:kern w:val="0"/>
                <w:sz w:val="24"/>
                <w:szCs w:val="24"/>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17145</wp:posOffset>
                  </wp:positionH>
                  <wp:positionV relativeFrom="paragraph">
                    <wp:posOffset>336550</wp:posOffset>
                  </wp:positionV>
                  <wp:extent cx="739775" cy="1412240"/>
                  <wp:effectExtent l="0" t="0" r="3175" b="16510"/>
                  <wp:wrapNone/>
                  <wp:docPr id="31" name="图片 42"/>
                  <wp:cNvGraphicFramePr/>
                  <a:graphic xmlns:a="http://schemas.openxmlformats.org/drawingml/2006/main">
                    <a:graphicData uri="http://schemas.openxmlformats.org/drawingml/2006/picture">
                      <pic:pic xmlns:pic="http://schemas.openxmlformats.org/drawingml/2006/picture">
                        <pic:nvPicPr>
                          <pic:cNvPr id="31" name="图片 42"/>
                          <pic:cNvPicPr/>
                        </pic:nvPicPr>
                        <pic:blipFill>
                          <a:blip r:embed="rId27"/>
                          <a:stretch>
                            <a:fillRect/>
                          </a:stretch>
                        </pic:blipFill>
                        <pic:spPr>
                          <a:xfrm>
                            <a:off x="0" y="0"/>
                            <a:ext cx="739775" cy="1412240"/>
                          </a:xfrm>
                          <a:prstGeom prst="rect">
                            <a:avLst/>
                          </a:prstGeom>
                          <a:noFill/>
                          <a:ln>
                            <a:noFill/>
                          </a:ln>
                        </pic:spPr>
                      </pic:pic>
                    </a:graphicData>
                  </a:graphic>
                </wp:anchor>
              </w:drawing>
            </w:r>
          </w:p>
        </w:tc>
        <w:tc>
          <w:tcPr>
            <w:tcW w:w="1306" w:type="pct"/>
            <w:tcBorders>
              <w:top w:val="single" w:color="auto"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bdr w:val="single" w:color="000000" w:sz="4" w:space="0"/>
                <w:shd w:val="clear" w:fill="FFFFFF"/>
                <w:lang w:val="en-US" w:eastAsia="zh-CN" w:bidi="ar"/>
              </w:rPr>
              <w:drawing>
                <wp:anchor distT="0" distB="0" distL="114300" distR="114300" simplePos="0" relativeHeight="251661312" behindDoc="0" locked="0" layoutInCell="1" allowOverlap="1">
                  <wp:simplePos x="0" y="0"/>
                  <wp:positionH relativeFrom="column">
                    <wp:posOffset>68580</wp:posOffset>
                  </wp:positionH>
                  <wp:positionV relativeFrom="paragraph">
                    <wp:posOffset>188595</wp:posOffset>
                  </wp:positionV>
                  <wp:extent cx="716280" cy="2126615"/>
                  <wp:effectExtent l="0" t="0" r="7620" b="6985"/>
                  <wp:wrapNone/>
                  <wp:docPr id="34" name="图片_8"/>
                  <wp:cNvGraphicFramePr/>
                  <a:graphic xmlns:a="http://schemas.openxmlformats.org/drawingml/2006/main">
                    <a:graphicData uri="http://schemas.openxmlformats.org/drawingml/2006/picture">
                      <pic:pic xmlns:pic="http://schemas.openxmlformats.org/drawingml/2006/picture">
                        <pic:nvPicPr>
                          <pic:cNvPr id="34" name="图片_8"/>
                          <pic:cNvPicPr/>
                        </pic:nvPicPr>
                        <pic:blipFill>
                          <a:blip r:embed="rId28"/>
                          <a:stretch>
                            <a:fillRect/>
                          </a:stretch>
                        </pic:blipFill>
                        <pic:spPr>
                          <a:xfrm>
                            <a:off x="0" y="0"/>
                            <a:ext cx="716280" cy="212661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0" w:hRule="atLeast"/>
        </w:trPr>
        <w:tc>
          <w:tcPr>
            <w:tcW w:w="24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2</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球场灯</w:t>
            </w:r>
          </w:p>
        </w:tc>
        <w:tc>
          <w:tcPr>
            <w:tcW w:w="1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灯具名称：泛光灯                                                                                                 光源：500瓦，优质芯片采用高流明高光效灯珠，灯珠高达每颗110LM， 内置防雷模块（防浪涌1KV)                                                       灯体材质：航空压铸铝成型</w:t>
            </w:r>
          </w:p>
          <w:p>
            <w:pPr>
              <w:keepNext w:val="0"/>
              <w:keepLines w:val="0"/>
              <w:widowControl/>
              <w:suppressLineNumbers w:val="0"/>
              <w:jc w:val="left"/>
              <w:textAlignment w:val="center"/>
              <w:rPr>
                <w:rFonts w:hint="eastAsia" w:ascii="新宋体" w:hAnsi="新宋体" w:eastAsia="新宋体" w:cs="新宋体"/>
                <w:i w:val="0"/>
                <w:iCs w:val="0"/>
                <w:color w:val="000000"/>
                <w:kern w:val="0"/>
                <w:sz w:val="24"/>
                <w:szCs w:val="24"/>
                <w:u w:val="none"/>
                <w:lang w:val="en-US" w:eastAsia="zh-CN" w:bidi="ar"/>
              </w:rPr>
            </w:pPr>
            <w:r>
              <w:rPr>
                <w:rFonts w:hint="eastAsia" w:ascii="新宋体" w:hAnsi="新宋体" w:eastAsia="新宋体" w:cs="新宋体"/>
                <w:i w:val="0"/>
                <w:iCs w:val="0"/>
                <w:color w:val="000000"/>
                <w:kern w:val="0"/>
                <w:sz w:val="24"/>
                <w:szCs w:val="24"/>
                <w:u w:val="none"/>
                <w:lang w:val="en-US" w:eastAsia="zh-CN" w:bidi="ar"/>
              </w:rPr>
              <w:t>表面处理：静电喷塑</w:t>
            </w:r>
          </w:p>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 xml:space="preserve">防水等级：IP66                               工作电压：AC220v                             色温：6000~6500K                             </w:t>
            </w:r>
          </w:p>
        </w:tc>
        <w:tc>
          <w:tcPr>
            <w:tcW w:w="3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10</w:t>
            </w:r>
          </w:p>
        </w:tc>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新宋体" w:hAnsi="新宋体" w:eastAsia="新宋体" w:cs="新宋体"/>
                <w:i w:val="0"/>
                <w:iCs w:val="0"/>
                <w:color w:val="000000"/>
                <w:sz w:val="24"/>
                <w:szCs w:val="24"/>
                <w:u w:val="none"/>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FF0000"/>
                <w:sz w:val="24"/>
                <w:szCs w:val="24"/>
                <w:u w:val="none"/>
              </w:rPr>
            </w:pPr>
            <w:r>
              <w:rPr>
                <w:rFonts w:hint="eastAsia" w:ascii="新宋体" w:hAnsi="新宋体" w:eastAsia="新宋体" w:cs="新宋体"/>
                <w:i w:val="0"/>
                <w:iCs w:val="0"/>
                <w:color w:val="FF0000"/>
                <w:kern w:val="0"/>
                <w:sz w:val="24"/>
                <w:szCs w:val="24"/>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334010</wp:posOffset>
                  </wp:positionH>
                  <wp:positionV relativeFrom="paragraph">
                    <wp:posOffset>728980</wp:posOffset>
                  </wp:positionV>
                  <wp:extent cx="1196975" cy="1633220"/>
                  <wp:effectExtent l="0" t="0" r="3175" b="5080"/>
                  <wp:wrapNone/>
                  <wp:docPr id="33" name="图片 45"/>
                  <wp:cNvGraphicFramePr/>
                  <a:graphic xmlns:a="http://schemas.openxmlformats.org/drawingml/2006/main">
                    <a:graphicData uri="http://schemas.openxmlformats.org/drawingml/2006/picture">
                      <pic:pic xmlns:pic="http://schemas.openxmlformats.org/drawingml/2006/picture">
                        <pic:nvPicPr>
                          <pic:cNvPr id="33" name="图片 45"/>
                          <pic:cNvPicPr/>
                        </pic:nvPicPr>
                        <pic:blipFill>
                          <a:blip r:embed="rId29"/>
                          <a:stretch>
                            <a:fillRect/>
                          </a:stretch>
                        </pic:blipFill>
                        <pic:spPr>
                          <a:xfrm>
                            <a:off x="0" y="0"/>
                            <a:ext cx="1196975" cy="1633220"/>
                          </a:xfrm>
                          <a:prstGeom prst="rect">
                            <a:avLst/>
                          </a:prstGeom>
                          <a:noFill/>
                          <a:ln>
                            <a:noFill/>
                          </a:ln>
                        </pic:spPr>
                      </pic:pic>
                    </a:graphicData>
                  </a:graphic>
                </wp:anchor>
              </w:drawing>
            </w:r>
          </w:p>
        </w:tc>
        <w:tc>
          <w:tcPr>
            <w:tcW w:w="130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新宋体" w:hAnsi="新宋体" w:eastAsia="新宋体" w:cs="新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24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3</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照树灯</w:t>
            </w:r>
          </w:p>
        </w:tc>
        <w:tc>
          <w:tcPr>
            <w:tcW w:w="1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灯具名称：车轮灯                             光源：36瓦，优质芯片                       灯体材质：铝压铸成型                         表面处理：静电喷塑                           防水等级：IP66                               工作电压：AV220                              色温：4000K</w:t>
            </w:r>
          </w:p>
        </w:tc>
        <w:tc>
          <w:tcPr>
            <w:tcW w:w="3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6</w:t>
            </w:r>
          </w:p>
        </w:tc>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新宋体" w:hAnsi="新宋体" w:eastAsia="新宋体" w:cs="新宋体"/>
                <w:i w:val="0"/>
                <w:iCs w:val="0"/>
                <w:color w:val="000000"/>
                <w:sz w:val="24"/>
                <w:szCs w:val="24"/>
                <w:u w:val="none"/>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FF0000"/>
                <w:sz w:val="24"/>
                <w:szCs w:val="24"/>
                <w:u w:val="none"/>
              </w:rPr>
            </w:pPr>
            <w:r>
              <w:rPr>
                <w:rFonts w:hint="eastAsia" w:ascii="新宋体" w:hAnsi="新宋体" w:eastAsia="新宋体" w:cs="新宋体"/>
                <w:i w:val="0"/>
                <w:iCs w:val="0"/>
                <w:color w:val="FF0000"/>
                <w:kern w:val="0"/>
                <w:sz w:val="24"/>
                <w:szCs w:val="24"/>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184785</wp:posOffset>
                  </wp:positionH>
                  <wp:positionV relativeFrom="paragraph">
                    <wp:posOffset>514985</wp:posOffset>
                  </wp:positionV>
                  <wp:extent cx="1553845" cy="1177290"/>
                  <wp:effectExtent l="0" t="0" r="8255" b="3810"/>
                  <wp:wrapNone/>
                  <wp:docPr id="36" name="图片 46"/>
                  <wp:cNvGraphicFramePr/>
                  <a:graphic xmlns:a="http://schemas.openxmlformats.org/drawingml/2006/main">
                    <a:graphicData uri="http://schemas.openxmlformats.org/drawingml/2006/picture">
                      <pic:pic xmlns:pic="http://schemas.openxmlformats.org/drawingml/2006/picture">
                        <pic:nvPicPr>
                          <pic:cNvPr id="36" name="图片 46"/>
                          <pic:cNvPicPr/>
                        </pic:nvPicPr>
                        <pic:blipFill>
                          <a:blip r:embed="rId30"/>
                          <a:stretch>
                            <a:fillRect/>
                          </a:stretch>
                        </pic:blipFill>
                        <pic:spPr>
                          <a:xfrm>
                            <a:off x="0" y="0"/>
                            <a:ext cx="1553845" cy="1177290"/>
                          </a:xfrm>
                          <a:prstGeom prst="rect">
                            <a:avLst/>
                          </a:prstGeom>
                          <a:noFill/>
                          <a:ln>
                            <a:noFill/>
                          </a:ln>
                        </pic:spPr>
                      </pic:pic>
                    </a:graphicData>
                  </a:graphic>
                </wp:anchor>
              </w:drawing>
            </w:r>
          </w:p>
        </w:tc>
        <w:tc>
          <w:tcPr>
            <w:tcW w:w="130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新宋体" w:hAnsi="新宋体" w:eastAsia="新宋体" w:cs="新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0" w:hRule="atLeast"/>
        </w:trPr>
        <w:tc>
          <w:tcPr>
            <w:tcW w:w="24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4</w:t>
            </w:r>
          </w:p>
        </w:tc>
        <w:tc>
          <w:tcPr>
            <w:tcW w:w="3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照树灯</w:t>
            </w:r>
          </w:p>
        </w:tc>
        <w:tc>
          <w:tcPr>
            <w:tcW w:w="149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灯具名称：子弹头灯                             光源：20瓦，优质芯片                       灯体材质：铝压铸成型                         表面处理：静电喷塑                           防水等级：IP66                               工作电压：AV220                              色温：4000K</w:t>
            </w:r>
          </w:p>
        </w:tc>
        <w:tc>
          <w:tcPr>
            <w:tcW w:w="3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新宋体" w:hAnsi="新宋体" w:eastAsia="新宋体" w:cs="新宋体"/>
                <w:i w:val="0"/>
                <w:iCs w:val="0"/>
                <w:color w:val="000000"/>
                <w:sz w:val="24"/>
                <w:szCs w:val="24"/>
                <w:u w:val="none"/>
              </w:rPr>
            </w:pPr>
            <w:r>
              <w:rPr>
                <w:rFonts w:hint="eastAsia" w:ascii="新宋体" w:hAnsi="新宋体" w:eastAsia="新宋体" w:cs="新宋体"/>
                <w:i w:val="0"/>
                <w:iCs w:val="0"/>
                <w:color w:val="000000"/>
                <w:kern w:val="0"/>
                <w:sz w:val="24"/>
                <w:szCs w:val="24"/>
                <w:u w:val="none"/>
                <w:lang w:val="en-US" w:eastAsia="zh-CN" w:bidi="ar"/>
              </w:rPr>
              <w:t>8</w:t>
            </w:r>
          </w:p>
        </w:tc>
        <w:tc>
          <w:tcPr>
            <w:tcW w:w="49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新宋体" w:hAnsi="新宋体" w:eastAsia="新宋体" w:cs="新宋体"/>
                <w:i w:val="0"/>
                <w:iCs w:val="0"/>
                <w:color w:val="000000"/>
                <w:sz w:val="24"/>
                <w:szCs w:val="24"/>
                <w:u w:val="none"/>
              </w:rPr>
            </w:pPr>
          </w:p>
        </w:tc>
        <w:tc>
          <w:tcPr>
            <w:tcW w:w="82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新宋体" w:hAnsi="新宋体" w:eastAsia="新宋体" w:cs="新宋体"/>
                <w:i w:val="0"/>
                <w:iCs w:val="0"/>
                <w:color w:val="FF0000"/>
                <w:sz w:val="24"/>
                <w:szCs w:val="24"/>
                <w:u w:val="none"/>
              </w:rPr>
            </w:pPr>
            <w:r>
              <w:rPr>
                <w:rFonts w:hint="eastAsia" w:ascii="新宋体" w:hAnsi="新宋体" w:eastAsia="新宋体" w:cs="新宋体"/>
                <w:i w:val="0"/>
                <w:iCs w:val="0"/>
                <w:color w:val="FF0000"/>
                <w:kern w:val="0"/>
                <w:sz w:val="24"/>
                <w:szCs w:val="24"/>
                <w:u w:val="none"/>
                <w:bdr w:val="single" w:color="000000" w:sz="4" w:space="0"/>
                <w:lang w:val="en-US" w:eastAsia="zh-CN" w:bidi="ar"/>
              </w:rPr>
              <w:drawing>
                <wp:anchor distT="0" distB="0" distL="114300" distR="114300" simplePos="0" relativeHeight="251661312" behindDoc="0" locked="0" layoutInCell="1" allowOverlap="1">
                  <wp:simplePos x="0" y="0"/>
                  <wp:positionH relativeFrom="column">
                    <wp:posOffset>392430</wp:posOffset>
                  </wp:positionH>
                  <wp:positionV relativeFrom="paragraph">
                    <wp:posOffset>178435</wp:posOffset>
                  </wp:positionV>
                  <wp:extent cx="1233170" cy="1739900"/>
                  <wp:effectExtent l="0" t="0" r="5080" b="12700"/>
                  <wp:wrapNone/>
                  <wp:docPr id="32" name="图片 47"/>
                  <wp:cNvGraphicFramePr/>
                  <a:graphic xmlns:a="http://schemas.openxmlformats.org/drawingml/2006/main">
                    <a:graphicData uri="http://schemas.openxmlformats.org/drawingml/2006/picture">
                      <pic:pic xmlns:pic="http://schemas.openxmlformats.org/drawingml/2006/picture">
                        <pic:nvPicPr>
                          <pic:cNvPr id="32" name="图片 47"/>
                          <pic:cNvPicPr/>
                        </pic:nvPicPr>
                        <pic:blipFill>
                          <a:blip r:embed="rId31"/>
                          <a:stretch>
                            <a:fillRect/>
                          </a:stretch>
                        </pic:blipFill>
                        <pic:spPr>
                          <a:xfrm>
                            <a:off x="0" y="0"/>
                            <a:ext cx="1233170" cy="1739900"/>
                          </a:xfrm>
                          <a:prstGeom prst="rect">
                            <a:avLst/>
                          </a:prstGeom>
                          <a:noFill/>
                          <a:ln>
                            <a:noFill/>
                          </a:ln>
                        </pic:spPr>
                      </pic:pic>
                    </a:graphicData>
                  </a:graphic>
                </wp:anchor>
              </w:drawing>
            </w:r>
          </w:p>
        </w:tc>
        <w:tc>
          <w:tcPr>
            <w:tcW w:w="130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新宋体" w:hAnsi="新宋体" w:eastAsia="新宋体" w:cs="新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8"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FFFFFF"/>
            <w:noWrap/>
            <w:vAlign w:val="center"/>
          </w:tcPr>
          <w:p>
            <w:pPr>
              <w:spacing w:line="360" w:lineRule="auto"/>
              <w:rPr>
                <w:rFonts w:hint="eastAsia" w:ascii="宋体" w:hAnsi="宋体" w:eastAsia="宋体" w:cs="宋体"/>
                <w:sz w:val="24"/>
                <w:szCs w:val="24"/>
                <w:highlight w:val="none"/>
              </w:rPr>
            </w:pPr>
            <w:r>
              <w:rPr>
                <w:rFonts w:hint="eastAsia" w:ascii="宋体" w:hAnsi="宋体" w:eastAsia="宋体" w:cs="宋体"/>
                <w:sz w:val="24"/>
                <w:szCs w:val="24"/>
              </w:rPr>
              <w:t>灯具要求：需提供灯</w:t>
            </w:r>
            <w:r>
              <w:rPr>
                <w:rFonts w:hint="eastAsia" w:ascii="宋体" w:hAnsi="宋体" w:eastAsia="宋体" w:cs="宋体"/>
                <w:sz w:val="24"/>
                <w:szCs w:val="24"/>
                <w:highlight w:val="none"/>
              </w:rPr>
              <w:t>具的国家权威机构出具的灯具检测报告或CQC认证书</w:t>
            </w:r>
            <w:r>
              <w:rPr>
                <w:rFonts w:hint="eastAsia" w:ascii="宋体" w:hAnsi="宋体" w:eastAsia="宋体" w:cs="宋体"/>
                <w:sz w:val="24"/>
                <w:szCs w:val="24"/>
                <w:highlight w:val="none"/>
                <w:lang w:eastAsia="zh-CN"/>
              </w:rPr>
              <w:t>（检测报告可以大于等于所投灯具功率，检测报告色温不做要求）</w:t>
            </w:r>
            <w:r>
              <w:rPr>
                <w:rFonts w:hint="eastAsia" w:ascii="宋体" w:hAnsi="宋体" w:eastAsia="宋体" w:cs="宋体"/>
                <w:sz w:val="24"/>
                <w:szCs w:val="24"/>
                <w:highlight w:val="none"/>
              </w:rPr>
              <w:t>。提供的灯具检测报告或CQC认证书必须为</w:t>
            </w:r>
            <w:r>
              <w:rPr>
                <w:rFonts w:hint="eastAsia" w:ascii="宋体" w:hAnsi="宋体" w:eastAsia="宋体" w:cs="宋体"/>
                <w:sz w:val="24"/>
                <w:szCs w:val="24"/>
                <w:highlight w:val="none"/>
                <w:lang w:eastAsia="zh-CN"/>
              </w:rPr>
              <w:t>所投灯具</w:t>
            </w:r>
            <w:r>
              <w:rPr>
                <w:rFonts w:hint="eastAsia" w:ascii="宋体" w:hAnsi="宋体" w:eastAsia="宋体" w:cs="宋体"/>
                <w:sz w:val="24"/>
                <w:szCs w:val="24"/>
                <w:highlight w:val="none"/>
              </w:rPr>
              <w:t>同尺寸外壳或配光的灯具，灯具检测报告应提供：配光曲线，防护等级，电气安全等内容。</w:t>
            </w:r>
          </w:p>
          <w:p>
            <w:pPr>
              <w:jc w:val="center"/>
              <w:rPr>
                <w:rFonts w:hint="eastAsia" w:ascii="新宋体" w:hAnsi="新宋体" w:eastAsia="新宋体" w:cs="新宋体"/>
                <w:i w:val="0"/>
                <w:iCs w:val="0"/>
                <w:color w:val="000000"/>
                <w:sz w:val="24"/>
                <w:szCs w:val="24"/>
                <w:u w:val="none"/>
              </w:rPr>
            </w:pPr>
          </w:p>
        </w:tc>
      </w:tr>
    </w:tbl>
    <w:p>
      <w:pPr>
        <w:widowControl w:val="0"/>
        <w:spacing w:line="360" w:lineRule="auto"/>
        <w:rPr>
          <w:rFonts w:hint="eastAsia" w:ascii="新宋体" w:hAnsi="新宋体" w:eastAsia="新宋体" w:cs="新宋体"/>
          <w:b/>
          <w:bCs/>
          <w:sz w:val="36"/>
          <w:szCs w:val="36"/>
          <w:lang w:val="en-US" w:eastAsia="zh-CN"/>
        </w:rPr>
      </w:pPr>
    </w:p>
    <w:p>
      <w:pPr>
        <w:widowControl w:val="0"/>
        <w:spacing w:line="360" w:lineRule="auto"/>
        <w:rPr>
          <w:rFonts w:ascii="新宋体" w:hAnsi="新宋体" w:eastAsia="新宋体" w:cs="新宋体"/>
          <w:b/>
          <w:bCs/>
          <w:sz w:val="36"/>
          <w:szCs w:val="36"/>
        </w:rPr>
      </w:pPr>
      <w:r>
        <w:rPr>
          <w:rFonts w:hint="eastAsia" w:ascii="新宋体" w:hAnsi="新宋体" w:eastAsia="新宋体" w:cs="新宋体"/>
          <w:b/>
          <w:bCs/>
          <w:sz w:val="36"/>
          <w:szCs w:val="36"/>
          <w:lang w:eastAsia="zh-CN"/>
        </w:rPr>
        <w:t>三、</w:t>
      </w:r>
      <w:r>
        <w:rPr>
          <w:rFonts w:hint="eastAsia" w:ascii="新宋体" w:hAnsi="新宋体" w:eastAsia="新宋体" w:cs="新宋体"/>
          <w:b/>
          <w:bCs/>
          <w:sz w:val="36"/>
          <w:szCs w:val="36"/>
        </w:rPr>
        <w:t>商务要求：</w:t>
      </w:r>
    </w:p>
    <w:tbl>
      <w:tblPr>
        <w:tblStyle w:val="36"/>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543"/>
        <w:gridCol w:w="67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929" w:type="pct"/>
            <w:tcBorders>
              <w:top w:val="single" w:color="000000" w:sz="4" w:space="0"/>
              <w:left w:val="single" w:color="000000" w:sz="4" w:space="0"/>
              <w:bottom w:val="single" w:color="000000" w:sz="4" w:space="0"/>
              <w:right w:val="single" w:color="000000" w:sz="4" w:space="0"/>
            </w:tcBorders>
          </w:tcPr>
          <w:p>
            <w:pPr>
              <w:pStyle w:val="107"/>
              <w:spacing w:line="295" w:lineRule="auto"/>
              <w:ind w:right="109"/>
              <w:jc w:val="center"/>
              <w:rPr>
                <w:rFonts w:ascii="宋体" w:hAnsi="宋体" w:eastAsia="宋体" w:cs="宋体"/>
              </w:rPr>
            </w:pPr>
            <w:r>
              <w:rPr>
                <w:rFonts w:hint="eastAsia" w:ascii="宋体" w:hAnsi="宋体" w:eastAsia="宋体" w:cs="宋体"/>
              </w:rPr>
              <w:t>售后服务</w:t>
            </w:r>
          </w:p>
          <w:p>
            <w:pPr>
              <w:pStyle w:val="107"/>
              <w:spacing w:line="295" w:lineRule="auto"/>
              <w:ind w:right="109"/>
              <w:jc w:val="center"/>
              <w:rPr>
                <w:rFonts w:ascii="宋体" w:hAnsi="宋体" w:eastAsia="宋体" w:cs="宋体"/>
              </w:rPr>
            </w:pPr>
            <w:r>
              <w:rPr>
                <w:rFonts w:hint="eastAsia" w:ascii="宋体" w:hAnsi="宋体" w:eastAsia="宋体" w:cs="宋体"/>
              </w:rPr>
              <w:t>保障要求</w:t>
            </w:r>
          </w:p>
        </w:tc>
        <w:tc>
          <w:tcPr>
            <w:tcW w:w="4070" w:type="pct"/>
            <w:tcBorders>
              <w:top w:val="single" w:color="000000" w:sz="4" w:space="0"/>
              <w:left w:val="single" w:color="000000" w:sz="4" w:space="0"/>
              <w:bottom w:val="single" w:color="000000" w:sz="4" w:space="0"/>
              <w:right w:val="single" w:color="000000" w:sz="4" w:space="0"/>
            </w:tcBorders>
          </w:tcPr>
          <w:p>
            <w:pPr>
              <w:ind w:right="-48" w:rightChars="-23"/>
              <w:jc w:val="left"/>
              <w:rPr>
                <w:rFonts w:ascii="宋体" w:cs="宋体"/>
              </w:rPr>
            </w:pPr>
            <w:r>
              <w:rPr>
                <w:rFonts w:hint="eastAsia" w:ascii="宋体" w:cs="宋体"/>
              </w:rPr>
              <w:t>1</w:t>
            </w:r>
            <w:r>
              <w:rPr>
                <w:rFonts w:hint="eastAsia" w:ascii="宋体" w:cs="宋体"/>
                <w:spacing w:val="-5"/>
              </w:rPr>
              <w:t>、所有设备均提供三年免费质保。</w:t>
            </w:r>
            <w:r>
              <w:rPr>
                <w:rFonts w:hint="eastAsia" w:ascii="宋体" w:cs="宋体"/>
              </w:rPr>
              <w:t>提供7*24技术服务；供应商接到报修电话后，半小时内能电话响应，一小时内远程服务响应，二小时内现场响应。中标供应商需要提供服务及定期巡检。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4" w:hRule="atLeast"/>
        </w:trPr>
        <w:tc>
          <w:tcPr>
            <w:tcW w:w="929" w:type="pct"/>
            <w:tcBorders>
              <w:top w:val="single" w:color="000000" w:sz="4" w:space="0"/>
              <w:left w:val="single" w:color="000000" w:sz="4" w:space="0"/>
              <w:bottom w:val="single" w:color="000000" w:sz="4" w:space="0"/>
              <w:right w:val="single" w:color="000000" w:sz="4" w:space="0"/>
            </w:tcBorders>
            <w:vAlign w:val="center"/>
          </w:tcPr>
          <w:p>
            <w:pPr>
              <w:pStyle w:val="107"/>
              <w:ind w:left="107"/>
              <w:jc w:val="center"/>
              <w:rPr>
                <w:rFonts w:ascii="宋体" w:hAnsi="宋体" w:eastAsia="宋体" w:cs="宋体"/>
              </w:rPr>
            </w:pPr>
            <w:r>
              <w:rPr>
                <w:rFonts w:hint="eastAsia" w:ascii="宋体" w:hAnsi="宋体" w:eastAsia="宋体" w:cs="宋体"/>
              </w:rPr>
              <w:t>安装</w:t>
            </w:r>
          </w:p>
        </w:tc>
        <w:tc>
          <w:tcPr>
            <w:tcW w:w="4070" w:type="pct"/>
            <w:tcBorders>
              <w:top w:val="single" w:color="000000" w:sz="4" w:space="0"/>
              <w:left w:val="single" w:color="000000" w:sz="4" w:space="0"/>
              <w:bottom w:val="single" w:color="000000" w:sz="4" w:space="0"/>
              <w:right w:val="single" w:color="000000" w:sz="4" w:space="0"/>
            </w:tcBorders>
          </w:tcPr>
          <w:p>
            <w:pPr>
              <w:pStyle w:val="107"/>
              <w:spacing w:before="80"/>
              <w:ind w:left="105"/>
              <w:jc w:val="left"/>
              <w:rPr>
                <w:rFonts w:ascii="宋体" w:hAnsi="宋体" w:eastAsia="宋体" w:cs="宋体"/>
              </w:rPr>
            </w:pPr>
            <w:r>
              <w:rPr>
                <w:rFonts w:hint="eastAsia" w:ascii="宋体" w:hAnsi="宋体" w:eastAsia="宋体" w:cs="宋体"/>
              </w:rPr>
              <w:t>1、满足招标内容与技术需求中的要求。</w:t>
            </w:r>
          </w:p>
          <w:p>
            <w:pPr>
              <w:pStyle w:val="107"/>
              <w:spacing w:before="66"/>
              <w:ind w:left="105"/>
              <w:jc w:val="left"/>
              <w:rPr>
                <w:rFonts w:ascii="宋体" w:hAnsi="宋体" w:eastAsia="宋体" w:cs="宋体"/>
              </w:rPr>
            </w:pPr>
            <w:r>
              <w:rPr>
                <w:rFonts w:hint="eastAsia" w:ascii="宋体" w:hAnsi="宋体" w:eastAsia="宋体" w:cs="宋体"/>
              </w:rPr>
              <w:t>2、投标方在投标文件中应提供安装调试计划、对安装场地和环境的要求。</w:t>
            </w:r>
          </w:p>
          <w:p>
            <w:pPr>
              <w:pStyle w:val="107"/>
              <w:spacing w:before="67" w:line="295" w:lineRule="auto"/>
              <w:ind w:left="105" w:right="231"/>
              <w:jc w:val="left"/>
              <w:rPr>
                <w:rFonts w:ascii="宋体" w:hAnsi="宋体" w:eastAsia="宋体" w:cs="宋体"/>
              </w:rPr>
            </w:pPr>
            <w:r>
              <w:rPr>
                <w:rFonts w:hint="eastAsia" w:ascii="宋体" w:hAnsi="宋体" w:eastAsia="宋体" w:cs="宋体"/>
              </w:rPr>
              <w:t>4</w:t>
            </w:r>
            <w:r>
              <w:rPr>
                <w:rFonts w:hint="eastAsia" w:ascii="宋体" w:hAnsi="宋体" w:eastAsia="宋体" w:cs="宋体"/>
                <w:spacing w:val="-5"/>
              </w:rPr>
              <w:t>、供货与安装：在规定的时间内由于中标供应商的原因不能完成安装和调试，中标供应商应承担由此给用户造成的损失。</w:t>
            </w:r>
          </w:p>
          <w:p>
            <w:pPr>
              <w:pStyle w:val="107"/>
              <w:spacing w:line="291" w:lineRule="exact"/>
              <w:ind w:left="105"/>
              <w:jc w:val="left"/>
              <w:rPr>
                <w:rFonts w:ascii="宋体" w:hAnsi="宋体" w:eastAsia="宋体" w:cs="宋体"/>
              </w:rPr>
            </w:pPr>
            <w:r>
              <w:rPr>
                <w:rFonts w:hint="eastAsia" w:ascii="宋体" w:hAnsi="宋体" w:eastAsia="宋体" w:cs="宋体"/>
              </w:rPr>
              <w:t>5、安装标准：符合我国国家有关技术规范要求和技术标准，所有的产品必须保证同时安装到位。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29" w:type="pct"/>
            <w:tcBorders>
              <w:top w:val="single" w:color="000000" w:sz="4" w:space="0"/>
              <w:left w:val="single" w:color="000000" w:sz="4" w:space="0"/>
              <w:bottom w:val="single" w:color="000000" w:sz="4" w:space="0"/>
              <w:right w:val="single" w:color="000000" w:sz="4" w:space="0"/>
            </w:tcBorders>
            <w:vAlign w:val="center"/>
          </w:tcPr>
          <w:p>
            <w:pPr>
              <w:pStyle w:val="107"/>
              <w:spacing w:before="199"/>
              <w:jc w:val="center"/>
              <w:rPr>
                <w:rFonts w:ascii="宋体" w:hAnsi="宋体" w:eastAsia="宋体" w:cs="宋体"/>
                <w:color w:val="FF0000"/>
              </w:rPr>
            </w:pPr>
            <w:r>
              <w:rPr>
                <w:rFonts w:hint="eastAsia" w:ascii="宋体" w:hAnsi="宋体" w:eastAsia="宋体" w:cs="宋体"/>
              </w:rPr>
              <w:t>安全要求</w:t>
            </w:r>
          </w:p>
        </w:tc>
        <w:tc>
          <w:tcPr>
            <w:tcW w:w="4070" w:type="pct"/>
            <w:tcBorders>
              <w:top w:val="single" w:color="000000" w:sz="4" w:space="0"/>
              <w:left w:val="single" w:color="000000" w:sz="4" w:space="0"/>
              <w:bottom w:val="single" w:color="000000" w:sz="4" w:space="0"/>
              <w:right w:val="single" w:color="000000" w:sz="4" w:space="0"/>
            </w:tcBorders>
          </w:tcPr>
          <w:p>
            <w:pPr>
              <w:pStyle w:val="107"/>
              <w:spacing w:line="360" w:lineRule="atLeast"/>
              <w:ind w:left="105" w:right="121"/>
              <w:jc w:val="left"/>
              <w:rPr>
                <w:rFonts w:ascii="宋体" w:hAnsi="宋体" w:eastAsia="宋体" w:cs="宋体"/>
                <w:bCs/>
                <w:lang w:val="en-US"/>
              </w:rPr>
            </w:pPr>
            <w:r>
              <w:rPr>
                <w:rFonts w:hint="eastAsia" w:ascii="宋体" w:hAnsi="宋体" w:eastAsia="宋体" w:cs="宋体"/>
                <w:bCs/>
                <w:lang w:val="en-US"/>
              </w:rPr>
              <w:t>在送货卸货及安装过程中需注意人员的安全，如在过程中发生安全问题，由中标人全权负责。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929" w:type="pct"/>
            <w:tcBorders>
              <w:top w:val="single" w:color="000000" w:sz="4" w:space="0"/>
              <w:left w:val="single" w:color="000000" w:sz="4" w:space="0"/>
              <w:bottom w:val="single" w:color="000000" w:sz="4" w:space="0"/>
              <w:right w:val="single" w:color="000000" w:sz="4" w:space="0"/>
            </w:tcBorders>
            <w:vAlign w:val="center"/>
          </w:tcPr>
          <w:p>
            <w:pPr>
              <w:pStyle w:val="107"/>
              <w:spacing w:before="199"/>
              <w:ind w:left="107"/>
              <w:jc w:val="center"/>
              <w:rPr>
                <w:rFonts w:ascii="宋体" w:hAnsi="宋体" w:eastAsia="宋体" w:cs="宋体"/>
              </w:rPr>
            </w:pPr>
            <w:r>
              <w:rPr>
                <w:rFonts w:hint="eastAsia" w:ascii="宋体" w:hAnsi="宋体" w:eastAsia="宋体" w:cs="宋体"/>
              </w:rPr>
              <w:t>验收</w:t>
            </w:r>
          </w:p>
        </w:tc>
        <w:tc>
          <w:tcPr>
            <w:tcW w:w="4070" w:type="pct"/>
            <w:tcBorders>
              <w:top w:val="single" w:color="000000" w:sz="4" w:space="0"/>
              <w:left w:val="single" w:color="000000" w:sz="4" w:space="0"/>
              <w:bottom w:val="single" w:color="000000" w:sz="4" w:space="0"/>
              <w:right w:val="single" w:color="000000" w:sz="4" w:space="0"/>
            </w:tcBorders>
          </w:tcPr>
          <w:p>
            <w:pPr>
              <w:pStyle w:val="107"/>
              <w:spacing w:before="77" w:line="295" w:lineRule="auto"/>
              <w:ind w:left="105" w:right="223"/>
              <w:jc w:val="left"/>
              <w:rPr>
                <w:rFonts w:ascii="宋体" w:hAnsi="宋体" w:eastAsia="宋体" w:cs="宋体"/>
              </w:rPr>
            </w:pPr>
            <w:r>
              <w:rPr>
                <w:rFonts w:hint="eastAsia" w:ascii="宋体" w:hAnsi="宋体" w:eastAsia="宋体" w:cs="宋体"/>
              </w:rPr>
              <w:t>1</w:t>
            </w:r>
            <w:r>
              <w:rPr>
                <w:rFonts w:hint="eastAsia" w:ascii="宋体" w:hAnsi="宋体" w:eastAsia="宋体" w:cs="宋体"/>
                <w:spacing w:val="-5"/>
              </w:rPr>
              <w:t>、本项目为交钥匙工程，采购人不再另支付其它任何运输、安装、调试、检测等所需的费用。</w:t>
            </w:r>
          </w:p>
          <w:p>
            <w:pPr>
              <w:pStyle w:val="107"/>
              <w:spacing w:line="291" w:lineRule="exact"/>
              <w:ind w:left="105"/>
              <w:jc w:val="left"/>
              <w:rPr>
                <w:rFonts w:ascii="宋体" w:hAnsi="宋体" w:eastAsia="宋体" w:cs="宋体"/>
              </w:rPr>
            </w:pPr>
            <w:r>
              <w:rPr>
                <w:rFonts w:hint="eastAsia" w:ascii="宋体" w:hAnsi="宋体" w:eastAsia="宋体" w:cs="宋体"/>
              </w:rPr>
              <w:t>2、必须由具有专业资质人员安装。</w:t>
            </w:r>
          </w:p>
          <w:p>
            <w:pPr>
              <w:pStyle w:val="107"/>
              <w:spacing w:before="67" w:line="295" w:lineRule="auto"/>
              <w:ind w:left="105" w:right="121"/>
              <w:jc w:val="left"/>
              <w:rPr>
                <w:rFonts w:ascii="宋体" w:hAnsi="宋体" w:eastAsia="宋体" w:cs="宋体"/>
              </w:rPr>
            </w:pPr>
            <w:r>
              <w:rPr>
                <w:rFonts w:hint="eastAsia" w:ascii="宋体" w:hAnsi="宋体" w:eastAsia="宋体" w:cs="宋体"/>
              </w:rPr>
              <w:t>3</w:t>
            </w:r>
            <w:r>
              <w:rPr>
                <w:rFonts w:hint="eastAsia" w:ascii="宋体" w:hAnsi="宋体" w:eastAsia="宋体" w:cs="宋体"/>
                <w:spacing w:val="-5"/>
              </w:rPr>
              <w:t>、项目产品安装调试，采购人将按规定对货物的品牌、外观、规格、参数配置、数量、配件及安装调试后的使用性能、运行状况、技术资料及其他进行验收，中标人必须在验收现场提供必要的技术支持，验收费用由中标人承担。</w:t>
            </w:r>
          </w:p>
          <w:p>
            <w:pPr>
              <w:pStyle w:val="107"/>
              <w:spacing w:line="295" w:lineRule="auto"/>
              <w:ind w:left="105" w:right="231"/>
              <w:jc w:val="left"/>
              <w:rPr>
                <w:rFonts w:ascii="宋体" w:hAnsi="宋体" w:eastAsia="宋体" w:cs="宋体"/>
              </w:rPr>
            </w:pPr>
            <w:r>
              <w:rPr>
                <w:rFonts w:hint="eastAsia" w:ascii="宋体" w:hAnsi="宋体" w:eastAsia="宋体" w:cs="宋体"/>
              </w:rPr>
              <w:t>4</w:t>
            </w:r>
            <w:r>
              <w:rPr>
                <w:rFonts w:hint="eastAsia" w:ascii="宋体" w:hAnsi="宋体" w:eastAsia="宋体" w:cs="宋体"/>
                <w:spacing w:val="-5"/>
              </w:rPr>
              <w:t>、如发生所供产品与招标文件中规定的产品不符，由此产生的一切责任和后果由中标人承担。</w:t>
            </w:r>
          </w:p>
          <w:p>
            <w:pPr>
              <w:pStyle w:val="107"/>
              <w:spacing w:line="291" w:lineRule="exact"/>
              <w:ind w:left="105"/>
              <w:jc w:val="left"/>
              <w:rPr>
                <w:rFonts w:ascii="宋体" w:hAnsi="宋体" w:eastAsia="宋体" w:cs="宋体"/>
              </w:rPr>
            </w:pPr>
            <w:r>
              <w:rPr>
                <w:rFonts w:hint="eastAsia" w:ascii="宋体" w:hAnsi="宋体" w:eastAsia="宋体" w:cs="宋体"/>
              </w:rPr>
              <w:t>5、质量符合国际或国家通用标准，满足招标文件技术标准部分所规定的全部功能。加</w:t>
            </w:r>
          </w:p>
          <w:p>
            <w:pPr>
              <w:pStyle w:val="107"/>
              <w:spacing w:line="360" w:lineRule="atLeast"/>
              <w:ind w:left="105" w:right="121"/>
              <w:jc w:val="left"/>
              <w:rPr>
                <w:rFonts w:ascii="宋体" w:hAnsi="宋体" w:eastAsia="宋体" w:cs="宋体"/>
              </w:rPr>
            </w:pPr>
            <w:r>
              <w:rPr>
                <w:rFonts w:hint="eastAsia" w:ascii="宋体" w:hAnsi="宋体" w:eastAsia="宋体" w:cs="宋体"/>
              </w:rPr>
              <w:t>“▲”的为关键技术指标，不允许负偏离。如出现质量问题或系假冒伪劣产品，供方负责包退、包换，因此而涉及的全部违约责任和费用由供应方承担。</w:t>
            </w:r>
          </w:p>
          <w:p>
            <w:pPr>
              <w:pStyle w:val="107"/>
              <w:spacing w:line="360" w:lineRule="atLeast"/>
              <w:ind w:left="105" w:right="121"/>
              <w:jc w:val="left"/>
              <w:rPr>
                <w:rFonts w:ascii="宋体" w:hAnsi="宋体" w:eastAsia="宋体" w:cs="宋体"/>
              </w:rPr>
            </w:pPr>
            <w:r>
              <w:rPr>
                <w:rFonts w:hint="eastAsia" w:ascii="宋体" w:hAnsi="宋体" w:eastAsia="宋体" w:cs="宋体"/>
                <w:bCs/>
                <w:lang w:val="en-US"/>
              </w:rPr>
              <w:t>6、</w:t>
            </w:r>
            <w:r>
              <w:rPr>
                <w:rFonts w:hint="eastAsia" w:ascii="宋体" w:hAnsi="宋体" w:eastAsia="宋体" w:cs="宋体"/>
                <w:bCs/>
              </w:rPr>
              <w:t>合同货物及服务的质量、技术标准如在投标、招标文件中无相应说明的则按最近的国家或专业标准及相应的国际标准执行。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929" w:type="pct"/>
            <w:tcBorders>
              <w:top w:val="single" w:color="000000" w:sz="4" w:space="0"/>
              <w:left w:val="single" w:color="000000" w:sz="4" w:space="0"/>
              <w:bottom w:val="single" w:color="000000" w:sz="4" w:space="0"/>
              <w:right w:val="single" w:color="000000" w:sz="4" w:space="0"/>
            </w:tcBorders>
          </w:tcPr>
          <w:p>
            <w:pPr>
              <w:pStyle w:val="107"/>
              <w:spacing w:before="1"/>
              <w:jc w:val="center"/>
              <w:rPr>
                <w:rFonts w:ascii="宋体" w:hAnsi="宋体" w:eastAsia="宋体" w:cs="宋体"/>
              </w:rPr>
            </w:pPr>
          </w:p>
          <w:p>
            <w:pPr>
              <w:pStyle w:val="107"/>
              <w:spacing w:before="1"/>
              <w:jc w:val="center"/>
              <w:rPr>
                <w:rFonts w:ascii="宋体" w:hAnsi="宋体" w:eastAsia="宋体" w:cs="宋体"/>
              </w:rPr>
            </w:pPr>
            <w:r>
              <w:rPr>
                <w:rFonts w:hint="eastAsia" w:ascii="宋体" w:hAnsi="宋体" w:eastAsia="宋体" w:cs="宋体"/>
              </w:rPr>
              <w:t>付款方式</w:t>
            </w:r>
          </w:p>
        </w:tc>
        <w:tc>
          <w:tcPr>
            <w:tcW w:w="4070" w:type="pct"/>
            <w:tcBorders>
              <w:top w:val="single" w:color="000000" w:sz="4" w:space="0"/>
              <w:left w:val="single" w:color="000000" w:sz="4" w:space="0"/>
              <w:bottom w:val="single" w:color="000000" w:sz="4" w:space="0"/>
              <w:right w:val="single" w:color="000000" w:sz="4" w:space="0"/>
            </w:tcBorders>
            <w:vAlign w:val="center"/>
          </w:tcPr>
          <w:p>
            <w:pPr>
              <w:tabs>
                <w:tab w:val="left" w:pos="0"/>
              </w:tabs>
              <w:snapToGrid w:val="0"/>
              <w:spacing w:line="360" w:lineRule="auto"/>
              <w:ind w:firstLine="420" w:firstLineChars="200"/>
              <w:jc w:val="left"/>
              <w:rPr>
                <w:rFonts w:ascii="宋体" w:cs="宋体"/>
              </w:rPr>
            </w:pPr>
            <w:r>
              <w:rPr>
                <w:rFonts w:hint="eastAsia" w:ascii="宋体" w:cs="宋体"/>
                <w:szCs w:val="22"/>
              </w:rPr>
              <w:t>合同生效及具备实施条件后7个工作日内预付合同款的40%，全部供货完毕并验收通过收到发票后7个工作日内支付合同金额的60%。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4" w:hRule="atLeast"/>
        </w:trPr>
        <w:tc>
          <w:tcPr>
            <w:tcW w:w="929" w:type="pct"/>
            <w:tcBorders>
              <w:top w:val="single" w:color="000000" w:sz="4" w:space="0"/>
              <w:left w:val="single" w:color="000000" w:sz="4" w:space="0"/>
              <w:bottom w:val="single" w:color="000000" w:sz="4" w:space="0"/>
              <w:right w:val="single" w:color="000000" w:sz="4" w:space="0"/>
            </w:tcBorders>
            <w:vAlign w:val="center"/>
          </w:tcPr>
          <w:p>
            <w:pPr>
              <w:pStyle w:val="107"/>
              <w:spacing w:before="1"/>
              <w:ind w:left="107"/>
              <w:jc w:val="center"/>
              <w:rPr>
                <w:rFonts w:ascii="宋体" w:hAnsi="宋体" w:eastAsia="宋体" w:cs="宋体"/>
              </w:rPr>
            </w:pPr>
            <w:r>
              <w:rPr>
                <w:rFonts w:hint="eastAsia" w:ascii="宋体" w:hAnsi="宋体" w:eastAsia="宋体" w:cs="宋体"/>
              </w:rPr>
              <w:t>履约保函的赔付情形</w:t>
            </w:r>
          </w:p>
        </w:tc>
        <w:tc>
          <w:tcPr>
            <w:tcW w:w="4070" w:type="pct"/>
            <w:tcBorders>
              <w:top w:val="single" w:color="000000" w:sz="4" w:space="0"/>
              <w:left w:val="single" w:color="000000" w:sz="4" w:space="0"/>
              <w:bottom w:val="single" w:color="000000" w:sz="4" w:space="0"/>
              <w:right w:val="single" w:color="000000" w:sz="4" w:space="0"/>
            </w:tcBorders>
            <w:vAlign w:val="center"/>
          </w:tcPr>
          <w:p>
            <w:pPr>
              <w:jc w:val="left"/>
              <w:rPr>
                <w:rFonts w:ascii="宋体" w:cs="宋体"/>
                <w:szCs w:val="22"/>
              </w:rPr>
            </w:pPr>
            <w:r>
              <w:rPr>
                <w:rFonts w:hint="eastAsia" w:ascii="宋体" w:cs="宋体"/>
                <w:szCs w:val="22"/>
              </w:rPr>
              <w:t>（一）未按照采购协议约定的时间交付货物；</w:t>
            </w:r>
          </w:p>
          <w:p>
            <w:pPr>
              <w:jc w:val="left"/>
              <w:rPr>
                <w:rFonts w:ascii="宋体" w:cs="宋体"/>
                <w:szCs w:val="22"/>
              </w:rPr>
            </w:pPr>
            <w:r>
              <w:rPr>
                <w:rFonts w:hint="eastAsia" w:ascii="宋体" w:cs="宋体"/>
                <w:szCs w:val="22"/>
              </w:rPr>
              <w:t>（二）交付货物的规格、型号、数量、质量等不符合采购协议约定标准；</w:t>
            </w:r>
          </w:p>
          <w:p>
            <w:pPr>
              <w:jc w:val="left"/>
              <w:rPr>
                <w:rFonts w:ascii="宋体" w:cs="宋体"/>
              </w:rPr>
            </w:pPr>
            <w:r>
              <w:rPr>
                <w:rFonts w:hint="eastAsia" w:ascii="宋体" w:cs="宋体"/>
                <w:szCs w:val="22"/>
              </w:rPr>
              <w:t>（三）未按照采购协议约定提供质量保证期“三包”服务。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8" w:hRule="atLeast"/>
        </w:trPr>
        <w:tc>
          <w:tcPr>
            <w:tcW w:w="929" w:type="pct"/>
            <w:tcBorders>
              <w:top w:val="single" w:color="000000" w:sz="4" w:space="0"/>
              <w:left w:val="single" w:color="000000" w:sz="4" w:space="0"/>
              <w:bottom w:val="single" w:color="000000" w:sz="4" w:space="0"/>
              <w:right w:val="single" w:color="000000" w:sz="4" w:space="0"/>
            </w:tcBorders>
            <w:vAlign w:val="center"/>
          </w:tcPr>
          <w:p>
            <w:pPr>
              <w:pStyle w:val="107"/>
              <w:ind w:left="107" w:right="109"/>
              <w:jc w:val="center"/>
              <w:rPr>
                <w:rFonts w:ascii="宋体" w:hAnsi="宋体" w:eastAsia="宋体" w:cs="宋体"/>
              </w:rPr>
            </w:pPr>
            <w:r>
              <w:rPr>
                <w:rFonts w:hint="eastAsia" w:ascii="宋体" w:hAnsi="宋体" w:eastAsia="宋体" w:cs="宋体"/>
              </w:rPr>
              <w:t>交货时间、地点和方式</w:t>
            </w:r>
          </w:p>
        </w:tc>
        <w:tc>
          <w:tcPr>
            <w:tcW w:w="4070" w:type="pct"/>
            <w:tcBorders>
              <w:top w:val="single" w:color="000000" w:sz="4" w:space="0"/>
              <w:left w:val="single" w:color="000000" w:sz="4" w:space="0"/>
              <w:bottom w:val="single" w:color="000000" w:sz="4" w:space="0"/>
              <w:right w:val="single" w:color="000000" w:sz="4" w:space="0"/>
            </w:tcBorders>
          </w:tcPr>
          <w:p>
            <w:pPr>
              <w:pStyle w:val="107"/>
              <w:spacing w:before="66"/>
              <w:ind w:left="105"/>
              <w:jc w:val="left"/>
              <w:rPr>
                <w:rFonts w:ascii="宋体" w:hAnsi="宋体" w:eastAsia="宋体" w:cs="宋体"/>
              </w:rPr>
            </w:pPr>
            <w:r>
              <w:rPr>
                <w:rFonts w:hint="eastAsia" w:ascii="宋体" w:hAnsi="宋体" w:eastAsia="宋体" w:cs="宋体"/>
              </w:rPr>
              <w:t>1、合同签订后</w:t>
            </w:r>
            <w:r>
              <w:rPr>
                <w:rFonts w:hint="eastAsia" w:ascii="宋体" w:hAnsi="宋体" w:eastAsia="宋体" w:cs="宋体"/>
                <w:lang w:val="en-US"/>
              </w:rPr>
              <w:t>30</w:t>
            </w:r>
            <w:r>
              <w:rPr>
                <w:rFonts w:hint="eastAsia" w:ascii="宋体" w:hAnsi="宋体" w:eastAsia="宋体" w:cs="宋体"/>
              </w:rPr>
              <w:t>日内完成产品安装、系统调试和递交项目验收所需凭证。</w:t>
            </w:r>
          </w:p>
          <w:p>
            <w:pPr>
              <w:pStyle w:val="107"/>
              <w:ind w:left="105" w:right="231"/>
              <w:jc w:val="left"/>
              <w:rPr>
                <w:rFonts w:ascii="宋体" w:hAnsi="宋体" w:eastAsia="宋体" w:cs="宋体"/>
              </w:rPr>
            </w:pPr>
            <w:r>
              <w:rPr>
                <w:rFonts w:hint="eastAsia" w:ascii="宋体" w:hAnsi="宋体" w:eastAsia="宋体" w:cs="宋体"/>
              </w:rPr>
              <w:t>2</w:t>
            </w:r>
            <w:r>
              <w:rPr>
                <w:rFonts w:hint="eastAsia" w:ascii="宋体" w:hAnsi="宋体" w:eastAsia="宋体" w:cs="宋体"/>
                <w:spacing w:val="-5"/>
              </w:rPr>
              <w:t>、所有中标产品必须原包装运送到指定地点，原包装内均需有生产厂商标识、装箱清单、使用说明书、质保卡、联系方式等。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1" w:hRule="atLeast"/>
        </w:trPr>
        <w:tc>
          <w:tcPr>
            <w:tcW w:w="929" w:type="pct"/>
            <w:tcBorders>
              <w:top w:val="single" w:color="000000" w:sz="4" w:space="0"/>
              <w:left w:val="single" w:color="000000" w:sz="4" w:space="0"/>
              <w:bottom w:val="single" w:color="000000" w:sz="4" w:space="0"/>
              <w:right w:val="single" w:color="000000" w:sz="4" w:space="0"/>
            </w:tcBorders>
            <w:vAlign w:val="center"/>
          </w:tcPr>
          <w:p>
            <w:pPr>
              <w:pStyle w:val="107"/>
              <w:ind w:left="107" w:right="109"/>
              <w:jc w:val="center"/>
              <w:rPr>
                <w:rFonts w:ascii="宋体" w:hAnsi="宋体" w:eastAsia="宋体" w:cs="宋体"/>
              </w:rPr>
            </w:pPr>
            <w:r>
              <w:rPr>
                <w:rFonts w:hint="eastAsia" w:ascii="宋体" w:hAnsi="宋体" w:eastAsia="宋体" w:cs="宋体"/>
              </w:rPr>
              <w:t>须注意的其他事项</w:t>
            </w:r>
          </w:p>
        </w:tc>
        <w:tc>
          <w:tcPr>
            <w:tcW w:w="4070" w:type="pct"/>
            <w:tcBorders>
              <w:top w:val="single" w:color="000000" w:sz="4" w:space="0"/>
              <w:left w:val="single" w:color="000000" w:sz="4" w:space="0"/>
              <w:bottom w:val="single" w:color="000000" w:sz="4" w:space="0"/>
              <w:right w:val="single" w:color="000000" w:sz="4" w:space="0"/>
            </w:tcBorders>
          </w:tcPr>
          <w:p>
            <w:pPr>
              <w:pStyle w:val="107"/>
              <w:spacing w:before="66"/>
              <w:ind w:left="105"/>
              <w:jc w:val="left"/>
              <w:rPr>
                <w:rFonts w:ascii="宋体" w:hAnsi="宋体" w:eastAsia="宋体" w:cs="宋体"/>
              </w:rPr>
            </w:pPr>
            <w:r>
              <w:rPr>
                <w:rFonts w:hint="eastAsia" w:ascii="宋体" w:hAnsi="宋体" w:eastAsia="宋体" w:cs="宋体"/>
              </w:rPr>
              <w:t>1、中标人需文明安装，保证安全，如在安装过程中发生事故，一切责任由中标人承担。</w:t>
            </w:r>
          </w:p>
          <w:p>
            <w:pPr>
              <w:pStyle w:val="107"/>
              <w:ind w:left="105" w:right="231"/>
              <w:jc w:val="left"/>
              <w:rPr>
                <w:rFonts w:ascii="宋体" w:hAnsi="宋体" w:eastAsia="宋体" w:cs="宋体"/>
              </w:rPr>
            </w:pPr>
            <w:r>
              <w:rPr>
                <w:rFonts w:hint="eastAsia" w:ascii="宋体" w:hAnsi="宋体" w:eastAsia="宋体" w:cs="宋体"/>
              </w:rPr>
              <w:t>2</w:t>
            </w:r>
            <w:r>
              <w:rPr>
                <w:rFonts w:hint="eastAsia" w:ascii="宋体" w:hAnsi="宋体" w:eastAsia="宋体" w:cs="宋体"/>
                <w:spacing w:val="-5"/>
              </w:rPr>
              <w:t>、安装期间，中标人应妥善保管货物、产品、各种材料和器材，如有被盗和其它损失的， 采购人不承担任何责任。</w:t>
            </w:r>
          </w:p>
        </w:tc>
      </w:tr>
    </w:tbl>
    <w:p>
      <w:pPr>
        <w:jc w:val="left"/>
      </w:pPr>
    </w:p>
    <w:p>
      <w:pPr>
        <w:pageBreakBefore/>
        <w:widowControl w:val="0"/>
        <w:tabs>
          <w:tab w:val="left" w:pos="0"/>
        </w:tabs>
        <w:snapToGrid w:val="0"/>
        <w:spacing w:line="360" w:lineRule="auto"/>
        <w:jc w:val="center"/>
        <w:rPr>
          <w:rFonts w:ascii="黑体" w:hAnsi="Calibri" w:eastAsia="黑体" w:cs="Times New Roman"/>
          <w:b/>
          <w:bCs/>
          <w:color w:val="000000"/>
          <w:sz w:val="48"/>
          <w:szCs w:val="48"/>
        </w:rPr>
      </w:pPr>
      <w:r>
        <w:rPr>
          <w:rFonts w:hint="eastAsia" w:ascii="黑体" w:hAnsi="Calibri" w:eastAsia="黑体" w:cs="黑体"/>
          <w:b/>
          <w:bCs/>
          <w:color w:val="000000"/>
          <w:sz w:val="48"/>
          <w:szCs w:val="48"/>
        </w:rPr>
        <w:t>五章</w:t>
      </w:r>
    </w:p>
    <w:p>
      <w:pPr>
        <w:widowControl w:val="0"/>
        <w:tabs>
          <w:tab w:val="left" w:pos="0"/>
        </w:tabs>
        <w:snapToGrid w:val="0"/>
        <w:spacing w:line="360" w:lineRule="auto"/>
        <w:jc w:val="center"/>
        <w:rPr>
          <w:rFonts w:ascii="Calibri" w:hAnsi="Calibri" w:cs="Times New Roman"/>
          <w:b/>
          <w:bCs/>
          <w:color w:val="000000"/>
          <w:sz w:val="32"/>
          <w:szCs w:val="32"/>
        </w:rPr>
      </w:pPr>
      <w:r>
        <w:rPr>
          <w:rFonts w:hint="eastAsia" w:ascii="黑体" w:hAnsi="Calibri" w:eastAsia="黑体" w:cs="黑体"/>
          <w:b/>
          <w:bCs/>
          <w:color w:val="000000"/>
          <w:sz w:val="48"/>
          <w:szCs w:val="48"/>
        </w:rPr>
        <w:t>附件</w:t>
      </w:r>
      <w:r>
        <w:rPr>
          <w:rFonts w:ascii="黑体" w:hAnsi="Calibri" w:eastAsia="黑体" w:cs="Calibri"/>
          <w:b/>
          <w:bCs/>
          <w:color w:val="000000"/>
          <w:sz w:val="48"/>
          <w:szCs w:val="48"/>
        </w:rPr>
        <w:t>—</w:t>
      </w:r>
      <w:r>
        <w:rPr>
          <w:rFonts w:hint="eastAsia" w:ascii="黑体" w:hAnsi="Calibri" w:eastAsia="黑体" w:cs="黑体"/>
          <w:b/>
          <w:bCs/>
          <w:color w:val="000000"/>
          <w:sz w:val="48"/>
          <w:szCs w:val="48"/>
        </w:rPr>
        <w:t>投标文件格式</w:t>
      </w:r>
    </w:p>
    <w:p>
      <w:pPr>
        <w:widowControl w:val="0"/>
        <w:tabs>
          <w:tab w:val="left" w:pos="0"/>
        </w:tabs>
        <w:snapToGrid w:val="0"/>
        <w:spacing w:line="360" w:lineRule="auto"/>
        <w:rPr>
          <w:rFonts w:ascii="Calibri" w:hAnsi="Calibri" w:cs="Times New Roman"/>
          <w:b/>
          <w:bCs/>
          <w:color w:val="000000"/>
          <w:sz w:val="32"/>
          <w:szCs w:val="32"/>
        </w:rPr>
      </w:pPr>
    </w:p>
    <w:p>
      <w:pPr>
        <w:widowControl w:val="0"/>
        <w:spacing w:line="480" w:lineRule="auto"/>
        <w:rPr>
          <w:rFonts w:ascii="仿宋" w:hAnsi="仿宋" w:eastAsia="仿宋"/>
          <w:b/>
          <w:sz w:val="30"/>
          <w:szCs w:val="30"/>
        </w:rPr>
      </w:pPr>
      <w:r>
        <w:rPr>
          <w:rFonts w:ascii="Calibri" w:hAnsi="Calibri" w:cs="Times New Roman"/>
          <w:b/>
          <w:bCs/>
          <w:color w:val="000000"/>
          <w:sz w:val="32"/>
          <w:szCs w:val="32"/>
        </w:rPr>
        <w:br w:type="page"/>
      </w:r>
      <w:r>
        <w:rPr>
          <w:rFonts w:hint="eastAsia" w:ascii="仿宋" w:hAnsi="仿宋" w:eastAsia="仿宋"/>
          <w:sz w:val="30"/>
          <w:szCs w:val="30"/>
        </w:rPr>
        <w:t>附件1</w:t>
      </w:r>
      <w:r>
        <w:rPr>
          <w:rFonts w:hint="eastAsia" w:ascii="仿宋" w:hAnsi="仿宋" w:eastAsia="仿宋"/>
          <w:b/>
          <w:sz w:val="30"/>
          <w:szCs w:val="30"/>
        </w:rPr>
        <w:t xml:space="preserve">：                                          </w:t>
      </w:r>
    </w:p>
    <w:p>
      <w:pPr>
        <w:snapToGrid w:val="0"/>
        <w:spacing w:before="165" w:beforeLines="50" w:after="50"/>
        <w:ind w:right="150"/>
        <w:jc w:val="right"/>
        <w:rPr>
          <w:rFonts w:ascii="仿宋" w:hAnsi="仿宋" w:eastAsia="仿宋"/>
          <w:bCs/>
          <w:sz w:val="30"/>
          <w:szCs w:val="30"/>
        </w:rPr>
      </w:pPr>
    </w:p>
    <w:p>
      <w:pPr>
        <w:ind w:right="-110"/>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331" w:beforeLines="100" w:line="240" w:lineRule="atLeast"/>
        <w:jc w:val="center"/>
        <w:rPr>
          <w:rFonts w:ascii="仿宋" w:hAnsi="仿宋" w:eastAsia="仿宋"/>
          <w:sz w:val="36"/>
          <w:szCs w:val="36"/>
        </w:rPr>
      </w:pPr>
      <w:r>
        <w:rPr>
          <w:rFonts w:hint="eastAsia" w:ascii="仿宋" w:hAnsi="仿宋" w:eastAsia="仿宋"/>
          <w:sz w:val="36"/>
          <w:szCs w:val="36"/>
        </w:rPr>
        <w:t>项目编号：</w:t>
      </w:r>
    </w:p>
    <w:p>
      <w:pPr>
        <w:spacing w:after="100" w:afterAutospacing="1" w:line="800" w:lineRule="exact"/>
        <w:ind w:right="-108"/>
        <w:jc w:val="center"/>
        <w:rPr>
          <w:rFonts w:ascii="仿宋" w:hAnsi="仿宋" w:eastAsia="仿宋"/>
          <w:b/>
          <w:spacing w:val="40"/>
          <w:sz w:val="84"/>
          <w:szCs w:val="84"/>
        </w:rPr>
      </w:pPr>
    </w:p>
    <w:p>
      <w:pPr>
        <w:spacing w:after="100" w:afterAutospacing="1" w:line="800" w:lineRule="exact"/>
        <w:ind w:right="-108"/>
        <w:jc w:val="center"/>
        <w:rPr>
          <w:rFonts w:ascii="仿宋" w:hAnsi="仿宋" w:eastAsia="仿宋"/>
          <w:b/>
          <w:spacing w:val="40"/>
          <w:sz w:val="84"/>
          <w:szCs w:val="84"/>
        </w:rPr>
      </w:pPr>
      <w:r>
        <w:rPr>
          <w:rFonts w:hint="eastAsia" w:ascii="仿宋" w:hAnsi="仿宋" w:eastAsia="仿宋"/>
          <w:b/>
          <w:spacing w:val="40"/>
          <w:sz w:val="84"/>
          <w:szCs w:val="84"/>
        </w:rPr>
        <w:t>资</w:t>
      </w:r>
    </w:p>
    <w:p>
      <w:pPr>
        <w:spacing w:after="100" w:afterAutospacing="1" w:line="800" w:lineRule="exact"/>
        <w:ind w:right="-108"/>
        <w:jc w:val="center"/>
        <w:rPr>
          <w:rFonts w:ascii="仿宋" w:hAnsi="仿宋" w:eastAsia="仿宋"/>
          <w:b/>
          <w:spacing w:val="40"/>
          <w:sz w:val="84"/>
          <w:szCs w:val="84"/>
        </w:rPr>
      </w:pPr>
    </w:p>
    <w:p>
      <w:pPr>
        <w:spacing w:after="100" w:afterAutospacing="1" w:line="800" w:lineRule="exact"/>
        <w:ind w:right="-108"/>
        <w:jc w:val="center"/>
        <w:rPr>
          <w:rFonts w:ascii="仿宋" w:hAnsi="仿宋" w:eastAsia="仿宋"/>
          <w:b/>
          <w:spacing w:val="40"/>
          <w:sz w:val="84"/>
          <w:szCs w:val="84"/>
        </w:rPr>
      </w:pPr>
      <w:r>
        <w:rPr>
          <w:rFonts w:hint="eastAsia" w:ascii="仿宋" w:hAnsi="仿宋" w:eastAsia="仿宋"/>
          <w:b/>
          <w:spacing w:val="40"/>
          <w:sz w:val="84"/>
          <w:szCs w:val="84"/>
        </w:rPr>
        <w:t>质</w:t>
      </w:r>
    </w:p>
    <w:p>
      <w:pPr>
        <w:spacing w:after="100" w:afterAutospacing="1" w:line="800" w:lineRule="exact"/>
        <w:ind w:right="-108"/>
        <w:jc w:val="center"/>
        <w:rPr>
          <w:rFonts w:ascii="仿宋" w:hAnsi="仿宋" w:eastAsia="仿宋"/>
          <w:b/>
          <w:spacing w:val="40"/>
          <w:sz w:val="84"/>
          <w:szCs w:val="84"/>
        </w:rPr>
      </w:pPr>
    </w:p>
    <w:p>
      <w:pPr>
        <w:spacing w:after="100" w:afterAutospacing="1" w:line="800" w:lineRule="exact"/>
        <w:ind w:right="-108"/>
        <w:jc w:val="center"/>
        <w:rPr>
          <w:rFonts w:ascii="仿宋" w:hAnsi="仿宋" w:eastAsia="仿宋"/>
          <w:b/>
          <w:spacing w:val="40"/>
          <w:sz w:val="84"/>
          <w:szCs w:val="84"/>
        </w:rPr>
      </w:pPr>
      <w:r>
        <w:rPr>
          <w:rFonts w:hint="eastAsia" w:ascii="仿宋" w:hAnsi="仿宋" w:eastAsia="仿宋"/>
          <w:b/>
          <w:spacing w:val="40"/>
          <w:sz w:val="84"/>
          <w:szCs w:val="84"/>
        </w:rPr>
        <w:t>文</w:t>
      </w:r>
    </w:p>
    <w:p>
      <w:pPr>
        <w:spacing w:after="100" w:afterAutospacing="1" w:line="800" w:lineRule="exact"/>
        <w:ind w:right="-108"/>
        <w:jc w:val="center"/>
        <w:rPr>
          <w:rFonts w:ascii="仿宋" w:hAnsi="仿宋" w:eastAsia="仿宋"/>
          <w:b/>
          <w:spacing w:val="40"/>
          <w:sz w:val="84"/>
          <w:szCs w:val="84"/>
        </w:rPr>
      </w:pPr>
    </w:p>
    <w:p>
      <w:pPr>
        <w:spacing w:after="100" w:afterAutospacing="1" w:line="800" w:lineRule="exact"/>
        <w:ind w:right="-108"/>
        <w:jc w:val="center"/>
        <w:rPr>
          <w:rFonts w:ascii="仿宋" w:hAnsi="仿宋" w:eastAsia="仿宋"/>
          <w:sz w:val="36"/>
          <w:szCs w:val="36"/>
        </w:rPr>
      </w:pPr>
      <w:r>
        <w:rPr>
          <w:rFonts w:hint="eastAsia" w:ascii="仿宋" w:hAnsi="仿宋" w:eastAsia="仿宋"/>
          <w:b/>
          <w:spacing w:val="40"/>
          <w:sz w:val="84"/>
          <w:szCs w:val="84"/>
        </w:rPr>
        <w:t>件</w:t>
      </w:r>
    </w:p>
    <w:p>
      <w:pPr>
        <w:spacing w:line="600" w:lineRule="exact"/>
        <w:ind w:right="532" w:firstLine="720" w:firstLineChars="200"/>
        <w:rPr>
          <w:rFonts w:ascii="仿宋" w:hAnsi="仿宋" w:eastAsia="仿宋"/>
          <w:sz w:val="36"/>
          <w:szCs w:val="36"/>
        </w:rPr>
      </w:pPr>
      <w:r>
        <w:rPr>
          <w:rFonts w:hint="eastAsia" w:ascii="仿宋" w:hAnsi="仿宋" w:eastAsia="仿宋"/>
          <w:sz w:val="36"/>
          <w:szCs w:val="36"/>
        </w:rPr>
        <w:t>投标人全称：</w:t>
      </w:r>
    </w:p>
    <w:p>
      <w:pPr>
        <w:spacing w:line="600" w:lineRule="exact"/>
        <w:ind w:right="532" w:firstLine="720" w:firstLineChars="200"/>
        <w:rPr>
          <w:rFonts w:ascii="仿宋" w:hAnsi="仿宋" w:eastAsia="仿宋"/>
          <w:sz w:val="36"/>
          <w:szCs w:val="36"/>
        </w:rPr>
      </w:pPr>
      <w:r>
        <w:rPr>
          <w:rFonts w:hint="eastAsia" w:ascii="仿宋" w:hAnsi="仿宋" w:eastAsia="仿宋"/>
          <w:sz w:val="36"/>
          <w:szCs w:val="36"/>
        </w:rPr>
        <w:t>地    址：</w:t>
      </w:r>
    </w:p>
    <w:p>
      <w:pPr>
        <w:spacing w:line="600" w:lineRule="exact"/>
        <w:ind w:right="532" w:firstLine="720" w:firstLineChars="200"/>
        <w:rPr>
          <w:rFonts w:ascii="仿宋" w:hAnsi="仿宋" w:eastAsia="仿宋"/>
          <w:sz w:val="36"/>
          <w:szCs w:val="36"/>
        </w:rPr>
      </w:pPr>
      <w:r>
        <w:rPr>
          <w:rFonts w:hint="eastAsia" w:ascii="仿宋" w:hAnsi="仿宋" w:eastAsia="仿宋"/>
          <w:sz w:val="36"/>
          <w:szCs w:val="36"/>
        </w:rPr>
        <w:t>时    间：</w:t>
      </w:r>
    </w:p>
    <w:p>
      <w:pPr>
        <w:snapToGrid w:val="0"/>
        <w:spacing w:before="50" w:after="50"/>
        <w:rPr>
          <w:rFonts w:ascii="仿宋" w:hAnsi="仿宋" w:eastAsia="仿宋"/>
          <w:b/>
          <w:bCs/>
          <w:sz w:val="36"/>
          <w:szCs w:val="36"/>
        </w:rPr>
      </w:pPr>
      <w:r>
        <w:rPr>
          <w:rFonts w:ascii="仿宋" w:hAnsi="仿宋" w:eastAsia="仿宋"/>
          <w:b/>
          <w:sz w:val="36"/>
          <w:szCs w:val="36"/>
        </w:rPr>
        <w:br w:type="page"/>
      </w:r>
      <w:r>
        <w:rPr>
          <w:rFonts w:hint="eastAsia" w:ascii="仿宋" w:hAnsi="仿宋" w:eastAsia="仿宋"/>
          <w:b/>
          <w:sz w:val="36"/>
          <w:szCs w:val="36"/>
        </w:rPr>
        <w:t>1、</w:t>
      </w:r>
      <w:r>
        <w:rPr>
          <w:rFonts w:hint="eastAsia" w:ascii="仿宋" w:hAnsi="仿宋" w:eastAsia="仿宋"/>
          <w:b/>
          <w:bCs/>
          <w:sz w:val="36"/>
          <w:szCs w:val="36"/>
        </w:rPr>
        <w:t>资质文件目录</w:t>
      </w:r>
    </w:p>
    <w:p>
      <w:pPr>
        <w:snapToGrid w:val="0"/>
        <w:spacing w:before="50" w:after="50"/>
        <w:rPr>
          <w:rFonts w:ascii="仿宋" w:hAnsi="仿宋" w:eastAsia="仿宋"/>
          <w:sz w:val="30"/>
          <w:szCs w:val="30"/>
        </w:rPr>
      </w:pPr>
    </w:p>
    <w:p>
      <w:pPr>
        <w:numPr>
          <w:ilvl w:val="0"/>
          <w:numId w:val="18"/>
        </w:numPr>
        <w:snapToGrid w:val="0"/>
        <w:spacing w:line="460" w:lineRule="exact"/>
        <w:ind w:firstLine="588"/>
        <w:jc w:val="left"/>
        <w:rPr>
          <w:rFonts w:ascii="仿宋" w:hAnsi="仿宋" w:eastAsia="仿宋"/>
          <w:sz w:val="30"/>
          <w:szCs w:val="30"/>
        </w:rPr>
      </w:pPr>
      <w:r>
        <w:rPr>
          <w:rFonts w:hint="eastAsia" w:ascii="仿宋" w:hAnsi="仿宋" w:eastAsia="仿宋"/>
          <w:sz w:val="30"/>
          <w:szCs w:val="30"/>
        </w:rPr>
        <w:t>投标承诺函(格式见附件）；</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（2）投标声明书 (格式见附件，含重大违法记录声明)；</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（3）法定代表人授权委托书(格式见附件)；</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（4）提供有效的营业执照复印件并加盖公司公章；事业单位的，则提供有效的《事业单位法人证书》副本复印件并加盖单位公章；自然人的，则提供有效的身份证复印件并签字；</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（5）中小企业声明函(格式见附件)（如有）；</w:t>
      </w:r>
    </w:p>
    <w:p>
      <w:pPr>
        <w:snapToGrid w:val="0"/>
        <w:spacing w:line="460" w:lineRule="exact"/>
        <w:ind w:firstLine="588" w:firstLineChars="196"/>
        <w:jc w:val="left"/>
        <w:rPr>
          <w:rFonts w:ascii="仿宋" w:hAnsi="仿宋" w:eastAsia="仿宋"/>
          <w:sz w:val="30"/>
          <w:szCs w:val="30"/>
        </w:rPr>
      </w:pPr>
      <w:r>
        <w:rPr>
          <w:rFonts w:hint="eastAsia" w:ascii="仿宋" w:hAnsi="仿宋" w:eastAsia="仿宋"/>
          <w:sz w:val="30"/>
          <w:szCs w:val="30"/>
        </w:rPr>
        <w:t>（6）招标代理服务费承诺书(格式见附件)；</w:t>
      </w:r>
    </w:p>
    <w:p>
      <w:pPr>
        <w:snapToGrid w:val="0"/>
        <w:spacing w:line="460" w:lineRule="exact"/>
        <w:ind w:firstLine="588" w:firstLineChars="196"/>
        <w:jc w:val="left"/>
        <w:rPr>
          <w:rFonts w:ascii="仿宋" w:hAnsi="仿宋" w:eastAsia="仿宋"/>
          <w:sz w:val="30"/>
          <w:szCs w:val="30"/>
        </w:rPr>
      </w:pPr>
    </w:p>
    <w:p>
      <w:pPr>
        <w:snapToGrid w:val="0"/>
        <w:spacing w:before="50" w:after="165" w:afterLines="50" w:line="460" w:lineRule="exact"/>
        <w:jc w:val="left"/>
        <w:rPr>
          <w:rFonts w:ascii="仿宋" w:hAnsi="仿宋" w:eastAsia="仿宋"/>
          <w:sz w:val="30"/>
          <w:szCs w:val="30"/>
        </w:rPr>
      </w:pPr>
    </w:p>
    <w:p>
      <w:pPr>
        <w:pStyle w:val="20"/>
        <w:snapToGrid w:val="0"/>
        <w:spacing w:before="120" w:after="120"/>
        <w:rPr>
          <w:rFonts w:ascii="仿宋" w:hAnsi="仿宋" w:eastAsia="仿宋"/>
          <w:sz w:val="30"/>
          <w:szCs w:val="30"/>
        </w:rPr>
      </w:pPr>
    </w:p>
    <w:p>
      <w:pPr>
        <w:pStyle w:val="20"/>
        <w:snapToGrid w:val="0"/>
        <w:spacing w:before="120" w:after="120"/>
        <w:rPr>
          <w:rFonts w:ascii="仿宋" w:hAnsi="仿宋" w:eastAsia="仿宋"/>
          <w:sz w:val="30"/>
          <w:szCs w:val="30"/>
        </w:rPr>
      </w:pPr>
    </w:p>
    <w:p>
      <w:pPr>
        <w:pStyle w:val="20"/>
        <w:snapToGrid w:val="0"/>
        <w:spacing w:before="120" w:after="120"/>
        <w:rPr>
          <w:rFonts w:ascii="仿宋" w:hAnsi="仿宋" w:eastAsia="仿宋"/>
          <w:sz w:val="30"/>
          <w:szCs w:val="30"/>
        </w:rPr>
      </w:pPr>
    </w:p>
    <w:p>
      <w:pPr>
        <w:pStyle w:val="20"/>
        <w:snapToGrid w:val="0"/>
        <w:spacing w:before="120" w:after="120"/>
        <w:rPr>
          <w:rFonts w:ascii="仿宋" w:hAnsi="仿宋" w:eastAsia="仿宋"/>
          <w:sz w:val="30"/>
          <w:szCs w:val="30"/>
        </w:rPr>
      </w:pPr>
    </w:p>
    <w:p>
      <w:pPr>
        <w:pStyle w:val="20"/>
        <w:snapToGrid w:val="0"/>
        <w:spacing w:before="120" w:after="120"/>
        <w:rPr>
          <w:rFonts w:ascii="仿宋" w:hAnsi="仿宋" w:eastAsia="仿宋"/>
          <w:sz w:val="30"/>
          <w:szCs w:val="30"/>
        </w:rPr>
      </w:pPr>
    </w:p>
    <w:p>
      <w:pPr>
        <w:rPr>
          <w:rFonts w:ascii="宋体" w:cs="宋体"/>
          <w:b/>
          <w:bCs/>
          <w:sz w:val="36"/>
          <w:szCs w:val="36"/>
        </w:rPr>
      </w:pPr>
      <w:r>
        <w:rPr>
          <w:rFonts w:hint="eastAsia" w:ascii="仿宋" w:hAnsi="仿宋" w:eastAsia="仿宋"/>
          <w:sz w:val="30"/>
          <w:szCs w:val="30"/>
        </w:rPr>
        <w:br w:type="page"/>
      </w:r>
      <w:r>
        <w:rPr>
          <w:rFonts w:hint="eastAsia" w:ascii="宋体" w:cs="宋体"/>
          <w:b/>
          <w:bCs/>
          <w:sz w:val="36"/>
          <w:szCs w:val="36"/>
        </w:rPr>
        <w:t>附件2             投标承诺函</w:t>
      </w:r>
    </w:p>
    <w:p>
      <w:pPr>
        <w:pStyle w:val="19"/>
        <w:rPr>
          <w:rFonts w:ascii="宋体" w:hAnsi="宋体" w:cs="宋体"/>
        </w:rPr>
      </w:pPr>
    </w:p>
    <w:p>
      <w:pPr>
        <w:spacing w:line="360" w:lineRule="auto"/>
        <w:rPr>
          <w:rFonts w:ascii="宋体" w:cs="宋体"/>
          <w:sz w:val="24"/>
        </w:rPr>
      </w:pPr>
      <w:r>
        <w:rPr>
          <w:rFonts w:hint="eastAsia" w:ascii="宋体" w:cs="宋体"/>
          <w:sz w:val="24"/>
        </w:rPr>
        <w:t>致（采购人、采购代理机构）：</w:t>
      </w:r>
    </w:p>
    <w:p>
      <w:pPr>
        <w:spacing w:line="360" w:lineRule="auto"/>
        <w:ind w:firstLine="480" w:firstLineChars="200"/>
        <w:rPr>
          <w:rFonts w:ascii="宋体" w:cs="宋体"/>
          <w:sz w:val="24"/>
        </w:rPr>
      </w:pPr>
      <w:r>
        <w:rPr>
          <w:rFonts w:hint="eastAsia" w:ascii="宋体" w:cs="宋体"/>
          <w:sz w:val="24"/>
        </w:rPr>
        <w:t>（投标人名称）系中华人民共和国合法企业，愿意就贵方组织的（招标项目名称）（编号为：            ）项目进行投标，并就本次投标郑重承诺如下：</w:t>
      </w:r>
    </w:p>
    <w:p>
      <w:pPr>
        <w:spacing w:line="360" w:lineRule="auto"/>
        <w:ind w:firstLine="480" w:firstLineChars="200"/>
        <w:rPr>
          <w:rFonts w:ascii="宋体" w:cs="宋体"/>
          <w:sz w:val="24"/>
        </w:rPr>
      </w:pPr>
      <w:r>
        <w:rPr>
          <w:rFonts w:hint="eastAsia" w:ascii="宋体" w:cs="宋体"/>
          <w:sz w:val="24"/>
        </w:rPr>
        <w:t>若我方在投标过程中出现如下情形的，视为我方违约，我方将自愿向采购人按项目预算金额2%支付赔偿金，并承担代理机构本次项目招标代理费用及承担其他相应的法律责任（详见备注），且承诺不以任何理由寻求任何旨在减轻或免除赔偿责任、法律责任的抗辩：</w:t>
      </w:r>
    </w:p>
    <w:p>
      <w:pPr>
        <w:spacing w:line="360" w:lineRule="auto"/>
        <w:ind w:firstLine="480" w:firstLineChars="200"/>
        <w:rPr>
          <w:rFonts w:ascii="宋体" w:cs="宋体"/>
          <w:sz w:val="24"/>
        </w:rPr>
      </w:pPr>
      <w:r>
        <w:rPr>
          <w:rFonts w:hint="eastAsia" w:ascii="宋体" w:cs="宋体"/>
          <w:sz w:val="24"/>
        </w:rPr>
        <w:t>（1）在投标有效期60历天内撤回投标的；</w:t>
      </w:r>
    </w:p>
    <w:p>
      <w:pPr>
        <w:spacing w:line="360" w:lineRule="auto"/>
        <w:ind w:firstLine="480" w:firstLineChars="200"/>
        <w:rPr>
          <w:rFonts w:ascii="宋体" w:cs="宋体"/>
          <w:sz w:val="24"/>
        </w:rPr>
      </w:pPr>
      <w:r>
        <w:rPr>
          <w:rFonts w:hint="eastAsia" w:ascii="宋体" w:cs="宋体"/>
          <w:sz w:val="24"/>
        </w:rPr>
        <w:t>（2）未按规定缴付采购代理服务费的；</w:t>
      </w:r>
    </w:p>
    <w:p>
      <w:pPr>
        <w:spacing w:line="360" w:lineRule="auto"/>
        <w:ind w:firstLine="480" w:firstLineChars="200"/>
        <w:rPr>
          <w:rFonts w:ascii="宋体" w:cs="宋体"/>
          <w:sz w:val="24"/>
        </w:rPr>
      </w:pPr>
      <w:r>
        <w:rPr>
          <w:rFonts w:hint="eastAsia" w:ascii="宋体" w:cs="宋体"/>
          <w:sz w:val="24"/>
        </w:rPr>
        <w:t>（3）中标后拒签合同或拖延签订合同超过规定时间的；</w:t>
      </w:r>
    </w:p>
    <w:p>
      <w:pPr>
        <w:spacing w:line="360" w:lineRule="auto"/>
        <w:ind w:firstLine="480" w:firstLineChars="200"/>
        <w:rPr>
          <w:rFonts w:ascii="宋体" w:cs="宋体"/>
          <w:sz w:val="24"/>
        </w:rPr>
      </w:pPr>
      <w:r>
        <w:rPr>
          <w:rFonts w:hint="eastAsia" w:ascii="宋体" w:cs="宋体"/>
          <w:sz w:val="24"/>
        </w:rPr>
        <w:t>（4）在投标过程中弄虚作假，提供虚假材料的；</w:t>
      </w:r>
    </w:p>
    <w:p>
      <w:pPr>
        <w:spacing w:line="360" w:lineRule="auto"/>
        <w:ind w:firstLine="480" w:firstLineChars="200"/>
        <w:rPr>
          <w:rFonts w:ascii="宋体" w:cs="宋体"/>
          <w:sz w:val="24"/>
        </w:rPr>
      </w:pPr>
      <w:r>
        <w:rPr>
          <w:rFonts w:hint="eastAsia" w:ascii="宋体" w:cs="宋体"/>
          <w:sz w:val="24"/>
        </w:rPr>
        <w:t>（5）出现串通投标的；</w:t>
      </w:r>
    </w:p>
    <w:p>
      <w:pPr>
        <w:spacing w:line="360" w:lineRule="auto"/>
        <w:ind w:firstLine="480" w:firstLineChars="200"/>
        <w:rPr>
          <w:rFonts w:ascii="宋体" w:cs="宋体"/>
          <w:sz w:val="24"/>
        </w:rPr>
      </w:pPr>
      <w:r>
        <w:rPr>
          <w:rFonts w:hint="eastAsia" w:ascii="宋体" w:cs="宋体"/>
          <w:sz w:val="24"/>
        </w:rPr>
        <w:t>（6）严重扰乱招投标程序的；</w:t>
      </w:r>
    </w:p>
    <w:p>
      <w:pPr>
        <w:spacing w:line="360" w:lineRule="auto"/>
        <w:ind w:firstLine="480" w:firstLineChars="200"/>
        <w:rPr>
          <w:rFonts w:ascii="宋体" w:cs="宋体"/>
          <w:sz w:val="24"/>
        </w:rPr>
      </w:pPr>
      <w:r>
        <w:rPr>
          <w:rFonts w:hint="eastAsia" w:ascii="宋体" w:cs="宋体"/>
          <w:sz w:val="24"/>
        </w:rPr>
        <w:t>（7）其他违法违规导致被废除投标或中标资格的；</w:t>
      </w:r>
    </w:p>
    <w:p>
      <w:pPr>
        <w:spacing w:line="360" w:lineRule="auto"/>
        <w:ind w:firstLine="480" w:firstLineChars="200"/>
        <w:rPr>
          <w:rFonts w:ascii="宋体" w:cs="宋体"/>
          <w:sz w:val="24"/>
        </w:rPr>
      </w:pPr>
      <w:r>
        <w:rPr>
          <w:rFonts w:hint="eastAsia" w:ascii="宋体" w:cs="宋体"/>
          <w:sz w:val="24"/>
        </w:rPr>
        <w:t xml:space="preserve">授权代表签名：                      </w:t>
      </w:r>
    </w:p>
    <w:p>
      <w:pPr>
        <w:spacing w:line="360" w:lineRule="auto"/>
        <w:ind w:firstLine="480" w:firstLineChars="200"/>
        <w:rPr>
          <w:rFonts w:ascii="宋体" w:cs="宋体"/>
          <w:sz w:val="24"/>
        </w:rPr>
      </w:pPr>
      <w:r>
        <w:rPr>
          <w:rFonts w:hint="eastAsia" w:ascii="宋体" w:cs="宋体"/>
          <w:sz w:val="24"/>
        </w:rPr>
        <w:t>投标单位名称（公章）：</w:t>
      </w:r>
    </w:p>
    <w:p>
      <w:pPr>
        <w:spacing w:line="360" w:lineRule="auto"/>
        <w:ind w:firstLine="480" w:firstLineChars="200"/>
        <w:rPr>
          <w:rFonts w:ascii="宋体" w:cs="宋体"/>
          <w:sz w:val="24"/>
        </w:rPr>
      </w:pPr>
      <w:r>
        <w:rPr>
          <w:rFonts w:hint="eastAsia" w:ascii="宋体" w:cs="宋体"/>
          <w:sz w:val="24"/>
        </w:rPr>
        <w:t>日期：    年   月    日</w:t>
      </w:r>
    </w:p>
    <w:p>
      <w:pPr>
        <w:spacing w:line="360" w:lineRule="auto"/>
        <w:ind w:firstLine="480" w:firstLineChars="200"/>
        <w:rPr>
          <w:rFonts w:ascii="宋体" w:cs="宋体"/>
          <w:sz w:val="24"/>
        </w:rPr>
      </w:pPr>
      <w:r>
        <w:rPr>
          <w:rFonts w:hint="eastAsia" w:ascii="宋体" w:cs="宋体"/>
          <w:sz w:val="24"/>
        </w:rPr>
        <w:t>备注：</w:t>
      </w:r>
    </w:p>
    <w:p>
      <w:pPr>
        <w:spacing w:line="360" w:lineRule="auto"/>
        <w:ind w:firstLine="480" w:firstLineChars="200"/>
        <w:rPr>
          <w:rFonts w:ascii="宋体" w:cs="宋体"/>
          <w:sz w:val="24"/>
        </w:rPr>
      </w:pPr>
      <w:r>
        <w:rPr>
          <w:rFonts w:hint="eastAsia" w:ascii="宋体" w:cs="宋体"/>
          <w:sz w:val="24"/>
        </w:rPr>
        <w:t>1.本投标承诺函作为资格标资料之一，未提供的视为无法保证投标响应和履约服务能力，资格审查不予通过。</w:t>
      </w:r>
    </w:p>
    <w:p>
      <w:pPr>
        <w:spacing w:line="360" w:lineRule="auto"/>
        <w:ind w:firstLine="480" w:firstLineChars="200"/>
        <w:rPr>
          <w:rFonts w:ascii="宋体" w:cs="宋体"/>
          <w:sz w:val="24"/>
        </w:rPr>
      </w:pPr>
      <w:r>
        <w:rPr>
          <w:rFonts w:hint="eastAsia" w:ascii="宋体" w:cs="宋体"/>
          <w:sz w:val="24"/>
        </w:rPr>
        <w:t>2.根据政府采购法实施条例第七十二条，供应商中标或者成交后无正当理由拒不与采购人签订政府采购合同的，依照政府采购法第七十七条第一款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napToGrid w:val="0"/>
        <w:spacing w:before="50" w:after="165" w:afterLines="50"/>
        <w:jc w:val="left"/>
        <w:rPr>
          <w:rFonts w:ascii="仿宋" w:hAnsi="仿宋" w:eastAsia="仿宋"/>
          <w:sz w:val="30"/>
          <w:szCs w:val="30"/>
        </w:rPr>
      </w:pPr>
      <w:r>
        <w:rPr>
          <w:rFonts w:hint="eastAsia" w:ascii="仿宋" w:hAnsi="仿宋" w:eastAsia="仿宋"/>
          <w:sz w:val="30"/>
          <w:szCs w:val="30"/>
        </w:rPr>
        <w:t>附件3</w:t>
      </w:r>
    </w:p>
    <w:p>
      <w:pPr>
        <w:snapToGrid w:val="0"/>
        <w:spacing w:before="50" w:after="50"/>
        <w:jc w:val="center"/>
        <w:rPr>
          <w:rFonts w:ascii="仿宋" w:hAnsi="仿宋" w:eastAsia="仿宋"/>
          <w:b/>
          <w:sz w:val="36"/>
          <w:szCs w:val="36"/>
        </w:rPr>
      </w:pPr>
      <w:r>
        <w:rPr>
          <w:rFonts w:hint="eastAsia" w:ascii="仿宋" w:hAnsi="仿宋" w:eastAsia="仿宋"/>
          <w:b/>
          <w:sz w:val="36"/>
          <w:szCs w:val="36"/>
        </w:rPr>
        <w:t>投 标 声 明 书</w:t>
      </w:r>
    </w:p>
    <w:p>
      <w:pPr>
        <w:snapToGrid w:val="0"/>
        <w:spacing w:before="165" w:beforeLines="50" w:after="50" w:line="460" w:lineRule="exact"/>
        <w:rPr>
          <w:rFonts w:hint="eastAsia" w:ascii="宋体" w:hAnsi="宋体" w:eastAsia="宋体" w:cs="宋体"/>
          <w:sz w:val="28"/>
          <w:szCs w:val="28"/>
        </w:rPr>
      </w:pPr>
      <w:r>
        <w:rPr>
          <w:rFonts w:hint="eastAsia" w:ascii="宋体" w:hAnsi="宋体" w:eastAsia="宋体" w:cs="宋体"/>
          <w:sz w:val="28"/>
          <w:szCs w:val="28"/>
        </w:rPr>
        <w:t>致金华市创佳工程项目管理有限公司：</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u w:val="single"/>
        </w:rPr>
        <w:t>（投标人名称）</w:t>
      </w:r>
      <w:r>
        <w:rPr>
          <w:rFonts w:hint="eastAsia" w:ascii="宋体" w:hAnsi="宋体" w:eastAsia="宋体" w:cs="宋体"/>
          <w:sz w:val="28"/>
          <w:szCs w:val="28"/>
        </w:rPr>
        <w:t>系中华人民共和国合法企业，经营地址。</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我</w:t>
      </w:r>
      <w:r>
        <w:rPr>
          <w:rFonts w:hint="eastAsia" w:ascii="宋体" w:hAnsi="宋体" w:eastAsia="宋体" w:cs="宋体"/>
          <w:sz w:val="28"/>
          <w:szCs w:val="28"/>
          <w:u w:val="single"/>
        </w:rPr>
        <w:t>（姓名）</w:t>
      </w:r>
      <w:r>
        <w:rPr>
          <w:rFonts w:hint="eastAsia" w:ascii="宋体" w:hAnsi="宋体" w:eastAsia="宋体" w:cs="宋体"/>
          <w:sz w:val="28"/>
          <w:szCs w:val="28"/>
        </w:rPr>
        <w:t>系</w:t>
      </w:r>
      <w:r>
        <w:rPr>
          <w:rFonts w:hint="eastAsia" w:ascii="宋体" w:hAnsi="宋体" w:eastAsia="宋体" w:cs="宋体"/>
          <w:sz w:val="28"/>
          <w:szCs w:val="28"/>
          <w:u w:val="single"/>
        </w:rPr>
        <w:t>（投标人名称）</w:t>
      </w:r>
      <w:r>
        <w:rPr>
          <w:rFonts w:hint="eastAsia" w:ascii="宋体" w:hAnsi="宋体" w:eastAsia="宋体" w:cs="宋体"/>
          <w:sz w:val="28"/>
          <w:szCs w:val="28"/>
        </w:rPr>
        <w:t>的法定代表人，我方愿意参加贵方组织的</w:t>
      </w:r>
      <w:r>
        <w:rPr>
          <w:rFonts w:hint="eastAsia" w:ascii="宋体" w:hAnsi="宋体" w:eastAsia="宋体" w:cs="宋体"/>
          <w:sz w:val="28"/>
          <w:szCs w:val="28"/>
          <w:u w:val="single"/>
        </w:rPr>
        <w:t>（招标项目名称）（编号为            ）</w:t>
      </w:r>
      <w:r>
        <w:rPr>
          <w:rFonts w:hint="eastAsia" w:ascii="宋体" w:hAnsi="宋体" w:eastAsia="宋体" w:cs="宋体"/>
          <w:sz w:val="28"/>
          <w:szCs w:val="28"/>
        </w:rPr>
        <w:t>的投标，为此，我方就本次投标有关事项郑重声明如下：</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1.我方已详细审查全部招标文件，同意招标文件的各项要求，包括疫情期间采取的各项应急开标措施。</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2.我方向贵方提交的所有投标文件、资料都是准确的和真实的。</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3.若中标，我方将按招标文件规定履行合同责任和义务。</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4.我方不是采购人的附属机构；在获知本项目采购信息后，与采购人聘请的为此项目提供咨询服务的公司及其附属机构没有任何联系。</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5.投标文件自开标日起有效期为90天。</w:t>
      </w:r>
    </w:p>
    <w:p>
      <w:pPr>
        <w:snapToGrid w:val="0"/>
        <w:spacing w:line="460" w:lineRule="exact"/>
        <w:ind w:firstLine="551" w:firstLineChars="196"/>
        <w:jc w:val="left"/>
        <w:rPr>
          <w:rFonts w:hint="eastAsia" w:ascii="宋体" w:hAnsi="宋体" w:eastAsia="宋体" w:cs="宋体"/>
          <w:b/>
          <w:sz w:val="28"/>
          <w:szCs w:val="28"/>
        </w:rPr>
      </w:pPr>
      <w:r>
        <w:rPr>
          <w:rFonts w:hint="eastAsia" w:ascii="宋体" w:hAnsi="宋体" w:eastAsia="宋体" w:cs="宋体"/>
          <w:b/>
          <w:sz w:val="28"/>
          <w:szCs w:val="28"/>
        </w:rPr>
        <w:t>6.我方承诺已经具备参与政府采购活动的资格条件并且没有税收缴纳、社会保障等方面的失信记录；</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7.我方通过“信用中国”网站（www.creditchina.gov.cn）、中国政府采购网（www.ccgp.gov.cn）查询，未被列入失信被执行人、重大税收违法案件当事人名单、政府采购严重违法失信行为记录名单。</w:t>
      </w:r>
    </w:p>
    <w:p>
      <w:pPr>
        <w:snapToGrid w:val="0"/>
        <w:spacing w:before="165" w:beforeLines="50" w:after="50" w:line="46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8.以上事项如有虚假或隐瞒，我方愿意承担一切后果，并不再寻求任何旨在减轻或免除法律责任的辩解。</w:t>
      </w:r>
    </w:p>
    <w:p>
      <w:pPr>
        <w:snapToGrid w:val="0"/>
        <w:spacing w:before="165" w:beforeLines="50" w:after="50" w:line="460" w:lineRule="exact"/>
        <w:ind w:right="600" w:firstLine="140" w:firstLineChars="50"/>
        <w:rPr>
          <w:rFonts w:hint="eastAsia" w:ascii="宋体" w:hAnsi="宋体" w:eastAsia="宋体" w:cs="宋体"/>
          <w:sz w:val="28"/>
          <w:szCs w:val="28"/>
          <w:u w:val="single"/>
        </w:rPr>
      </w:pPr>
      <w:r>
        <w:rPr>
          <w:rFonts w:hint="eastAsia" w:ascii="宋体" w:hAnsi="宋体" w:eastAsia="宋体" w:cs="宋体"/>
          <w:sz w:val="28"/>
          <w:szCs w:val="28"/>
        </w:rPr>
        <w:t>法定代表人签名（或签名章）：  日 期：</w:t>
      </w:r>
    </w:p>
    <w:p>
      <w:pPr>
        <w:snapToGrid w:val="0"/>
        <w:spacing w:before="165" w:beforeLines="50" w:after="50" w:line="460" w:lineRule="exact"/>
        <w:ind w:firstLine="140" w:firstLineChars="50"/>
        <w:rPr>
          <w:rFonts w:hint="eastAsia" w:ascii="宋体" w:hAnsi="宋体" w:eastAsia="宋体" w:cs="宋体"/>
          <w:sz w:val="28"/>
          <w:szCs w:val="28"/>
        </w:rPr>
      </w:pPr>
      <w:r>
        <w:rPr>
          <w:rFonts w:hint="eastAsia" w:ascii="宋体" w:hAnsi="宋体" w:eastAsia="宋体" w:cs="宋体"/>
          <w:sz w:val="28"/>
          <w:szCs w:val="28"/>
        </w:rPr>
        <w:t>投标人全称（公章）：</w:t>
      </w:r>
    </w:p>
    <w:p>
      <w:pPr>
        <w:snapToGrid w:val="0"/>
        <w:spacing w:before="165" w:beforeLines="50" w:after="50" w:line="460" w:lineRule="exact"/>
        <w:rPr>
          <w:rFonts w:ascii="仿宋" w:hAnsi="仿宋" w:eastAsia="仿宋"/>
          <w:sz w:val="30"/>
          <w:szCs w:val="30"/>
        </w:rPr>
      </w:pPr>
      <w:r>
        <w:rPr>
          <w:rFonts w:hint="eastAsia" w:ascii="仿宋" w:hAnsi="仿宋" w:eastAsia="仿宋"/>
          <w:sz w:val="30"/>
          <w:szCs w:val="30"/>
        </w:rPr>
        <w:br w:type="page"/>
      </w:r>
      <w:r>
        <w:rPr>
          <w:rFonts w:hint="eastAsia" w:ascii="仿宋" w:hAnsi="仿宋" w:eastAsia="仿宋"/>
          <w:sz w:val="30"/>
          <w:szCs w:val="30"/>
        </w:rPr>
        <w:t>附件4：</w:t>
      </w:r>
    </w:p>
    <w:p>
      <w:pPr>
        <w:snapToGrid w:val="0"/>
        <w:spacing w:before="50" w:after="50"/>
        <w:jc w:val="center"/>
        <w:rPr>
          <w:rFonts w:ascii="仿宋" w:hAnsi="仿宋" w:eastAsia="仿宋"/>
          <w:b/>
          <w:sz w:val="36"/>
          <w:szCs w:val="36"/>
        </w:rPr>
      </w:pPr>
      <w:r>
        <w:rPr>
          <w:rFonts w:hint="eastAsia" w:ascii="仿宋" w:hAnsi="仿宋" w:eastAsia="仿宋"/>
          <w:b/>
          <w:sz w:val="36"/>
          <w:szCs w:val="36"/>
        </w:rPr>
        <w:t>法定代表人授权委托书</w:t>
      </w:r>
    </w:p>
    <w:p>
      <w:pPr>
        <w:snapToGrid w:val="0"/>
        <w:spacing w:before="165" w:beforeLines="50" w:after="50"/>
        <w:jc w:val="center"/>
        <w:rPr>
          <w:rFonts w:ascii="仿宋" w:hAnsi="仿宋" w:eastAsia="仿宋"/>
          <w:b/>
          <w:sz w:val="30"/>
          <w:szCs w:val="30"/>
        </w:rPr>
      </w:pPr>
    </w:p>
    <w:p>
      <w:pPr>
        <w:snapToGrid w:val="0"/>
        <w:spacing w:before="165" w:beforeLines="50" w:after="50" w:line="460" w:lineRule="exact"/>
        <w:rPr>
          <w:rFonts w:ascii="仿宋" w:hAnsi="仿宋" w:eastAsia="仿宋"/>
          <w:b/>
          <w:bCs/>
          <w:sz w:val="30"/>
          <w:szCs w:val="30"/>
        </w:rPr>
      </w:pPr>
      <w:r>
        <w:rPr>
          <w:rFonts w:hint="eastAsia" w:ascii="仿宋" w:hAnsi="仿宋" w:eastAsia="仿宋"/>
          <w:bCs/>
          <w:sz w:val="30"/>
          <w:szCs w:val="30"/>
        </w:rPr>
        <w:t>金华市创佳工程项目管理有限公司：</w:t>
      </w:r>
    </w:p>
    <w:p>
      <w:pPr>
        <w:snapToGrid w:val="0"/>
        <w:spacing w:before="165" w:beforeLines="50" w:after="50" w:line="460" w:lineRule="exact"/>
        <w:ind w:firstLine="900" w:firstLineChars="300"/>
        <w:rPr>
          <w:rFonts w:ascii="仿宋" w:hAnsi="仿宋" w:eastAsia="仿宋"/>
          <w:sz w:val="30"/>
          <w:szCs w:val="30"/>
        </w:rPr>
      </w:pPr>
      <w:r>
        <w:rPr>
          <w:rFonts w:hint="eastAsia" w:ascii="仿宋" w:hAnsi="仿宋" w:eastAsia="仿宋"/>
          <w:sz w:val="30"/>
          <w:szCs w:val="30"/>
        </w:rPr>
        <w:t>我（姓名）系（投标人名称）的法定代表人，现授权委托本单位在职职工 （姓名）为授权代表，以我方的名义参加项目编号：项目名称</w:t>
      </w:r>
      <w:r>
        <w:rPr>
          <w:rFonts w:hint="eastAsia" w:ascii="仿宋" w:hAnsi="仿宋" w:eastAsia="仿宋"/>
          <w:sz w:val="30"/>
          <w:szCs w:val="30"/>
          <w:u w:val="single"/>
        </w:rPr>
        <w:t xml:space="preserve">：      </w:t>
      </w:r>
      <w:r>
        <w:rPr>
          <w:rFonts w:hint="eastAsia" w:ascii="仿宋" w:hAnsi="仿宋" w:eastAsia="仿宋"/>
          <w:sz w:val="30"/>
          <w:szCs w:val="30"/>
        </w:rPr>
        <w:t>项目的投标活动，并代表我方全权办理针对上述项目的投标、开标、评标、签约等具体事务和签署相关文件。我方对授权代表的签名事项负全部责任。</w:t>
      </w:r>
    </w:p>
    <w:p>
      <w:pPr>
        <w:snapToGrid w:val="0"/>
        <w:spacing w:before="165" w:beforeLines="50" w:after="50" w:line="460" w:lineRule="exact"/>
        <w:ind w:firstLine="480"/>
        <w:rPr>
          <w:rFonts w:ascii="仿宋" w:hAnsi="仿宋" w:eastAsia="仿宋"/>
          <w:sz w:val="30"/>
          <w:szCs w:val="30"/>
        </w:rPr>
      </w:pPr>
      <w:r>
        <w:rPr>
          <w:rFonts w:hint="eastAsia" w:ascii="仿宋" w:hAnsi="仿宋" w:eastAsia="仿宋"/>
          <w:sz w:val="30"/>
          <w:szCs w:val="30"/>
        </w:rPr>
        <w:t>在撤销授权的书面通知以前，本授权书一直有效。授权代表在授权书有效期内签署的所有文件不因授权的撤销而失效。</w:t>
      </w:r>
    </w:p>
    <w:p>
      <w:pPr>
        <w:snapToGrid w:val="0"/>
        <w:spacing w:before="165" w:beforeLines="50" w:after="50" w:line="460" w:lineRule="exact"/>
        <w:ind w:firstLine="480"/>
        <w:rPr>
          <w:rFonts w:ascii="仿宋" w:hAnsi="仿宋" w:eastAsia="仿宋"/>
          <w:sz w:val="30"/>
          <w:szCs w:val="30"/>
        </w:rPr>
      </w:pPr>
      <w:r>
        <w:rPr>
          <w:rFonts w:hint="eastAsia" w:ascii="仿宋" w:hAnsi="仿宋" w:eastAsia="仿宋"/>
          <w:sz w:val="30"/>
          <w:szCs w:val="30"/>
        </w:rPr>
        <w:t>授权代表无转委托权，特此委托。</w:t>
      </w:r>
    </w:p>
    <w:p>
      <w:pPr>
        <w:snapToGrid w:val="0"/>
        <w:spacing w:before="165" w:beforeLines="50" w:after="50" w:line="460" w:lineRule="exact"/>
        <w:ind w:firstLine="480"/>
        <w:rPr>
          <w:rFonts w:ascii="仿宋" w:hAnsi="仿宋" w:eastAsia="仿宋"/>
          <w:sz w:val="30"/>
          <w:szCs w:val="30"/>
        </w:rPr>
      </w:pPr>
    </w:p>
    <w:p>
      <w:pPr>
        <w:snapToGrid w:val="0"/>
        <w:spacing w:before="165" w:beforeLines="50" w:after="50" w:line="460" w:lineRule="exact"/>
        <w:rPr>
          <w:rFonts w:ascii="仿宋" w:hAnsi="仿宋" w:eastAsia="仿宋"/>
          <w:sz w:val="30"/>
          <w:szCs w:val="30"/>
          <w:u w:val="single"/>
        </w:rPr>
      </w:pPr>
      <w:r>
        <w:rPr>
          <w:rFonts w:hint="eastAsia" w:ascii="仿宋" w:hAnsi="仿宋" w:eastAsia="仿宋"/>
          <w:sz w:val="30"/>
          <w:szCs w:val="30"/>
        </w:rPr>
        <w:t>授权代表签名： 职务：  联系方式：</w:t>
      </w:r>
    </w:p>
    <w:p>
      <w:pPr>
        <w:snapToGrid w:val="0"/>
        <w:spacing w:before="165" w:beforeLines="50" w:after="50" w:line="460" w:lineRule="exact"/>
        <w:rPr>
          <w:rFonts w:ascii="仿宋" w:hAnsi="仿宋" w:eastAsia="仿宋"/>
          <w:sz w:val="30"/>
          <w:szCs w:val="30"/>
        </w:rPr>
      </w:pPr>
      <w:r>
        <w:rPr>
          <w:rFonts w:hint="eastAsia" w:ascii="仿宋" w:hAnsi="仿宋" w:eastAsia="仿宋"/>
          <w:sz w:val="30"/>
          <w:szCs w:val="30"/>
        </w:rPr>
        <w:t>邮箱： 传真：</w:t>
      </w:r>
    </w:p>
    <w:p>
      <w:pPr>
        <w:snapToGrid w:val="0"/>
        <w:spacing w:before="165" w:beforeLines="50" w:after="50" w:line="460" w:lineRule="exact"/>
        <w:rPr>
          <w:rFonts w:ascii="仿宋" w:hAnsi="仿宋" w:eastAsia="仿宋"/>
          <w:sz w:val="30"/>
          <w:szCs w:val="30"/>
        </w:rPr>
      </w:pPr>
      <w:r>
        <w:rPr>
          <w:rFonts w:hint="eastAsia" w:ascii="仿宋" w:hAnsi="仿宋" w:eastAsia="仿宋"/>
          <w:sz w:val="30"/>
          <w:szCs w:val="30"/>
        </w:rPr>
        <w:t>授权代表身份证号码：</w:t>
      </w:r>
    </w:p>
    <w:p>
      <w:pPr>
        <w:snapToGrid w:val="0"/>
        <w:spacing w:before="165" w:beforeLines="50" w:after="50" w:line="460" w:lineRule="exact"/>
        <w:rPr>
          <w:rFonts w:ascii="仿宋" w:hAnsi="仿宋" w:eastAsia="仿宋"/>
          <w:sz w:val="30"/>
          <w:szCs w:val="30"/>
          <w:u w:val="single"/>
        </w:rPr>
      </w:pPr>
      <w:r>
        <w:rPr>
          <w:rFonts w:hint="eastAsia" w:ascii="仿宋" w:hAnsi="仿宋" w:eastAsia="仿宋"/>
          <w:sz w:val="30"/>
          <w:szCs w:val="30"/>
        </w:rPr>
        <w:t>法定代表人签名（或签名章）：   职务：</w:t>
      </w:r>
    </w:p>
    <w:p>
      <w:pPr>
        <w:snapToGrid w:val="0"/>
        <w:spacing w:before="165" w:beforeLines="50" w:after="50" w:line="460" w:lineRule="exact"/>
        <w:rPr>
          <w:rFonts w:ascii="仿宋" w:hAnsi="仿宋" w:eastAsia="仿宋"/>
          <w:sz w:val="30"/>
          <w:szCs w:val="30"/>
        </w:rPr>
      </w:pPr>
      <w:r>
        <w:rPr>
          <w:rFonts w:hint="eastAsia" w:ascii="仿宋" w:hAnsi="仿宋" w:eastAsia="仿宋"/>
          <w:sz w:val="30"/>
          <w:szCs w:val="30"/>
        </w:rPr>
        <w:t>联系方式：</w:t>
      </w:r>
    </w:p>
    <w:p>
      <w:pPr>
        <w:snapToGrid w:val="0"/>
        <w:spacing w:before="165" w:beforeLines="50" w:after="50" w:line="460" w:lineRule="exact"/>
        <w:rPr>
          <w:rFonts w:ascii="仿宋" w:hAnsi="仿宋" w:eastAsia="仿宋"/>
          <w:sz w:val="30"/>
          <w:szCs w:val="30"/>
        </w:rPr>
      </w:pPr>
    </w:p>
    <w:p>
      <w:pPr>
        <w:snapToGrid w:val="0"/>
        <w:spacing w:before="165" w:beforeLines="50" w:after="50" w:line="460" w:lineRule="exact"/>
        <w:rPr>
          <w:rFonts w:ascii="仿宋" w:hAnsi="仿宋" w:eastAsia="仿宋"/>
          <w:sz w:val="30"/>
          <w:szCs w:val="30"/>
        </w:rPr>
      </w:pPr>
    </w:p>
    <w:p>
      <w:pPr>
        <w:snapToGrid w:val="0"/>
        <w:spacing w:before="165" w:beforeLines="50" w:after="50" w:line="460" w:lineRule="exact"/>
        <w:ind w:firstLine="6150" w:firstLineChars="2050"/>
        <w:rPr>
          <w:rFonts w:ascii="仿宋" w:hAnsi="仿宋" w:eastAsia="仿宋"/>
          <w:sz w:val="30"/>
          <w:szCs w:val="30"/>
        </w:rPr>
      </w:pPr>
    </w:p>
    <w:p>
      <w:pPr>
        <w:snapToGrid w:val="0"/>
        <w:spacing w:before="165" w:beforeLines="50" w:after="50" w:line="460" w:lineRule="exact"/>
        <w:rPr>
          <w:rFonts w:ascii="仿宋" w:hAnsi="仿宋" w:eastAsia="仿宋"/>
          <w:sz w:val="30"/>
          <w:szCs w:val="30"/>
          <w:u w:val="single"/>
        </w:rPr>
      </w:pPr>
      <w:r>
        <w:rPr>
          <w:rFonts w:hint="eastAsia" w:ascii="仿宋" w:hAnsi="仿宋" w:eastAsia="仿宋"/>
          <w:sz w:val="30"/>
          <w:szCs w:val="30"/>
        </w:rPr>
        <w:t>投标人全称（公章）：         日  期：</w:t>
      </w:r>
    </w:p>
    <w:p>
      <w:pPr>
        <w:jc w:val="left"/>
        <w:rPr>
          <w:rFonts w:ascii="宋体" w:cs="宋体"/>
          <w:bCs/>
          <w:sz w:val="24"/>
        </w:rPr>
      </w:pPr>
    </w:p>
    <w:p>
      <w:pPr>
        <w:rPr>
          <w:rFonts w:ascii="宋体" w:cs="宋体"/>
          <w:bCs/>
          <w:sz w:val="24"/>
        </w:rPr>
      </w:pPr>
    </w:p>
    <w:p>
      <w:pPr>
        <w:jc w:val="left"/>
        <w:rPr>
          <w:rFonts w:ascii="宋体" w:cs="宋体"/>
          <w:bCs/>
          <w:sz w:val="24"/>
        </w:rPr>
      </w:pPr>
      <w:r>
        <w:rPr>
          <w:rFonts w:hint="eastAsia" w:ascii="宋体" w:cs="宋体"/>
          <w:bCs/>
          <w:sz w:val="24"/>
        </w:rPr>
        <w:t>附法定代表人身份证及授权代表身份证复印件。</w:t>
      </w:r>
      <w:r>
        <w:rPr>
          <w:rFonts w:hint="eastAsia" w:ascii="宋体" w:cs="宋体"/>
          <w:bCs/>
          <w:sz w:val="24"/>
        </w:rPr>
        <w:br w:type="page"/>
      </w:r>
      <w:r>
        <w:rPr>
          <w:rFonts w:hint="eastAsia" w:ascii="宋体" w:cs="宋体"/>
          <w:bCs/>
          <w:sz w:val="24"/>
        </w:rPr>
        <w:t xml:space="preserve">附件5：       </w:t>
      </w:r>
    </w:p>
    <w:p>
      <w:pPr>
        <w:jc w:val="center"/>
        <w:rPr>
          <w:sz w:val="28"/>
          <w:szCs w:val="28"/>
        </w:rPr>
      </w:pPr>
      <w:r>
        <w:rPr>
          <w:rFonts w:hint="eastAsia" w:ascii="宋体" w:cs="宋体"/>
          <w:b/>
          <w:color w:val="000000"/>
          <w:kern w:val="0"/>
          <w:sz w:val="28"/>
          <w:szCs w:val="28"/>
          <w:lang w:bidi="ar"/>
        </w:rPr>
        <w:t>中小企业声明函（货物）</w:t>
      </w:r>
    </w:p>
    <w:p>
      <w:pPr>
        <w:spacing w:line="360" w:lineRule="auto"/>
        <w:ind w:firstLine="480" w:firstLineChars="200"/>
        <w:jc w:val="left"/>
        <w:rPr>
          <w:rFonts w:ascii="宋体" w:cs="宋体"/>
          <w:color w:val="000000"/>
          <w:kern w:val="0"/>
          <w:sz w:val="24"/>
          <w:szCs w:val="24"/>
          <w:lang w:bidi="ar"/>
        </w:rPr>
      </w:pPr>
      <w:r>
        <w:rPr>
          <w:rFonts w:hint="eastAsia" w:ascii="宋体" w:cs="宋体"/>
          <w:color w:val="000000"/>
          <w:kern w:val="0"/>
          <w:sz w:val="24"/>
          <w:szCs w:val="24"/>
          <w:lang w:bidi="ar"/>
        </w:rPr>
        <w:t>本公司（联合体）郑重声明，根据《政府采购促进中小 企业发展管理办法》（财库﹝2020﹞46 号）的规定，本公司 （联合体）参加</w:t>
      </w:r>
      <w:r>
        <w:rPr>
          <w:rFonts w:hint="eastAsia" w:ascii="宋体" w:cs="宋体"/>
          <w:color w:val="000000"/>
          <w:kern w:val="0"/>
          <w:sz w:val="24"/>
          <w:szCs w:val="24"/>
          <w:u w:val="single"/>
          <w:lang w:bidi="ar"/>
        </w:rPr>
        <w:t>（单位名称）</w:t>
      </w:r>
      <w:r>
        <w:rPr>
          <w:rFonts w:hint="eastAsia" w:ascii="宋体" w:cs="宋体"/>
          <w:color w:val="000000"/>
          <w:kern w:val="0"/>
          <w:sz w:val="24"/>
          <w:szCs w:val="24"/>
          <w:lang w:bidi="ar"/>
        </w:rPr>
        <w:t>的</w:t>
      </w:r>
      <w:r>
        <w:rPr>
          <w:rFonts w:hint="eastAsia" w:ascii="宋体" w:cs="宋体"/>
          <w:color w:val="000000"/>
          <w:kern w:val="0"/>
          <w:sz w:val="24"/>
          <w:szCs w:val="24"/>
          <w:u w:val="single"/>
          <w:lang w:bidi="ar"/>
        </w:rPr>
        <w:t>（项目名称）</w:t>
      </w:r>
      <w:r>
        <w:rPr>
          <w:rFonts w:hint="eastAsia" w:ascii="宋体" w:cs="宋体"/>
          <w:color w:val="000000"/>
          <w:kern w:val="0"/>
          <w:sz w:val="24"/>
          <w:szCs w:val="24"/>
          <w:lang w:bidi="ar"/>
        </w:rPr>
        <w:t xml:space="preserve">采购活动，提供的货物全部由符合政策要求的中小企业制造。相关企业（含联合体中的中小企业、签订分包意向协议的中小企业） 的具体情况如下： </w:t>
      </w:r>
    </w:p>
    <w:p>
      <w:pPr>
        <w:spacing w:line="360" w:lineRule="auto"/>
        <w:jc w:val="left"/>
        <w:rPr>
          <w:rFonts w:ascii="宋体" w:cs="宋体"/>
          <w:color w:val="000000"/>
          <w:kern w:val="0"/>
          <w:sz w:val="24"/>
          <w:szCs w:val="24"/>
          <w:lang w:bidi="ar"/>
        </w:rPr>
      </w:pPr>
      <w:r>
        <w:rPr>
          <w:rFonts w:hint="eastAsia" w:ascii="宋体" w:cs="宋体"/>
          <w:color w:val="000000"/>
          <w:kern w:val="0"/>
          <w:sz w:val="24"/>
          <w:szCs w:val="24"/>
          <w:lang w:bidi="ar"/>
        </w:rPr>
        <w:t>1. （标的名称） ，属于</w:t>
      </w:r>
      <w:r>
        <w:rPr>
          <w:rFonts w:hint="eastAsia" w:ascii="宋体" w:cs="宋体"/>
          <w:color w:val="000000"/>
          <w:kern w:val="0"/>
          <w:sz w:val="24"/>
          <w:szCs w:val="24"/>
          <w:u w:val="single"/>
          <w:lang w:bidi="ar"/>
        </w:rPr>
        <w:t>（采购文件中明确的所属行业）</w:t>
      </w:r>
      <w:r>
        <w:rPr>
          <w:rFonts w:hint="eastAsia" w:ascii="宋体" w:cs="宋体"/>
          <w:color w:val="000000"/>
          <w:kern w:val="0"/>
          <w:sz w:val="24"/>
          <w:szCs w:val="24"/>
          <w:lang w:bidi="ar"/>
        </w:rPr>
        <w:t>行业；制造商为</w:t>
      </w:r>
      <w:r>
        <w:rPr>
          <w:rFonts w:hint="eastAsia" w:ascii="宋体" w:cs="宋体"/>
          <w:color w:val="000000"/>
          <w:kern w:val="0"/>
          <w:sz w:val="24"/>
          <w:szCs w:val="24"/>
          <w:u w:val="single"/>
          <w:lang w:bidi="ar"/>
        </w:rPr>
        <w:t>（企业名称）</w:t>
      </w:r>
      <w:r>
        <w:rPr>
          <w:rFonts w:hint="eastAsia" w:ascii="宋体" w:cs="宋体"/>
          <w:color w:val="000000"/>
          <w:kern w:val="0"/>
          <w:sz w:val="24"/>
          <w:szCs w:val="24"/>
          <w:lang w:bidi="ar"/>
        </w:rPr>
        <w:t>，从业人员</w:t>
      </w:r>
      <w:r>
        <w:rPr>
          <w:rFonts w:hint="eastAsia" w:ascii="宋体" w:cs="宋体"/>
          <w:color w:val="000000"/>
          <w:kern w:val="0"/>
          <w:sz w:val="24"/>
          <w:szCs w:val="24"/>
          <w:u w:val="single"/>
          <w:lang w:bidi="ar"/>
        </w:rPr>
        <w:t xml:space="preserve">    </w:t>
      </w:r>
      <w:r>
        <w:rPr>
          <w:rFonts w:hint="eastAsia" w:ascii="宋体" w:cs="宋体"/>
          <w:color w:val="000000"/>
          <w:kern w:val="0"/>
          <w:sz w:val="24"/>
          <w:szCs w:val="24"/>
          <w:lang w:bidi="ar"/>
        </w:rPr>
        <w:t>人，营业收入为</w:t>
      </w:r>
      <w:r>
        <w:rPr>
          <w:rFonts w:hint="eastAsia" w:ascii="宋体" w:cs="宋体"/>
          <w:color w:val="000000"/>
          <w:kern w:val="0"/>
          <w:sz w:val="24"/>
          <w:szCs w:val="24"/>
          <w:u w:val="single"/>
          <w:lang w:bidi="ar"/>
        </w:rPr>
        <w:t xml:space="preserve">   </w:t>
      </w:r>
      <w:r>
        <w:rPr>
          <w:rFonts w:hint="eastAsia" w:ascii="宋体" w:cs="宋体"/>
          <w:color w:val="000000"/>
          <w:kern w:val="0"/>
          <w:sz w:val="24"/>
          <w:szCs w:val="24"/>
          <w:lang w:bidi="ar"/>
        </w:rPr>
        <w:t>万元，资产总额为</w:t>
      </w:r>
      <w:r>
        <w:rPr>
          <w:rFonts w:hint="eastAsia" w:ascii="宋体" w:cs="宋体"/>
          <w:color w:val="000000"/>
          <w:kern w:val="0"/>
          <w:sz w:val="24"/>
          <w:szCs w:val="24"/>
          <w:u w:val="single"/>
          <w:lang w:bidi="ar"/>
        </w:rPr>
        <w:t xml:space="preserve">   </w:t>
      </w:r>
      <w:r>
        <w:rPr>
          <w:rFonts w:hint="eastAsia" w:ascii="宋体" w:cs="宋体"/>
          <w:color w:val="000000"/>
          <w:kern w:val="0"/>
          <w:sz w:val="24"/>
          <w:szCs w:val="24"/>
          <w:lang w:bidi="ar"/>
        </w:rPr>
        <w:t>万元，属于</w:t>
      </w:r>
      <w:r>
        <w:rPr>
          <w:rFonts w:hint="eastAsia" w:ascii="宋体" w:cs="宋体"/>
          <w:color w:val="000000"/>
          <w:kern w:val="0"/>
          <w:sz w:val="24"/>
          <w:szCs w:val="24"/>
          <w:u w:val="single"/>
          <w:lang w:bidi="ar"/>
        </w:rPr>
        <w:t>（中型企业、小型企业、微型企业）</w:t>
      </w:r>
      <w:r>
        <w:rPr>
          <w:rFonts w:hint="eastAsia" w:ascii="宋体" w:cs="宋体"/>
          <w:color w:val="000000"/>
          <w:kern w:val="0"/>
          <w:sz w:val="24"/>
          <w:szCs w:val="24"/>
          <w:lang w:bidi="ar"/>
        </w:rPr>
        <w:t xml:space="preserve">； </w:t>
      </w:r>
    </w:p>
    <w:p>
      <w:pPr>
        <w:spacing w:line="360" w:lineRule="auto"/>
        <w:jc w:val="left"/>
        <w:rPr>
          <w:rFonts w:ascii="宋体" w:cs="宋体"/>
          <w:color w:val="000000"/>
          <w:kern w:val="0"/>
          <w:sz w:val="24"/>
          <w:szCs w:val="24"/>
          <w:lang w:bidi="ar"/>
        </w:rPr>
      </w:pPr>
      <w:r>
        <w:rPr>
          <w:rFonts w:hint="eastAsia" w:ascii="宋体" w:cs="宋体"/>
          <w:color w:val="000000"/>
          <w:kern w:val="0"/>
          <w:sz w:val="24"/>
          <w:szCs w:val="24"/>
          <w:lang w:bidi="ar"/>
        </w:rPr>
        <w:t>2. （标的名称） ，属于</w:t>
      </w:r>
      <w:r>
        <w:rPr>
          <w:rFonts w:hint="eastAsia" w:ascii="宋体" w:cs="宋体"/>
          <w:color w:val="000000"/>
          <w:kern w:val="0"/>
          <w:sz w:val="24"/>
          <w:szCs w:val="24"/>
          <w:u w:val="single"/>
          <w:lang w:bidi="ar"/>
        </w:rPr>
        <w:t xml:space="preserve">（采购文件中明确的所属行业） </w:t>
      </w:r>
      <w:r>
        <w:rPr>
          <w:rFonts w:hint="eastAsia" w:ascii="宋体" w:cs="宋体"/>
          <w:color w:val="000000"/>
          <w:kern w:val="0"/>
          <w:sz w:val="24"/>
          <w:szCs w:val="24"/>
          <w:lang w:bidi="ar"/>
        </w:rPr>
        <w:t>行业；制造商为</w:t>
      </w:r>
      <w:r>
        <w:rPr>
          <w:rFonts w:hint="eastAsia" w:ascii="宋体" w:cs="宋体"/>
          <w:color w:val="000000"/>
          <w:kern w:val="0"/>
          <w:sz w:val="24"/>
          <w:szCs w:val="24"/>
          <w:u w:val="single"/>
          <w:lang w:bidi="ar"/>
        </w:rPr>
        <w:t>（企业名称）</w:t>
      </w:r>
      <w:r>
        <w:rPr>
          <w:rFonts w:hint="eastAsia" w:ascii="宋体" w:cs="宋体"/>
          <w:color w:val="000000"/>
          <w:kern w:val="0"/>
          <w:sz w:val="24"/>
          <w:szCs w:val="24"/>
          <w:lang w:bidi="ar"/>
        </w:rPr>
        <w:t>，从业人员</w:t>
      </w:r>
      <w:r>
        <w:rPr>
          <w:rFonts w:hint="eastAsia" w:ascii="宋体" w:cs="宋体"/>
          <w:color w:val="000000"/>
          <w:kern w:val="0"/>
          <w:sz w:val="24"/>
          <w:szCs w:val="24"/>
          <w:u w:val="single"/>
          <w:lang w:bidi="ar"/>
        </w:rPr>
        <w:t xml:space="preserve">   </w:t>
      </w:r>
      <w:r>
        <w:rPr>
          <w:rFonts w:hint="eastAsia" w:ascii="宋体" w:cs="宋体"/>
          <w:color w:val="000000"/>
          <w:kern w:val="0"/>
          <w:sz w:val="24"/>
          <w:szCs w:val="24"/>
          <w:lang w:bidi="ar"/>
        </w:rPr>
        <w:t>人，营业收入为</w:t>
      </w:r>
      <w:r>
        <w:rPr>
          <w:rFonts w:hint="eastAsia" w:ascii="宋体" w:cs="宋体"/>
          <w:color w:val="000000"/>
          <w:kern w:val="0"/>
          <w:sz w:val="24"/>
          <w:szCs w:val="24"/>
          <w:u w:val="single"/>
          <w:lang w:bidi="ar"/>
        </w:rPr>
        <w:t xml:space="preserve">   </w:t>
      </w:r>
      <w:r>
        <w:rPr>
          <w:rFonts w:hint="eastAsia" w:ascii="宋体" w:cs="宋体"/>
          <w:color w:val="000000"/>
          <w:kern w:val="0"/>
          <w:sz w:val="24"/>
          <w:szCs w:val="24"/>
          <w:lang w:bidi="ar"/>
        </w:rPr>
        <w:t>万元，资产总额为</w:t>
      </w:r>
      <w:r>
        <w:rPr>
          <w:rFonts w:hint="eastAsia" w:ascii="宋体" w:cs="宋体"/>
          <w:color w:val="000000"/>
          <w:kern w:val="0"/>
          <w:sz w:val="24"/>
          <w:szCs w:val="24"/>
          <w:u w:val="single"/>
          <w:lang w:bidi="ar"/>
        </w:rPr>
        <w:t xml:space="preserve">   </w:t>
      </w:r>
      <w:r>
        <w:rPr>
          <w:rFonts w:hint="eastAsia" w:ascii="宋体" w:cs="宋体"/>
          <w:color w:val="000000"/>
          <w:kern w:val="0"/>
          <w:sz w:val="24"/>
          <w:szCs w:val="24"/>
          <w:lang w:bidi="ar"/>
        </w:rPr>
        <w:t>万元，属于</w:t>
      </w:r>
      <w:r>
        <w:rPr>
          <w:rFonts w:hint="eastAsia" w:ascii="宋体" w:cs="宋体"/>
          <w:color w:val="000000"/>
          <w:kern w:val="0"/>
          <w:sz w:val="24"/>
          <w:szCs w:val="24"/>
          <w:u w:val="single"/>
          <w:lang w:bidi="ar"/>
        </w:rPr>
        <w:t>（中型企业、小型 企业、微型企业）</w:t>
      </w:r>
      <w:r>
        <w:rPr>
          <w:rFonts w:hint="eastAsia" w:ascii="宋体" w:cs="宋体"/>
          <w:color w:val="000000"/>
          <w:kern w:val="0"/>
          <w:sz w:val="24"/>
          <w:szCs w:val="24"/>
          <w:lang w:bidi="ar"/>
        </w:rPr>
        <w:t xml:space="preserve">； </w:t>
      </w:r>
    </w:p>
    <w:p>
      <w:pPr>
        <w:spacing w:line="360" w:lineRule="auto"/>
        <w:jc w:val="left"/>
        <w:rPr>
          <w:rFonts w:ascii="宋体" w:cs="宋体"/>
          <w:color w:val="000000"/>
          <w:kern w:val="0"/>
          <w:sz w:val="24"/>
          <w:szCs w:val="24"/>
          <w:lang w:bidi="ar"/>
        </w:rPr>
      </w:pPr>
      <w:r>
        <w:rPr>
          <w:rFonts w:hint="eastAsia" w:ascii="宋体" w:cs="宋体"/>
          <w:color w:val="000000"/>
          <w:kern w:val="0"/>
          <w:sz w:val="24"/>
          <w:szCs w:val="24"/>
          <w:lang w:bidi="ar"/>
        </w:rPr>
        <w:t>……</w:t>
      </w:r>
    </w:p>
    <w:p>
      <w:pPr>
        <w:spacing w:line="360" w:lineRule="auto"/>
        <w:ind w:firstLine="480" w:firstLineChars="200"/>
        <w:jc w:val="left"/>
        <w:rPr>
          <w:rFonts w:ascii="宋体" w:cs="宋体"/>
          <w:color w:val="000000"/>
          <w:kern w:val="0"/>
          <w:sz w:val="24"/>
          <w:szCs w:val="24"/>
          <w:lang w:bidi="ar"/>
        </w:rPr>
      </w:pPr>
      <w:r>
        <w:rPr>
          <w:rFonts w:hint="eastAsia" w:ascii="宋体" w:cs="宋体"/>
          <w:color w:val="000000"/>
          <w:kern w:val="0"/>
          <w:sz w:val="24"/>
          <w:szCs w:val="24"/>
          <w:lang w:bidi="ar"/>
        </w:rPr>
        <w:t>以上企业，不属于大企业的分支机构，不存在控股股东 为大企业的情形，也不存在与大企业的负责人为同一人的情形。</w:t>
      </w:r>
    </w:p>
    <w:p>
      <w:pPr>
        <w:spacing w:line="360" w:lineRule="auto"/>
        <w:ind w:firstLine="480" w:firstLineChars="200"/>
        <w:jc w:val="left"/>
        <w:rPr>
          <w:rFonts w:ascii="宋体" w:cs="宋体"/>
          <w:color w:val="000000"/>
          <w:kern w:val="0"/>
          <w:sz w:val="24"/>
          <w:szCs w:val="24"/>
          <w:lang w:bidi="ar"/>
        </w:rPr>
      </w:pPr>
      <w:r>
        <w:rPr>
          <w:rFonts w:hint="eastAsia" w:ascii="宋体" w:cs="宋体"/>
          <w:color w:val="000000"/>
          <w:kern w:val="0"/>
          <w:sz w:val="24"/>
          <w:szCs w:val="24"/>
          <w:lang w:bidi="ar"/>
        </w:rPr>
        <w:t xml:space="preserve">本企业对上述声明内容的真实性负责。如有虚假，将依法承担相应责任。 </w:t>
      </w:r>
    </w:p>
    <w:p>
      <w:pPr>
        <w:spacing w:line="360" w:lineRule="auto"/>
        <w:jc w:val="center"/>
        <w:rPr>
          <w:rFonts w:ascii="宋体" w:cs="宋体"/>
          <w:color w:val="000000"/>
          <w:kern w:val="0"/>
          <w:sz w:val="24"/>
          <w:szCs w:val="24"/>
          <w:lang w:bidi="ar"/>
        </w:rPr>
      </w:pPr>
      <w:r>
        <w:rPr>
          <w:rFonts w:hint="eastAsia" w:ascii="宋体" w:cs="宋体"/>
          <w:color w:val="000000"/>
          <w:kern w:val="0"/>
          <w:sz w:val="24"/>
          <w:szCs w:val="24"/>
          <w:lang w:bidi="ar"/>
        </w:rPr>
        <w:t xml:space="preserve">企业名称（盖章）： </w:t>
      </w:r>
    </w:p>
    <w:p>
      <w:pPr>
        <w:spacing w:line="360" w:lineRule="auto"/>
        <w:jc w:val="center"/>
        <w:rPr>
          <w:rFonts w:ascii="宋体" w:cs="宋体"/>
          <w:color w:val="000000"/>
          <w:kern w:val="0"/>
          <w:sz w:val="24"/>
          <w:szCs w:val="24"/>
          <w:lang w:bidi="ar"/>
        </w:rPr>
      </w:pPr>
      <w:r>
        <w:rPr>
          <w:rFonts w:hint="eastAsia" w:ascii="宋体" w:cs="宋体"/>
          <w:color w:val="000000"/>
          <w:kern w:val="0"/>
          <w:sz w:val="24"/>
          <w:szCs w:val="24"/>
          <w:lang w:bidi="ar"/>
        </w:rPr>
        <w:t>日 期：</w:t>
      </w:r>
    </w:p>
    <w:p>
      <w:pPr>
        <w:snapToGrid w:val="0"/>
        <w:spacing w:before="165" w:beforeLines="50" w:after="50" w:line="460" w:lineRule="exact"/>
        <w:rPr>
          <w:rFonts w:ascii="仿宋" w:hAnsi="仿宋" w:eastAsia="仿宋"/>
          <w:sz w:val="30"/>
          <w:szCs w:val="30"/>
        </w:rPr>
      </w:pPr>
      <w:r>
        <w:rPr>
          <w:rFonts w:hint="eastAsia" w:ascii="宋体" w:cs="宋体"/>
          <w:b/>
          <w:sz w:val="36"/>
          <w:szCs w:val="36"/>
        </w:rPr>
        <w:br w:type="page"/>
      </w:r>
    </w:p>
    <w:p>
      <w:pPr>
        <w:spacing w:line="288" w:lineRule="auto"/>
        <w:rPr>
          <w:rFonts w:ascii="宋体" w:cs="宋体"/>
          <w:b/>
          <w:sz w:val="36"/>
          <w:szCs w:val="36"/>
        </w:rPr>
      </w:pPr>
      <w:r>
        <w:rPr>
          <w:rFonts w:hint="eastAsia" w:ascii="仿宋" w:hAnsi="仿宋" w:eastAsia="仿宋"/>
          <w:sz w:val="30"/>
          <w:szCs w:val="30"/>
        </w:rPr>
        <w:t>附件6</w:t>
      </w:r>
      <w:r>
        <w:rPr>
          <w:rFonts w:hint="eastAsia" w:ascii="仿宋" w:hAnsi="仿宋" w:eastAsia="仿宋"/>
          <w:b/>
          <w:sz w:val="30"/>
          <w:szCs w:val="30"/>
        </w:rPr>
        <w:t xml:space="preserve">：  </w:t>
      </w:r>
      <w:r>
        <w:rPr>
          <w:rFonts w:hint="eastAsia" w:ascii="宋体" w:cs="宋体"/>
          <w:b/>
          <w:sz w:val="36"/>
          <w:szCs w:val="36"/>
        </w:rPr>
        <w:t xml:space="preserve">            </w:t>
      </w:r>
    </w:p>
    <w:p>
      <w:pPr>
        <w:spacing w:line="288" w:lineRule="auto"/>
        <w:rPr>
          <w:rFonts w:ascii="宋体" w:cs="宋体"/>
          <w:b/>
          <w:sz w:val="36"/>
          <w:szCs w:val="36"/>
        </w:rPr>
      </w:pPr>
      <w:r>
        <w:rPr>
          <w:rFonts w:hint="eastAsia" w:ascii="宋体" w:cs="宋体"/>
          <w:b/>
          <w:sz w:val="36"/>
          <w:szCs w:val="36"/>
        </w:rPr>
        <w:t xml:space="preserve">                招标代理服务费承诺书</w:t>
      </w:r>
    </w:p>
    <w:p>
      <w:pPr>
        <w:spacing w:line="288" w:lineRule="auto"/>
        <w:rPr>
          <w:rFonts w:ascii="宋体" w:cs="宋体"/>
          <w:sz w:val="24"/>
        </w:rPr>
      </w:pPr>
    </w:p>
    <w:p>
      <w:pPr>
        <w:spacing w:line="288" w:lineRule="auto"/>
        <w:rPr>
          <w:rFonts w:ascii="宋体" w:cs="宋体"/>
          <w:sz w:val="24"/>
        </w:rPr>
      </w:pPr>
      <w:r>
        <w:rPr>
          <w:rFonts w:hint="eastAsia" w:ascii="宋体" w:cs="宋体"/>
          <w:sz w:val="24"/>
        </w:rPr>
        <w:t>致：金华市创佳工程项目管理有限公司：</w:t>
      </w:r>
    </w:p>
    <w:p>
      <w:pPr>
        <w:spacing w:line="288" w:lineRule="auto"/>
        <w:rPr>
          <w:rFonts w:ascii="宋体" w:cs="宋体"/>
          <w:sz w:val="24"/>
        </w:rPr>
      </w:pPr>
    </w:p>
    <w:p>
      <w:pPr>
        <w:spacing w:line="288" w:lineRule="auto"/>
        <w:rPr>
          <w:rFonts w:ascii="宋体" w:cs="宋体"/>
          <w:sz w:val="24"/>
        </w:rPr>
      </w:pPr>
    </w:p>
    <w:p>
      <w:pPr>
        <w:spacing w:line="288" w:lineRule="auto"/>
        <w:ind w:firstLine="437"/>
        <w:rPr>
          <w:rFonts w:ascii="宋体" w:cs="宋体"/>
          <w:sz w:val="24"/>
        </w:rPr>
      </w:pPr>
      <w:r>
        <w:rPr>
          <w:rFonts w:hint="eastAsia" w:ascii="宋体" w:cs="宋体"/>
          <w:sz w:val="24"/>
        </w:rPr>
        <w:t>本公司</w:t>
      </w:r>
      <w:r>
        <w:rPr>
          <w:rFonts w:hint="eastAsia" w:ascii="宋体" w:cs="宋体"/>
          <w:sz w:val="24"/>
          <w:u w:val="single"/>
        </w:rPr>
        <w:t xml:space="preserve"> （投标人名称）           </w:t>
      </w:r>
      <w:r>
        <w:rPr>
          <w:rFonts w:hint="eastAsia" w:ascii="宋体" w:cs="宋体"/>
          <w:sz w:val="24"/>
        </w:rPr>
        <w:t>在参加贵公司举行的</w:t>
      </w:r>
      <w:r>
        <w:rPr>
          <w:rFonts w:hint="eastAsia" w:ascii="宋体" w:cs="宋体"/>
          <w:sz w:val="24"/>
          <w:u w:val="single"/>
        </w:rPr>
        <w:t>（项目名称）</w:t>
      </w:r>
      <w:r>
        <w:rPr>
          <w:rFonts w:hint="eastAsia" w:ascii="宋体" w:cs="宋体"/>
          <w:sz w:val="24"/>
        </w:rPr>
        <w:t xml:space="preserve"> 项目</w:t>
      </w:r>
      <w:r>
        <w:rPr>
          <w:rFonts w:hint="eastAsia" w:ascii="宋体" w:cs="宋体"/>
          <w:sz w:val="24"/>
          <w:u w:val="single"/>
        </w:rPr>
        <w:t>（采购编号：           ）</w:t>
      </w:r>
      <w:r>
        <w:rPr>
          <w:rFonts w:hint="eastAsia" w:ascii="宋体" w:cs="宋体"/>
          <w:sz w:val="24"/>
        </w:rPr>
        <w:t>的招标中如获中标，我公司保证在收到“中标通知书”的同时一次性足额向贵公司缴纳“招标代理服务费”。</w:t>
      </w:r>
    </w:p>
    <w:p>
      <w:pPr>
        <w:spacing w:line="288" w:lineRule="auto"/>
        <w:ind w:firstLine="437"/>
        <w:rPr>
          <w:rFonts w:ascii="宋体" w:cs="宋体"/>
          <w:sz w:val="24"/>
        </w:rPr>
      </w:pPr>
      <w:r>
        <w:rPr>
          <w:rFonts w:hint="eastAsia" w:ascii="宋体" w:cs="宋体"/>
          <w:sz w:val="24"/>
        </w:rPr>
        <w:t>如我方违反上述承诺，自愿同意金华市创佳工程项目管理有限公司办理支付手续，并愿意承担全部由此引起的法律责任。</w:t>
      </w:r>
    </w:p>
    <w:p>
      <w:pPr>
        <w:spacing w:line="288" w:lineRule="auto"/>
        <w:rPr>
          <w:rFonts w:ascii="宋体" w:cs="宋体"/>
          <w:sz w:val="24"/>
        </w:rPr>
      </w:pPr>
    </w:p>
    <w:p>
      <w:pPr>
        <w:spacing w:line="288" w:lineRule="auto"/>
        <w:ind w:firstLine="435"/>
        <w:rPr>
          <w:rFonts w:ascii="宋体" w:cs="宋体"/>
          <w:sz w:val="24"/>
        </w:rPr>
      </w:pPr>
      <w:r>
        <w:rPr>
          <w:rFonts w:hint="eastAsia" w:ascii="宋体" w:cs="宋体"/>
          <w:sz w:val="24"/>
        </w:rPr>
        <w:t>特此承诺！</w:t>
      </w:r>
    </w:p>
    <w:p>
      <w:pPr>
        <w:spacing w:line="288" w:lineRule="auto"/>
        <w:rPr>
          <w:rFonts w:ascii="宋体" w:cs="宋体"/>
          <w:sz w:val="24"/>
        </w:rPr>
      </w:pPr>
    </w:p>
    <w:p>
      <w:pPr>
        <w:spacing w:line="288" w:lineRule="auto"/>
        <w:ind w:left="567" w:hanging="567"/>
        <w:rPr>
          <w:rFonts w:ascii="宋体" w:cs="宋体"/>
          <w:sz w:val="24"/>
          <w:u w:val="single"/>
        </w:rPr>
      </w:pPr>
      <w:r>
        <w:rPr>
          <w:rFonts w:hint="eastAsia" w:ascii="宋体" w:cs="宋体"/>
          <w:sz w:val="24"/>
        </w:rPr>
        <w:t>投标人名称（盖公章）：</w:t>
      </w:r>
      <w:r>
        <w:rPr>
          <w:rFonts w:hint="eastAsia" w:ascii="宋体" w:cs="宋体"/>
          <w:sz w:val="24"/>
          <w:u w:val="single"/>
        </w:rPr>
        <w:t xml:space="preserve">                                  </w:t>
      </w:r>
    </w:p>
    <w:p>
      <w:pPr>
        <w:spacing w:line="288" w:lineRule="auto"/>
        <w:ind w:left="567" w:hanging="567"/>
        <w:rPr>
          <w:rFonts w:ascii="宋体" w:cs="宋体"/>
          <w:sz w:val="24"/>
          <w:u w:val="single"/>
        </w:rPr>
      </w:pPr>
      <w:r>
        <w:rPr>
          <w:rFonts w:hint="eastAsia" w:ascii="宋体" w:cs="宋体"/>
          <w:sz w:val="24"/>
        </w:rPr>
        <w:t>投标人地址：</w:t>
      </w:r>
      <w:r>
        <w:rPr>
          <w:rFonts w:hint="eastAsia" w:ascii="宋体" w:cs="宋体"/>
          <w:sz w:val="24"/>
          <w:u w:val="single"/>
        </w:rPr>
        <w:t xml:space="preserve">                                            </w:t>
      </w:r>
    </w:p>
    <w:p>
      <w:pPr>
        <w:spacing w:line="288" w:lineRule="auto"/>
        <w:ind w:left="567" w:hanging="567"/>
        <w:rPr>
          <w:rFonts w:ascii="宋体" w:cs="宋体"/>
          <w:sz w:val="24"/>
          <w:u w:val="single"/>
        </w:rPr>
      </w:pPr>
      <w:r>
        <w:rPr>
          <w:rFonts w:hint="eastAsia" w:ascii="宋体" w:cs="宋体"/>
          <w:sz w:val="24"/>
        </w:rPr>
        <w:t>电话：</w:t>
      </w:r>
      <w:r>
        <w:rPr>
          <w:rFonts w:hint="eastAsia" w:ascii="宋体" w:cs="宋体"/>
          <w:sz w:val="24"/>
          <w:u w:val="single"/>
        </w:rPr>
        <w:t xml:space="preserve">                               </w:t>
      </w:r>
    </w:p>
    <w:p>
      <w:pPr>
        <w:spacing w:line="288" w:lineRule="auto"/>
        <w:ind w:left="567" w:hanging="567"/>
        <w:rPr>
          <w:rFonts w:ascii="宋体" w:cs="宋体"/>
          <w:sz w:val="24"/>
          <w:u w:val="single"/>
        </w:rPr>
      </w:pPr>
      <w:r>
        <w:rPr>
          <w:rFonts w:hint="eastAsia" w:ascii="宋体" w:cs="宋体"/>
          <w:sz w:val="24"/>
        </w:rPr>
        <w:t>传真：</w:t>
      </w:r>
      <w:r>
        <w:rPr>
          <w:rFonts w:hint="eastAsia" w:ascii="宋体" w:cs="宋体"/>
          <w:sz w:val="24"/>
          <w:u w:val="single"/>
        </w:rPr>
        <w:t xml:space="preserve">                               </w:t>
      </w:r>
    </w:p>
    <w:p>
      <w:pPr>
        <w:spacing w:line="288" w:lineRule="auto"/>
        <w:ind w:left="567" w:hanging="567"/>
        <w:rPr>
          <w:rFonts w:ascii="宋体" w:cs="宋体"/>
          <w:sz w:val="24"/>
          <w:u w:val="single"/>
        </w:rPr>
      </w:pPr>
      <w:r>
        <w:rPr>
          <w:rFonts w:hint="eastAsia" w:ascii="宋体" w:cs="宋体"/>
          <w:sz w:val="24"/>
        </w:rPr>
        <w:t>法定代表人或投标人授权代表(签名)：</w:t>
      </w:r>
      <w:r>
        <w:rPr>
          <w:rFonts w:hint="eastAsia" w:ascii="宋体" w:cs="宋体"/>
          <w:sz w:val="24"/>
          <w:u w:val="single"/>
        </w:rPr>
        <w:t xml:space="preserve">                       </w:t>
      </w:r>
    </w:p>
    <w:p>
      <w:pPr>
        <w:spacing w:line="360" w:lineRule="auto"/>
        <w:rPr>
          <w:rFonts w:ascii="宋体" w:cs="宋体"/>
          <w:bCs/>
          <w:sz w:val="24"/>
        </w:rPr>
      </w:pPr>
      <w:r>
        <w:rPr>
          <w:rFonts w:hint="eastAsia" w:ascii="宋体" w:cs="宋体"/>
          <w:sz w:val="24"/>
        </w:rPr>
        <w:t>签署日期：</w:t>
      </w:r>
      <w:r>
        <w:rPr>
          <w:rFonts w:hint="eastAsia" w:ascii="宋体" w:cs="宋体"/>
          <w:sz w:val="24"/>
          <w:u w:val="single"/>
        </w:rPr>
        <w:t xml:space="preserve">     </w:t>
      </w:r>
      <w:r>
        <w:rPr>
          <w:rFonts w:hint="eastAsia" w:ascii="宋体" w:cs="宋体"/>
          <w:sz w:val="24"/>
        </w:rPr>
        <w:t>年</w:t>
      </w:r>
      <w:r>
        <w:rPr>
          <w:rFonts w:hint="eastAsia" w:ascii="宋体" w:cs="宋体"/>
          <w:sz w:val="24"/>
          <w:u w:val="single"/>
        </w:rPr>
        <w:t xml:space="preserve">    </w:t>
      </w:r>
      <w:r>
        <w:rPr>
          <w:rFonts w:hint="eastAsia" w:ascii="宋体" w:cs="宋体"/>
          <w:sz w:val="24"/>
        </w:rPr>
        <w:t>月</w:t>
      </w:r>
      <w:r>
        <w:rPr>
          <w:rFonts w:hint="eastAsia" w:ascii="宋体" w:cs="宋体"/>
          <w:sz w:val="24"/>
          <w:u w:val="single"/>
        </w:rPr>
        <w:t xml:space="preserve">    </w:t>
      </w:r>
      <w:r>
        <w:rPr>
          <w:rFonts w:hint="eastAsia" w:ascii="宋体" w:cs="宋体"/>
          <w:sz w:val="24"/>
        </w:rPr>
        <w:t>日</w:t>
      </w:r>
    </w:p>
    <w:p>
      <w:pPr>
        <w:snapToGrid w:val="0"/>
        <w:spacing w:before="165" w:beforeLines="50" w:after="50"/>
        <w:rPr>
          <w:rFonts w:ascii="仿宋" w:hAnsi="仿宋" w:eastAsia="仿宋"/>
          <w:b/>
          <w:sz w:val="30"/>
          <w:szCs w:val="30"/>
        </w:rPr>
      </w:pPr>
      <w:r>
        <w:rPr>
          <w:rFonts w:hint="eastAsia" w:ascii="仿宋" w:hAnsi="仿宋" w:eastAsia="仿宋"/>
          <w:b/>
          <w:sz w:val="30"/>
          <w:szCs w:val="30"/>
        </w:rPr>
        <w:t xml:space="preserve">                      </w:t>
      </w:r>
    </w:p>
    <w:p>
      <w:pPr>
        <w:snapToGrid w:val="0"/>
        <w:spacing w:before="165" w:beforeLines="50" w:after="50"/>
        <w:rPr>
          <w:rFonts w:ascii="仿宋" w:hAnsi="仿宋" w:eastAsia="仿宋"/>
          <w:b/>
          <w:sz w:val="30"/>
          <w:szCs w:val="30"/>
        </w:rPr>
      </w:pPr>
      <w:r>
        <w:br w:type="page"/>
      </w:r>
      <w:r>
        <w:rPr>
          <w:rFonts w:hint="eastAsia" w:ascii="仿宋" w:hAnsi="仿宋" w:eastAsia="仿宋"/>
          <w:b/>
          <w:sz w:val="30"/>
          <w:szCs w:val="30"/>
        </w:rPr>
        <w:t xml:space="preserve">                                    </w:t>
      </w:r>
    </w:p>
    <w:p>
      <w:pPr>
        <w:ind w:right="-110"/>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331" w:beforeLines="100" w:line="240" w:lineRule="atLeast"/>
        <w:jc w:val="center"/>
        <w:rPr>
          <w:rFonts w:ascii="仿宋" w:hAnsi="仿宋" w:eastAsia="仿宋"/>
          <w:sz w:val="36"/>
          <w:szCs w:val="36"/>
        </w:rPr>
      </w:pPr>
      <w:r>
        <w:rPr>
          <w:rFonts w:hint="eastAsia" w:ascii="仿宋" w:hAnsi="仿宋" w:eastAsia="仿宋"/>
          <w:sz w:val="36"/>
          <w:szCs w:val="36"/>
        </w:rPr>
        <w:t>项目编号：                   （标项  ）</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技</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术</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及</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商</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务</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文</w:t>
      </w:r>
    </w:p>
    <w:p>
      <w:pPr>
        <w:spacing w:line="1200" w:lineRule="exact"/>
        <w:ind w:right="-108"/>
        <w:jc w:val="center"/>
        <w:rPr>
          <w:rFonts w:ascii="仿宋" w:hAnsi="仿宋" w:eastAsia="仿宋"/>
          <w:b/>
          <w:spacing w:val="40"/>
          <w:sz w:val="84"/>
          <w:szCs w:val="84"/>
        </w:rPr>
      </w:pPr>
      <w:r>
        <w:rPr>
          <w:rFonts w:hint="eastAsia" w:ascii="仿宋" w:hAnsi="仿宋" w:eastAsia="仿宋"/>
          <w:b/>
          <w:spacing w:val="40"/>
          <w:sz w:val="84"/>
          <w:szCs w:val="84"/>
        </w:rPr>
        <w:t>件</w:t>
      </w:r>
    </w:p>
    <w:p>
      <w:pPr>
        <w:spacing w:line="600" w:lineRule="exact"/>
        <w:ind w:right="532" w:firstLine="720" w:firstLineChars="200"/>
        <w:rPr>
          <w:rFonts w:ascii="仿宋" w:hAnsi="仿宋" w:eastAsia="仿宋"/>
          <w:sz w:val="36"/>
          <w:szCs w:val="36"/>
        </w:rPr>
      </w:pPr>
      <w:r>
        <w:rPr>
          <w:rFonts w:hint="eastAsia" w:ascii="仿宋" w:hAnsi="仿宋" w:eastAsia="仿宋"/>
          <w:sz w:val="36"/>
          <w:szCs w:val="36"/>
        </w:rPr>
        <w:t>投标人全称：</w:t>
      </w:r>
    </w:p>
    <w:p>
      <w:pPr>
        <w:spacing w:line="600" w:lineRule="exact"/>
        <w:ind w:right="-108" w:firstLine="720" w:firstLineChars="200"/>
        <w:rPr>
          <w:rFonts w:ascii="仿宋" w:hAnsi="仿宋" w:eastAsia="仿宋"/>
          <w:sz w:val="36"/>
          <w:szCs w:val="36"/>
        </w:rPr>
      </w:pPr>
      <w:r>
        <w:rPr>
          <w:rFonts w:hint="eastAsia" w:ascii="仿宋" w:hAnsi="仿宋" w:eastAsia="仿宋"/>
          <w:sz w:val="36"/>
          <w:szCs w:val="36"/>
        </w:rPr>
        <w:t>地    址：</w:t>
      </w:r>
    </w:p>
    <w:p>
      <w:pPr>
        <w:spacing w:line="600" w:lineRule="exact"/>
        <w:ind w:right="-108" w:firstLine="720" w:firstLineChars="200"/>
        <w:rPr>
          <w:rFonts w:ascii="仿宋" w:hAnsi="仿宋" w:eastAsia="仿宋"/>
          <w:sz w:val="36"/>
          <w:szCs w:val="36"/>
        </w:rPr>
      </w:pPr>
      <w:r>
        <w:rPr>
          <w:rFonts w:hint="eastAsia" w:ascii="仿宋" w:hAnsi="仿宋" w:eastAsia="仿宋"/>
          <w:sz w:val="36"/>
          <w:szCs w:val="36"/>
        </w:rPr>
        <w:t>时    间：</w:t>
      </w:r>
    </w:p>
    <w:p>
      <w:pPr>
        <w:snapToGrid w:val="0"/>
        <w:spacing w:before="50" w:after="50"/>
        <w:rPr>
          <w:rFonts w:ascii="仿宋" w:hAnsi="仿宋" w:eastAsia="仿宋"/>
          <w:sz w:val="30"/>
          <w:szCs w:val="30"/>
        </w:rPr>
      </w:pPr>
    </w:p>
    <w:p>
      <w:pPr>
        <w:snapToGrid w:val="0"/>
        <w:spacing w:before="50" w:after="50"/>
        <w:rPr>
          <w:rFonts w:ascii="仿宋" w:hAnsi="仿宋" w:eastAsia="仿宋"/>
          <w:sz w:val="30"/>
          <w:szCs w:val="30"/>
        </w:rPr>
      </w:pPr>
    </w:p>
    <w:p>
      <w:pPr>
        <w:snapToGrid w:val="0"/>
        <w:spacing w:before="50" w:after="50"/>
        <w:rPr>
          <w:rFonts w:ascii="仿宋" w:hAnsi="仿宋" w:eastAsia="仿宋"/>
          <w:b/>
          <w:bCs/>
          <w:sz w:val="36"/>
          <w:szCs w:val="36"/>
        </w:rPr>
      </w:pPr>
      <w:r>
        <w:rPr>
          <w:rFonts w:hint="eastAsia" w:ascii="仿宋" w:hAnsi="仿宋" w:eastAsia="仿宋"/>
          <w:sz w:val="36"/>
          <w:szCs w:val="36"/>
        </w:rPr>
        <w:br w:type="page"/>
      </w:r>
      <w:r>
        <w:rPr>
          <w:rFonts w:hint="eastAsia" w:ascii="仿宋" w:hAnsi="仿宋" w:eastAsia="仿宋"/>
          <w:sz w:val="36"/>
          <w:szCs w:val="36"/>
        </w:rPr>
        <w:t>2、</w:t>
      </w:r>
      <w:r>
        <w:rPr>
          <w:rFonts w:hint="eastAsia" w:ascii="仿宋" w:hAnsi="仿宋" w:eastAsia="仿宋"/>
          <w:b/>
          <w:bCs/>
          <w:sz w:val="36"/>
          <w:szCs w:val="36"/>
        </w:rPr>
        <w:t>技术及商务文件目录</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（1）评分对应表（格式见附件，主要用于评委对应评分内容）</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（2）投标项目明细清单（含货物、服务等）；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（3）技术响应表（格式见附件）；</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（4）项目总体解决方案（可包含且不限于对项目总体要求的理解、项目总体架构及技术解决方案等）；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（5）项目实施计划（可包含且不限于保证工期的施工组织方案及人力资源安排、项目组人员清单等）；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（6）列入政府采购节能环保清单的证明资料（若有）；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（7）商务响应表（格式见附件）；</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（8）售后服务计划（可包含且不限于对用户故障的响应、处理、定期巡检、备品备件、常用耗材提供、驻点人员情况等）；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（9）技术培训计划（若有）；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（10）投标人履约能力（可包含且不限于技术力量情况、投标人各项能力证书）；</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（11）案例的业绩证明（投标人业绩情况一览表、合同复印件等）；</w:t>
      </w:r>
    </w:p>
    <w:p>
      <w:pPr>
        <w:snapToGrid w:val="0"/>
        <w:spacing w:line="460" w:lineRule="exact"/>
        <w:ind w:firstLine="600" w:firstLineChars="200"/>
        <w:jc w:val="left"/>
        <w:rPr>
          <w:rFonts w:ascii="仿宋" w:hAnsi="仿宋" w:eastAsia="仿宋"/>
          <w:sz w:val="30"/>
          <w:szCs w:val="30"/>
        </w:rPr>
      </w:pPr>
      <w:r>
        <w:rPr>
          <w:rFonts w:hint="eastAsia" w:ascii="仿宋" w:hAnsi="仿宋" w:eastAsia="仿宋"/>
          <w:sz w:val="30"/>
          <w:szCs w:val="30"/>
        </w:rPr>
        <w:t>（12）投标人认为需要的其他文件资料。</w:t>
      </w:r>
    </w:p>
    <w:p>
      <w:pPr>
        <w:snapToGrid w:val="0"/>
        <w:spacing w:before="50" w:after="165" w:afterLines="50"/>
        <w:jc w:val="left"/>
        <w:rPr>
          <w:rFonts w:ascii="仿宋" w:hAnsi="仿宋" w:eastAsia="仿宋"/>
          <w:sz w:val="30"/>
          <w:szCs w:val="30"/>
        </w:rPr>
      </w:pPr>
    </w:p>
    <w:p>
      <w:pPr>
        <w:snapToGrid w:val="0"/>
        <w:spacing w:before="50"/>
        <w:jc w:val="left"/>
        <w:rPr>
          <w:rFonts w:ascii="仿宋" w:hAnsi="仿宋" w:eastAsia="仿宋"/>
          <w:sz w:val="30"/>
          <w:szCs w:val="30"/>
        </w:rPr>
      </w:pPr>
      <w:r>
        <w:rPr>
          <w:rFonts w:hint="eastAsia" w:ascii="仿宋" w:hAnsi="仿宋" w:eastAsia="仿宋"/>
          <w:sz w:val="30"/>
          <w:szCs w:val="30"/>
        </w:rPr>
        <w:br w:type="page"/>
      </w:r>
      <w:r>
        <w:rPr>
          <w:rFonts w:hint="eastAsia" w:ascii="仿宋" w:hAnsi="仿宋" w:eastAsia="仿宋"/>
          <w:sz w:val="30"/>
          <w:szCs w:val="30"/>
        </w:rPr>
        <w:t>附件7：</w:t>
      </w:r>
    </w:p>
    <w:p>
      <w:pPr>
        <w:snapToGrid w:val="0"/>
        <w:spacing w:before="50" w:after="50"/>
        <w:jc w:val="center"/>
        <w:rPr>
          <w:rFonts w:ascii="仿宋" w:hAnsi="仿宋" w:eastAsia="仿宋"/>
          <w:b/>
          <w:sz w:val="36"/>
          <w:szCs w:val="36"/>
        </w:rPr>
      </w:pPr>
      <w:r>
        <w:rPr>
          <w:rFonts w:hint="eastAsia" w:ascii="仿宋" w:hAnsi="仿宋" w:eastAsia="仿宋"/>
          <w:b/>
          <w:sz w:val="36"/>
          <w:szCs w:val="36"/>
        </w:rPr>
        <w:t>评分对应表</w:t>
      </w:r>
    </w:p>
    <w:p>
      <w:pPr>
        <w:snapToGrid w:val="0"/>
        <w:spacing w:before="50"/>
        <w:jc w:val="center"/>
        <w:rPr>
          <w:rFonts w:ascii="仿宋" w:hAnsi="仿宋" w:eastAsia="仿宋"/>
          <w:b/>
          <w:sz w:val="32"/>
          <w:szCs w:val="32"/>
        </w:rPr>
      </w:pPr>
    </w:p>
    <w:p>
      <w:pPr>
        <w:pStyle w:val="10"/>
        <w:snapToGrid w:val="0"/>
        <w:rPr>
          <w:rFonts w:ascii="仿宋" w:hAnsi="仿宋" w:eastAsia="仿宋"/>
          <w:sz w:val="30"/>
          <w:szCs w:val="30"/>
          <w:u w:val="single"/>
        </w:rPr>
      </w:pPr>
      <w:r>
        <w:rPr>
          <w:rFonts w:hint="eastAsia" w:ascii="仿宋" w:hAnsi="仿宋" w:eastAsia="仿宋"/>
          <w:sz w:val="30"/>
          <w:szCs w:val="30"/>
        </w:rPr>
        <w:t>投标人全称（公章）：              标项：</w:t>
      </w:r>
    </w:p>
    <w:tbl>
      <w:tblPr>
        <w:tblStyle w:val="36"/>
        <w:tblW w:w="83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sz w:val="30"/>
                <w:szCs w:val="30"/>
              </w:rPr>
            </w:pPr>
            <w:r>
              <w:rPr>
                <w:rFonts w:hint="eastAsia" w:ascii="仿宋" w:hAnsi="仿宋" w:eastAsia="仿宋"/>
                <w:sz w:val="30"/>
                <w:szCs w:val="30"/>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sz w:val="30"/>
                <w:szCs w:val="30"/>
              </w:rPr>
            </w:pPr>
            <w:r>
              <w:rPr>
                <w:rFonts w:hint="eastAsia" w:ascii="仿宋" w:hAnsi="仿宋" w:eastAsia="仿宋"/>
                <w:sz w:val="30"/>
                <w:szCs w:val="30"/>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kern w:val="0"/>
                <w:sz w:val="30"/>
                <w:szCs w:val="30"/>
              </w:rPr>
            </w:pPr>
            <w:r>
              <w:rPr>
                <w:rFonts w:hint="eastAsia" w:ascii="仿宋" w:hAnsi="仿宋" w:eastAsia="仿宋"/>
                <w:sz w:val="30"/>
                <w:szCs w:val="30"/>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r>
              <w:rPr>
                <w:rFonts w:hint="eastAsia" w:ascii="仿宋" w:hAnsi="仿宋" w:eastAsia="仿宋"/>
                <w:sz w:val="30"/>
                <w:szCs w:val="30"/>
              </w:rPr>
              <w:t>对应第三章评分办法及评分标准（报价除外）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r>
              <w:rPr>
                <w:rFonts w:hint="eastAsia" w:ascii="仿宋" w:hAnsi="仿宋" w:eastAsia="仿宋"/>
                <w:sz w:val="30"/>
                <w:szCs w:val="30"/>
              </w:rPr>
              <w:t>……</w:t>
            </w: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p>
        </w:tc>
        <w:tc>
          <w:tcPr>
            <w:tcW w:w="30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bl>
    <w:p>
      <w:pPr>
        <w:snapToGrid w:val="0"/>
        <w:spacing w:before="165" w:beforeLines="50"/>
        <w:rPr>
          <w:rFonts w:ascii="仿宋" w:hAnsi="仿宋" w:eastAsia="仿宋"/>
          <w:sz w:val="30"/>
          <w:szCs w:val="30"/>
          <w:u w:val="single"/>
        </w:rPr>
      </w:pPr>
      <w:r>
        <w:rPr>
          <w:rFonts w:hint="eastAsia" w:ascii="仿宋" w:hAnsi="仿宋" w:eastAsia="仿宋"/>
          <w:sz w:val="30"/>
          <w:szCs w:val="30"/>
        </w:rPr>
        <w:t>授权代表签名：               日期：</w:t>
      </w:r>
    </w:p>
    <w:p>
      <w:pPr>
        <w:snapToGrid w:val="0"/>
        <w:spacing w:before="50" w:after="165" w:afterLines="50"/>
        <w:jc w:val="left"/>
        <w:rPr>
          <w:rFonts w:ascii="仿宋" w:hAnsi="仿宋" w:eastAsia="仿宋"/>
          <w:sz w:val="30"/>
          <w:szCs w:val="30"/>
        </w:rPr>
      </w:pPr>
      <w:r>
        <w:rPr>
          <w:rFonts w:hint="eastAsia" w:ascii="仿宋" w:hAnsi="仿宋" w:eastAsia="仿宋"/>
          <w:sz w:val="30"/>
          <w:szCs w:val="30"/>
        </w:rPr>
        <w:br w:type="page"/>
      </w:r>
      <w:r>
        <w:rPr>
          <w:rFonts w:hint="eastAsia" w:ascii="仿宋" w:hAnsi="仿宋" w:eastAsia="仿宋"/>
          <w:sz w:val="30"/>
          <w:szCs w:val="30"/>
        </w:rPr>
        <w:t>附件8：</w:t>
      </w:r>
    </w:p>
    <w:p>
      <w:pPr>
        <w:snapToGrid w:val="0"/>
        <w:spacing w:before="50" w:after="165" w:afterLines="50"/>
        <w:jc w:val="center"/>
        <w:rPr>
          <w:rFonts w:ascii="仿宋" w:hAnsi="仿宋" w:eastAsia="仿宋"/>
          <w:b/>
          <w:spacing w:val="40"/>
          <w:kern w:val="0"/>
          <w:sz w:val="36"/>
          <w:szCs w:val="36"/>
        </w:rPr>
      </w:pPr>
      <w:r>
        <w:rPr>
          <w:rFonts w:hint="eastAsia" w:ascii="仿宋" w:hAnsi="仿宋" w:eastAsia="仿宋"/>
          <w:b/>
          <w:spacing w:val="40"/>
          <w:kern w:val="0"/>
          <w:sz w:val="36"/>
          <w:szCs w:val="36"/>
        </w:rPr>
        <w:t>投标项目明细清单</w:t>
      </w:r>
    </w:p>
    <w:p>
      <w:pPr>
        <w:snapToGrid w:val="0"/>
        <w:spacing w:before="50" w:after="165" w:afterLines="50"/>
        <w:rPr>
          <w:rFonts w:ascii="仿宋" w:hAnsi="仿宋" w:eastAsia="仿宋"/>
          <w:b/>
          <w:spacing w:val="40"/>
          <w:kern w:val="0"/>
          <w:sz w:val="36"/>
          <w:szCs w:val="36"/>
        </w:rPr>
      </w:pPr>
    </w:p>
    <w:p>
      <w:pPr>
        <w:pStyle w:val="10"/>
        <w:snapToGrid w:val="0"/>
        <w:rPr>
          <w:rFonts w:ascii="仿宋" w:hAnsi="仿宋" w:eastAsia="仿宋"/>
          <w:kern w:val="0"/>
          <w:sz w:val="30"/>
          <w:szCs w:val="30"/>
          <w:u w:val="single"/>
        </w:rPr>
      </w:pPr>
      <w:r>
        <w:rPr>
          <w:rFonts w:hint="eastAsia" w:ascii="仿宋" w:hAnsi="仿宋" w:eastAsia="仿宋"/>
          <w:sz w:val="30"/>
          <w:szCs w:val="30"/>
        </w:rPr>
        <w:t>投标人全称（公章）：                标项：</w:t>
      </w:r>
    </w:p>
    <w:p>
      <w:pPr>
        <w:pStyle w:val="10"/>
        <w:snapToGrid w:val="0"/>
        <w:rPr>
          <w:rFonts w:ascii="仿宋" w:hAnsi="仿宋" w:eastAsia="仿宋"/>
          <w:sz w:val="30"/>
          <w:szCs w:val="30"/>
        </w:rPr>
      </w:pPr>
      <w:r>
        <w:rPr>
          <w:rFonts w:hint="eastAsia" w:ascii="仿宋" w:hAnsi="仿宋" w:eastAsia="仿宋"/>
          <w:sz w:val="30"/>
          <w:szCs w:val="30"/>
        </w:rPr>
        <w:t>货物类</w:t>
      </w:r>
    </w:p>
    <w:tbl>
      <w:tblPr>
        <w:tblStyle w:val="36"/>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规格</w:t>
            </w:r>
          </w:p>
          <w:p>
            <w:pPr>
              <w:snapToGrid w:val="0"/>
              <w:spacing w:before="50" w:after="50"/>
              <w:jc w:val="center"/>
              <w:rPr>
                <w:rFonts w:ascii="仿宋" w:hAnsi="仿宋" w:eastAsia="仿宋"/>
                <w:sz w:val="30"/>
                <w:szCs w:val="30"/>
              </w:rPr>
            </w:pPr>
            <w:r>
              <w:rPr>
                <w:rFonts w:hint="eastAsia" w:ascii="仿宋" w:hAns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单位及</w:t>
            </w:r>
          </w:p>
          <w:p>
            <w:pPr>
              <w:snapToGrid w:val="0"/>
              <w:spacing w:before="50" w:after="50"/>
              <w:jc w:val="center"/>
              <w:rPr>
                <w:rFonts w:ascii="仿宋" w:hAnsi="仿宋" w:eastAsia="仿宋"/>
                <w:sz w:val="30"/>
                <w:szCs w:val="30"/>
              </w:rPr>
            </w:pPr>
            <w:r>
              <w:rPr>
                <w:rFonts w:hint="eastAsia" w:ascii="仿宋" w:hAns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仿宋" w:hAns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16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仿宋" w:hAns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r>
    </w:tbl>
    <w:p>
      <w:pPr>
        <w:snapToGrid w:val="0"/>
        <w:spacing w:before="165" w:beforeLines="50"/>
        <w:rPr>
          <w:rFonts w:ascii="仿宋" w:hAnsi="仿宋" w:eastAsia="仿宋"/>
          <w:sz w:val="30"/>
          <w:szCs w:val="30"/>
        </w:rPr>
      </w:pPr>
      <w:r>
        <w:rPr>
          <w:rFonts w:hint="eastAsia" w:ascii="仿宋" w:hAnsi="仿宋" w:eastAsia="仿宋"/>
          <w:sz w:val="30"/>
          <w:szCs w:val="30"/>
        </w:rPr>
        <w:t>服务类</w:t>
      </w:r>
    </w:p>
    <w:tbl>
      <w:tblPr>
        <w:tblStyle w:val="36"/>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序号</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服务内容</w:t>
            </w: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服务人员数量</w:t>
            </w: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r>
              <w:rPr>
                <w:rFonts w:hint="eastAsia" w:ascii="仿宋" w:hAnsi="仿宋" w:eastAsia="仿宋"/>
                <w:sz w:val="30"/>
                <w:szCs w:val="30"/>
              </w:rPr>
              <w:t>工作量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仿宋" w:hAnsi="仿宋" w:eastAsia="仿宋"/>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c>
          <w:tcPr>
            <w:tcW w:w="2829" w:type="dxa"/>
            <w:tcBorders>
              <w:top w:val="single" w:color="auto" w:sz="4" w:space="0"/>
              <w:left w:val="single" w:color="auto" w:sz="4" w:space="0"/>
              <w:bottom w:val="single" w:color="auto" w:sz="4" w:space="0"/>
              <w:right w:val="single" w:color="auto" w:sz="4" w:space="0"/>
            </w:tcBorders>
            <w:vAlign w:val="center"/>
          </w:tcPr>
          <w:p>
            <w:pPr>
              <w:snapToGrid w:val="0"/>
              <w:spacing w:before="50" w:after="50"/>
              <w:ind w:left="480" w:hanging="480"/>
              <w:jc w:val="center"/>
              <w:rPr>
                <w:rFonts w:ascii="仿宋" w:hAnsi="仿宋" w:eastAsia="仿宋"/>
                <w:sz w:val="30"/>
                <w:szCs w:val="30"/>
              </w:rPr>
            </w:pPr>
          </w:p>
        </w:tc>
        <w:tc>
          <w:tcPr>
            <w:tcW w:w="2830" w:type="dxa"/>
            <w:tcBorders>
              <w:top w:val="single" w:color="auto" w:sz="4" w:space="0"/>
              <w:left w:val="single" w:color="auto" w:sz="4" w:space="0"/>
              <w:bottom w:val="single" w:color="auto" w:sz="4" w:space="0"/>
              <w:right w:val="single" w:color="auto" w:sz="4" w:space="0"/>
            </w:tcBorders>
            <w:vAlign w:val="center"/>
          </w:tcPr>
          <w:p>
            <w:pPr>
              <w:snapToGrid w:val="0"/>
              <w:spacing w:before="50" w:after="50"/>
              <w:jc w:val="center"/>
              <w:rPr>
                <w:rFonts w:ascii="仿宋" w:hAnsi="仿宋" w:eastAsia="仿宋"/>
                <w:sz w:val="30"/>
                <w:szCs w:val="30"/>
              </w:rPr>
            </w:pPr>
          </w:p>
        </w:tc>
      </w:tr>
    </w:tbl>
    <w:p>
      <w:pPr>
        <w:snapToGrid w:val="0"/>
        <w:spacing w:before="165" w:beforeLines="50"/>
        <w:rPr>
          <w:rFonts w:ascii="仿宋" w:hAnsi="仿宋" w:eastAsia="仿宋"/>
          <w:sz w:val="30"/>
          <w:szCs w:val="30"/>
        </w:rPr>
      </w:pPr>
      <w:r>
        <w:rPr>
          <w:rFonts w:hint="eastAsia" w:ascii="仿宋" w:hAnsi="仿宋" w:eastAsia="仿宋"/>
          <w:sz w:val="30"/>
          <w:szCs w:val="30"/>
        </w:rPr>
        <w:t>注：在填写时，如上表不适合本项目的实际情况，可在确保投标明细内容完整的情况下，根据上表格式自行划表填写。</w:t>
      </w:r>
    </w:p>
    <w:p>
      <w:pPr>
        <w:snapToGrid w:val="0"/>
        <w:spacing w:before="165" w:beforeLines="50"/>
        <w:rPr>
          <w:rFonts w:ascii="仿宋" w:hAnsi="仿宋" w:eastAsia="仿宋"/>
          <w:sz w:val="30"/>
          <w:szCs w:val="30"/>
        </w:rPr>
      </w:pPr>
    </w:p>
    <w:p>
      <w:pPr>
        <w:snapToGrid w:val="0"/>
        <w:spacing w:before="165" w:beforeLines="50"/>
        <w:rPr>
          <w:rFonts w:ascii="仿宋" w:hAnsi="仿宋" w:eastAsia="仿宋"/>
          <w:sz w:val="30"/>
          <w:szCs w:val="30"/>
          <w:u w:val="single"/>
        </w:rPr>
      </w:pPr>
      <w:r>
        <w:rPr>
          <w:rFonts w:hint="eastAsia" w:ascii="仿宋" w:hAnsi="仿宋" w:eastAsia="仿宋"/>
          <w:sz w:val="30"/>
          <w:szCs w:val="30"/>
        </w:rPr>
        <w:t>授权代表签名：               日期：</w:t>
      </w:r>
    </w:p>
    <w:p>
      <w:pPr>
        <w:snapToGrid w:val="0"/>
        <w:spacing w:before="50" w:after="50"/>
        <w:rPr>
          <w:rFonts w:ascii="仿宋" w:hAnsi="仿宋" w:eastAsia="仿宋"/>
          <w:spacing w:val="20"/>
          <w:sz w:val="30"/>
          <w:szCs w:val="30"/>
        </w:rPr>
      </w:pPr>
    </w:p>
    <w:p>
      <w:pPr>
        <w:snapToGrid w:val="0"/>
        <w:spacing w:before="50" w:after="50"/>
        <w:rPr>
          <w:rFonts w:ascii="仿宋" w:hAnsi="仿宋" w:eastAsia="仿宋"/>
          <w:sz w:val="30"/>
          <w:szCs w:val="30"/>
        </w:rPr>
      </w:pPr>
      <w:r>
        <w:rPr>
          <w:rFonts w:hint="eastAsia" w:ascii="仿宋" w:hAnsi="仿宋" w:eastAsia="仿宋"/>
          <w:spacing w:val="20"/>
          <w:sz w:val="30"/>
          <w:szCs w:val="30"/>
        </w:rPr>
        <w:br w:type="page"/>
      </w:r>
      <w:r>
        <w:rPr>
          <w:rFonts w:hint="eastAsia" w:ascii="仿宋" w:hAnsi="仿宋" w:eastAsia="仿宋"/>
          <w:sz w:val="30"/>
          <w:szCs w:val="30"/>
        </w:rPr>
        <w:t>附件9：</w:t>
      </w:r>
    </w:p>
    <w:p>
      <w:pPr>
        <w:snapToGrid w:val="0"/>
        <w:spacing w:before="50" w:after="165" w:afterLines="50"/>
        <w:jc w:val="center"/>
        <w:rPr>
          <w:rFonts w:ascii="仿宋" w:hAnsi="仿宋" w:eastAsia="仿宋"/>
          <w:b/>
          <w:spacing w:val="40"/>
          <w:kern w:val="0"/>
          <w:sz w:val="36"/>
          <w:szCs w:val="36"/>
        </w:rPr>
      </w:pPr>
      <w:r>
        <w:rPr>
          <w:rFonts w:hint="eastAsia" w:ascii="仿宋" w:hAnsi="仿宋" w:eastAsia="仿宋"/>
          <w:b/>
          <w:spacing w:val="40"/>
          <w:kern w:val="0"/>
          <w:sz w:val="36"/>
          <w:szCs w:val="36"/>
        </w:rPr>
        <w:t>技 术 响 应 表</w:t>
      </w:r>
    </w:p>
    <w:p>
      <w:pPr>
        <w:snapToGrid w:val="0"/>
        <w:spacing w:before="50" w:after="165" w:afterLines="50"/>
        <w:rPr>
          <w:rFonts w:ascii="仿宋" w:hAnsi="仿宋" w:eastAsia="仿宋"/>
          <w:b/>
          <w:sz w:val="32"/>
          <w:szCs w:val="32"/>
        </w:rPr>
      </w:pPr>
    </w:p>
    <w:p>
      <w:pPr>
        <w:pStyle w:val="10"/>
        <w:snapToGrid w:val="0"/>
        <w:rPr>
          <w:rFonts w:ascii="仿宋" w:hAnsi="仿宋" w:eastAsia="仿宋"/>
          <w:sz w:val="30"/>
          <w:szCs w:val="30"/>
          <w:u w:val="single"/>
        </w:rPr>
      </w:pPr>
      <w:r>
        <w:rPr>
          <w:rFonts w:hint="eastAsia" w:ascii="仿宋" w:hAnsi="仿宋" w:eastAsia="仿宋"/>
          <w:sz w:val="30"/>
          <w:szCs w:val="30"/>
        </w:rPr>
        <w:t>投标人全称（公章）：            标项：</w:t>
      </w:r>
    </w:p>
    <w:tbl>
      <w:tblPr>
        <w:tblStyle w:val="36"/>
        <w:tblW w:w="85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09"/>
        <w:gridCol w:w="2196"/>
        <w:gridCol w:w="242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4" w:hRule="atLeast"/>
        </w:trPr>
        <w:tc>
          <w:tcPr>
            <w:tcW w:w="3909" w:type="dxa"/>
            <w:tcBorders>
              <w:top w:val="single" w:color="auto" w:sz="4" w:space="0"/>
              <w:left w:val="single" w:color="auto" w:sz="4" w:space="0"/>
              <w:bottom w:val="single" w:color="auto" w:sz="4" w:space="0"/>
              <w:right w:val="single" w:color="auto" w:sz="4" w:space="0"/>
            </w:tcBorders>
          </w:tcPr>
          <w:p>
            <w:pPr>
              <w:snapToGrid w:val="0"/>
              <w:spacing w:before="50" w:after="165" w:afterLines="50"/>
              <w:jc w:val="center"/>
              <w:rPr>
                <w:rFonts w:ascii="仿宋" w:hAnsi="仿宋" w:eastAsia="仿宋"/>
                <w:sz w:val="30"/>
                <w:szCs w:val="30"/>
              </w:rPr>
            </w:pPr>
            <w:r>
              <w:rPr>
                <w:rFonts w:hint="eastAsia" w:ascii="仿宋" w:hAnsi="仿宋" w:eastAsia="仿宋"/>
                <w:sz w:val="30"/>
                <w:szCs w:val="30"/>
              </w:rPr>
              <w:t>招标文件要求</w:t>
            </w:r>
          </w:p>
        </w:tc>
        <w:tc>
          <w:tcPr>
            <w:tcW w:w="2196" w:type="dxa"/>
            <w:tcBorders>
              <w:top w:val="single" w:color="auto" w:sz="4" w:space="0"/>
              <w:left w:val="single" w:color="auto" w:sz="4" w:space="0"/>
              <w:bottom w:val="single" w:color="auto" w:sz="4" w:space="0"/>
              <w:right w:val="single" w:color="auto" w:sz="4" w:space="0"/>
            </w:tcBorders>
          </w:tcPr>
          <w:p>
            <w:pPr>
              <w:snapToGrid w:val="0"/>
              <w:spacing w:before="50" w:after="165" w:afterLines="50"/>
              <w:jc w:val="center"/>
              <w:rPr>
                <w:rFonts w:ascii="仿宋" w:hAnsi="仿宋" w:eastAsia="仿宋"/>
                <w:sz w:val="30"/>
                <w:szCs w:val="30"/>
              </w:rPr>
            </w:pPr>
            <w:r>
              <w:rPr>
                <w:rFonts w:hint="eastAsia" w:ascii="仿宋" w:hAnsi="仿宋" w:eastAsia="仿宋"/>
                <w:sz w:val="30"/>
                <w:szCs w:val="30"/>
              </w:rPr>
              <w:t>投标文件响应</w:t>
            </w:r>
          </w:p>
        </w:tc>
        <w:tc>
          <w:tcPr>
            <w:tcW w:w="2423" w:type="dxa"/>
            <w:tcBorders>
              <w:top w:val="single" w:color="auto" w:sz="4" w:space="0"/>
              <w:left w:val="single" w:color="auto" w:sz="4" w:space="0"/>
              <w:bottom w:val="single" w:color="auto" w:sz="4" w:space="0"/>
              <w:right w:val="single" w:color="auto" w:sz="4" w:space="0"/>
            </w:tcBorders>
          </w:tcPr>
          <w:p>
            <w:pPr>
              <w:snapToGrid w:val="0"/>
              <w:spacing w:before="50" w:after="165" w:afterLines="50"/>
              <w:jc w:val="center"/>
              <w:rPr>
                <w:rFonts w:ascii="仿宋" w:hAnsi="仿宋" w:eastAsia="仿宋"/>
                <w:kern w:val="0"/>
                <w:sz w:val="30"/>
                <w:szCs w:val="30"/>
              </w:rPr>
            </w:pPr>
            <w:r>
              <w:rPr>
                <w:rFonts w:hint="eastAsia" w:ascii="仿宋" w:hAnsi="仿宋" w:eastAsia="仿宋"/>
                <w:sz w:val="30"/>
                <w:szCs w:val="30"/>
              </w:rPr>
              <w:t xml:space="preserve">偏离情况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0"/>
              <w:snapToGrid w:val="0"/>
              <w:spacing w:before="120" w:after="120"/>
              <w:outlineLvl w:val="0"/>
              <w:rPr>
                <w:rFonts w:ascii="仿宋" w:hAnsi="仿宋" w:eastAsia="仿宋"/>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0"/>
              <w:snapToGrid w:val="0"/>
              <w:spacing w:before="120" w:after="120"/>
              <w:outlineLvl w:val="0"/>
              <w:rPr>
                <w:rFonts w:ascii="仿宋" w:hAnsi="仿宋" w:eastAsia="仿宋"/>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0"/>
              <w:snapToGrid w:val="0"/>
              <w:spacing w:before="120" w:after="12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0"/>
              <w:snapToGrid w:val="0"/>
              <w:spacing w:before="120" w:after="12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0"/>
              <w:snapToGrid w:val="0"/>
              <w:spacing w:before="120" w:after="120"/>
              <w:outlineLvl w:val="0"/>
              <w:rPr>
                <w:rFonts w:ascii="仿宋" w:hAnsi="仿宋" w:eastAsia="仿宋"/>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2"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0"/>
              <w:snapToGrid w:val="0"/>
              <w:spacing w:before="120" w:after="120"/>
              <w:outlineLvl w:val="0"/>
              <w:rPr>
                <w:rFonts w:ascii="仿宋" w:hAnsi="仿宋" w:eastAsia="仿宋"/>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c>
          <w:tcPr>
            <w:tcW w:w="2423" w:type="dxa"/>
            <w:tcBorders>
              <w:top w:val="single" w:color="auto" w:sz="4" w:space="0"/>
              <w:left w:val="single" w:color="auto" w:sz="4" w:space="0"/>
              <w:bottom w:val="nil"/>
              <w:right w:val="single" w:color="auto" w:sz="4" w:space="0"/>
            </w:tcBorders>
          </w:tcPr>
          <w:p>
            <w:pPr>
              <w:pStyle w:val="20"/>
              <w:snapToGrid w:val="0"/>
              <w:spacing w:before="120" w:after="120"/>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0"/>
              <w:snapToGrid w:val="0"/>
              <w:spacing w:before="120" w:after="120"/>
              <w:outlineLvl w:val="0"/>
              <w:rPr>
                <w:rFonts w:ascii="仿宋" w:hAnsi="仿宋" w:eastAsia="仿宋"/>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4" w:hRule="atLeast"/>
        </w:trPr>
        <w:tc>
          <w:tcPr>
            <w:tcW w:w="3909" w:type="dxa"/>
            <w:tcBorders>
              <w:top w:val="single" w:color="auto" w:sz="4" w:space="0"/>
              <w:left w:val="single" w:color="auto" w:sz="4" w:space="0"/>
              <w:bottom w:val="single" w:color="auto" w:sz="4" w:space="0"/>
              <w:right w:val="single" w:color="auto" w:sz="4" w:space="0"/>
            </w:tcBorders>
            <w:vAlign w:val="center"/>
          </w:tcPr>
          <w:p>
            <w:pPr>
              <w:pStyle w:val="20"/>
              <w:snapToGrid w:val="0"/>
              <w:spacing w:before="120" w:after="120"/>
              <w:outlineLvl w:val="0"/>
              <w:rPr>
                <w:rFonts w:ascii="仿宋" w:hAnsi="仿宋" w:eastAsia="仿宋"/>
                <w:sz w:val="30"/>
                <w:szCs w:val="30"/>
              </w:rPr>
            </w:pPr>
          </w:p>
        </w:tc>
        <w:tc>
          <w:tcPr>
            <w:tcW w:w="2196"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c>
          <w:tcPr>
            <w:tcW w:w="2423" w:type="dxa"/>
            <w:tcBorders>
              <w:top w:val="single" w:color="auto" w:sz="4" w:space="0"/>
              <w:left w:val="single" w:color="auto" w:sz="4" w:space="0"/>
              <w:bottom w:val="single" w:color="auto" w:sz="4" w:space="0"/>
              <w:right w:val="single" w:color="auto" w:sz="4" w:space="0"/>
            </w:tcBorders>
          </w:tcPr>
          <w:p>
            <w:pPr>
              <w:pStyle w:val="20"/>
              <w:snapToGrid w:val="0"/>
              <w:spacing w:before="120" w:after="120"/>
              <w:outlineLvl w:val="0"/>
              <w:rPr>
                <w:rFonts w:ascii="仿宋" w:hAnsi="仿宋" w:eastAsia="仿宋"/>
                <w:sz w:val="30"/>
                <w:szCs w:val="30"/>
              </w:rPr>
            </w:pPr>
          </w:p>
        </w:tc>
      </w:tr>
    </w:tbl>
    <w:p>
      <w:pPr>
        <w:pStyle w:val="13"/>
        <w:rPr>
          <w:rFonts w:ascii="仿宋" w:hAnsi="仿宋" w:eastAsia="仿宋"/>
          <w:spacing w:val="20"/>
          <w:kern w:val="0"/>
          <w:sz w:val="30"/>
          <w:szCs w:val="30"/>
        </w:rPr>
      </w:pPr>
      <w:r>
        <w:rPr>
          <w:rFonts w:hint="eastAsia" w:ascii="仿宋" w:hAnsi="仿宋" w:eastAsia="仿宋"/>
          <w:sz w:val="30"/>
          <w:szCs w:val="30"/>
        </w:rPr>
        <w:t>注：投标人应根据投标设备的性能指标、对照招标文件要求在“偏离情况”栏注明“正偏离”、“负偏离”或“无偏离”。</w:t>
      </w:r>
    </w:p>
    <w:p>
      <w:pPr>
        <w:snapToGrid w:val="0"/>
        <w:spacing w:before="50" w:after="50"/>
        <w:rPr>
          <w:rFonts w:ascii="仿宋" w:hAnsi="仿宋" w:eastAsia="仿宋"/>
          <w:spacing w:val="20"/>
          <w:sz w:val="30"/>
          <w:szCs w:val="30"/>
        </w:rPr>
      </w:pPr>
    </w:p>
    <w:p>
      <w:pPr>
        <w:snapToGrid w:val="0"/>
        <w:spacing w:before="50" w:after="50"/>
        <w:rPr>
          <w:rFonts w:ascii="仿宋" w:hAnsi="仿宋" w:eastAsia="仿宋"/>
          <w:sz w:val="30"/>
          <w:szCs w:val="30"/>
        </w:rPr>
      </w:pPr>
      <w:r>
        <w:rPr>
          <w:rFonts w:hint="eastAsia" w:ascii="仿宋" w:hAnsi="仿宋" w:eastAsia="仿宋"/>
          <w:spacing w:val="20"/>
          <w:sz w:val="30"/>
          <w:szCs w:val="30"/>
        </w:rPr>
        <w:t>授权代表签名：          日 期：</w:t>
      </w:r>
    </w:p>
    <w:p>
      <w:pPr>
        <w:snapToGrid w:val="0"/>
        <w:spacing w:before="50" w:after="165" w:afterLines="50"/>
        <w:jc w:val="left"/>
        <w:rPr>
          <w:rFonts w:ascii="仿宋" w:hAnsi="仿宋" w:eastAsia="仿宋"/>
          <w:sz w:val="30"/>
          <w:szCs w:val="30"/>
        </w:rPr>
      </w:pPr>
    </w:p>
    <w:p>
      <w:pPr>
        <w:snapToGrid w:val="0"/>
        <w:spacing w:before="50" w:after="50"/>
        <w:rPr>
          <w:rFonts w:ascii="仿宋" w:hAnsi="仿宋" w:eastAsia="仿宋"/>
          <w:sz w:val="30"/>
          <w:szCs w:val="30"/>
        </w:rPr>
      </w:pPr>
      <w:r>
        <w:rPr>
          <w:rFonts w:hint="eastAsia" w:ascii="仿宋" w:hAnsi="仿宋" w:eastAsia="仿宋"/>
          <w:sz w:val="30"/>
          <w:szCs w:val="30"/>
        </w:rPr>
        <w:br w:type="page"/>
      </w:r>
      <w:r>
        <w:rPr>
          <w:rFonts w:hint="eastAsia" w:ascii="仿宋" w:hAnsi="仿宋" w:eastAsia="仿宋"/>
          <w:sz w:val="30"/>
          <w:szCs w:val="30"/>
        </w:rPr>
        <w:t>附件10：</w:t>
      </w:r>
    </w:p>
    <w:p>
      <w:pPr>
        <w:snapToGrid w:val="0"/>
        <w:spacing w:before="50" w:after="165" w:afterLines="50"/>
        <w:jc w:val="center"/>
        <w:rPr>
          <w:rFonts w:ascii="仿宋" w:hAnsi="仿宋" w:eastAsia="仿宋"/>
          <w:b/>
          <w:kern w:val="0"/>
          <w:sz w:val="36"/>
          <w:szCs w:val="36"/>
        </w:rPr>
      </w:pPr>
      <w:r>
        <w:rPr>
          <w:rFonts w:hint="eastAsia" w:ascii="仿宋" w:hAnsi="仿宋" w:eastAsia="仿宋"/>
          <w:b/>
          <w:kern w:val="0"/>
          <w:sz w:val="36"/>
          <w:szCs w:val="36"/>
        </w:rPr>
        <w:t>项目组人员清单</w:t>
      </w:r>
    </w:p>
    <w:p>
      <w:pPr>
        <w:snapToGrid w:val="0"/>
        <w:spacing w:before="165" w:beforeLines="50" w:after="50"/>
        <w:rPr>
          <w:rFonts w:ascii="仿宋" w:hAnsi="仿宋" w:eastAsia="仿宋"/>
          <w:b/>
          <w:sz w:val="30"/>
          <w:szCs w:val="30"/>
        </w:rPr>
      </w:pPr>
    </w:p>
    <w:p>
      <w:pPr>
        <w:pStyle w:val="10"/>
        <w:snapToGrid w:val="0"/>
        <w:rPr>
          <w:rFonts w:ascii="仿宋" w:hAnsi="仿宋" w:eastAsia="仿宋"/>
          <w:sz w:val="30"/>
          <w:szCs w:val="30"/>
          <w:u w:val="single"/>
        </w:rPr>
      </w:pPr>
      <w:r>
        <w:rPr>
          <w:rFonts w:hint="eastAsia" w:ascii="仿宋" w:hAnsi="仿宋" w:eastAsia="仿宋"/>
          <w:sz w:val="30"/>
          <w:szCs w:val="30"/>
        </w:rPr>
        <w:t>投标人全称（公章）：              标项：</w:t>
      </w:r>
    </w:p>
    <w:tbl>
      <w:tblPr>
        <w:tblStyle w:val="36"/>
        <w:tblW w:w="8531"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after="50" w:line="460" w:lineRule="exact"/>
              <w:jc w:val="center"/>
              <w:rPr>
                <w:rFonts w:ascii="仿宋" w:hAnsi="仿宋" w:eastAsia="仿宋"/>
                <w:sz w:val="30"/>
                <w:szCs w:val="30"/>
              </w:rPr>
            </w:pPr>
            <w:r>
              <w:rPr>
                <w:rFonts w:hint="eastAsia" w:ascii="仿宋" w:hAnsi="仿宋" w:eastAsia="仿宋"/>
                <w:sz w:val="30"/>
                <w:szCs w:val="30"/>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after="50" w:line="460" w:lineRule="exact"/>
              <w:jc w:val="center"/>
              <w:rPr>
                <w:rFonts w:ascii="仿宋" w:hAnsi="仿宋" w:eastAsia="仿宋"/>
                <w:sz w:val="30"/>
                <w:szCs w:val="30"/>
              </w:rPr>
            </w:pPr>
            <w:r>
              <w:rPr>
                <w:rFonts w:hint="eastAsia" w:ascii="仿宋" w:hAnsi="仿宋" w:eastAsia="仿宋"/>
                <w:sz w:val="30"/>
                <w:szCs w:val="30"/>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after="50" w:line="460" w:lineRule="exact"/>
              <w:jc w:val="center"/>
              <w:rPr>
                <w:rFonts w:ascii="仿宋" w:hAnsi="仿宋" w:eastAsia="仿宋"/>
                <w:kern w:val="0"/>
                <w:sz w:val="30"/>
                <w:szCs w:val="30"/>
              </w:rPr>
            </w:pPr>
            <w:r>
              <w:rPr>
                <w:rFonts w:hint="eastAsia" w:ascii="仿宋" w:hAnsi="仿宋" w:eastAsia="仿宋"/>
                <w:sz w:val="30"/>
                <w:szCs w:val="30"/>
              </w:rPr>
              <w:t>专业技</w:t>
            </w:r>
          </w:p>
          <w:p>
            <w:pPr>
              <w:snapToGrid w:val="0"/>
              <w:spacing w:before="165" w:beforeLines="50" w:after="50" w:line="460" w:lineRule="exact"/>
              <w:jc w:val="center"/>
              <w:rPr>
                <w:rFonts w:ascii="仿宋" w:hAnsi="仿宋" w:eastAsia="仿宋"/>
                <w:kern w:val="0"/>
                <w:sz w:val="30"/>
                <w:szCs w:val="30"/>
              </w:rPr>
            </w:pPr>
            <w:r>
              <w:rPr>
                <w:rFonts w:hint="eastAsia" w:ascii="仿宋" w:hAnsi="仿宋" w:eastAsia="仿宋"/>
                <w:sz w:val="30"/>
                <w:szCs w:val="30"/>
              </w:rPr>
              <w:t>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after="50" w:line="460" w:lineRule="exact"/>
              <w:jc w:val="center"/>
              <w:rPr>
                <w:rFonts w:ascii="仿宋" w:hAnsi="仿宋" w:eastAsia="仿宋"/>
                <w:kern w:val="0"/>
                <w:sz w:val="30"/>
                <w:szCs w:val="30"/>
              </w:rPr>
            </w:pPr>
            <w:r>
              <w:rPr>
                <w:rFonts w:hint="eastAsia" w:ascii="仿宋" w:hAnsi="仿宋" w:eastAsia="仿宋"/>
                <w:sz w:val="30"/>
                <w:szCs w:val="30"/>
              </w:rPr>
              <w:t>证书</w:t>
            </w:r>
          </w:p>
          <w:p>
            <w:pPr>
              <w:snapToGrid w:val="0"/>
              <w:spacing w:before="165" w:beforeLines="50" w:after="50" w:line="460" w:lineRule="exact"/>
              <w:jc w:val="center"/>
              <w:rPr>
                <w:rFonts w:ascii="仿宋" w:hAnsi="仿宋" w:eastAsia="仿宋"/>
                <w:kern w:val="0"/>
                <w:sz w:val="30"/>
                <w:szCs w:val="30"/>
              </w:rPr>
            </w:pPr>
            <w:r>
              <w:rPr>
                <w:rFonts w:hint="eastAsia" w:ascii="仿宋" w:hAnsi="仿宋" w:eastAsia="仿宋"/>
                <w:sz w:val="30"/>
                <w:szCs w:val="30"/>
              </w:rPr>
              <w:t>编号</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after="50" w:line="460" w:lineRule="exact"/>
              <w:jc w:val="center"/>
              <w:rPr>
                <w:rFonts w:ascii="仿宋" w:hAnsi="仿宋" w:eastAsia="仿宋"/>
                <w:bCs/>
                <w:kern w:val="0"/>
                <w:sz w:val="30"/>
                <w:szCs w:val="30"/>
              </w:rPr>
            </w:pPr>
            <w:r>
              <w:rPr>
                <w:rFonts w:hint="eastAsia" w:ascii="仿宋" w:hAnsi="仿宋" w:eastAsia="仿宋"/>
                <w:bCs/>
                <w:sz w:val="30"/>
                <w:szCs w:val="30"/>
              </w:rPr>
              <w:t>参加本单位工作时间</w:t>
            </w:r>
          </w:p>
        </w:tc>
        <w:tc>
          <w:tcPr>
            <w:tcW w:w="180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after="50" w:line="460" w:lineRule="exact"/>
              <w:jc w:val="center"/>
              <w:rPr>
                <w:rFonts w:ascii="仿宋" w:hAnsi="仿宋" w:eastAsia="仿宋"/>
                <w:bCs/>
                <w:kern w:val="0"/>
                <w:sz w:val="30"/>
                <w:szCs w:val="30"/>
              </w:rPr>
            </w:pPr>
            <w:r>
              <w:rPr>
                <w:rFonts w:hint="eastAsia" w:ascii="仿宋" w:hAnsi="仿宋" w:eastAsia="仿宋"/>
                <w:bCs/>
                <w:sz w:val="30"/>
                <w:szCs w:val="30"/>
              </w:rPr>
              <w:t>劳动合</w:t>
            </w:r>
          </w:p>
          <w:p>
            <w:pPr>
              <w:snapToGrid w:val="0"/>
              <w:spacing w:before="165" w:beforeLines="50" w:after="50" w:line="460" w:lineRule="exact"/>
              <w:jc w:val="center"/>
              <w:rPr>
                <w:rFonts w:ascii="仿宋" w:hAnsi="仿宋" w:eastAsia="仿宋"/>
                <w:bCs/>
                <w:kern w:val="0"/>
                <w:sz w:val="30"/>
                <w:szCs w:val="30"/>
              </w:rPr>
            </w:pPr>
            <w:r>
              <w:rPr>
                <w:rFonts w:hint="eastAsia" w:ascii="仿宋" w:hAnsi="仿宋" w:eastAsia="仿宋"/>
                <w:bCs/>
                <w:sz w:val="30"/>
                <w:szCs w:val="30"/>
              </w:rPr>
              <w:t>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pStyle w:val="21"/>
              <w:snapToGrid w:val="0"/>
              <w:spacing w:before="165" w:beforeLines="50" w:after="50" w:line="460" w:lineRule="exact"/>
              <w:ind w:left="5250"/>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sz w:val="30"/>
                <w:szCs w:val="30"/>
              </w:rPr>
            </w:pPr>
          </w:p>
        </w:tc>
        <w:tc>
          <w:tcPr>
            <w:tcW w:w="1663"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c>
          <w:tcPr>
            <w:tcW w:w="1800" w:type="dxa"/>
            <w:tcBorders>
              <w:top w:val="single" w:color="auto" w:sz="4" w:space="0"/>
              <w:left w:val="single" w:color="auto" w:sz="4" w:space="0"/>
              <w:bottom w:val="single" w:color="auto" w:sz="4" w:space="0"/>
              <w:right w:val="single" w:color="auto" w:sz="4" w:space="0"/>
            </w:tcBorders>
          </w:tcPr>
          <w:p>
            <w:pPr>
              <w:snapToGrid w:val="0"/>
              <w:spacing w:before="165" w:beforeLines="50" w:after="50" w:line="460" w:lineRule="exact"/>
              <w:rPr>
                <w:rFonts w:ascii="仿宋" w:hAnsi="仿宋" w:eastAsia="仿宋"/>
                <w:b/>
                <w:bCs/>
                <w:kern w:val="0"/>
                <w:sz w:val="30"/>
                <w:szCs w:val="30"/>
              </w:rPr>
            </w:pPr>
          </w:p>
        </w:tc>
      </w:tr>
    </w:tbl>
    <w:p>
      <w:pPr>
        <w:snapToGrid w:val="0"/>
        <w:spacing w:before="50" w:after="165" w:afterLines="50" w:line="460" w:lineRule="exact"/>
        <w:jc w:val="left"/>
        <w:rPr>
          <w:rFonts w:ascii="仿宋" w:hAnsi="仿宋" w:eastAsia="仿宋"/>
          <w:sz w:val="30"/>
          <w:szCs w:val="30"/>
        </w:rPr>
      </w:pPr>
      <w:r>
        <w:rPr>
          <w:rFonts w:hint="eastAsia" w:ascii="仿宋" w:hAnsi="仿宋" w:eastAsia="仿宋"/>
          <w:sz w:val="30"/>
          <w:szCs w:val="30"/>
        </w:rPr>
        <w:t xml:space="preserve">注：在填写时，如本表格不适合投标单位的实际情况，可根据本表格式自行划表填写。 </w:t>
      </w:r>
    </w:p>
    <w:p>
      <w:pPr>
        <w:snapToGrid w:val="0"/>
        <w:spacing w:before="50" w:after="165" w:afterLines="50" w:line="460" w:lineRule="exact"/>
        <w:jc w:val="left"/>
        <w:rPr>
          <w:rFonts w:ascii="仿宋" w:hAnsi="仿宋" w:eastAsia="仿宋"/>
          <w:sz w:val="30"/>
          <w:szCs w:val="30"/>
        </w:rPr>
      </w:pPr>
    </w:p>
    <w:p>
      <w:pPr>
        <w:snapToGrid w:val="0"/>
        <w:spacing w:before="50" w:after="50" w:line="460" w:lineRule="exact"/>
        <w:rPr>
          <w:rFonts w:ascii="仿宋" w:hAnsi="仿宋" w:eastAsia="仿宋"/>
          <w:spacing w:val="20"/>
          <w:sz w:val="30"/>
          <w:szCs w:val="30"/>
          <w:u w:val="single"/>
        </w:rPr>
      </w:pPr>
      <w:r>
        <w:rPr>
          <w:rFonts w:hint="eastAsia" w:ascii="仿宋" w:hAnsi="仿宋" w:eastAsia="仿宋"/>
          <w:spacing w:val="20"/>
          <w:sz w:val="30"/>
          <w:szCs w:val="30"/>
        </w:rPr>
        <w:t>授权代表签名： 日  期：</w:t>
      </w:r>
    </w:p>
    <w:p>
      <w:pPr>
        <w:snapToGrid w:val="0"/>
        <w:spacing w:before="50" w:after="165" w:afterLines="50" w:line="460" w:lineRule="exact"/>
        <w:jc w:val="left"/>
        <w:rPr>
          <w:rFonts w:ascii="仿宋" w:hAnsi="仿宋" w:eastAsia="仿宋"/>
          <w:sz w:val="30"/>
          <w:szCs w:val="30"/>
        </w:rPr>
      </w:pPr>
    </w:p>
    <w:p>
      <w:pPr>
        <w:pStyle w:val="20"/>
        <w:snapToGrid w:val="0"/>
        <w:spacing w:before="120" w:after="120" w:line="460" w:lineRule="exact"/>
        <w:rPr>
          <w:rFonts w:ascii="仿宋" w:hAnsi="仿宋" w:eastAsia="仿宋"/>
          <w:sz w:val="30"/>
          <w:szCs w:val="30"/>
        </w:rPr>
      </w:pPr>
    </w:p>
    <w:p>
      <w:pPr>
        <w:snapToGrid w:val="0"/>
        <w:spacing w:before="50"/>
        <w:jc w:val="left"/>
        <w:rPr>
          <w:rFonts w:ascii="仿宋" w:hAnsi="仿宋" w:eastAsia="仿宋"/>
          <w:sz w:val="30"/>
          <w:szCs w:val="30"/>
        </w:rPr>
      </w:pPr>
      <w:r>
        <w:rPr>
          <w:rFonts w:hint="eastAsia" w:ascii="仿宋" w:hAnsi="仿宋" w:eastAsia="仿宋"/>
          <w:sz w:val="30"/>
          <w:szCs w:val="30"/>
        </w:rPr>
        <w:br w:type="page"/>
      </w:r>
      <w:r>
        <w:rPr>
          <w:rFonts w:hint="eastAsia" w:ascii="仿宋" w:hAnsi="仿宋" w:eastAsia="仿宋"/>
          <w:sz w:val="30"/>
          <w:szCs w:val="30"/>
        </w:rPr>
        <w:t>附件11：</w:t>
      </w:r>
    </w:p>
    <w:p>
      <w:pPr>
        <w:snapToGrid w:val="0"/>
        <w:spacing w:before="50" w:after="50"/>
        <w:jc w:val="center"/>
        <w:rPr>
          <w:rFonts w:ascii="仿宋" w:hAnsi="仿宋" w:eastAsia="仿宋"/>
          <w:b/>
          <w:sz w:val="36"/>
          <w:szCs w:val="36"/>
        </w:rPr>
      </w:pPr>
      <w:r>
        <w:rPr>
          <w:rFonts w:hint="eastAsia" w:ascii="仿宋" w:hAnsi="仿宋" w:eastAsia="仿宋"/>
          <w:b/>
          <w:sz w:val="36"/>
          <w:szCs w:val="36"/>
        </w:rPr>
        <w:t>商务响应表</w:t>
      </w:r>
    </w:p>
    <w:p>
      <w:pPr>
        <w:snapToGrid w:val="0"/>
        <w:spacing w:before="50"/>
        <w:jc w:val="center"/>
        <w:rPr>
          <w:rFonts w:ascii="仿宋" w:hAnsi="仿宋" w:eastAsia="仿宋"/>
          <w:b/>
          <w:sz w:val="32"/>
          <w:szCs w:val="32"/>
        </w:rPr>
      </w:pPr>
    </w:p>
    <w:p>
      <w:pPr>
        <w:pStyle w:val="10"/>
        <w:snapToGrid w:val="0"/>
        <w:rPr>
          <w:rFonts w:ascii="仿宋" w:hAnsi="仿宋" w:eastAsia="仿宋"/>
          <w:sz w:val="30"/>
          <w:szCs w:val="30"/>
          <w:u w:val="single"/>
        </w:rPr>
      </w:pPr>
      <w:r>
        <w:rPr>
          <w:rFonts w:hint="eastAsia" w:ascii="仿宋" w:hAnsi="仿宋" w:eastAsia="仿宋"/>
          <w:sz w:val="30"/>
          <w:szCs w:val="30"/>
        </w:rPr>
        <w:t>投标人全称（公章）：              标项：</w:t>
      </w:r>
    </w:p>
    <w:tbl>
      <w:tblPr>
        <w:tblStyle w:val="36"/>
        <w:tblW w:w="876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sz w:val="30"/>
                <w:szCs w:val="30"/>
              </w:rPr>
            </w:pPr>
            <w:r>
              <w:rPr>
                <w:rFonts w:hint="eastAsia" w:ascii="仿宋" w:hAnsi="仿宋" w:eastAsia="仿宋"/>
                <w:sz w:val="30"/>
                <w:szCs w:val="30"/>
              </w:rPr>
              <w:t>项目</w:t>
            </w:r>
          </w:p>
        </w:tc>
        <w:tc>
          <w:tcPr>
            <w:tcW w:w="270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sz w:val="30"/>
                <w:szCs w:val="30"/>
              </w:rPr>
            </w:pPr>
            <w:r>
              <w:rPr>
                <w:rFonts w:hint="eastAsia" w:ascii="仿宋" w:hAnsi="仿宋" w:eastAsia="仿宋"/>
                <w:sz w:val="30"/>
                <w:szCs w:val="30"/>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kern w:val="0"/>
                <w:sz w:val="30"/>
                <w:szCs w:val="30"/>
              </w:rPr>
            </w:pPr>
            <w:r>
              <w:rPr>
                <w:rFonts w:hint="eastAsia" w:ascii="仿宋" w:hAnsi="仿宋" w:eastAsia="仿宋"/>
                <w:sz w:val="30"/>
                <w:szCs w:val="30"/>
              </w:rPr>
              <w:t>是否</w:t>
            </w:r>
          </w:p>
          <w:p>
            <w:pPr>
              <w:snapToGrid w:val="0"/>
              <w:spacing w:before="165" w:beforeLines="50"/>
              <w:jc w:val="center"/>
              <w:rPr>
                <w:rFonts w:ascii="仿宋" w:hAnsi="仿宋" w:eastAsia="仿宋"/>
                <w:kern w:val="0"/>
                <w:sz w:val="30"/>
                <w:szCs w:val="30"/>
              </w:rPr>
            </w:pPr>
            <w:r>
              <w:rPr>
                <w:rFonts w:hint="eastAsia" w:ascii="仿宋" w:hAnsi="仿宋" w:eastAsia="仿宋"/>
                <w:sz w:val="30"/>
                <w:szCs w:val="30"/>
              </w:rPr>
              <w:t>响应</w:t>
            </w:r>
          </w:p>
        </w:tc>
        <w:tc>
          <w:tcPr>
            <w:tcW w:w="3020" w:type="dxa"/>
            <w:tcBorders>
              <w:top w:val="single" w:color="auto" w:sz="4" w:space="0"/>
              <w:left w:val="single" w:color="auto" w:sz="4" w:space="0"/>
              <w:bottom w:val="single" w:color="auto" w:sz="4" w:space="0"/>
              <w:right w:val="single" w:color="auto" w:sz="4" w:space="0"/>
            </w:tcBorders>
            <w:vAlign w:val="center"/>
          </w:tcPr>
          <w:p>
            <w:pPr>
              <w:snapToGrid w:val="0"/>
              <w:spacing w:before="165" w:beforeLines="50"/>
              <w:jc w:val="center"/>
              <w:rPr>
                <w:rFonts w:ascii="仿宋" w:hAnsi="仿宋" w:eastAsia="仿宋"/>
                <w:kern w:val="0"/>
                <w:sz w:val="30"/>
                <w:szCs w:val="30"/>
              </w:rPr>
            </w:pPr>
            <w:r>
              <w:rPr>
                <w:rFonts w:hint="eastAsia" w:ascii="仿宋" w:hAnsi="仿宋" w:eastAsia="仿宋"/>
                <w:sz w:val="30"/>
                <w:szCs w:val="30"/>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供货时间（项目工期）及地点</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付款条件</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违约责任及争议解决方式</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项目维护计划</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ind w:left="43"/>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响应情况</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本地化服务要求</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技术培训</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公司技术力量情况</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vAlign w:val="center"/>
          </w:tcPr>
          <w:p>
            <w:pPr>
              <w:snapToGrid w:val="0"/>
              <w:jc w:val="left"/>
              <w:rPr>
                <w:rFonts w:ascii="仿宋" w:hAnsi="仿宋" w:eastAsia="仿宋"/>
                <w:sz w:val="28"/>
                <w:szCs w:val="28"/>
              </w:rPr>
            </w:pPr>
            <w:r>
              <w:rPr>
                <w:rFonts w:hint="eastAsia" w:ascii="仿宋" w:hAnsi="仿宋" w:eastAsia="仿宋"/>
                <w:sz w:val="28"/>
                <w:szCs w:val="28"/>
              </w:rPr>
              <w:t>经验或业绩要求</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84"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30"/>
                <w:szCs w:val="30"/>
              </w:rPr>
            </w:pPr>
            <w:r>
              <w:rPr>
                <w:rFonts w:hint="eastAsia" w:ascii="仿宋" w:hAnsi="仿宋" w:eastAsia="仿宋"/>
                <w:sz w:val="30"/>
                <w:szCs w:val="30"/>
              </w:rPr>
              <w:t>……</w:t>
            </w:r>
          </w:p>
        </w:tc>
        <w:tc>
          <w:tcPr>
            <w:tcW w:w="270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126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sz w:val="30"/>
                <w:szCs w:val="30"/>
              </w:rPr>
            </w:pPr>
          </w:p>
        </w:tc>
        <w:tc>
          <w:tcPr>
            <w:tcW w:w="3020" w:type="dxa"/>
            <w:tcBorders>
              <w:top w:val="single" w:color="auto" w:sz="4" w:space="0"/>
              <w:left w:val="single" w:color="auto" w:sz="4" w:space="0"/>
              <w:bottom w:val="single" w:color="auto" w:sz="4" w:space="0"/>
              <w:right w:val="single" w:color="auto" w:sz="4" w:space="0"/>
            </w:tcBorders>
          </w:tcPr>
          <w:p>
            <w:pPr>
              <w:snapToGrid w:val="0"/>
              <w:spacing w:before="165" w:beforeLines="50"/>
              <w:rPr>
                <w:rFonts w:ascii="仿宋" w:hAnsi="仿宋" w:eastAsia="仿宋"/>
                <w:b/>
                <w:bCs/>
                <w:sz w:val="30"/>
                <w:szCs w:val="30"/>
              </w:rPr>
            </w:pPr>
          </w:p>
        </w:tc>
      </w:tr>
    </w:tbl>
    <w:p>
      <w:pPr>
        <w:snapToGrid w:val="0"/>
        <w:spacing w:before="165" w:beforeLines="50"/>
        <w:rPr>
          <w:rFonts w:ascii="仿宋" w:hAnsi="仿宋" w:eastAsia="仿宋"/>
          <w:sz w:val="30"/>
          <w:szCs w:val="30"/>
          <w:u w:val="single"/>
        </w:rPr>
      </w:pPr>
      <w:r>
        <w:rPr>
          <w:rFonts w:hint="eastAsia" w:ascii="仿宋" w:hAnsi="仿宋" w:eastAsia="仿宋"/>
          <w:sz w:val="30"/>
          <w:szCs w:val="30"/>
        </w:rPr>
        <w:t>授权代表签名：               日期：</w:t>
      </w:r>
    </w:p>
    <w:p>
      <w:pPr>
        <w:jc w:val="left"/>
        <w:rPr>
          <w:rFonts w:ascii="仿宋" w:hAnsi="仿宋" w:eastAsia="仿宋"/>
          <w:sz w:val="30"/>
          <w:szCs w:val="30"/>
        </w:rPr>
        <w:sectPr>
          <w:footerReference r:id="rId6" w:type="default"/>
          <w:pgSz w:w="11905" w:h="16838"/>
          <w:pgMar w:top="1440" w:right="1803" w:bottom="1440" w:left="1803" w:header="851" w:footer="992" w:gutter="0"/>
          <w:cols w:space="0" w:num="1"/>
          <w:docGrid w:type="lines" w:linePitch="331" w:charSpace="0"/>
        </w:sectPr>
      </w:pPr>
    </w:p>
    <w:p>
      <w:pPr>
        <w:snapToGrid w:val="0"/>
        <w:spacing w:before="50" w:after="165" w:afterLines="50"/>
        <w:jc w:val="left"/>
        <w:rPr>
          <w:rFonts w:ascii="仿宋" w:hAnsi="仿宋" w:eastAsia="仿宋"/>
          <w:sz w:val="30"/>
          <w:szCs w:val="30"/>
        </w:rPr>
      </w:pPr>
      <w:r>
        <w:rPr>
          <w:rFonts w:hint="eastAsia" w:ascii="仿宋" w:hAnsi="仿宋" w:eastAsia="仿宋"/>
          <w:sz w:val="30"/>
          <w:szCs w:val="30"/>
        </w:rPr>
        <w:t>附件12：</w:t>
      </w:r>
    </w:p>
    <w:p>
      <w:pPr>
        <w:snapToGrid w:val="0"/>
        <w:spacing w:before="50" w:after="50"/>
        <w:jc w:val="center"/>
        <w:rPr>
          <w:rFonts w:ascii="仿宋" w:hAnsi="仿宋" w:eastAsia="仿宋"/>
          <w:b/>
          <w:sz w:val="36"/>
          <w:szCs w:val="36"/>
        </w:rPr>
      </w:pPr>
      <w:r>
        <w:rPr>
          <w:rFonts w:hint="eastAsia" w:ascii="仿宋" w:hAnsi="仿宋" w:eastAsia="仿宋"/>
          <w:b/>
          <w:sz w:val="36"/>
          <w:szCs w:val="36"/>
        </w:rPr>
        <w:t>投标人业绩情况一览表</w:t>
      </w:r>
    </w:p>
    <w:p>
      <w:pPr>
        <w:pStyle w:val="10"/>
        <w:snapToGrid w:val="0"/>
        <w:rPr>
          <w:rFonts w:ascii="仿宋" w:hAnsi="仿宋" w:eastAsia="仿宋"/>
          <w:sz w:val="30"/>
          <w:szCs w:val="30"/>
          <w:u w:val="single"/>
        </w:rPr>
      </w:pPr>
      <w:r>
        <w:rPr>
          <w:rFonts w:hint="eastAsia" w:ascii="仿宋" w:hAnsi="仿宋" w:eastAsia="仿宋"/>
          <w:sz w:val="30"/>
          <w:szCs w:val="30"/>
        </w:rPr>
        <w:t>投标人全称（公章）：</w:t>
      </w:r>
    </w:p>
    <w:tbl>
      <w:tblPr>
        <w:tblStyle w:val="36"/>
        <w:tblW w:w="139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440"/>
        <w:gridCol w:w="1080"/>
        <w:gridCol w:w="1080"/>
        <w:gridCol w:w="21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采购</w:t>
            </w:r>
          </w:p>
          <w:p>
            <w:pPr>
              <w:snapToGrid w:val="0"/>
              <w:jc w:val="center"/>
              <w:rPr>
                <w:rFonts w:ascii="仿宋" w:hAnsi="仿宋" w:eastAsia="仿宋"/>
                <w:sz w:val="30"/>
                <w:szCs w:val="30"/>
              </w:rPr>
            </w:pPr>
            <w:r>
              <w:rPr>
                <w:rFonts w:hint="eastAsia" w:ascii="仿宋" w:hAnsi="仿宋" w:eastAsia="仿宋"/>
                <w:sz w:val="30"/>
                <w:szCs w:val="30"/>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单价</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合同</w:t>
            </w:r>
          </w:p>
          <w:p>
            <w:pPr>
              <w:snapToGrid w:val="0"/>
              <w:jc w:val="center"/>
              <w:rPr>
                <w:rFonts w:ascii="仿宋" w:hAnsi="仿宋" w:eastAsia="仿宋"/>
                <w:sz w:val="30"/>
                <w:szCs w:val="30"/>
              </w:rPr>
            </w:pPr>
            <w:r>
              <w:rPr>
                <w:rFonts w:hint="eastAsia" w:ascii="仿宋" w:hAnsi="仿宋" w:eastAsia="仿宋"/>
                <w:sz w:val="30"/>
                <w:szCs w:val="30"/>
              </w:rPr>
              <w:t>金额</w:t>
            </w:r>
          </w:p>
          <w:p>
            <w:pPr>
              <w:snapToGrid w:val="0"/>
              <w:jc w:val="center"/>
              <w:rPr>
                <w:rFonts w:ascii="仿宋" w:hAnsi="仿宋" w:eastAsia="仿宋"/>
                <w:sz w:val="30"/>
                <w:szCs w:val="30"/>
              </w:rPr>
            </w:pPr>
            <w:r>
              <w:rPr>
                <w:rFonts w:hint="eastAsia" w:ascii="仿宋" w:hAnsi="仿宋" w:eastAsia="仿宋"/>
                <w:sz w:val="30"/>
                <w:szCs w:val="30"/>
              </w:rPr>
              <w:t>（万元）</w:t>
            </w:r>
          </w:p>
        </w:tc>
        <w:tc>
          <w:tcPr>
            <w:tcW w:w="216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附件页码</w:t>
            </w:r>
          </w:p>
        </w:tc>
        <w:tc>
          <w:tcPr>
            <w:tcW w:w="2160" w:type="dxa"/>
            <w:vMerge w:val="restart"/>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采购单位联系人及</w:t>
            </w:r>
          </w:p>
          <w:p>
            <w:pPr>
              <w:snapToGrid w:val="0"/>
              <w:jc w:val="center"/>
              <w:rPr>
                <w:rFonts w:ascii="仿宋" w:hAnsi="仿宋" w:eastAsia="仿宋"/>
                <w:sz w:val="30"/>
                <w:szCs w:val="30"/>
              </w:rPr>
            </w:pPr>
            <w:r>
              <w:rPr>
                <w:rFonts w:hint="eastAsia" w:ascii="仿宋" w:hAnsi="仿宋" w:eastAsia="仿宋"/>
                <w:sz w:val="30"/>
                <w:szCs w:val="30"/>
              </w:rPr>
              <w:t>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 w:val="30"/>
                <w:szCs w:val="30"/>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 w:val="30"/>
                <w:szCs w:val="3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 w:val="30"/>
                <w:szCs w:val="30"/>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合</w:t>
            </w:r>
          </w:p>
          <w:p>
            <w:pPr>
              <w:snapToGrid w:val="0"/>
              <w:jc w:val="center"/>
              <w:rPr>
                <w:rFonts w:ascii="仿宋" w:hAnsi="仿宋" w:eastAsia="仿宋"/>
                <w:sz w:val="30"/>
                <w:szCs w:val="30"/>
              </w:rPr>
            </w:pPr>
            <w:r>
              <w:rPr>
                <w:rFonts w:hint="eastAsia" w:ascii="仿宋" w:hAnsi="仿宋" w:eastAsia="仿宋"/>
                <w:sz w:val="30"/>
                <w:szCs w:val="30"/>
              </w:rPr>
              <w:t>同</w:t>
            </w:r>
          </w:p>
        </w:tc>
        <w:tc>
          <w:tcPr>
            <w:tcW w:w="108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 w:hAnsi="仿宋" w:eastAsia="仿宋"/>
                <w:sz w:val="30"/>
                <w:szCs w:val="30"/>
              </w:rPr>
            </w:pPr>
            <w:r>
              <w:rPr>
                <w:rFonts w:hint="eastAsia" w:ascii="仿宋" w:hAnsi="仿宋" w:eastAsia="仿宋"/>
                <w:sz w:val="30"/>
                <w:szCs w:val="30"/>
              </w:rPr>
              <w:t>验收</w:t>
            </w:r>
          </w:p>
          <w:p>
            <w:pPr>
              <w:snapToGrid w:val="0"/>
              <w:jc w:val="center"/>
              <w:rPr>
                <w:rFonts w:ascii="仿宋" w:hAnsi="仿宋" w:eastAsia="仿宋"/>
                <w:sz w:val="30"/>
                <w:szCs w:val="30"/>
              </w:rPr>
            </w:pPr>
            <w:r>
              <w:rPr>
                <w:rFonts w:hint="eastAsia" w:ascii="仿宋" w:hAnsi="仿宋" w:eastAsia="仿宋"/>
                <w:sz w:val="30"/>
                <w:szCs w:val="30"/>
              </w:rPr>
              <w:t>报告</w:t>
            </w:r>
          </w:p>
        </w:tc>
        <w:tc>
          <w:tcPr>
            <w:tcW w:w="2160" w:type="dxa"/>
            <w:vMerge w:val="continue"/>
            <w:tcBorders>
              <w:top w:val="single" w:color="auto" w:sz="4" w:space="0"/>
              <w:left w:val="single" w:color="auto" w:sz="4" w:space="0"/>
              <w:bottom w:val="single" w:color="auto" w:sz="4" w:space="0"/>
              <w:right w:val="single" w:color="auto" w:sz="4" w:space="0"/>
            </w:tcBorders>
            <w:vAlign w:val="center"/>
          </w:tcPr>
          <w:p>
            <w:pPr>
              <w:jc w:val="left"/>
              <w:rPr>
                <w:rFonts w:ascii="仿宋" w:hAns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342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44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108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c>
          <w:tcPr>
            <w:tcW w:w="2160"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b/>
                <w:bCs/>
                <w:kern w:val="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center"/>
              <w:rPr>
                <w:rFonts w:ascii="仿宋" w:hAnsi="仿宋" w:eastAsia="仿宋"/>
                <w:sz w:val="30"/>
                <w:szCs w:val="30"/>
              </w:rPr>
            </w:pPr>
            <w:r>
              <w:rPr>
                <w:rFonts w:hint="eastAsia" w:ascii="仿宋" w:hAnsi="仿宋" w:eastAsia="仿宋"/>
                <w:sz w:val="30"/>
                <w:szCs w:val="30"/>
              </w:rPr>
              <w:t>备注</w:t>
            </w:r>
          </w:p>
        </w:tc>
        <w:tc>
          <w:tcPr>
            <w:tcW w:w="11340" w:type="dxa"/>
            <w:gridSpan w:val="7"/>
            <w:tcBorders>
              <w:top w:val="single" w:color="auto" w:sz="4" w:space="0"/>
              <w:left w:val="single" w:color="auto" w:sz="4" w:space="0"/>
              <w:bottom w:val="single" w:color="auto" w:sz="4" w:space="0"/>
              <w:right w:val="single" w:color="auto" w:sz="4" w:space="0"/>
            </w:tcBorders>
          </w:tcPr>
          <w:p>
            <w:pPr>
              <w:snapToGrid w:val="0"/>
              <w:spacing w:before="50" w:after="165" w:afterLines="50" w:line="400" w:lineRule="exact"/>
              <w:jc w:val="left"/>
              <w:rPr>
                <w:rFonts w:ascii="仿宋" w:hAnsi="仿宋" w:eastAsia="仿宋"/>
                <w:sz w:val="30"/>
                <w:szCs w:val="30"/>
              </w:rPr>
            </w:pPr>
            <w:r>
              <w:rPr>
                <w:rFonts w:hint="eastAsia" w:ascii="仿宋" w:hAnsi="仿宋" w:eastAsia="仿宋"/>
                <w:sz w:val="32"/>
                <w:szCs w:val="32"/>
              </w:rPr>
              <w:t>提供投标人同类项目合同复印件、用户验收报告（如有）。</w:t>
            </w:r>
          </w:p>
        </w:tc>
      </w:tr>
    </w:tbl>
    <w:p>
      <w:pPr>
        <w:pStyle w:val="10"/>
        <w:snapToGrid w:val="0"/>
        <w:spacing w:before="240"/>
        <w:jc w:val="left"/>
        <w:sectPr>
          <w:pgSz w:w="16838" w:h="11905" w:orient="landscape"/>
          <w:pgMar w:top="1803" w:right="1440" w:bottom="1803" w:left="1440" w:header="851" w:footer="992" w:gutter="0"/>
          <w:cols w:space="0" w:num="1"/>
          <w:docGrid w:type="lines" w:linePitch="331" w:charSpace="0"/>
        </w:sectPr>
      </w:pPr>
      <w:r>
        <w:rPr>
          <w:rFonts w:hint="eastAsia" w:ascii="仿宋" w:hAnsi="仿宋" w:eastAsia="仿宋"/>
          <w:sz w:val="30"/>
          <w:szCs w:val="30"/>
        </w:rPr>
        <w:t>授权代表签名：</w:t>
      </w:r>
      <w:r>
        <w:rPr>
          <w:rFonts w:hint="eastAsia" w:ascii="仿宋" w:hAnsi="仿宋" w:eastAsia="仿宋"/>
          <w:sz w:val="30"/>
          <w:szCs w:val="30"/>
          <w:u w:val="single"/>
        </w:rPr>
        <w:t>　　　　　</w:t>
      </w:r>
      <w:r>
        <w:rPr>
          <w:rFonts w:hint="eastAsia" w:ascii="仿宋" w:hAnsi="仿宋" w:eastAsia="仿宋"/>
          <w:sz w:val="30"/>
          <w:szCs w:val="30"/>
        </w:rPr>
        <w:t xml:space="preserve">                                            时  间：</w:t>
      </w:r>
    </w:p>
    <w:p>
      <w:pPr>
        <w:pStyle w:val="10"/>
        <w:snapToGrid w:val="0"/>
        <w:spacing w:before="240"/>
        <w:jc w:val="left"/>
        <w:sectPr>
          <w:pgSz w:w="11905" w:h="16838"/>
          <w:pgMar w:top="1440" w:right="1803" w:bottom="1440" w:left="1803" w:header="851" w:footer="992" w:gutter="0"/>
          <w:cols w:space="0" w:num="1"/>
          <w:docGrid w:type="lines" w:linePitch="331" w:charSpace="0"/>
        </w:sectPr>
      </w:pPr>
    </w:p>
    <w:p>
      <w:pPr>
        <w:snapToGrid w:val="0"/>
        <w:spacing w:before="165" w:beforeLines="50" w:after="50"/>
        <w:rPr>
          <w:rFonts w:ascii="仿宋" w:hAnsi="仿宋" w:eastAsia="仿宋"/>
          <w:b/>
          <w:sz w:val="30"/>
          <w:szCs w:val="30"/>
        </w:rPr>
      </w:pPr>
      <w:r>
        <w:rPr>
          <w:rFonts w:hint="eastAsia" w:ascii="仿宋" w:hAnsi="仿宋" w:eastAsia="仿宋"/>
          <w:sz w:val="30"/>
          <w:szCs w:val="30"/>
        </w:rPr>
        <w:t>附件13</w:t>
      </w:r>
      <w:r>
        <w:rPr>
          <w:rFonts w:hint="eastAsia" w:ascii="仿宋" w:hAnsi="仿宋" w:eastAsia="仿宋"/>
          <w:b/>
          <w:sz w:val="30"/>
          <w:szCs w:val="30"/>
        </w:rPr>
        <w:t xml:space="preserve">：                                    </w:t>
      </w:r>
    </w:p>
    <w:p>
      <w:pPr>
        <w:ind w:right="-110"/>
        <w:jc w:val="center"/>
        <w:rPr>
          <w:rFonts w:ascii="仿宋" w:hAnsi="仿宋" w:eastAsia="仿宋"/>
          <w:spacing w:val="40"/>
          <w:sz w:val="52"/>
          <w:szCs w:val="52"/>
        </w:rPr>
      </w:pPr>
      <w:r>
        <w:rPr>
          <w:rFonts w:hint="eastAsia" w:ascii="仿宋" w:hAnsi="仿宋" w:eastAsia="仿宋"/>
          <w:spacing w:val="40"/>
          <w:sz w:val="52"/>
          <w:szCs w:val="52"/>
        </w:rPr>
        <w:t>项目名称</w:t>
      </w:r>
    </w:p>
    <w:p>
      <w:pPr>
        <w:spacing w:before="331" w:beforeLines="100" w:line="240" w:lineRule="atLeast"/>
        <w:jc w:val="center"/>
        <w:rPr>
          <w:rFonts w:ascii="仿宋" w:hAnsi="仿宋" w:eastAsia="仿宋"/>
          <w:sz w:val="36"/>
          <w:szCs w:val="36"/>
        </w:rPr>
      </w:pPr>
      <w:r>
        <w:rPr>
          <w:rFonts w:hint="eastAsia" w:ascii="仿宋" w:hAnsi="仿宋" w:eastAsia="仿宋"/>
          <w:sz w:val="36"/>
          <w:szCs w:val="36"/>
        </w:rPr>
        <w:t>项目编号：（标项  ）</w:t>
      </w:r>
    </w:p>
    <w:p>
      <w:pPr>
        <w:spacing w:after="100" w:afterAutospacing="1" w:line="800" w:lineRule="exact"/>
        <w:ind w:right="-108"/>
        <w:jc w:val="center"/>
        <w:rPr>
          <w:rFonts w:ascii="仿宋" w:hAnsi="仿宋" w:eastAsia="仿宋"/>
          <w:b/>
          <w:spacing w:val="40"/>
          <w:sz w:val="84"/>
          <w:szCs w:val="84"/>
        </w:rPr>
      </w:pPr>
    </w:p>
    <w:p>
      <w:pPr>
        <w:spacing w:after="100" w:afterAutospacing="1"/>
        <w:ind w:right="-108"/>
        <w:jc w:val="center"/>
        <w:rPr>
          <w:rFonts w:ascii="仿宋" w:hAnsi="仿宋" w:eastAsia="仿宋"/>
          <w:b/>
          <w:spacing w:val="40"/>
          <w:sz w:val="84"/>
          <w:szCs w:val="84"/>
        </w:rPr>
      </w:pPr>
      <w:r>
        <w:rPr>
          <w:rFonts w:hint="eastAsia" w:ascii="仿宋" w:hAnsi="仿宋" w:eastAsia="仿宋"/>
          <w:b/>
          <w:spacing w:val="40"/>
          <w:sz w:val="84"/>
          <w:szCs w:val="84"/>
        </w:rPr>
        <w:t>报</w:t>
      </w:r>
    </w:p>
    <w:p>
      <w:pPr>
        <w:spacing w:after="100" w:afterAutospacing="1"/>
        <w:ind w:right="-108"/>
        <w:jc w:val="center"/>
        <w:rPr>
          <w:rFonts w:ascii="仿宋" w:hAnsi="仿宋" w:eastAsia="仿宋"/>
          <w:b/>
          <w:spacing w:val="40"/>
          <w:sz w:val="84"/>
          <w:szCs w:val="84"/>
        </w:rPr>
      </w:pPr>
      <w:r>
        <w:rPr>
          <w:rFonts w:hint="eastAsia" w:ascii="仿宋" w:hAnsi="仿宋" w:eastAsia="仿宋"/>
          <w:b/>
          <w:spacing w:val="40"/>
          <w:sz w:val="84"/>
          <w:szCs w:val="84"/>
        </w:rPr>
        <w:t>价</w:t>
      </w:r>
    </w:p>
    <w:p>
      <w:pPr>
        <w:spacing w:after="100" w:afterAutospacing="1"/>
        <w:ind w:right="-108"/>
        <w:jc w:val="center"/>
        <w:rPr>
          <w:rFonts w:ascii="仿宋" w:hAnsi="仿宋" w:eastAsia="仿宋"/>
          <w:b/>
          <w:spacing w:val="40"/>
          <w:sz w:val="84"/>
          <w:szCs w:val="84"/>
        </w:rPr>
      </w:pPr>
      <w:r>
        <w:rPr>
          <w:rFonts w:hint="eastAsia" w:ascii="仿宋" w:hAnsi="仿宋" w:eastAsia="仿宋"/>
          <w:b/>
          <w:spacing w:val="40"/>
          <w:sz w:val="84"/>
          <w:szCs w:val="84"/>
        </w:rPr>
        <w:t>文</w:t>
      </w:r>
    </w:p>
    <w:p>
      <w:pPr>
        <w:spacing w:after="100" w:afterAutospacing="1"/>
        <w:ind w:right="-108"/>
        <w:jc w:val="center"/>
        <w:rPr>
          <w:rFonts w:ascii="仿宋" w:hAnsi="仿宋" w:eastAsia="仿宋"/>
          <w:b/>
          <w:spacing w:val="40"/>
          <w:sz w:val="84"/>
          <w:szCs w:val="84"/>
        </w:rPr>
      </w:pPr>
      <w:r>
        <w:rPr>
          <w:rFonts w:hint="eastAsia" w:ascii="仿宋" w:hAnsi="仿宋" w:eastAsia="仿宋"/>
          <w:b/>
          <w:spacing w:val="40"/>
          <w:sz w:val="84"/>
          <w:szCs w:val="84"/>
        </w:rPr>
        <w:t>件</w:t>
      </w:r>
    </w:p>
    <w:p>
      <w:pPr>
        <w:spacing w:line="500" w:lineRule="exact"/>
        <w:ind w:right="532"/>
        <w:jc w:val="center"/>
        <w:rPr>
          <w:rFonts w:ascii="仿宋" w:hAnsi="仿宋" w:eastAsia="仿宋"/>
          <w:sz w:val="36"/>
          <w:szCs w:val="36"/>
        </w:rPr>
      </w:pPr>
    </w:p>
    <w:p>
      <w:pPr>
        <w:spacing w:line="500" w:lineRule="exact"/>
        <w:ind w:right="532" w:firstLine="720" w:firstLineChars="200"/>
        <w:rPr>
          <w:rFonts w:ascii="仿宋" w:hAnsi="仿宋" w:eastAsia="仿宋"/>
          <w:sz w:val="36"/>
          <w:szCs w:val="36"/>
        </w:rPr>
      </w:pPr>
      <w:r>
        <w:rPr>
          <w:rFonts w:hint="eastAsia" w:ascii="仿宋" w:hAnsi="仿宋" w:eastAsia="仿宋"/>
          <w:sz w:val="36"/>
          <w:szCs w:val="36"/>
        </w:rPr>
        <w:t>投标人全称：</w:t>
      </w:r>
    </w:p>
    <w:p>
      <w:pPr>
        <w:wordWrap w:val="0"/>
        <w:spacing w:line="500" w:lineRule="exact"/>
        <w:ind w:right="-108" w:firstLine="720" w:firstLineChars="200"/>
        <w:rPr>
          <w:rFonts w:ascii="仿宋" w:hAnsi="仿宋" w:eastAsia="仿宋"/>
          <w:sz w:val="36"/>
          <w:szCs w:val="36"/>
        </w:rPr>
      </w:pPr>
      <w:r>
        <w:rPr>
          <w:rFonts w:hint="eastAsia" w:ascii="仿宋" w:hAnsi="仿宋" w:eastAsia="仿宋"/>
          <w:sz w:val="36"/>
          <w:szCs w:val="36"/>
        </w:rPr>
        <w:t>地    址：</w:t>
      </w:r>
    </w:p>
    <w:p>
      <w:pPr>
        <w:wordWrap w:val="0"/>
        <w:spacing w:line="500" w:lineRule="exact"/>
        <w:ind w:right="-108" w:firstLine="720" w:firstLineChars="200"/>
        <w:rPr>
          <w:rFonts w:ascii="仿宋" w:hAnsi="仿宋" w:eastAsia="仿宋"/>
          <w:sz w:val="36"/>
          <w:szCs w:val="36"/>
        </w:rPr>
      </w:pPr>
      <w:r>
        <w:rPr>
          <w:rFonts w:hint="eastAsia" w:ascii="仿宋" w:hAnsi="仿宋" w:eastAsia="仿宋"/>
          <w:sz w:val="36"/>
          <w:szCs w:val="36"/>
        </w:rPr>
        <w:t>时    间：</w:t>
      </w:r>
    </w:p>
    <w:p>
      <w:pPr>
        <w:snapToGrid w:val="0"/>
        <w:spacing w:before="50" w:after="50"/>
        <w:rPr>
          <w:rFonts w:ascii="仿宋" w:hAnsi="仿宋" w:eastAsia="仿宋"/>
          <w:sz w:val="30"/>
          <w:szCs w:val="30"/>
        </w:rPr>
      </w:pPr>
    </w:p>
    <w:p>
      <w:pPr>
        <w:pStyle w:val="21"/>
        <w:snapToGrid w:val="0"/>
        <w:ind w:left="0" w:leftChars="0"/>
        <w:rPr>
          <w:rFonts w:ascii="仿宋" w:hAnsi="仿宋" w:eastAsia="仿宋"/>
          <w:b/>
          <w:sz w:val="36"/>
          <w:szCs w:val="36"/>
        </w:rPr>
      </w:pPr>
      <w:r>
        <w:rPr>
          <w:rFonts w:hint="eastAsia" w:ascii="仿宋" w:hAnsi="仿宋" w:eastAsia="仿宋"/>
          <w:kern w:val="0"/>
          <w:sz w:val="36"/>
          <w:szCs w:val="36"/>
        </w:rPr>
        <w:br w:type="page"/>
      </w:r>
      <w:r>
        <w:rPr>
          <w:rFonts w:hint="eastAsia" w:ascii="仿宋" w:hAnsi="仿宋" w:eastAsia="仿宋"/>
          <w:sz w:val="36"/>
          <w:szCs w:val="36"/>
        </w:rPr>
        <w:t>3、</w:t>
      </w:r>
      <w:r>
        <w:rPr>
          <w:rFonts w:hint="eastAsia" w:ascii="仿宋" w:hAnsi="仿宋" w:eastAsia="仿宋"/>
          <w:b/>
          <w:sz w:val="36"/>
          <w:szCs w:val="36"/>
        </w:rPr>
        <w:t>报价文件目录</w:t>
      </w:r>
    </w:p>
    <w:p>
      <w:pPr>
        <w:rPr>
          <w:rFonts w:ascii="仿宋" w:hAnsi="仿宋" w:eastAsia="仿宋"/>
        </w:rPr>
      </w:pPr>
    </w:p>
    <w:p>
      <w:pPr>
        <w:pStyle w:val="21"/>
        <w:snapToGrid w:val="0"/>
        <w:spacing w:line="460" w:lineRule="exact"/>
        <w:ind w:left="0" w:leftChars="0"/>
        <w:rPr>
          <w:rFonts w:ascii="仿宋" w:hAnsi="仿宋" w:eastAsia="仿宋"/>
          <w:sz w:val="30"/>
          <w:szCs w:val="30"/>
        </w:rPr>
      </w:pPr>
      <w:r>
        <w:rPr>
          <w:rFonts w:hint="eastAsia" w:ascii="仿宋" w:hAnsi="仿宋" w:eastAsia="仿宋"/>
          <w:sz w:val="30"/>
          <w:szCs w:val="30"/>
        </w:rPr>
        <w:t>（1）投标报价明细表（见附件14）；</w:t>
      </w:r>
    </w:p>
    <w:p>
      <w:pPr>
        <w:pStyle w:val="21"/>
        <w:snapToGrid w:val="0"/>
        <w:spacing w:line="460" w:lineRule="exact"/>
        <w:ind w:left="0" w:leftChars="0"/>
        <w:rPr>
          <w:rFonts w:ascii="仿宋" w:hAnsi="仿宋" w:eastAsia="仿宋"/>
          <w:sz w:val="30"/>
          <w:szCs w:val="30"/>
        </w:rPr>
      </w:pPr>
      <w:r>
        <w:rPr>
          <w:rFonts w:hint="eastAsia" w:ascii="仿宋" w:hAnsi="仿宋" w:eastAsia="仿宋"/>
          <w:sz w:val="30"/>
          <w:szCs w:val="30"/>
        </w:rPr>
        <w:t>（2）投标人针对报价需要说明的其他文件和说明（格式自拟）；</w:t>
      </w:r>
    </w:p>
    <w:p>
      <w:pPr>
        <w:pStyle w:val="31"/>
        <w:widowControl w:val="0"/>
        <w:spacing w:after="120" w:line="460" w:lineRule="exact"/>
        <w:rPr>
          <w:rFonts w:ascii="仿宋" w:hAnsi="仿宋" w:eastAsia="仿宋"/>
          <w:color w:val="auto"/>
          <w:sz w:val="30"/>
          <w:szCs w:val="30"/>
        </w:rPr>
      </w:pPr>
      <w:r>
        <w:rPr>
          <w:rFonts w:hint="eastAsia" w:ascii="仿宋" w:hAnsi="仿宋" w:eastAsia="仿宋"/>
          <w:color w:val="auto"/>
          <w:sz w:val="30"/>
          <w:szCs w:val="30"/>
        </w:rPr>
        <w:t>（3）残疾人福利企业声明函（见附件15）。</w:t>
      </w:r>
    </w:p>
    <w:p>
      <w:pPr>
        <w:pStyle w:val="20"/>
        <w:snapToGrid w:val="0"/>
        <w:spacing w:before="120" w:after="120"/>
        <w:jc w:val="left"/>
        <w:rPr>
          <w:rFonts w:ascii="仿宋" w:hAnsi="仿宋" w:eastAsia="仿宋"/>
          <w:kern w:val="0"/>
          <w:sz w:val="30"/>
          <w:szCs w:val="30"/>
        </w:rPr>
      </w:pPr>
      <w:r>
        <w:rPr>
          <w:rFonts w:hint="eastAsia" w:ascii="仿宋" w:hAnsi="仿宋" w:eastAsia="仿宋"/>
          <w:kern w:val="0"/>
          <w:sz w:val="30"/>
          <w:szCs w:val="30"/>
        </w:rPr>
        <w:br w:type="page"/>
      </w:r>
    </w:p>
    <w:p>
      <w:pPr>
        <w:pStyle w:val="20"/>
        <w:snapToGrid w:val="0"/>
        <w:spacing w:before="120" w:after="120"/>
        <w:jc w:val="left"/>
        <w:rPr>
          <w:rFonts w:ascii="仿宋" w:hAnsi="仿宋" w:eastAsia="仿宋"/>
          <w:b/>
          <w:sz w:val="36"/>
          <w:szCs w:val="36"/>
        </w:rPr>
      </w:pPr>
      <w:r>
        <w:rPr>
          <w:rFonts w:hint="eastAsia" w:ascii="仿宋" w:hAnsi="仿宋" w:eastAsia="仿宋"/>
          <w:sz w:val="30"/>
          <w:szCs w:val="30"/>
        </w:rPr>
        <w:t>附件14：</w:t>
      </w:r>
    </w:p>
    <w:p>
      <w:pPr>
        <w:pStyle w:val="20"/>
        <w:snapToGrid w:val="0"/>
        <w:spacing w:before="120" w:after="120"/>
        <w:ind w:firstLine="1084" w:firstLineChars="300"/>
        <w:jc w:val="center"/>
        <w:rPr>
          <w:rFonts w:hAnsi="宋体"/>
          <w:b/>
          <w:sz w:val="36"/>
          <w:szCs w:val="36"/>
        </w:rPr>
      </w:pPr>
      <w:r>
        <w:rPr>
          <w:rFonts w:hint="eastAsia" w:hAnsi="宋体"/>
          <w:b/>
          <w:sz w:val="36"/>
          <w:szCs w:val="36"/>
        </w:rPr>
        <w:t>投 标 报 价 明 细 表</w:t>
      </w:r>
    </w:p>
    <w:p>
      <w:pPr>
        <w:pStyle w:val="20"/>
        <w:snapToGrid w:val="0"/>
        <w:spacing w:before="120" w:after="120"/>
        <w:ind w:firstLine="1084" w:firstLineChars="300"/>
        <w:jc w:val="center"/>
        <w:rPr>
          <w:rFonts w:ascii="仿宋" w:hAnsi="仿宋" w:eastAsia="仿宋"/>
          <w:b/>
          <w:sz w:val="36"/>
          <w:szCs w:val="36"/>
        </w:rPr>
      </w:pPr>
    </w:p>
    <w:p>
      <w:pPr>
        <w:snapToGrid w:val="0"/>
        <w:rPr>
          <w:rFonts w:ascii="仿宋" w:hAnsi="仿宋" w:eastAsia="仿宋"/>
          <w:sz w:val="28"/>
          <w:szCs w:val="28"/>
        </w:rPr>
      </w:pPr>
      <w:r>
        <w:rPr>
          <w:rFonts w:hint="eastAsia" w:ascii="仿宋" w:hAnsi="仿宋" w:eastAsia="仿宋"/>
          <w:sz w:val="28"/>
          <w:szCs w:val="28"/>
        </w:rPr>
        <w:t>投标人全称（公章）：</w:t>
      </w:r>
    </w:p>
    <w:p>
      <w:pPr>
        <w:snapToGrid w:val="0"/>
        <w:rPr>
          <w:rFonts w:ascii="仿宋" w:hAnsi="仿宋" w:eastAsia="仿宋"/>
          <w:sz w:val="28"/>
          <w:szCs w:val="28"/>
        </w:rPr>
      </w:pPr>
    </w:p>
    <w:p>
      <w:pPr>
        <w:tabs>
          <w:tab w:val="left" w:pos="7319"/>
        </w:tabs>
        <w:snapToGrid w:val="0"/>
        <w:rPr>
          <w:rFonts w:ascii="仿宋" w:hAnsi="仿宋" w:eastAsia="仿宋"/>
          <w:sz w:val="28"/>
          <w:szCs w:val="28"/>
        </w:rPr>
      </w:pPr>
      <w:r>
        <w:rPr>
          <w:rFonts w:hint="eastAsia" w:ascii="仿宋" w:hAnsi="仿宋" w:eastAsia="仿宋"/>
          <w:sz w:val="28"/>
          <w:szCs w:val="28"/>
        </w:rPr>
        <w:t>招标编号及标项：</w:t>
      </w:r>
      <w:r>
        <w:rPr>
          <w:rFonts w:hint="eastAsia" w:ascii="仿宋" w:hAnsi="仿宋" w:eastAsia="仿宋"/>
          <w:sz w:val="28"/>
          <w:szCs w:val="28"/>
        </w:rPr>
        <w:tab/>
      </w:r>
    </w:p>
    <w:tbl>
      <w:tblPr>
        <w:tblStyle w:val="36"/>
        <w:tblpPr w:leftFromText="180" w:rightFromText="180" w:vertAnchor="text" w:horzAnchor="page" w:tblpX="1417" w:tblpY="464"/>
        <w:tblOverlap w:val="never"/>
        <w:tblW w:w="94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2883"/>
        <w:gridCol w:w="975"/>
        <w:gridCol w:w="2130"/>
        <w:gridCol w:w="2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00" w:type="dxa"/>
            <w:vAlign w:val="center"/>
          </w:tcPr>
          <w:p>
            <w:pPr>
              <w:spacing w:line="400" w:lineRule="exact"/>
              <w:jc w:val="center"/>
              <w:rPr>
                <w:sz w:val="24"/>
              </w:rPr>
            </w:pPr>
            <w:r>
              <w:rPr>
                <w:rFonts w:hint="eastAsia"/>
                <w:sz w:val="24"/>
              </w:rPr>
              <w:t>序号</w:t>
            </w:r>
          </w:p>
        </w:tc>
        <w:tc>
          <w:tcPr>
            <w:tcW w:w="2883" w:type="dxa"/>
            <w:vAlign w:val="center"/>
          </w:tcPr>
          <w:p>
            <w:pPr>
              <w:spacing w:line="400" w:lineRule="exact"/>
              <w:jc w:val="center"/>
              <w:rPr>
                <w:sz w:val="24"/>
              </w:rPr>
            </w:pPr>
            <w:r>
              <w:rPr>
                <w:rFonts w:hint="eastAsia"/>
                <w:sz w:val="24"/>
              </w:rPr>
              <w:t>招标项目</w:t>
            </w:r>
          </w:p>
          <w:p>
            <w:pPr>
              <w:spacing w:line="400" w:lineRule="exact"/>
              <w:jc w:val="center"/>
              <w:rPr>
                <w:sz w:val="24"/>
              </w:rPr>
            </w:pPr>
          </w:p>
        </w:tc>
        <w:tc>
          <w:tcPr>
            <w:tcW w:w="975" w:type="dxa"/>
            <w:vAlign w:val="center"/>
          </w:tcPr>
          <w:p>
            <w:pPr>
              <w:spacing w:line="400" w:lineRule="exact"/>
              <w:jc w:val="center"/>
              <w:rPr>
                <w:sz w:val="24"/>
              </w:rPr>
            </w:pPr>
            <w:r>
              <w:rPr>
                <w:rFonts w:hint="eastAsia"/>
                <w:sz w:val="24"/>
              </w:rPr>
              <w:t>数量</w:t>
            </w:r>
          </w:p>
        </w:tc>
        <w:tc>
          <w:tcPr>
            <w:tcW w:w="2130" w:type="dxa"/>
            <w:vAlign w:val="center"/>
          </w:tcPr>
          <w:p>
            <w:pPr>
              <w:ind w:firstLine="720" w:firstLineChars="300"/>
              <w:rPr>
                <w:rFonts w:ascii="宋体" w:cs="宋体"/>
                <w:kern w:val="0"/>
                <w:sz w:val="24"/>
              </w:rPr>
            </w:pPr>
            <w:r>
              <w:rPr>
                <w:rFonts w:hint="eastAsia"/>
                <w:sz w:val="24"/>
              </w:rPr>
              <w:t>总价</w:t>
            </w:r>
          </w:p>
        </w:tc>
        <w:tc>
          <w:tcPr>
            <w:tcW w:w="2530" w:type="dxa"/>
            <w:vAlign w:val="center"/>
          </w:tcPr>
          <w:p>
            <w:pPr>
              <w:jc w:val="center"/>
              <w:rPr>
                <w:rFonts w:ascii="宋体" w:cs="宋体"/>
                <w:kern w:val="0"/>
                <w:sz w:val="24"/>
              </w:rPr>
            </w:pPr>
            <w:r>
              <w:rPr>
                <w:rFonts w:hint="eastAsia" w:ascii="宋体" w:cs="宋体"/>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900" w:type="dxa"/>
            <w:vAlign w:val="center"/>
          </w:tcPr>
          <w:p>
            <w:pPr>
              <w:spacing w:before="165" w:beforeLines="50" w:after="165" w:afterLines="50"/>
              <w:jc w:val="center"/>
              <w:rPr>
                <w:sz w:val="24"/>
              </w:rPr>
            </w:pPr>
            <w:r>
              <w:rPr>
                <w:rFonts w:hint="eastAsia"/>
                <w:sz w:val="24"/>
              </w:rPr>
              <w:t>1</w:t>
            </w:r>
          </w:p>
        </w:tc>
        <w:tc>
          <w:tcPr>
            <w:tcW w:w="2883" w:type="dxa"/>
            <w:vAlign w:val="center"/>
          </w:tcPr>
          <w:p>
            <w:pPr>
              <w:spacing w:before="165" w:beforeLines="50" w:after="165" w:afterLines="50"/>
              <w:jc w:val="center"/>
              <w:rPr>
                <w:rFonts w:eastAsia="新宋体"/>
                <w:kern w:val="0"/>
                <w:sz w:val="24"/>
              </w:rPr>
            </w:pPr>
            <w:r>
              <w:rPr>
                <w:rFonts w:hint="eastAsia" w:eastAsia="新宋体"/>
                <w:kern w:val="0"/>
                <w:sz w:val="24"/>
              </w:rPr>
              <w:t>校园网络监控改造、专用教室装备、路灯</w:t>
            </w:r>
          </w:p>
        </w:tc>
        <w:tc>
          <w:tcPr>
            <w:tcW w:w="975" w:type="dxa"/>
            <w:vAlign w:val="center"/>
          </w:tcPr>
          <w:p>
            <w:pPr>
              <w:spacing w:before="165" w:beforeLines="50" w:after="165" w:afterLines="50"/>
              <w:jc w:val="center"/>
              <w:rPr>
                <w:rFonts w:eastAsia="新宋体"/>
                <w:kern w:val="0"/>
                <w:sz w:val="24"/>
              </w:rPr>
            </w:pPr>
            <w:r>
              <w:rPr>
                <w:rFonts w:hint="eastAsia" w:eastAsia="新宋体"/>
                <w:kern w:val="0"/>
                <w:sz w:val="24"/>
              </w:rPr>
              <w:t>1批</w:t>
            </w:r>
          </w:p>
        </w:tc>
        <w:tc>
          <w:tcPr>
            <w:tcW w:w="2130" w:type="dxa"/>
            <w:vAlign w:val="center"/>
          </w:tcPr>
          <w:p>
            <w:pPr>
              <w:jc w:val="center"/>
            </w:pPr>
          </w:p>
        </w:tc>
        <w:tc>
          <w:tcPr>
            <w:tcW w:w="2530" w:type="dxa"/>
            <w:vAlign w:val="center"/>
          </w:tcPr>
          <w:p>
            <w:pPr>
              <w:jc w:val="center"/>
              <w:rPr>
                <w:rFonts w:ascii="宋体" w:cs="宋体"/>
                <w:b/>
                <w:kern w:val="0"/>
                <w:sz w:val="24"/>
              </w:rPr>
            </w:pPr>
            <w:r>
              <w:rPr>
                <w:rFonts w:hint="eastAsia" w:ascii="宋体" w:cs="宋体"/>
                <w:b/>
                <w:kern w:val="0"/>
                <w:sz w:val="24"/>
              </w:rPr>
              <w:t>须提供各分项设备报价清单（格式自拟）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9418" w:type="dxa"/>
            <w:gridSpan w:val="5"/>
            <w:vAlign w:val="center"/>
          </w:tcPr>
          <w:p>
            <w:pPr>
              <w:spacing w:line="400" w:lineRule="exact"/>
              <w:rPr>
                <w:sz w:val="24"/>
              </w:rPr>
            </w:pPr>
            <w:r>
              <w:rPr>
                <w:rFonts w:hint="eastAsia"/>
                <w:sz w:val="24"/>
              </w:rPr>
              <w:t>投标总价合计金额大写：         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atLeast"/>
        </w:trPr>
        <w:tc>
          <w:tcPr>
            <w:tcW w:w="9418" w:type="dxa"/>
            <w:gridSpan w:val="5"/>
            <w:vAlign w:val="center"/>
          </w:tcPr>
          <w:p>
            <w:pPr>
              <w:snapToGrid w:val="0"/>
              <w:jc w:val="left"/>
              <w:rPr>
                <w:rFonts w:ascii="仿宋" w:hAnsi="仿宋" w:eastAsia="仿宋"/>
                <w:sz w:val="24"/>
                <w:szCs w:val="24"/>
              </w:rPr>
            </w:pPr>
            <w:r>
              <w:rPr>
                <w:rFonts w:hint="eastAsia" w:ascii="仿宋" w:hAnsi="仿宋" w:eastAsia="仿宋"/>
                <w:sz w:val="24"/>
                <w:szCs w:val="24"/>
              </w:rPr>
              <w:t>1.此表应按项目的明细情况列项填报,在填写时，如上表不适合本项目的实际情况，可在确保投标明细内容完整的情况下，根据上表格式自行划表填写。</w:t>
            </w:r>
          </w:p>
          <w:p>
            <w:pPr>
              <w:snapToGrid w:val="0"/>
              <w:rPr>
                <w:rFonts w:ascii="仿宋" w:hAnsi="仿宋" w:eastAsia="仿宋"/>
                <w:sz w:val="24"/>
                <w:szCs w:val="24"/>
              </w:rPr>
            </w:pPr>
            <w:r>
              <w:rPr>
                <w:rFonts w:hint="eastAsia" w:ascii="仿宋" w:hAnsi="仿宋" w:eastAsia="仿宋"/>
                <w:sz w:val="24"/>
                <w:szCs w:val="24"/>
              </w:rPr>
              <w:t>2.报价要求：项目费用包括项目实施所需的工程费、工时费、服务费、运输费、安装调试费、税费及其他一切费用。</w:t>
            </w:r>
          </w:p>
          <w:p>
            <w:pPr>
              <w:snapToGrid w:val="0"/>
              <w:rPr>
                <w:rFonts w:ascii="仿宋" w:hAnsi="仿宋" w:eastAsia="仿宋"/>
                <w:sz w:val="24"/>
                <w:szCs w:val="24"/>
              </w:rPr>
            </w:pPr>
            <w:r>
              <w:rPr>
                <w:rFonts w:hint="eastAsia" w:ascii="仿宋" w:hAnsi="仿宋" w:eastAsia="仿宋"/>
                <w:sz w:val="24"/>
                <w:szCs w:val="24"/>
              </w:rPr>
              <w:t>3.报价中不允许出现报价优惠等字样（明细出现“0”元，视同赠送）,投标总价合计金额应与明细报价汇总相等。</w:t>
            </w:r>
          </w:p>
          <w:p>
            <w:pPr>
              <w:spacing w:line="400" w:lineRule="exact"/>
              <w:rPr>
                <w:sz w:val="24"/>
              </w:rPr>
            </w:pPr>
          </w:p>
        </w:tc>
      </w:tr>
    </w:tbl>
    <w:p>
      <w:pPr>
        <w:snapToGrid w:val="0"/>
        <w:spacing w:line="360" w:lineRule="auto"/>
        <w:rPr>
          <w:rFonts w:ascii="仿宋" w:hAnsi="仿宋" w:eastAsia="仿宋"/>
          <w:sz w:val="30"/>
          <w:szCs w:val="30"/>
        </w:rPr>
      </w:pPr>
    </w:p>
    <w:p>
      <w:pPr>
        <w:spacing w:line="400" w:lineRule="exact"/>
        <w:rPr>
          <w:rFonts w:ascii="仿宋" w:hAnsi="仿宋" w:eastAsia="仿宋"/>
          <w:sz w:val="30"/>
          <w:szCs w:val="30"/>
        </w:rPr>
      </w:pPr>
      <w:r>
        <w:rPr>
          <w:rFonts w:hint="eastAsia" w:ascii="仿宋" w:hAnsi="仿宋" w:eastAsia="仿宋"/>
          <w:sz w:val="28"/>
          <w:szCs w:val="28"/>
        </w:rPr>
        <w:t xml:space="preserve">授权代表签名：                              日期： </w:t>
      </w:r>
    </w:p>
    <w:p>
      <w:pPr>
        <w:spacing w:line="400" w:lineRule="exact"/>
        <w:rPr>
          <w:rFonts w:ascii="仿宋" w:hAnsi="仿宋" w:eastAsia="仿宋"/>
          <w:sz w:val="30"/>
          <w:szCs w:val="30"/>
        </w:rPr>
      </w:pPr>
    </w:p>
    <w:p>
      <w:pPr>
        <w:spacing w:line="400" w:lineRule="exact"/>
        <w:rPr>
          <w:rFonts w:ascii="仿宋" w:hAnsi="仿宋" w:eastAsia="仿宋"/>
          <w:sz w:val="30"/>
          <w:szCs w:val="30"/>
        </w:rPr>
      </w:pPr>
    </w:p>
    <w:p>
      <w:pPr>
        <w:spacing w:line="400" w:lineRule="exact"/>
        <w:rPr>
          <w:rFonts w:ascii="仿宋" w:hAnsi="仿宋" w:eastAsia="仿宋"/>
          <w:sz w:val="30"/>
          <w:szCs w:val="30"/>
        </w:rPr>
      </w:pPr>
    </w:p>
    <w:p>
      <w:pPr>
        <w:spacing w:line="400" w:lineRule="exact"/>
        <w:rPr>
          <w:rFonts w:ascii="仿宋" w:hAnsi="仿宋" w:eastAsia="仿宋"/>
          <w:sz w:val="30"/>
          <w:szCs w:val="30"/>
        </w:rPr>
      </w:pPr>
    </w:p>
    <w:p>
      <w:pPr>
        <w:spacing w:line="400" w:lineRule="exact"/>
        <w:rPr>
          <w:rFonts w:ascii="仿宋" w:hAnsi="仿宋" w:eastAsia="仿宋"/>
          <w:sz w:val="30"/>
          <w:szCs w:val="30"/>
        </w:rPr>
      </w:pPr>
    </w:p>
    <w:p>
      <w:pPr>
        <w:rPr>
          <w:rFonts w:ascii="仿宋" w:hAnsi="仿宋" w:eastAsia="仿宋"/>
          <w:sz w:val="30"/>
          <w:szCs w:val="30"/>
        </w:rPr>
      </w:pPr>
      <w:r>
        <w:rPr>
          <w:rFonts w:hint="eastAsia" w:ascii="仿宋" w:hAnsi="仿宋" w:eastAsia="仿宋"/>
          <w:sz w:val="30"/>
          <w:szCs w:val="30"/>
        </w:rPr>
        <w:br w:type="page"/>
      </w:r>
    </w:p>
    <w:p>
      <w:pPr>
        <w:pStyle w:val="19"/>
      </w:pPr>
    </w:p>
    <w:p>
      <w:pPr>
        <w:snapToGrid w:val="0"/>
        <w:spacing w:line="400" w:lineRule="exact"/>
        <w:jc w:val="left"/>
        <w:rPr>
          <w:sz w:val="24"/>
          <w:u w:val="single"/>
        </w:rPr>
      </w:pPr>
    </w:p>
    <w:p>
      <w:pPr>
        <w:snapToGrid w:val="0"/>
        <w:rPr>
          <w:rStyle w:val="39"/>
          <w:rFonts w:ascii="新宋体" w:hAnsi="新宋体" w:eastAsia="新宋体" w:cs="新宋体"/>
          <w:sz w:val="36"/>
          <w:szCs w:val="36"/>
        </w:rPr>
      </w:pPr>
      <w:r>
        <w:rPr>
          <w:rStyle w:val="39"/>
          <w:rFonts w:hint="eastAsia" w:ascii="新宋体" w:hAnsi="新宋体" w:eastAsia="新宋体" w:cs="新宋体"/>
          <w:sz w:val="36"/>
          <w:szCs w:val="36"/>
        </w:rPr>
        <w:t>附件：</w:t>
      </w:r>
      <w:r>
        <w:rPr>
          <w:rFonts w:hint="eastAsia" w:ascii="新宋体" w:hAnsi="新宋体" w:eastAsia="新宋体" w:cs="新宋体"/>
          <w:b/>
          <w:kern w:val="0"/>
          <w:sz w:val="36"/>
          <w:szCs w:val="36"/>
        </w:rPr>
        <w:t>分项</w:t>
      </w:r>
      <w:r>
        <w:rPr>
          <w:rStyle w:val="39"/>
          <w:rFonts w:hint="eastAsia" w:ascii="新宋体" w:hAnsi="新宋体" w:eastAsia="新宋体" w:cs="新宋体"/>
          <w:sz w:val="36"/>
          <w:szCs w:val="36"/>
        </w:rPr>
        <w:t>报价清单</w:t>
      </w:r>
    </w:p>
    <w:p>
      <w:pPr>
        <w:snapToGrid w:val="0"/>
        <w:rPr>
          <w:rStyle w:val="39"/>
          <w:rFonts w:ascii="新宋体" w:hAnsi="新宋体" w:eastAsia="新宋体" w:cs="新宋体"/>
          <w:sz w:val="36"/>
          <w:szCs w:val="36"/>
        </w:rPr>
      </w:pPr>
    </w:p>
    <w:p>
      <w:pPr>
        <w:snapToGrid w:val="0"/>
        <w:rPr>
          <w:rStyle w:val="39"/>
          <w:rFonts w:ascii="新宋体" w:hAnsi="新宋体" w:eastAsia="新宋体" w:cs="新宋体"/>
          <w:sz w:val="36"/>
          <w:szCs w:val="36"/>
        </w:rPr>
      </w:pPr>
    </w:p>
    <w:p>
      <w:pPr>
        <w:snapToGrid w:val="0"/>
        <w:ind w:firstLine="3614" w:firstLineChars="1000"/>
        <w:rPr>
          <w:rStyle w:val="39"/>
          <w:rFonts w:ascii="新宋体" w:hAnsi="新宋体" w:eastAsia="新宋体" w:cs="新宋体"/>
          <w:sz w:val="36"/>
          <w:szCs w:val="36"/>
        </w:rPr>
      </w:pPr>
      <w:r>
        <w:rPr>
          <w:rFonts w:hint="eastAsia" w:ascii="新宋体" w:hAnsi="新宋体" w:eastAsia="新宋体" w:cs="新宋体"/>
          <w:b/>
          <w:kern w:val="0"/>
          <w:sz w:val="36"/>
          <w:szCs w:val="36"/>
        </w:rPr>
        <w:t>分项</w:t>
      </w:r>
      <w:r>
        <w:rPr>
          <w:rStyle w:val="39"/>
          <w:rFonts w:hint="eastAsia" w:ascii="新宋体" w:hAnsi="新宋体" w:eastAsia="新宋体" w:cs="新宋体"/>
          <w:sz w:val="36"/>
          <w:szCs w:val="36"/>
        </w:rPr>
        <w:t>报价清单</w:t>
      </w:r>
    </w:p>
    <w:tbl>
      <w:tblPr>
        <w:tblStyle w:val="37"/>
        <w:tblpPr w:leftFromText="180" w:rightFromText="180" w:vertAnchor="text" w:horzAnchor="page" w:tblpX="1262" w:tblpY="715"/>
        <w:tblOverlap w:val="never"/>
        <w:tblW w:w="95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558"/>
        <w:gridCol w:w="1365"/>
        <w:gridCol w:w="1455"/>
        <w:gridCol w:w="1425"/>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840"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b/>
                <w:kern w:val="0"/>
                <w:sz w:val="24"/>
                <w:szCs w:val="24"/>
                <w:lang w:bidi="ar"/>
              </w:rPr>
              <w:t>序号</w:t>
            </w:r>
          </w:p>
        </w:tc>
        <w:tc>
          <w:tcPr>
            <w:tcW w:w="2558"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b/>
                <w:kern w:val="0"/>
                <w:lang w:bidi="ar"/>
              </w:rPr>
              <w:t>名称</w:t>
            </w:r>
          </w:p>
        </w:tc>
        <w:tc>
          <w:tcPr>
            <w:tcW w:w="1365"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b/>
                <w:sz w:val="24"/>
                <w:szCs w:val="24"/>
              </w:rPr>
              <w:t>数量</w:t>
            </w:r>
          </w:p>
        </w:tc>
        <w:tc>
          <w:tcPr>
            <w:tcW w:w="1455" w:type="dxa"/>
            <w:vAlign w:val="center"/>
          </w:tcPr>
          <w:p>
            <w:pPr>
              <w:spacing w:line="360" w:lineRule="auto"/>
              <w:jc w:val="center"/>
              <w:textAlignment w:val="center"/>
              <w:rPr>
                <w:rFonts w:ascii="新宋体" w:hAnsi="新宋体" w:eastAsia="新宋体" w:cs="新宋体"/>
                <w:b/>
                <w:kern w:val="0"/>
                <w:sz w:val="24"/>
                <w:szCs w:val="24"/>
                <w:lang w:bidi="ar"/>
              </w:rPr>
            </w:pPr>
            <w:r>
              <w:rPr>
                <w:rFonts w:hint="eastAsia" w:ascii="新宋体" w:hAnsi="新宋体" w:eastAsia="新宋体" w:cs="新宋体"/>
                <w:b/>
                <w:kern w:val="0"/>
                <w:sz w:val="24"/>
                <w:szCs w:val="24"/>
                <w:lang w:bidi="ar"/>
              </w:rPr>
              <w:t>单价（元）</w:t>
            </w:r>
          </w:p>
        </w:tc>
        <w:tc>
          <w:tcPr>
            <w:tcW w:w="1425" w:type="dxa"/>
            <w:vAlign w:val="center"/>
          </w:tcPr>
          <w:p>
            <w:pPr>
              <w:spacing w:line="360" w:lineRule="auto"/>
              <w:jc w:val="center"/>
              <w:textAlignment w:val="center"/>
              <w:rPr>
                <w:rFonts w:ascii="新宋体" w:hAnsi="新宋体" w:eastAsia="新宋体" w:cs="新宋体"/>
                <w:b/>
                <w:kern w:val="0"/>
                <w:sz w:val="24"/>
                <w:szCs w:val="24"/>
                <w:lang w:bidi="ar"/>
              </w:rPr>
            </w:pPr>
            <w:r>
              <w:rPr>
                <w:rFonts w:hint="eastAsia" w:ascii="新宋体" w:hAnsi="新宋体" w:eastAsia="新宋体" w:cs="新宋体"/>
                <w:b/>
                <w:kern w:val="0"/>
                <w:sz w:val="24"/>
                <w:szCs w:val="24"/>
                <w:lang w:bidi="ar"/>
              </w:rPr>
              <w:t>总价（元）</w:t>
            </w:r>
          </w:p>
        </w:tc>
        <w:tc>
          <w:tcPr>
            <w:tcW w:w="1890" w:type="dxa"/>
            <w:vAlign w:val="center"/>
          </w:tcPr>
          <w:p>
            <w:pPr>
              <w:spacing w:line="360" w:lineRule="auto"/>
              <w:jc w:val="center"/>
              <w:textAlignment w:val="center"/>
              <w:rPr>
                <w:rFonts w:ascii="新宋体" w:hAnsi="新宋体" w:eastAsia="新宋体" w:cs="新宋体"/>
                <w:b/>
                <w:kern w:val="0"/>
                <w:sz w:val="24"/>
                <w:szCs w:val="24"/>
                <w:lang w:bidi="ar"/>
              </w:rPr>
            </w:pPr>
            <w:bookmarkStart w:id="33" w:name="OLE_LINK6"/>
            <w:r>
              <w:rPr>
                <w:rFonts w:hint="eastAsia" w:ascii="新宋体" w:hAnsi="新宋体" w:eastAsia="新宋体" w:cs="新宋体"/>
                <w:b/>
                <w:kern w:val="0"/>
                <w:sz w:val="24"/>
                <w:szCs w:val="24"/>
                <w:lang w:bidi="ar"/>
              </w:rPr>
              <w:t>制造商</w:t>
            </w:r>
            <w:bookmarkEnd w:id="33"/>
            <w:r>
              <w:rPr>
                <w:rFonts w:hint="eastAsia" w:ascii="新宋体" w:hAnsi="新宋体" w:eastAsia="新宋体" w:cs="新宋体"/>
                <w:b/>
                <w:kern w:val="0"/>
                <w:sz w:val="24"/>
                <w:szCs w:val="24"/>
                <w:lang w:bidi="ar"/>
              </w:rPr>
              <w:t>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kern w:val="0"/>
                <w:sz w:val="24"/>
                <w:szCs w:val="24"/>
                <w:lang w:bidi="ar"/>
              </w:rPr>
              <w:t>1</w:t>
            </w:r>
          </w:p>
        </w:tc>
        <w:tc>
          <w:tcPr>
            <w:tcW w:w="2558" w:type="dxa"/>
            <w:vAlign w:val="center"/>
          </w:tcPr>
          <w:p>
            <w:pPr>
              <w:spacing w:line="360" w:lineRule="auto"/>
              <w:textAlignment w:val="center"/>
              <w:rPr>
                <w:rFonts w:ascii="新宋体" w:hAnsi="新宋体" w:eastAsia="新宋体" w:cs="新宋体"/>
                <w:sz w:val="24"/>
                <w:szCs w:val="24"/>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sz w:val="24"/>
                <w:szCs w:val="24"/>
              </w:rPr>
            </w:pPr>
          </w:p>
        </w:tc>
        <w:tc>
          <w:tcPr>
            <w:tcW w:w="1425" w:type="dxa"/>
            <w:vAlign w:val="center"/>
          </w:tcPr>
          <w:p>
            <w:pPr>
              <w:spacing w:line="360" w:lineRule="auto"/>
              <w:jc w:val="center"/>
              <w:textAlignment w:val="center"/>
              <w:rPr>
                <w:rFonts w:ascii="新宋体" w:hAnsi="新宋体" w:eastAsia="新宋体" w:cs="新宋体"/>
                <w:sz w:val="24"/>
                <w:szCs w:val="24"/>
              </w:rPr>
            </w:pPr>
          </w:p>
        </w:tc>
        <w:tc>
          <w:tcPr>
            <w:tcW w:w="1890" w:type="dxa"/>
            <w:vAlign w:val="center"/>
          </w:tcPr>
          <w:p>
            <w:pPr>
              <w:spacing w:line="360" w:lineRule="auto"/>
              <w:jc w:val="center"/>
              <w:textAlignment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kern w:val="0"/>
                <w:sz w:val="24"/>
                <w:szCs w:val="24"/>
                <w:lang w:bidi="ar"/>
              </w:rPr>
            </w:pPr>
            <w:r>
              <w:rPr>
                <w:rFonts w:hint="eastAsia" w:ascii="新宋体" w:hAnsi="新宋体" w:eastAsia="新宋体" w:cs="新宋体"/>
                <w:kern w:val="0"/>
                <w:sz w:val="24"/>
                <w:szCs w:val="24"/>
                <w:lang w:bidi="ar"/>
              </w:rPr>
              <w:t>2</w:t>
            </w:r>
          </w:p>
        </w:tc>
        <w:tc>
          <w:tcPr>
            <w:tcW w:w="2558" w:type="dxa"/>
            <w:vAlign w:val="center"/>
          </w:tcPr>
          <w:p>
            <w:pPr>
              <w:spacing w:line="360" w:lineRule="auto"/>
              <w:textAlignment w:val="center"/>
              <w:rPr>
                <w:rFonts w:ascii="新宋体" w:hAnsi="新宋体" w:eastAsia="新宋体" w:cs="新宋体"/>
                <w:sz w:val="24"/>
                <w:szCs w:val="24"/>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sz w:val="24"/>
                <w:szCs w:val="24"/>
              </w:rPr>
            </w:pPr>
          </w:p>
        </w:tc>
        <w:tc>
          <w:tcPr>
            <w:tcW w:w="1425" w:type="dxa"/>
            <w:vAlign w:val="center"/>
          </w:tcPr>
          <w:p>
            <w:pPr>
              <w:spacing w:line="360" w:lineRule="auto"/>
              <w:jc w:val="center"/>
              <w:textAlignment w:val="center"/>
              <w:rPr>
                <w:rFonts w:ascii="新宋体" w:hAnsi="新宋体" w:eastAsia="新宋体" w:cs="新宋体"/>
                <w:sz w:val="24"/>
                <w:szCs w:val="24"/>
              </w:rPr>
            </w:pPr>
          </w:p>
        </w:tc>
        <w:tc>
          <w:tcPr>
            <w:tcW w:w="1890" w:type="dxa"/>
            <w:vAlign w:val="center"/>
          </w:tcPr>
          <w:p>
            <w:pPr>
              <w:spacing w:line="360" w:lineRule="auto"/>
              <w:jc w:val="center"/>
              <w:textAlignment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sz w:val="24"/>
                <w:szCs w:val="24"/>
              </w:rPr>
              <w:t>3</w:t>
            </w:r>
          </w:p>
        </w:tc>
        <w:tc>
          <w:tcPr>
            <w:tcW w:w="2558" w:type="dxa"/>
            <w:vAlign w:val="center"/>
          </w:tcPr>
          <w:p>
            <w:pPr>
              <w:spacing w:line="360" w:lineRule="auto"/>
              <w:textAlignment w:val="center"/>
              <w:rPr>
                <w:rFonts w:ascii="新宋体" w:hAnsi="新宋体" w:eastAsia="新宋体" w:cs="新宋体"/>
                <w:sz w:val="24"/>
                <w:szCs w:val="24"/>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sz w:val="24"/>
                <w:szCs w:val="24"/>
              </w:rPr>
            </w:pPr>
          </w:p>
        </w:tc>
        <w:tc>
          <w:tcPr>
            <w:tcW w:w="1425" w:type="dxa"/>
            <w:vAlign w:val="center"/>
          </w:tcPr>
          <w:p>
            <w:pPr>
              <w:spacing w:line="360" w:lineRule="auto"/>
              <w:jc w:val="center"/>
              <w:textAlignment w:val="center"/>
              <w:rPr>
                <w:rFonts w:ascii="新宋体" w:hAnsi="新宋体" w:eastAsia="新宋体" w:cs="新宋体"/>
                <w:sz w:val="24"/>
                <w:szCs w:val="24"/>
              </w:rPr>
            </w:pPr>
          </w:p>
        </w:tc>
        <w:tc>
          <w:tcPr>
            <w:tcW w:w="1890" w:type="dxa"/>
            <w:vAlign w:val="center"/>
          </w:tcPr>
          <w:p>
            <w:pPr>
              <w:spacing w:line="360" w:lineRule="auto"/>
              <w:jc w:val="center"/>
              <w:textAlignment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sz w:val="24"/>
                <w:szCs w:val="24"/>
              </w:rPr>
              <w:t>4</w:t>
            </w:r>
          </w:p>
        </w:tc>
        <w:tc>
          <w:tcPr>
            <w:tcW w:w="2558" w:type="dxa"/>
            <w:vAlign w:val="center"/>
          </w:tcPr>
          <w:p>
            <w:pPr>
              <w:spacing w:line="360" w:lineRule="auto"/>
              <w:textAlignment w:val="center"/>
              <w:rPr>
                <w:rFonts w:ascii="新宋体" w:hAnsi="新宋体" w:eastAsia="新宋体" w:cs="新宋体"/>
                <w:sz w:val="24"/>
                <w:szCs w:val="24"/>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sz w:val="24"/>
                <w:szCs w:val="24"/>
              </w:rPr>
            </w:pPr>
          </w:p>
        </w:tc>
        <w:tc>
          <w:tcPr>
            <w:tcW w:w="1425" w:type="dxa"/>
            <w:vAlign w:val="center"/>
          </w:tcPr>
          <w:p>
            <w:pPr>
              <w:spacing w:line="360" w:lineRule="auto"/>
              <w:jc w:val="center"/>
              <w:textAlignment w:val="center"/>
              <w:rPr>
                <w:rFonts w:ascii="新宋体" w:hAnsi="新宋体" w:eastAsia="新宋体" w:cs="新宋体"/>
                <w:sz w:val="24"/>
                <w:szCs w:val="24"/>
              </w:rPr>
            </w:pPr>
          </w:p>
        </w:tc>
        <w:tc>
          <w:tcPr>
            <w:tcW w:w="1890" w:type="dxa"/>
            <w:vAlign w:val="center"/>
          </w:tcPr>
          <w:p>
            <w:pPr>
              <w:spacing w:line="360" w:lineRule="auto"/>
              <w:jc w:val="center"/>
              <w:textAlignment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sz w:val="24"/>
                <w:szCs w:val="24"/>
              </w:rPr>
            </w:pPr>
            <w:r>
              <w:rPr>
                <w:rFonts w:hint="eastAsia" w:ascii="新宋体" w:hAnsi="新宋体" w:eastAsia="新宋体" w:cs="新宋体"/>
                <w:sz w:val="24"/>
                <w:szCs w:val="24"/>
              </w:rPr>
              <w:t>5</w:t>
            </w:r>
          </w:p>
        </w:tc>
        <w:tc>
          <w:tcPr>
            <w:tcW w:w="2558" w:type="dxa"/>
            <w:vAlign w:val="center"/>
          </w:tcPr>
          <w:p>
            <w:pPr>
              <w:spacing w:line="360" w:lineRule="auto"/>
              <w:textAlignment w:val="center"/>
              <w:rPr>
                <w:rFonts w:ascii="新宋体" w:hAnsi="新宋体" w:eastAsia="新宋体" w:cs="新宋体"/>
                <w:sz w:val="24"/>
                <w:szCs w:val="24"/>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sz w:val="24"/>
                <w:szCs w:val="24"/>
              </w:rPr>
            </w:pPr>
          </w:p>
        </w:tc>
        <w:tc>
          <w:tcPr>
            <w:tcW w:w="1425" w:type="dxa"/>
            <w:vAlign w:val="center"/>
          </w:tcPr>
          <w:p>
            <w:pPr>
              <w:spacing w:line="360" w:lineRule="auto"/>
              <w:jc w:val="center"/>
              <w:textAlignment w:val="center"/>
              <w:rPr>
                <w:rFonts w:ascii="新宋体" w:hAnsi="新宋体" w:eastAsia="新宋体" w:cs="新宋体"/>
                <w:sz w:val="24"/>
                <w:szCs w:val="24"/>
              </w:rPr>
            </w:pPr>
          </w:p>
        </w:tc>
        <w:tc>
          <w:tcPr>
            <w:tcW w:w="1890" w:type="dxa"/>
            <w:vAlign w:val="center"/>
          </w:tcPr>
          <w:p>
            <w:pPr>
              <w:spacing w:line="360" w:lineRule="auto"/>
              <w:jc w:val="center"/>
              <w:textAlignment w:val="center"/>
              <w:rPr>
                <w:rFonts w:ascii="新宋体" w:hAnsi="新宋体" w:eastAsia="新宋体" w:cs="新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kern w:val="0"/>
                <w:sz w:val="24"/>
                <w:szCs w:val="24"/>
                <w:lang w:bidi="ar"/>
              </w:rPr>
            </w:pPr>
            <w:r>
              <w:rPr>
                <w:rFonts w:hint="eastAsia" w:ascii="新宋体" w:hAnsi="新宋体" w:eastAsia="新宋体" w:cs="新宋体"/>
                <w:kern w:val="0"/>
                <w:sz w:val="24"/>
                <w:szCs w:val="24"/>
                <w:lang w:bidi="ar"/>
              </w:rPr>
              <w:t>6</w:t>
            </w:r>
          </w:p>
        </w:tc>
        <w:tc>
          <w:tcPr>
            <w:tcW w:w="2558" w:type="dxa"/>
            <w:vAlign w:val="center"/>
          </w:tcPr>
          <w:p>
            <w:pPr>
              <w:spacing w:line="360" w:lineRule="auto"/>
              <w:textAlignment w:val="center"/>
              <w:rPr>
                <w:rFonts w:ascii="新宋体" w:hAnsi="新宋体" w:eastAsia="新宋体" w:cs="新宋体"/>
                <w:kern w:val="0"/>
                <w:sz w:val="24"/>
                <w:szCs w:val="24"/>
                <w:lang w:bidi="ar"/>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sz w:val="24"/>
                <w:szCs w:val="24"/>
              </w:rPr>
            </w:pPr>
          </w:p>
        </w:tc>
        <w:tc>
          <w:tcPr>
            <w:tcW w:w="1425" w:type="dxa"/>
            <w:vAlign w:val="center"/>
          </w:tcPr>
          <w:p>
            <w:pPr>
              <w:spacing w:line="360" w:lineRule="auto"/>
              <w:jc w:val="center"/>
              <w:textAlignment w:val="center"/>
              <w:rPr>
                <w:rFonts w:ascii="新宋体" w:hAnsi="新宋体" w:eastAsia="新宋体" w:cs="新宋体"/>
                <w:kern w:val="0"/>
                <w:sz w:val="24"/>
                <w:szCs w:val="24"/>
                <w:lang w:bidi="ar"/>
              </w:rPr>
            </w:pPr>
          </w:p>
        </w:tc>
        <w:tc>
          <w:tcPr>
            <w:tcW w:w="1890" w:type="dxa"/>
            <w:vAlign w:val="center"/>
          </w:tcPr>
          <w:p>
            <w:pPr>
              <w:spacing w:line="360" w:lineRule="auto"/>
              <w:jc w:val="center"/>
              <w:textAlignment w:val="center"/>
              <w:rPr>
                <w:rFonts w:ascii="新宋体" w:hAnsi="新宋体" w:eastAsia="新宋体" w:cs="新宋体"/>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sz w:val="24"/>
                <w:szCs w:val="24"/>
              </w:rPr>
            </w:pPr>
          </w:p>
        </w:tc>
        <w:tc>
          <w:tcPr>
            <w:tcW w:w="2558" w:type="dxa"/>
            <w:vAlign w:val="center"/>
          </w:tcPr>
          <w:p>
            <w:pPr>
              <w:spacing w:line="360" w:lineRule="auto"/>
              <w:textAlignment w:val="center"/>
              <w:rPr>
                <w:rFonts w:ascii="新宋体" w:hAnsi="新宋体" w:eastAsia="新宋体" w:cs="新宋体"/>
                <w:kern w:val="0"/>
                <w:sz w:val="24"/>
                <w:szCs w:val="24"/>
                <w:lang w:bidi="ar"/>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kern w:val="0"/>
                <w:sz w:val="24"/>
                <w:szCs w:val="24"/>
                <w:lang w:bidi="ar"/>
              </w:rPr>
            </w:pPr>
          </w:p>
        </w:tc>
        <w:tc>
          <w:tcPr>
            <w:tcW w:w="1425" w:type="dxa"/>
            <w:vAlign w:val="center"/>
          </w:tcPr>
          <w:p>
            <w:pPr>
              <w:spacing w:line="360" w:lineRule="auto"/>
              <w:jc w:val="center"/>
              <w:textAlignment w:val="center"/>
              <w:rPr>
                <w:rFonts w:ascii="新宋体" w:hAnsi="新宋体" w:eastAsia="新宋体" w:cs="新宋体"/>
                <w:kern w:val="0"/>
                <w:sz w:val="24"/>
                <w:szCs w:val="24"/>
                <w:lang w:bidi="ar"/>
              </w:rPr>
            </w:pPr>
          </w:p>
        </w:tc>
        <w:tc>
          <w:tcPr>
            <w:tcW w:w="1890" w:type="dxa"/>
            <w:vAlign w:val="center"/>
          </w:tcPr>
          <w:p>
            <w:pPr>
              <w:spacing w:line="360" w:lineRule="auto"/>
              <w:jc w:val="center"/>
              <w:textAlignment w:val="center"/>
              <w:rPr>
                <w:rFonts w:ascii="新宋体" w:hAnsi="新宋体" w:eastAsia="新宋体" w:cs="新宋体"/>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0" w:type="dxa"/>
            <w:vAlign w:val="center"/>
          </w:tcPr>
          <w:p>
            <w:pPr>
              <w:spacing w:line="360" w:lineRule="auto"/>
              <w:jc w:val="center"/>
              <w:textAlignment w:val="center"/>
              <w:rPr>
                <w:rFonts w:ascii="新宋体" w:hAnsi="新宋体" w:eastAsia="新宋体" w:cs="新宋体"/>
                <w:sz w:val="24"/>
                <w:szCs w:val="24"/>
              </w:rPr>
            </w:pPr>
          </w:p>
        </w:tc>
        <w:tc>
          <w:tcPr>
            <w:tcW w:w="2558" w:type="dxa"/>
            <w:vAlign w:val="center"/>
          </w:tcPr>
          <w:p>
            <w:pPr>
              <w:spacing w:line="360" w:lineRule="auto"/>
              <w:textAlignment w:val="center"/>
              <w:rPr>
                <w:rFonts w:ascii="新宋体" w:hAnsi="新宋体" w:eastAsia="新宋体" w:cs="新宋体"/>
                <w:kern w:val="0"/>
                <w:sz w:val="24"/>
                <w:szCs w:val="24"/>
                <w:lang w:bidi="ar"/>
              </w:rPr>
            </w:pPr>
          </w:p>
        </w:tc>
        <w:tc>
          <w:tcPr>
            <w:tcW w:w="1365" w:type="dxa"/>
            <w:vAlign w:val="center"/>
          </w:tcPr>
          <w:p>
            <w:pPr>
              <w:spacing w:line="360" w:lineRule="auto"/>
              <w:jc w:val="center"/>
              <w:textAlignment w:val="center"/>
              <w:rPr>
                <w:rFonts w:ascii="新宋体" w:hAnsi="新宋体" w:eastAsia="新宋体" w:cs="新宋体"/>
                <w:kern w:val="0"/>
                <w:lang w:bidi="ar"/>
              </w:rPr>
            </w:pPr>
          </w:p>
        </w:tc>
        <w:tc>
          <w:tcPr>
            <w:tcW w:w="1455" w:type="dxa"/>
            <w:vAlign w:val="center"/>
          </w:tcPr>
          <w:p>
            <w:pPr>
              <w:spacing w:line="360" w:lineRule="auto"/>
              <w:jc w:val="center"/>
              <w:textAlignment w:val="center"/>
              <w:rPr>
                <w:rFonts w:ascii="新宋体" w:hAnsi="新宋体" w:eastAsia="新宋体" w:cs="新宋体"/>
                <w:kern w:val="0"/>
                <w:sz w:val="24"/>
                <w:szCs w:val="24"/>
                <w:lang w:bidi="ar"/>
              </w:rPr>
            </w:pPr>
          </w:p>
        </w:tc>
        <w:tc>
          <w:tcPr>
            <w:tcW w:w="1425" w:type="dxa"/>
            <w:vAlign w:val="center"/>
          </w:tcPr>
          <w:p>
            <w:pPr>
              <w:spacing w:line="360" w:lineRule="auto"/>
              <w:jc w:val="center"/>
              <w:textAlignment w:val="center"/>
              <w:rPr>
                <w:rFonts w:ascii="新宋体" w:hAnsi="新宋体" w:eastAsia="新宋体" w:cs="新宋体"/>
                <w:kern w:val="0"/>
                <w:sz w:val="24"/>
                <w:szCs w:val="24"/>
                <w:lang w:bidi="ar"/>
              </w:rPr>
            </w:pPr>
          </w:p>
        </w:tc>
        <w:tc>
          <w:tcPr>
            <w:tcW w:w="1890" w:type="dxa"/>
            <w:vAlign w:val="center"/>
          </w:tcPr>
          <w:p>
            <w:pPr>
              <w:spacing w:line="360" w:lineRule="auto"/>
              <w:jc w:val="center"/>
              <w:textAlignment w:val="center"/>
              <w:rPr>
                <w:rFonts w:ascii="新宋体" w:hAnsi="新宋体" w:eastAsia="新宋体" w:cs="新宋体"/>
                <w:kern w:val="0"/>
                <w:sz w:val="24"/>
                <w:szCs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533" w:type="dxa"/>
            <w:gridSpan w:val="6"/>
            <w:vAlign w:val="center"/>
          </w:tcPr>
          <w:p>
            <w:pPr>
              <w:spacing w:line="360" w:lineRule="auto"/>
              <w:textAlignment w:val="center"/>
              <w:rPr>
                <w:rFonts w:ascii="新宋体" w:hAnsi="新宋体" w:eastAsia="新宋体" w:cs="新宋体"/>
                <w:sz w:val="24"/>
              </w:rPr>
            </w:pPr>
            <w:r>
              <w:rPr>
                <w:rFonts w:hint="eastAsia" w:ascii="新宋体" w:hAnsi="新宋体" w:eastAsia="新宋体" w:cs="新宋体"/>
                <w:sz w:val="24"/>
              </w:rPr>
              <w:t>总价合计金额 大写：</w:t>
            </w:r>
            <w:r>
              <w:rPr>
                <w:rFonts w:hint="eastAsia" w:ascii="新宋体" w:hAnsi="新宋体" w:eastAsia="新宋体" w:cs="新宋体"/>
                <w:sz w:val="24"/>
                <w:u w:val="single"/>
              </w:rPr>
              <w:t xml:space="preserve">                     元 </w:t>
            </w:r>
            <w:r>
              <w:rPr>
                <w:rFonts w:hint="eastAsia" w:ascii="新宋体" w:hAnsi="新宋体" w:eastAsia="新宋体" w:cs="新宋体"/>
                <w:sz w:val="24"/>
              </w:rPr>
              <w:t>小写：￥</w:t>
            </w:r>
            <w:r>
              <w:rPr>
                <w:rFonts w:hint="eastAsia" w:ascii="新宋体" w:hAnsi="新宋体" w:eastAsia="新宋体" w:cs="新宋体"/>
                <w:sz w:val="24"/>
                <w:u w:val="single"/>
              </w:rPr>
              <w:t xml:space="preserve"> </w:t>
            </w:r>
            <w:r>
              <w:rPr>
                <w:rFonts w:hint="eastAsia" w:ascii="新宋体" w:hAnsi="新宋体" w:eastAsia="新宋体" w:cs="新宋体"/>
                <w:bCs/>
                <w:sz w:val="24"/>
                <w:u w:val="single"/>
              </w:rPr>
              <w:t xml:space="preserve">                       元  </w:t>
            </w:r>
            <w:r>
              <w:rPr>
                <w:rFonts w:hint="eastAsia" w:ascii="新宋体" w:hAnsi="新宋体" w:eastAsia="新宋体" w:cs="新宋体"/>
                <w:sz w:val="24"/>
                <w:u w:val="single"/>
              </w:rPr>
              <w:t xml:space="preserve">      </w:t>
            </w:r>
          </w:p>
        </w:tc>
      </w:tr>
    </w:tbl>
    <w:p>
      <w:pPr>
        <w:snapToGrid w:val="0"/>
        <w:rPr>
          <w:rStyle w:val="39"/>
          <w:rFonts w:ascii="新宋体" w:hAnsi="新宋体" w:eastAsia="新宋体" w:cs="新宋体"/>
          <w:sz w:val="24"/>
        </w:rPr>
      </w:pPr>
    </w:p>
    <w:p>
      <w:pPr>
        <w:snapToGrid w:val="0"/>
        <w:rPr>
          <w:rStyle w:val="39"/>
          <w:rFonts w:ascii="新宋体" w:hAnsi="新宋体" w:eastAsia="新宋体" w:cs="新宋体"/>
          <w:sz w:val="24"/>
        </w:rPr>
      </w:pPr>
      <w:r>
        <w:rPr>
          <w:rStyle w:val="39"/>
          <w:rFonts w:hint="eastAsia" w:ascii="新宋体" w:hAnsi="新宋体" w:eastAsia="新宋体" w:cs="新宋体"/>
          <w:sz w:val="24"/>
        </w:rPr>
        <w:t xml:space="preserve">     </w:t>
      </w:r>
    </w:p>
    <w:p>
      <w:pPr>
        <w:pStyle w:val="19"/>
        <w:ind w:left="0" w:leftChars="0" w:firstLine="0" w:firstLineChars="0"/>
        <w:rPr>
          <w:rFonts w:ascii="仿宋" w:hAnsi="仿宋" w:eastAsia="仿宋"/>
          <w:sz w:val="28"/>
          <w:szCs w:val="28"/>
        </w:rPr>
      </w:pPr>
      <w:r>
        <w:rPr>
          <w:rFonts w:hint="eastAsia" w:ascii="新宋体" w:hAnsi="新宋体" w:eastAsia="新宋体" w:cs="新宋体"/>
          <w:b/>
          <w:bCs/>
          <w:sz w:val="28"/>
          <w:szCs w:val="28"/>
        </w:rPr>
        <w:t>注：最终结算时以实际量体数量为准。</w:t>
      </w:r>
      <w:r>
        <w:rPr>
          <w:rFonts w:hint="eastAsia" w:ascii="仿宋" w:hAnsi="仿宋" w:eastAsia="仿宋"/>
          <w:sz w:val="30"/>
          <w:szCs w:val="30"/>
        </w:rPr>
        <w:br w:type="page"/>
      </w:r>
    </w:p>
    <w:p>
      <w:pPr>
        <w:jc w:val="left"/>
        <w:rPr>
          <w:rFonts w:ascii="仿宋" w:hAnsi="仿宋" w:eastAsia="仿宋"/>
        </w:rPr>
      </w:pPr>
      <w:r>
        <w:rPr>
          <w:rFonts w:hint="eastAsia" w:ascii="仿宋" w:hAnsi="仿宋" w:eastAsia="仿宋"/>
          <w:sz w:val="30"/>
          <w:szCs w:val="30"/>
        </w:rPr>
        <w:t>附件15：</w:t>
      </w:r>
    </w:p>
    <w:p>
      <w:pPr>
        <w:pStyle w:val="20"/>
        <w:adjustRightInd w:val="0"/>
        <w:snapToGrid w:val="0"/>
        <w:spacing w:line="360" w:lineRule="auto"/>
        <w:jc w:val="center"/>
        <w:rPr>
          <w:rFonts w:ascii="仿宋" w:hAnsi="仿宋" w:eastAsia="仿宋" w:cs="等线"/>
          <w:sz w:val="44"/>
          <w:szCs w:val="44"/>
        </w:rPr>
      </w:pPr>
      <w:r>
        <w:rPr>
          <w:rFonts w:hint="eastAsia" w:ascii="仿宋" w:hAnsi="仿宋" w:eastAsia="仿宋" w:cs="等线"/>
          <w:b/>
          <w:bCs/>
          <w:sz w:val="32"/>
          <w:szCs w:val="32"/>
        </w:rPr>
        <w:t>监狱企业声明函</w:t>
      </w:r>
    </w:p>
    <w:p>
      <w:pPr>
        <w:adjustRightInd w:val="0"/>
        <w:snapToGrid w:val="0"/>
        <w:spacing w:line="360" w:lineRule="auto"/>
        <w:jc w:val="center"/>
        <w:rPr>
          <w:rFonts w:ascii="仿宋" w:hAnsi="仿宋" w:eastAsia="仿宋"/>
          <w:sz w:val="28"/>
          <w:szCs w:val="28"/>
        </w:rPr>
      </w:pPr>
      <w:r>
        <w:rPr>
          <w:rFonts w:hint="eastAsia" w:ascii="仿宋" w:hAnsi="仿宋" w:eastAsia="仿宋"/>
          <w:sz w:val="28"/>
          <w:szCs w:val="28"/>
        </w:rPr>
        <w:t>【不属于监狱企业，不用提供此函】</w:t>
      </w:r>
    </w:p>
    <w:p>
      <w:pPr>
        <w:adjustRightInd w:val="0"/>
        <w:snapToGrid w:val="0"/>
        <w:spacing w:line="360" w:lineRule="auto"/>
        <w:ind w:firstLine="560" w:firstLineChars="200"/>
        <w:rPr>
          <w:rFonts w:ascii="仿宋" w:hAnsi="仿宋" w:eastAsia="仿宋"/>
          <w:sz w:val="28"/>
          <w:szCs w:val="28"/>
        </w:rPr>
      </w:pPr>
    </w:p>
    <w:p>
      <w:pPr>
        <w:adjustRightInd w:val="0"/>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本企业郑重声明，根据《关于政府采购支持监狱企业发展有关问题的通知》（财库[2014]68号）的规定，本企业为监狱企业。</w:t>
      </w:r>
    </w:p>
    <w:p>
      <w:pPr>
        <w:adjustRightInd w:val="0"/>
        <w:snapToGrid w:val="0"/>
        <w:spacing w:line="360" w:lineRule="auto"/>
        <w:ind w:firstLine="560" w:firstLineChars="200"/>
        <w:jc w:val="left"/>
        <w:rPr>
          <w:rFonts w:ascii="仿宋" w:hAnsi="仿宋" w:eastAsia="仿宋"/>
          <w:sz w:val="28"/>
          <w:szCs w:val="28"/>
        </w:rPr>
      </w:pPr>
      <w:r>
        <w:rPr>
          <w:rFonts w:hint="eastAsia" w:ascii="仿宋" w:hAnsi="仿宋" w:eastAsia="仿宋"/>
          <w:sz w:val="28"/>
          <w:szCs w:val="28"/>
        </w:rPr>
        <w:t>根据上述标准，我企业属于监狱企业的理由为：         。</w:t>
      </w:r>
    </w:p>
    <w:p>
      <w:pPr>
        <w:adjustRightInd w:val="0"/>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本企业参加______单位的______项目采购活动提供本企业的产品。</w:t>
      </w:r>
    </w:p>
    <w:p>
      <w:pPr>
        <w:adjustRightInd w:val="0"/>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本企业对上述声明的真实性负责。如有虚假，将依法承担相应责任。</w:t>
      </w:r>
    </w:p>
    <w:p>
      <w:pPr>
        <w:adjustRightInd w:val="0"/>
        <w:snapToGrid w:val="0"/>
        <w:spacing w:line="360" w:lineRule="auto"/>
        <w:ind w:firstLine="560" w:firstLineChars="200"/>
        <w:jc w:val="center"/>
        <w:rPr>
          <w:rFonts w:ascii="仿宋" w:hAnsi="仿宋" w:eastAsia="仿宋"/>
          <w:sz w:val="28"/>
          <w:szCs w:val="28"/>
        </w:rPr>
      </w:pPr>
    </w:p>
    <w:p>
      <w:pPr>
        <w:pStyle w:val="20"/>
        <w:adjustRightInd w:val="0"/>
        <w:snapToGrid w:val="0"/>
        <w:spacing w:line="360" w:lineRule="auto"/>
        <w:ind w:firstLine="560" w:firstLineChars="200"/>
        <w:rPr>
          <w:rFonts w:ascii="仿宋" w:hAnsi="仿宋" w:eastAsia="仿宋" w:cs="等线"/>
          <w:sz w:val="28"/>
          <w:szCs w:val="28"/>
        </w:rPr>
      </w:pPr>
      <w:r>
        <w:rPr>
          <w:rFonts w:hint="eastAsia" w:ascii="仿宋" w:hAnsi="仿宋" w:eastAsia="仿宋" w:cs="等线"/>
          <w:sz w:val="28"/>
          <w:szCs w:val="28"/>
        </w:rPr>
        <w:t>投标人全称：                      （盖单位公章）</w:t>
      </w:r>
    </w:p>
    <w:p>
      <w:pPr>
        <w:pStyle w:val="20"/>
        <w:adjustRightInd w:val="0"/>
        <w:snapToGrid w:val="0"/>
        <w:spacing w:line="360" w:lineRule="auto"/>
        <w:ind w:firstLine="560" w:firstLineChars="200"/>
        <w:rPr>
          <w:rFonts w:ascii="仿宋" w:hAnsi="仿宋" w:eastAsia="仿宋" w:cs="等线"/>
          <w:sz w:val="28"/>
          <w:szCs w:val="28"/>
        </w:rPr>
      </w:pPr>
      <w:r>
        <w:rPr>
          <w:rFonts w:hint="eastAsia" w:ascii="仿宋" w:hAnsi="仿宋" w:eastAsia="仿宋" w:cs="等线"/>
          <w:sz w:val="28"/>
          <w:szCs w:val="28"/>
        </w:rPr>
        <w:t>日期：年  月  日</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widowControl w:val="0"/>
        <w:spacing w:before="240"/>
        <w:jc w:val="center"/>
        <w:rPr>
          <w:rFonts w:ascii="仿宋" w:hAnsi="仿宋" w:eastAsia="仿宋"/>
          <w:sz w:val="28"/>
          <w:szCs w:val="28"/>
        </w:rPr>
      </w:pPr>
    </w:p>
    <w:p>
      <w:pPr>
        <w:widowControl w:val="0"/>
        <w:spacing w:before="240"/>
        <w:jc w:val="center"/>
        <w:rPr>
          <w:rFonts w:ascii="仿宋" w:hAnsi="仿宋" w:eastAsia="仿宋"/>
          <w:sz w:val="28"/>
          <w:szCs w:val="28"/>
        </w:rPr>
      </w:pPr>
    </w:p>
    <w:p>
      <w:pPr>
        <w:widowControl w:val="0"/>
        <w:snapToGrid w:val="0"/>
        <w:spacing w:line="900" w:lineRule="exact"/>
        <w:jc w:val="center"/>
        <w:rPr>
          <w:rFonts w:ascii="仿宋" w:hAnsi="仿宋" w:eastAsia="仿宋"/>
          <w:sz w:val="28"/>
          <w:szCs w:val="28"/>
        </w:rPr>
      </w:pPr>
    </w:p>
    <w:p>
      <w:pPr>
        <w:widowControl w:val="0"/>
        <w:snapToGrid w:val="0"/>
        <w:spacing w:line="900" w:lineRule="exact"/>
        <w:jc w:val="center"/>
        <w:rPr>
          <w:rFonts w:ascii="宋体" w:hAnsi="Courier New" w:cs="Times New Roman"/>
          <w:color w:val="000000"/>
          <w:sz w:val="24"/>
          <w:szCs w:val="24"/>
        </w:rPr>
      </w:pPr>
    </w:p>
    <w:p>
      <w:pPr>
        <w:widowControl w:val="0"/>
        <w:snapToGrid w:val="0"/>
        <w:spacing w:line="900" w:lineRule="exact"/>
        <w:rPr>
          <w:rFonts w:ascii="宋体" w:hAnsi="Courier New" w:cs="Times New Roman"/>
          <w:color w:val="000000"/>
          <w:sz w:val="24"/>
          <w:szCs w:val="24"/>
        </w:rPr>
      </w:pPr>
    </w:p>
    <w:p>
      <w:pPr>
        <w:widowControl w:val="0"/>
        <w:snapToGrid w:val="0"/>
        <w:spacing w:line="900" w:lineRule="exact"/>
        <w:jc w:val="center"/>
        <w:rPr>
          <w:rFonts w:ascii="宋体" w:hAnsi="Courier New" w:cs="Times New Roman"/>
          <w:color w:val="000000"/>
          <w:sz w:val="24"/>
          <w:szCs w:val="24"/>
        </w:rPr>
      </w:pPr>
    </w:p>
    <w:p>
      <w:pPr>
        <w:widowControl w:val="0"/>
        <w:snapToGrid w:val="0"/>
        <w:spacing w:line="900" w:lineRule="exact"/>
        <w:jc w:val="center"/>
        <w:rPr>
          <w:rFonts w:ascii="黑体" w:hAnsi="Courier New" w:eastAsia="黑体" w:cs="Times New Roman"/>
          <w:b/>
          <w:bCs/>
          <w:sz w:val="48"/>
          <w:szCs w:val="48"/>
        </w:rPr>
      </w:pPr>
      <w:r>
        <w:rPr>
          <w:rFonts w:hint="eastAsia" w:ascii="黑体" w:hAnsi="Courier New" w:eastAsia="黑体" w:cs="黑体"/>
          <w:b/>
          <w:bCs/>
          <w:sz w:val="48"/>
          <w:szCs w:val="48"/>
        </w:rPr>
        <w:t>第六章</w:t>
      </w:r>
    </w:p>
    <w:p>
      <w:pPr>
        <w:widowControl w:val="0"/>
        <w:snapToGrid w:val="0"/>
        <w:spacing w:line="900" w:lineRule="exact"/>
        <w:jc w:val="center"/>
        <w:rPr>
          <w:rFonts w:ascii="黑体" w:hAnsi="Courier New" w:eastAsia="黑体" w:cs="Times New Roman"/>
          <w:b/>
          <w:bCs/>
          <w:color w:val="000000"/>
          <w:sz w:val="48"/>
          <w:szCs w:val="48"/>
        </w:rPr>
      </w:pPr>
      <w:r>
        <w:rPr>
          <w:rFonts w:hint="eastAsia" w:ascii="黑体" w:hAnsi="Courier New" w:eastAsia="黑体" w:cs="黑体"/>
          <w:b/>
          <w:bCs/>
          <w:color w:val="000000"/>
          <w:sz w:val="48"/>
          <w:szCs w:val="48"/>
        </w:rPr>
        <w:t>合同主要条款</w:t>
      </w:r>
    </w:p>
    <w:p>
      <w:pPr>
        <w:widowControl w:val="0"/>
        <w:adjustRightInd w:val="0"/>
        <w:rPr>
          <w:rFonts w:ascii="宋体" w:hAnsi="Calibri" w:cs="Times New Roman"/>
          <w:sz w:val="24"/>
          <w:szCs w:val="24"/>
        </w:rPr>
      </w:pPr>
    </w:p>
    <w:p>
      <w:pPr>
        <w:widowControl w:val="0"/>
        <w:snapToGrid w:val="0"/>
        <w:spacing w:before="165" w:beforeLines="50" w:after="165" w:afterLines="50"/>
        <w:jc w:val="center"/>
        <w:rPr>
          <w:rFonts w:ascii="宋体" w:hAnsi="Calibri" w:cs="Times New Roman"/>
          <w:b/>
          <w:bCs/>
          <w:sz w:val="36"/>
          <w:szCs w:val="36"/>
        </w:rPr>
      </w:pPr>
    </w:p>
    <w:p>
      <w:pPr>
        <w:snapToGrid w:val="0"/>
        <w:spacing w:before="165" w:beforeLines="50" w:after="165" w:afterLines="50"/>
        <w:jc w:val="center"/>
        <w:outlineLvl w:val="0"/>
        <w:rPr>
          <w:rFonts w:ascii="宋体"/>
          <w:bCs/>
        </w:rPr>
      </w:pPr>
      <w:r>
        <w:rPr>
          <w:rFonts w:ascii="宋体" w:hAnsi="Calibri" w:cs="Times New Roman"/>
          <w:b/>
          <w:bCs/>
          <w:sz w:val="30"/>
          <w:szCs w:val="30"/>
        </w:rPr>
        <w:br w:type="page"/>
      </w:r>
      <w:r>
        <w:rPr>
          <w:rFonts w:hint="eastAsia" w:ascii="宋体"/>
          <w:bCs/>
        </w:rPr>
        <w:t>（货物类可普遍适用，服务类普遍适用困难）</w:t>
      </w:r>
    </w:p>
    <w:p>
      <w:pPr>
        <w:snapToGrid w:val="0"/>
        <w:spacing w:before="165" w:beforeLines="50" w:after="165" w:afterLines="50"/>
        <w:jc w:val="center"/>
        <w:outlineLvl w:val="0"/>
        <w:rPr>
          <w:rFonts w:ascii="宋体"/>
          <w:bCs/>
        </w:rPr>
      </w:pPr>
    </w:p>
    <w:p>
      <w:pPr>
        <w:snapToGrid w:val="0"/>
        <w:spacing w:before="165" w:beforeLines="50" w:after="165" w:afterLines="50"/>
        <w:jc w:val="center"/>
        <w:outlineLvl w:val="0"/>
        <w:rPr>
          <w:rFonts w:ascii="宋体"/>
          <w:b/>
          <w:sz w:val="30"/>
        </w:rPr>
      </w:pPr>
      <w:r>
        <w:rPr>
          <w:rFonts w:hint="eastAsia" w:ascii="宋体"/>
          <w:b/>
          <w:sz w:val="30"/>
        </w:rPr>
        <w:t>永康市政府采购合同指引（参考）</w:t>
      </w:r>
    </w:p>
    <w:p>
      <w:pPr>
        <w:snapToGrid w:val="0"/>
        <w:spacing w:before="165" w:beforeLines="50" w:after="165" w:afterLines="50"/>
        <w:jc w:val="center"/>
        <w:outlineLvl w:val="0"/>
        <w:rPr>
          <w:rFonts w:ascii="宋体"/>
          <w:b/>
          <w:sz w:val="30"/>
        </w:rPr>
      </w:pPr>
    </w:p>
    <w:p>
      <w:pPr>
        <w:pStyle w:val="20"/>
        <w:snapToGrid w:val="0"/>
        <w:spacing w:before="120" w:after="120"/>
        <w:rPr>
          <w:rFonts w:hint="eastAsia" w:hAnsi="宋体" w:eastAsia="宋体"/>
          <w:lang w:eastAsia="zh-CN"/>
        </w:rPr>
      </w:pPr>
      <w:r>
        <w:rPr>
          <w:rStyle w:val="45"/>
        </w:rPr>
        <w:t>项目名称：</w:t>
      </w:r>
      <w:r>
        <w:rPr>
          <w:rStyle w:val="45"/>
          <w:rFonts w:hint="eastAsia"/>
        </w:rPr>
        <w:t>永康市第三中学校园网络监控改造、专用教室装备、路灯采购项目</w:t>
      </w:r>
      <w:r>
        <w:rPr>
          <w:rStyle w:val="45"/>
        </w:rPr>
        <w:t xml:space="preserve">                                       </w:t>
      </w:r>
      <w:r>
        <w:rPr>
          <w:rFonts w:hAnsi="宋体"/>
        </w:rPr>
        <w:t>项目编号：</w:t>
      </w:r>
      <w:r>
        <w:rPr>
          <w:rFonts w:hint="eastAsia" w:hAnsi="宋体"/>
          <w:lang w:eastAsia="zh-CN"/>
        </w:rPr>
        <w:t>4017112022009-CJCG22026</w:t>
      </w:r>
    </w:p>
    <w:p>
      <w:pPr>
        <w:pStyle w:val="20"/>
        <w:snapToGrid w:val="0"/>
        <w:spacing w:before="120" w:after="120"/>
        <w:rPr>
          <w:rFonts w:hAnsi="宋体"/>
        </w:rPr>
      </w:pPr>
      <w:r>
        <w:rPr>
          <w:rFonts w:hint="eastAsia" w:hAnsi="宋体"/>
        </w:rPr>
        <w:t xml:space="preserve">采购计划文号： 4017112022006                                  </w:t>
      </w:r>
    </w:p>
    <w:p>
      <w:pPr>
        <w:pStyle w:val="20"/>
        <w:snapToGrid w:val="0"/>
        <w:spacing w:before="120" w:after="120"/>
        <w:rPr>
          <w:rFonts w:hAnsi="宋体"/>
        </w:rPr>
      </w:pPr>
      <w:r>
        <w:rPr>
          <w:rFonts w:hAnsi="宋体"/>
        </w:rPr>
        <w:t>甲方（买方）：</w:t>
      </w:r>
      <w:r>
        <w:rPr>
          <w:rFonts w:hint="eastAsia" w:hAnsi="宋体"/>
        </w:rPr>
        <w:t>永康市第三中学</w:t>
      </w:r>
    </w:p>
    <w:p>
      <w:pPr>
        <w:pStyle w:val="20"/>
        <w:snapToGrid w:val="0"/>
        <w:spacing w:before="120" w:after="120"/>
        <w:rPr>
          <w:rFonts w:hAnsi="宋体"/>
        </w:rPr>
      </w:pPr>
      <w:r>
        <w:rPr>
          <w:rFonts w:hAnsi="宋体"/>
        </w:rPr>
        <w:t>乙方（卖方）：</w:t>
      </w:r>
    </w:p>
    <w:p>
      <w:pPr>
        <w:pStyle w:val="20"/>
        <w:snapToGrid w:val="0"/>
        <w:spacing w:before="120" w:after="120"/>
        <w:rPr>
          <w:rFonts w:hAnsi="宋体"/>
        </w:rPr>
      </w:pPr>
      <w:r>
        <w:rPr>
          <w:rFonts w:hint="eastAsia" w:hAnsi="宋体"/>
        </w:rPr>
        <w:t>采购代理机构：金华市创佳工程项目管理有限公司</w:t>
      </w:r>
    </w:p>
    <w:p>
      <w:pPr>
        <w:pStyle w:val="20"/>
        <w:snapToGrid w:val="0"/>
        <w:spacing w:before="120" w:after="120"/>
        <w:rPr>
          <w:rFonts w:hAnsi="宋体"/>
          <w:b/>
        </w:rPr>
      </w:pPr>
      <w:r>
        <w:rPr>
          <w:rFonts w:hAnsi="宋体"/>
        </w:rPr>
        <w:t>甲、乙双方根据</w:t>
      </w:r>
      <w:r>
        <w:rPr>
          <w:rFonts w:hint="eastAsia" w:hAnsi="宋体"/>
        </w:rPr>
        <w:t>金华市创佳工程项目管理有限公司</w:t>
      </w:r>
      <w:r>
        <w:rPr>
          <w:rFonts w:hAnsi="宋体"/>
        </w:rPr>
        <w:t>关于</w:t>
      </w:r>
      <w:r>
        <w:rPr>
          <w:rFonts w:hint="eastAsia" w:hAnsi="宋体"/>
        </w:rPr>
        <w:t>项目采购</w:t>
      </w:r>
      <w:r>
        <w:rPr>
          <w:rFonts w:hAnsi="宋体"/>
        </w:rPr>
        <w:t>的结果，签署本合同。</w:t>
      </w:r>
    </w:p>
    <w:p>
      <w:pPr>
        <w:pStyle w:val="20"/>
        <w:snapToGrid w:val="0"/>
        <w:spacing w:before="120" w:after="120"/>
        <w:rPr>
          <w:rFonts w:hAnsi="宋体"/>
          <w:b/>
        </w:rPr>
      </w:pPr>
      <w:r>
        <w:rPr>
          <w:rFonts w:hAnsi="宋体"/>
          <w:b/>
        </w:rPr>
        <w:t>一、货物内容</w:t>
      </w:r>
    </w:p>
    <w:tbl>
      <w:tblPr>
        <w:tblStyle w:val="36"/>
        <w:tblW w:w="89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0"/>
        <w:gridCol w:w="1981"/>
        <w:gridCol w:w="2157"/>
        <w:gridCol w:w="1080"/>
        <w:gridCol w:w="1081"/>
        <w:gridCol w:w="10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20"/>
              <w:snapToGrid w:val="0"/>
              <w:spacing w:line="330" w:lineRule="exact"/>
              <w:ind w:left="-108"/>
              <w:jc w:val="center"/>
              <w:rPr>
                <w:rFonts w:ascii="Times New Roman" w:hAnsi="Times New Roman" w:cs="宋体"/>
                <w:sz w:val="24"/>
                <w:szCs w:val="24"/>
              </w:rPr>
            </w:pPr>
            <w:r>
              <w:rPr>
                <w:rFonts w:hAnsi="宋体" w:cs="宋体"/>
              </w:rPr>
              <w:t>货物名称</w:t>
            </w:r>
          </w:p>
        </w:tc>
        <w:tc>
          <w:tcPr>
            <w:tcW w:w="1981" w:type="dxa"/>
            <w:tcBorders>
              <w:top w:val="single" w:color="auto" w:sz="4" w:space="0"/>
              <w:left w:val="single" w:color="auto" w:sz="4" w:space="0"/>
              <w:bottom w:val="single" w:color="auto" w:sz="4" w:space="0"/>
              <w:right w:val="single" w:color="auto" w:sz="4" w:space="0"/>
            </w:tcBorders>
            <w:vAlign w:val="center"/>
          </w:tcPr>
          <w:p>
            <w:pPr>
              <w:pStyle w:val="20"/>
              <w:snapToGrid w:val="0"/>
              <w:spacing w:line="330" w:lineRule="exact"/>
              <w:ind w:left="-108"/>
              <w:jc w:val="center"/>
              <w:rPr>
                <w:rFonts w:ascii="Times New Roman" w:hAnsi="Times New Roman" w:cs="宋体"/>
                <w:sz w:val="24"/>
                <w:szCs w:val="24"/>
              </w:rPr>
            </w:pPr>
            <w:r>
              <w:rPr>
                <w:rFonts w:hint="eastAsia" w:ascii="Times New Roman" w:hAnsi="Times New Roman" w:cs="宋体"/>
                <w:sz w:val="24"/>
                <w:szCs w:val="24"/>
              </w:rPr>
              <w:t>品牌</w:t>
            </w:r>
            <w:r>
              <w:rPr>
                <w:rFonts w:ascii="Times New Roman" w:hAnsi="Times New Roman" w:cs="宋体"/>
                <w:sz w:val="24"/>
                <w:szCs w:val="24"/>
              </w:rPr>
              <w:t>/</w:t>
            </w:r>
            <w:r>
              <w:rPr>
                <w:rFonts w:hint="eastAsia" w:ascii="Times New Roman" w:hAnsi="Times New Roman" w:cs="宋体"/>
                <w:sz w:val="24"/>
                <w:szCs w:val="24"/>
              </w:rPr>
              <w:t>型号</w:t>
            </w:r>
          </w:p>
        </w:tc>
        <w:tc>
          <w:tcPr>
            <w:tcW w:w="2157" w:type="dxa"/>
            <w:tcBorders>
              <w:top w:val="single" w:color="auto" w:sz="4" w:space="0"/>
              <w:left w:val="single" w:color="auto" w:sz="4" w:space="0"/>
              <w:bottom w:val="single" w:color="auto" w:sz="4" w:space="0"/>
              <w:right w:val="single" w:color="auto" w:sz="4" w:space="0"/>
            </w:tcBorders>
            <w:vAlign w:val="center"/>
          </w:tcPr>
          <w:p>
            <w:pPr>
              <w:pStyle w:val="20"/>
              <w:snapToGrid w:val="0"/>
              <w:spacing w:line="330" w:lineRule="exact"/>
              <w:ind w:left="-108"/>
              <w:jc w:val="center"/>
              <w:rPr>
                <w:rFonts w:ascii="Times New Roman" w:hAnsi="Times New Roman" w:cs="宋体"/>
                <w:sz w:val="24"/>
                <w:szCs w:val="24"/>
              </w:rPr>
            </w:pPr>
            <w:r>
              <w:rPr>
                <w:rFonts w:hint="eastAsia" w:ascii="Times New Roman" w:hAnsi="Times New Roman" w:cs="宋体"/>
                <w:sz w:val="24"/>
                <w:szCs w:val="24"/>
              </w:rPr>
              <w:t>技术参数</w:t>
            </w:r>
          </w:p>
        </w:tc>
        <w:tc>
          <w:tcPr>
            <w:tcW w:w="1080" w:type="dxa"/>
            <w:tcBorders>
              <w:top w:val="single" w:color="auto" w:sz="4" w:space="0"/>
              <w:left w:val="single" w:color="auto" w:sz="4" w:space="0"/>
              <w:bottom w:val="single" w:color="auto" w:sz="4" w:space="0"/>
              <w:right w:val="single" w:color="auto" w:sz="4" w:space="0"/>
            </w:tcBorders>
            <w:vAlign w:val="center"/>
          </w:tcPr>
          <w:p>
            <w:pPr>
              <w:pStyle w:val="20"/>
              <w:snapToGrid w:val="0"/>
              <w:spacing w:line="330" w:lineRule="exact"/>
              <w:ind w:left="-108"/>
              <w:jc w:val="center"/>
              <w:rPr>
                <w:rFonts w:ascii="Times New Roman" w:hAnsi="Times New Roman" w:cs="宋体"/>
                <w:sz w:val="24"/>
                <w:szCs w:val="24"/>
              </w:rPr>
            </w:pPr>
            <w:r>
              <w:rPr>
                <w:rFonts w:hint="eastAsia" w:ascii="Times New Roman" w:hAnsi="Times New Roman" w:cs="宋体"/>
                <w:sz w:val="24"/>
                <w:szCs w:val="24"/>
              </w:rPr>
              <w:t>数量</w:t>
            </w:r>
          </w:p>
        </w:tc>
        <w:tc>
          <w:tcPr>
            <w:tcW w:w="1081" w:type="dxa"/>
            <w:tcBorders>
              <w:top w:val="single" w:color="auto" w:sz="4" w:space="0"/>
              <w:left w:val="single" w:color="auto" w:sz="4" w:space="0"/>
              <w:bottom w:val="single" w:color="auto" w:sz="4" w:space="0"/>
              <w:right w:val="single" w:color="auto" w:sz="4" w:space="0"/>
            </w:tcBorders>
            <w:vAlign w:val="center"/>
          </w:tcPr>
          <w:p>
            <w:pPr>
              <w:pStyle w:val="20"/>
              <w:snapToGrid w:val="0"/>
              <w:spacing w:line="330" w:lineRule="exact"/>
              <w:ind w:left="-108"/>
              <w:jc w:val="center"/>
              <w:rPr>
                <w:rFonts w:ascii="Times New Roman" w:hAnsi="Times New Roman" w:cs="宋体"/>
                <w:sz w:val="24"/>
                <w:szCs w:val="24"/>
              </w:rPr>
            </w:pPr>
            <w:r>
              <w:rPr>
                <w:rFonts w:hint="eastAsia" w:ascii="Times New Roman" w:hAnsi="Times New Roman" w:cs="宋体"/>
                <w:sz w:val="24"/>
                <w:szCs w:val="24"/>
              </w:rPr>
              <w:t>单价</w:t>
            </w:r>
          </w:p>
        </w:tc>
        <w:tc>
          <w:tcPr>
            <w:tcW w:w="1081" w:type="dxa"/>
            <w:tcBorders>
              <w:top w:val="single" w:color="auto" w:sz="4" w:space="0"/>
              <w:left w:val="single" w:color="auto" w:sz="4" w:space="0"/>
              <w:bottom w:val="single" w:color="auto" w:sz="4" w:space="0"/>
              <w:right w:val="single" w:color="auto" w:sz="4" w:space="0"/>
            </w:tcBorders>
            <w:vAlign w:val="center"/>
          </w:tcPr>
          <w:p>
            <w:pPr>
              <w:pStyle w:val="20"/>
              <w:snapToGrid w:val="0"/>
              <w:spacing w:line="330" w:lineRule="exact"/>
              <w:ind w:left="-108"/>
              <w:jc w:val="center"/>
              <w:rPr>
                <w:rFonts w:ascii="Times New Roman" w:hAnsi="Times New Roman" w:cs="宋体"/>
                <w:sz w:val="24"/>
                <w:szCs w:val="24"/>
              </w:rPr>
            </w:pPr>
            <w:r>
              <w:rPr>
                <w:rFonts w:hint="eastAsia" w:ascii="Times New Roman" w:hAnsi="Times New Roman" w:cs="宋体"/>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94"/>
              <w:spacing w:line="330" w:lineRule="exact"/>
              <w:jc w:val="center"/>
            </w:pPr>
          </w:p>
        </w:tc>
        <w:tc>
          <w:tcPr>
            <w:tcW w:w="1981"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2157"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94"/>
              <w:spacing w:line="330" w:lineRule="exact"/>
              <w:jc w:val="center"/>
            </w:pPr>
          </w:p>
        </w:tc>
        <w:tc>
          <w:tcPr>
            <w:tcW w:w="1981"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2157"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pStyle w:val="94"/>
              <w:spacing w:line="33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550" w:type="dxa"/>
            <w:tcBorders>
              <w:top w:val="single" w:color="auto" w:sz="4" w:space="0"/>
              <w:left w:val="single" w:color="auto" w:sz="4" w:space="0"/>
              <w:bottom w:val="single" w:color="auto" w:sz="4" w:space="0"/>
              <w:right w:val="single" w:color="auto" w:sz="4" w:space="0"/>
            </w:tcBorders>
            <w:vAlign w:val="center"/>
          </w:tcPr>
          <w:p>
            <w:pPr>
              <w:pStyle w:val="94"/>
              <w:spacing w:line="330" w:lineRule="exact"/>
              <w:jc w:val="center"/>
            </w:pPr>
          </w:p>
        </w:tc>
        <w:tc>
          <w:tcPr>
            <w:tcW w:w="1981"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2157"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30" w:lineRule="exact"/>
              <w:ind w:firstLine="240" w:firstLineChars="100"/>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spacing w:line="330" w:lineRule="exact"/>
              <w:jc w:val="center"/>
              <w:rPr>
                <w:sz w:val="24"/>
              </w:rPr>
            </w:pPr>
          </w:p>
        </w:tc>
        <w:tc>
          <w:tcPr>
            <w:tcW w:w="1081" w:type="dxa"/>
            <w:tcBorders>
              <w:top w:val="single" w:color="auto" w:sz="4" w:space="0"/>
              <w:left w:val="single" w:color="auto" w:sz="4" w:space="0"/>
              <w:bottom w:val="single" w:color="auto" w:sz="4" w:space="0"/>
              <w:right w:val="single" w:color="auto" w:sz="4" w:space="0"/>
            </w:tcBorders>
            <w:vAlign w:val="center"/>
          </w:tcPr>
          <w:p>
            <w:pPr>
              <w:pStyle w:val="94"/>
              <w:spacing w:line="33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 w:hRule="atLeast"/>
        </w:trPr>
        <w:tc>
          <w:tcPr>
            <w:tcW w:w="5688" w:type="dxa"/>
            <w:gridSpan w:val="3"/>
            <w:tcBorders>
              <w:top w:val="single" w:color="auto" w:sz="4" w:space="0"/>
              <w:left w:val="single" w:color="auto" w:sz="4" w:space="0"/>
              <w:bottom w:val="single" w:color="auto" w:sz="4" w:space="0"/>
              <w:right w:val="single" w:color="auto" w:sz="4" w:space="0"/>
            </w:tcBorders>
          </w:tcPr>
          <w:p>
            <w:pPr>
              <w:pStyle w:val="20"/>
              <w:snapToGrid w:val="0"/>
              <w:spacing w:line="330" w:lineRule="exact"/>
              <w:jc w:val="center"/>
              <w:rPr>
                <w:rFonts w:ascii="Times New Roman" w:hAnsi="Times New Roman" w:cs="宋体"/>
                <w:sz w:val="24"/>
                <w:szCs w:val="24"/>
              </w:rPr>
            </w:pPr>
            <w:r>
              <w:rPr>
                <w:rFonts w:hint="eastAsia" w:ascii="Times New Roman" w:hAnsi="Times New Roman" w:cs="宋体"/>
                <w:sz w:val="24"/>
                <w:szCs w:val="24"/>
              </w:rPr>
              <w:t>合计</w:t>
            </w:r>
          </w:p>
        </w:tc>
        <w:tc>
          <w:tcPr>
            <w:tcW w:w="1080" w:type="dxa"/>
            <w:tcBorders>
              <w:top w:val="single" w:color="auto" w:sz="4" w:space="0"/>
              <w:left w:val="single" w:color="auto" w:sz="4" w:space="0"/>
              <w:bottom w:val="single" w:color="auto" w:sz="4" w:space="0"/>
              <w:right w:val="single" w:color="auto" w:sz="4" w:space="0"/>
            </w:tcBorders>
          </w:tcPr>
          <w:p>
            <w:pPr>
              <w:pStyle w:val="20"/>
              <w:snapToGrid w:val="0"/>
              <w:spacing w:line="330" w:lineRule="exact"/>
              <w:jc w:val="center"/>
              <w:rPr>
                <w:rFonts w:ascii="Times New Roman" w:hAnsi="Times New Roman" w:cs="宋体"/>
                <w:sz w:val="24"/>
                <w:szCs w:val="24"/>
              </w:rPr>
            </w:pPr>
          </w:p>
        </w:tc>
        <w:tc>
          <w:tcPr>
            <w:tcW w:w="2162" w:type="dxa"/>
            <w:gridSpan w:val="2"/>
            <w:tcBorders>
              <w:top w:val="single" w:color="auto" w:sz="4" w:space="0"/>
              <w:left w:val="single" w:color="auto" w:sz="4" w:space="0"/>
              <w:bottom w:val="single" w:color="auto" w:sz="4" w:space="0"/>
              <w:right w:val="single" w:color="auto" w:sz="4" w:space="0"/>
            </w:tcBorders>
          </w:tcPr>
          <w:p>
            <w:pPr>
              <w:pStyle w:val="94"/>
              <w:spacing w:line="330" w:lineRule="exact"/>
              <w:rPr>
                <w:rFonts w:ascii="Times New Roman"/>
              </w:rPr>
            </w:pPr>
          </w:p>
        </w:tc>
      </w:tr>
    </w:tbl>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sz w:val="24"/>
          <w:szCs w:val="24"/>
        </w:rPr>
        <w:t>注：本表格不能详列的请另附清单</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二、合同金额</w:t>
      </w:r>
    </w:p>
    <w:p>
      <w:pPr>
        <w:pStyle w:val="20"/>
        <w:snapToGrid w:val="0"/>
        <w:spacing w:before="120" w:after="120" w:line="360" w:lineRule="auto"/>
        <w:ind w:left="410" w:hanging="410" w:hangingChars="171"/>
        <w:rPr>
          <w:rFonts w:ascii="新宋体" w:hAnsi="新宋体" w:eastAsia="新宋体" w:cs="新宋体"/>
          <w:sz w:val="24"/>
          <w:szCs w:val="24"/>
        </w:rPr>
      </w:pPr>
      <w:r>
        <w:rPr>
          <w:rFonts w:hint="eastAsia" w:ascii="新宋体" w:hAnsi="新宋体" w:eastAsia="新宋体" w:cs="新宋体"/>
          <w:sz w:val="24"/>
          <w:szCs w:val="24"/>
        </w:rPr>
        <w:t xml:space="preserve"> 本合同金额为（大写）：___________________元（￥___________元）人民币。</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三、技术资料</w:t>
      </w:r>
    </w:p>
    <w:p>
      <w:pPr>
        <w:pStyle w:val="20"/>
        <w:snapToGrid w:val="0"/>
        <w:spacing w:before="120" w:after="120" w:line="360" w:lineRule="auto"/>
        <w:ind w:left="410" w:hanging="410" w:hangingChars="171"/>
        <w:rPr>
          <w:rFonts w:ascii="新宋体" w:hAnsi="新宋体" w:eastAsia="新宋体" w:cs="新宋体"/>
          <w:sz w:val="24"/>
          <w:szCs w:val="24"/>
        </w:rPr>
      </w:pPr>
      <w:r>
        <w:rPr>
          <w:rFonts w:hint="eastAsia" w:ascii="新宋体" w:hAnsi="新宋体" w:eastAsia="新宋体" w:cs="新宋体"/>
          <w:sz w:val="24"/>
          <w:szCs w:val="24"/>
        </w:rPr>
        <w:t>1.乙方应按招标文件规定的时间向甲方提供使用货物的有关技术资料。</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20"/>
        <w:snapToGrid w:val="0"/>
        <w:spacing w:before="120" w:after="120" w:line="360" w:lineRule="auto"/>
        <w:ind w:left="412" w:hanging="412" w:hangingChars="171"/>
        <w:rPr>
          <w:rFonts w:ascii="新宋体" w:hAnsi="新宋体" w:eastAsia="新宋体" w:cs="新宋体"/>
          <w:b/>
          <w:sz w:val="24"/>
          <w:szCs w:val="24"/>
        </w:rPr>
      </w:pPr>
      <w:r>
        <w:rPr>
          <w:rFonts w:hint="eastAsia" w:ascii="新宋体" w:hAnsi="新宋体" w:eastAsia="新宋体" w:cs="新宋体"/>
          <w:b/>
          <w:sz w:val="24"/>
          <w:szCs w:val="24"/>
        </w:rPr>
        <w:t>四、知识产权</w:t>
      </w:r>
    </w:p>
    <w:p>
      <w:pPr>
        <w:pStyle w:val="20"/>
        <w:snapToGrid w:val="0"/>
        <w:spacing w:before="120" w:after="120" w:line="360" w:lineRule="auto"/>
        <w:rPr>
          <w:rFonts w:ascii="新宋体" w:hAnsi="新宋体" w:eastAsia="新宋体" w:cs="新宋体"/>
          <w:bCs/>
          <w:sz w:val="24"/>
          <w:szCs w:val="24"/>
        </w:rPr>
      </w:pPr>
      <w:r>
        <w:rPr>
          <w:rFonts w:hint="eastAsia" w:ascii="新宋体" w:hAnsi="新宋体" w:eastAsia="新宋体" w:cs="新宋体"/>
          <w:sz w:val="24"/>
          <w:szCs w:val="24"/>
        </w:rPr>
        <w:t>乙方应保证所提供的货物或其任何一部分均不会侵犯任何第三方的知识产权</w:t>
      </w:r>
      <w:r>
        <w:rPr>
          <w:rFonts w:hint="eastAsia" w:ascii="新宋体" w:hAnsi="新宋体" w:eastAsia="新宋体" w:cs="新宋体"/>
          <w:bCs/>
          <w:sz w:val="24"/>
          <w:szCs w:val="24"/>
        </w:rPr>
        <w:t>。</w:t>
      </w:r>
    </w:p>
    <w:p>
      <w:pPr>
        <w:pStyle w:val="20"/>
        <w:snapToGrid w:val="0"/>
        <w:spacing w:before="120" w:after="120" w:line="360" w:lineRule="auto"/>
        <w:rPr>
          <w:rFonts w:ascii="新宋体" w:hAnsi="新宋体" w:eastAsia="新宋体" w:cs="新宋体"/>
          <w:sz w:val="24"/>
          <w:szCs w:val="24"/>
          <w:u w:val="single"/>
        </w:rPr>
      </w:pPr>
      <w:r>
        <w:rPr>
          <w:rFonts w:hint="eastAsia" w:ascii="新宋体" w:hAnsi="新宋体" w:eastAsia="新宋体" w:cs="新宋体"/>
          <w:b/>
          <w:sz w:val="24"/>
          <w:szCs w:val="24"/>
        </w:rPr>
        <w:t>五、产权担保</w:t>
      </w:r>
    </w:p>
    <w:p>
      <w:pPr>
        <w:pStyle w:val="20"/>
        <w:snapToGrid w:val="0"/>
        <w:spacing w:before="120" w:after="120" w:line="360" w:lineRule="auto"/>
        <w:ind w:left="408" w:hanging="408" w:hangingChars="170"/>
        <w:rPr>
          <w:rFonts w:ascii="新宋体" w:hAnsi="新宋体" w:eastAsia="新宋体" w:cs="新宋体"/>
          <w:sz w:val="24"/>
          <w:szCs w:val="24"/>
          <w:u w:val="single"/>
        </w:rPr>
      </w:pPr>
      <w:r>
        <w:rPr>
          <w:rFonts w:hint="eastAsia" w:ascii="新宋体" w:hAnsi="新宋体" w:eastAsia="新宋体" w:cs="新宋体"/>
          <w:sz w:val="24"/>
          <w:szCs w:val="24"/>
        </w:rPr>
        <w:t>乙方保证所交付的货物的所有权完全属于乙方所有，且无任何抵押、查封等产权瑕疵。</w:t>
      </w:r>
    </w:p>
    <w:p>
      <w:pPr>
        <w:pStyle w:val="20"/>
        <w:snapToGrid w:val="0"/>
        <w:spacing w:before="120" w:after="120" w:line="360" w:lineRule="auto"/>
        <w:ind w:left="410" w:hanging="410" w:hangingChars="170"/>
        <w:rPr>
          <w:rFonts w:ascii="新宋体" w:hAnsi="新宋体" w:eastAsia="新宋体" w:cs="新宋体"/>
          <w:b/>
          <w:sz w:val="24"/>
          <w:szCs w:val="24"/>
        </w:rPr>
      </w:pPr>
      <w:r>
        <w:rPr>
          <w:rFonts w:hint="eastAsia" w:ascii="新宋体" w:hAnsi="新宋体" w:eastAsia="新宋体" w:cs="新宋体"/>
          <w:b/>
          <w:sz w:val="24"/>
          <w:szCs w:val="24"/>
        </w:rPr>
        <w:t>六、履约保证金</w:t>
      </w:r>
    </w:p>
    <w:p>
      <w:pPr>
        <w:pStyle w:val="20"/>
        <w:snapToGrid w:val="0"/>
        <w:spacing w:before="120" w:after="120" w:line="360" w:lineRule="auto"/>
        <w:ind w:left="408" w:hanging="408" w:hangingChars="170"/>
        <w:rPr>
          <w:rFonts w:ascii="新宋体" w:hAnsi="新宋体" w:eastAsia="新宋体" w:cs="新宋体"/>
          <w:sz w:val="24"/>
          <w:szCs w:val="24"/>
        </w:rPr>
      </w:pPr>
      <w:r>
        <w:rPr>
          <w:rFonts w:hint="eastAsia" w:ascii="新宋体" w:hAnsi="新宋体" w:eastAsia="新宋体" w:cs="新宋体"/>
          <w:sz w:val="24"/>
          <w:szCs w:val="24"/>
        </w:rPr>
        <w:t>乙方交纳人民币</w:t>
      </w:r>
      <w:r>
        <w:rPr>
          <w:rFonts w:hint="eastAsia" w:ascii="新宋体" w:hAnsi="新宋体" w:eastAsia="新宋体" w:cs="新宋体"/>
          <w:b/>
          <w:sz w:val="24"/>
          <w:szCs w:val="24"/>
          <w:u w:val="single"/>
        </w:rPr>
        <w:t>△</w:t>
      </w:r>
      <w:r>
        <w:rPr>
          <w:rFonts w:hint="eastAsia" w:ascii="新宋体" w:hAnsi="新宋体" w:eastAsia="新宋体" w:cs="新宋体"/>
          <w:sz w:val="24"/>
          <w:szCs w:val="24"/>
        </w:rPr>
        <w:t>元作为本合同的履约保证金（如有）。</w:t>
      </w:r>
    </w:p>
    <w:p>
      <w:pPr>
        <w:pStyle w:val="20"/>
        <w:snapToGrid w:val="0"/>
        <w:spacing w:before="120" w:after="120" w:line="360" w:lineRule="auto"/>
        <w:ind w:left="410" w:hanging="410" w:hangingChars="170"/>
        <w:rPr>
          <w:rFonts w:ascii="新宋体" w:hAnsi="新宋体" w:eastAsia="新宋体" w:cs="新宋体"/>
          <w:b/>
          <w:sz w:val="24"/>
          <w:szCs w:val="24"/>
        </w:rPr>
      </w:pPr>
      <w:r>
        <w:rPr>
          <w:rFonts w:hint="eastAsia" w:ascii="新宋体" w:hAnsi="新宋体" w:eastAsia="新宋体" w:cs="新宋体"/>
          <w:b/>
          <w:sz w:val="24"/>
          <w:szCs w:val="24"/>
        </w:rPr>
        <w:t>七、转包或分包</w:t>
      </w:r>
    </w:p>
    <w:p>
      <w:pPr>
        <w:snapToGrid w:val="0"/>
        <w:spacing w:before="165" w:beforeLines="50" w:after="165" w:afterLines="50" w:line="360" w:lineRule="auto"/>
        <w:rPr>
          <w:rFonts w:ascii="新宋体" w:hAnsi="新宋体" w:eastAsia="新宋体" w:cs="新宋体"/>
          <w:sz w:val="24"/>
          <w:szCs w:val="24"/>
        </w:rPr>
      </w:pPr>
      <w:r>
        <w:rPr>
          <w:rFonts w:hint="eastAsia" w:ascii="新宋体" w:hAnsi="新宋体" w:eastAsia="新宋体" w:cs="新宋体"/>
          <w:sz w:val="24"/>
          <w:szCs w:val="24"/>
        </w:rPr>
        <w:t>1.乙方不得将本合同转包其他供应商履行。</w:t>
      </w:r>
    </w:p>
    <w:p>
      <w:pPr>
        <w:snapToGrid w:val="0"/>
        <w:spacing w:before="165" w:beforeLines="50" w:after="165" w:afterLines="50" w:line="360" w:lineRule="auto"/>
        <w:rPr>
          <w:rFonts w:ascii="新宋体" w:hAnsi="新宋体" w:eastAsia="新宋体" w:cs="新宋体"/>
          <w:sz w:val="24"/>
          <w:szCs w:val="24"/>
        </w:rPr>
      </w:pPr>
      <w:r>
        <w:rPr>
          <w:rFonts w:hint="eastAsia" w:ascii="新宋体" w:hAnsi="新宋体" w:eastAsia="新宋体" w:cs="新宋体"/>
          <w:sz w:val="24"/>
          <w:szCs w:val="24"/>
        </w:rPr>
        <w:t>2、经甲方同意，乙方可以依法采取分包方式履行合同，但项目的主体、关键性工作不得分包。接受分包的供应商应当具备相应的资格条件，并不得再次分包。合同分包履行的，乙方应当就采购项目和分包项目向甲方负责，分包供应商就分包项目承担连带责任。</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b/>
          <w:sz w:val="24"/>
          <w:szCs w:val="24"/>
        </w:rPr>
        <w:t>八、质保期</w:t>
      </w:r>
    </w:p>
    <w:p>
      <w:pPr>
        <w:pStyle w:val="20"/>
        <w:snapToGrid w:val="0"/>
        <w:spacing w:before="120" w:after="120" w:line="360" w:lineRule="auto"/>
        <w:ind w:left="410" w:hanging="410" w:hangingChars="171"/>
        <w:rPr>
          <w:rFonts w:ascii="新宋体" w:hAnsi="新宋体" w:eastAsia="新宋体" w:cs="新宋体"/>
          <w:sz w:val="24"/>
          <w:szCs w:val="24"/>
        </w:rPr>
      </w:pPr>
      <w:r>
        <w:rPr>
          <w:rFonts w:hint="eastAsia" w:ascii="新宋体" w:hAnsi="新宋体" w:eastAsia="新宋体" w:cs="新宋体"/>
          <w:sz w:val="24"/>
          <w:szCs w:val="24"/>
        </w:rPr>
        <w:t>质保期年。（自交货验收合格之日起计）</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九、交货期、交货方式及交货地点</w:t>
      </w:r>
    </w:p>
    <w:p>
      <w:pPr>
        <w:pStyle w:val="20"/>
        <w:snapToGrid w:val="0"/>
        <w:spacing w:before="120" w:after="120" w:line="360" w:lineRule="auto"/>
        <w:rPr>
          <w:rFonts w:ascii="新宋体" w:hAnsi="新宋体" w:eastAsia="新宋体" w:cs="新宋体"/>
          <w:bCs/>
          <w:color w:val="000000"/>
          <w:sz w:val="24"/>
          <w:szCs w:val="24"/>
        </w:rPr>
      </w:pPr>
      <w:r>
        <w:rPr>
          <w:rFonts w:hint="eastAsia" w:ascii="新宋体" w:hAnsi="新宋体" w:eastAsia="新宋体" w:cs="新宋体"/>
          <w:bCs/>
          <w:sz w:val="24"/>
          <w:szCs w:val="24"/>
        </w:rPr>
        <w:t>1. 交货期：</w:t>
      </w:r>
    </w:p>
    <w:p>
      <w:pPr>
        <w:pStyle w:val="20"/>
        <w:snapToGrid w:val="0"/>
        <w:spacing w:before="120" w:after="120" w:line="360" w:lineRule="auto"/>
        <w:rPr>
          <w:rFonts w:ascii="新宋体" w:hAnsi="新宋体" w:eastAsia="新宋体" w:cs="新宋体"/>
          <w:bCs/>
          <w:color w:val="000000"/>
          <w:sz w:val="24"/>
          <w:szCs w:val="24"/>
        </w:rPr>
      </w:pPr>
      <w:r>
        <w:rPr>
          <w:rFonts w:hint="eastAsia" w:ascii="新宋体" w:hAnsi="新宋体" w:eastAsia="新宋体" w:cs="新宋体"/>
          <w:bCs/>
          <w:color w:val="000000"/>
          <w:sz w:val="24"/>
          <w:szCs w:val="24"/>
        </w:rPr>
        <w:t>2. 交货方式：</w:t>
      </w:r>
    </w:p>
    <w:p>
      <w:pPr>
        <w:pStyle w:val="20"/>
        <w:snapToGrid w:val="0"/>
        <w:spacing w:before="120" w:after="120" w:line="360" w:lineRule="auto"/>
        <w:rPr>
          <w:rFonts w:ascii="新宋体" w:hAnsi="新宋体" w:eastAsia="新宋体" w:cs="新宋体"/>
          <w:b/>
          <w:color w:val="000000"/>
          <w:sz w:val="24"/>
          <w:szCs w:val="24"/>
        </w:rPr>
      </w:pPr>
      <w:r>
        <w:rPr>
          <w:rFonts w:hint="eastAsia" w:ascii="新宋体" w:hAnsi="新宋体" w:eastAsia="新宋体" w:cs="新宋体"/>
          <w:bCs/>
          <w:color w:val="000000"/>
          <w:sz w:val="24"/>
          <w:szCs w:val="24"/>
        </w:rPr>
        <w:t>3. 交货地点：</w:t>
      </w:r>
    </w:p>
    <w:p>
      <w:pPr>
        <w:pStyle w:val="20"/>
        <w:snapToGrid w:val="0"/>
        <w:spacing w:before="120" w:after="120" w:line="360" w:lineRule="auto"/>
        <w:rPr>
          <w:rFonts w:ascii="新宋体" w:hAnsi="新宋体" w:eastAsia="新宋体" w:cs="新宋体"/>
          <w:b/>
          <w:color w:val="000000"/>
          <w:sz w:val="24"/>
          <w:szCs w:val="24"/>
        </w:rPr>
      </w:pPr>
      <w:r>
        <w:rPr>
          <w:rFonts w:hint="eastAsia" w:ascii="新宋体" w:hAnsi="新宋体" w:eastAsia="新宋体" w:cs="新宋体"/>
          <w:b/>
          <w:color w:val="000000"/>
          <w:sz w:val="24"/>
          <w:szCs w:val="24"/>
        </w:rPr>
        <w:t>十、货款支付</w:t>
      </w:r>
    </w:p>
    <w:p>
      <w:pPr>
        <w:pStyle w:val="20"/>
        <w:snapToGrid w:val="0"/>
        <w:spacing w:before="120" w:after="120" w:line="360" w:lineRule="auto"/>
        <w:rPr>
          <w:rFonts w:ascii="新宋体" w:hAnsi="新宋体" w:eastAsia="新宋体" w:cs="新宋体"/>
          <w:bCs/>
          <w:sz w:val="24"/>
          <w:szCs w:val="24"/>
        </w:rPr>
      </w:pPr>
      <w:r>
        <w:rPr>
          <w:rFonts w:hint="eastAsia" w:ascii="新宋体" w:hAnsi="新宋体" w:eastAsia="新宋体" w:cs="新宋体"/>
          <w:bCs/>
          <w:sz w:val="24"/>
          <w:szCs w:val="24"/>
        </w:rPr>
        <w:t xml:space="preserve"> 付款方式：</w:t>
      </w:r>
    </w:p>
    <w:p>
      <w:pPr>
        <w:snapToGrid w:val="0"/>
        <w:spacing w:before="165" w:beforeLines="50" w:after="165" w:afterLines="50" w:line="360" w:lineRule="auto"/>
        <w:rPr>
          <w:rFonts w:ascii="新宋体" w:hAnsi="新宋体" w:eastAsia="新宋体" w:cs="新宋体"/>
          <w:b/>
          <w:sz w:val="24"/>
          <w:szCs w:val="24"/>
        </w:rPr>
      </w:pPr>
      <w:r>
        <w:rPr>
          <w:rFonts w:hint="eastAsia" w:ascii="新宋体" w:hAnsi="新宋体" w:eastAsia="新宋体" w:cs="新宋体"/>
          <w:b/>
          <w:sz w:val="24"/>
          <w:szCs w:val="24"/>
        </w:rPr>
        <w:t>十一、税费</w:t>
      </w:r>
    </w:p>
    <w:p>
      <w:pPr>
        <w:pStyle w:val="20"/>
        <w:snapToGrid w:val="0"/>
        <w:spacing w:before="120" w:after="120" w:line="360" w:lineRule="auto"/>
        <w:ind w:left="410" w:hanging="410" w:hangingChars="171"/>
        <w:rPr>
          <w:rFonts w:ascii="新宋体" w:hAnsi="新宋体" w:eastAsia="新宋体" w:cs="新宋体"/>
          <w:sz w:val="24"/>
          <w:szCs w:val="24"/>
        </w:rPr>
      </w:pPr>
      <w:r>
        <w:rPr>
          <w:rFonts w:hint="eastAsia" w:ascii="新宋体" w:hAnsi="新宋体" w:eastAsia="新宋体" w:cs="新宋体"/>
          <w:sz w:val="24"/>
          <w:szCs w:val="24"/>
        </w:rPr>
        <w:t>本合同执行中相关的一切税费均由乙方负担。</w:t>
      </w:r>
    </w:p>
    <w:p>
      <w:pPr>
        <w:pStyle w:val="20"/>
        <w:snapToGrid w:val="0"/>
        <w:spacing w:before="120" w:after="120" w:line="360" w:lineRule="auto"/>
        <w:ind w:left="412" w:hanging="412" w:hangingChars="171"/>
        <w:rPr>
          <w:rFonts w:ascii="新宋体" w:hAnsi="新宋体" w:eastAsia="新宋体" w:cs="新宋体"/>
          <w:sz w:val="24"/>
          <w:szCs w:val="24"/>
        </w:rPr>
      </w:pPr>
      <w:r>
        <w:rPr>
          <w:rFonts w:hint="eastAsia" w:ascii="新宋体" w:hAnsi="新宋体" w:eastAsia="新宋体" w:cs="新宋体"/>
          <w:b/>
          <w:sz w:val="24"/>
          <w:szCs w:val="24"/>
        </w:rPr>
        <w:t>十二、质量保证及售后服务</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1.乙方应按招标文件规定的货物性能、技术要求、质量标准向甲方提供未经使用的全新产品。</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2.如在使用过程中发生质量问题，乙方在接到甲方通知后</w:t>
      </w:r>
      <w:r>
        <w:rPr>
          <w:rFonts w:hint="eastAsia" w:ascii="新宋体" w:hAnsi="新宋体" w:eastAsia="新宋体" w:cs="新宋体"/>
          <w:color w:val="000000"/>
          <w:sz w:val="24"/>
          <w:szCs w:val="24"/>
        </w:rPr>
        <w:t>在</w:t>
      </w:r>
      <w:r>
        <w:rPr>
          <w:rFonts w:hint="eastAsia" w:ascii="新宋体" w:hAnsi="新宋体" w:eastAsia="新宋体" w:cs="新宋体"/>
          <w:sz w:val="24"/>
          <w:szCs w:val="24"/>
        </w:rPr>
        <w:t>△</w:t>
      </w:r>
      <w:r>
        <w:rPr>
          <w:rFonts w:hint="eastAsia" w:ascii="新宋体" w:hAnsi="新宋体" w:eastAsia="新宋体" w:cs="新宋体"/>
          <w:color w:val="000000"/>
          <w:sz w:val="24"/>
          <w:szCs w:val="24"/>
        </w:rPr>
        <w:t>小时</w:t>
      </w:r>
      <w:r>
        <w:rPr>
          <w:rFonts w:hint="eastAsia" w:ascii="新宋体" w:hAnsi="新宋体" w:eastAsia="新宋体" w:cs="新宋体"/>
          <w:sz w:val="24"/>
          <w:szCs w:val="24"/>
        </w:rPr>
        <w:t>内到达甲方现场。</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3.在质保期内，乙方应对货物出现的质量及安全问题负责处理解决并承担一切费用。</w:t>
      </w:r>
    </w:p>
    <w:p>
      <w:pPr>
        <w:pStyle w:val="20"/>
        <w:snapToGrid w:val="0"/>
        <w:spacing w:before="120" w:after="120" w:line="360" w:lineRule="auto"/>
        <w:rPr>
          <w:rFonts w:ascii="新宋体" w:hAnsi="新宋体" w:eastAsia="新宋体" w:cs="新宋体"/>
          <w:color w:val="000000"/>
          <w:sz w:val="24"/>
          <w:szCs w:val="24"/>
        </w:rPr>
      </w:pPr>
      <w:r>
        <w:rPr>
          <w:rFonts w:hint="eastAsia" w:ascii="新宋体" w:hAnsi="新宋体" w:eastAsia="新宋体" w:cs="新宋体"/>
          <w:sz w:val="24"/>
          <w:szCs w:val="24"/>
        </w:rPr>
        <w:t>4.</w:t>
      </w:r>
      <w:r>
        <w:rPr>
          <w:rFonts w:hint="eastAsia" w:ascii="新宋体" w:hAnsi="新宋体" w:eastAsia="新宋体" w:cs="新宋体"/>
          <w:color w:val="000000"/>
          <w:sz w:val="24"/>
          <w:szCs w:val="24"/>
        </w:rPr>
        <w:t>上述的</w:t>
      </w:r>
      <w:r>
        <w:rPr>
          <w:rFonts w:hint="eastAsia" w:ascii="新宋体" w:hAnsi="新宋体" w:eastAsia="新宋体" w:cs="新宋体"/>
          <w:sz w:val="24"/>
          <w:szCs w:val="24"/>
        </w:rPr>
        <w:t>货物</w:t>
      </w:r>
      <w:r>
        <w:rPr>
          <w:rFonts w:hint="eastAsia" w:ascii="新宋体" w:hAnsi="新宋体" w:eastAsia="新宋体" w:cs="新宋体"/>
          <w:color w:val="000000"/>
          <w:sz w:val="24"/>
          <w:szCs w:val="24"/>
        </w:rPr>
        <w:t>免费保修期为年，因人为因素出现的故障不在免费保修范围内。超过保修期的机器设备，终生维修，维修时只收部件成本费。</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十三、货物包装、发运及运输</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1.乙方应在货物发运前对其进行满足运输距离、防潮、防震、防锈和防破损装卸等要求包装，以保证货物安全运达甲方指定地点。</w:t>
      </w:r>
    </w:p>
    <w:p>
      <w:pPr>
        <w:pStyle w:val="20"/>
        <w:snapToGrid w:val="0"/>
        <w:spacing w:before="120" w:after="120" w:line="360" w:lineRule="auto"/>
        <w:ind w:left="480" w:hanging="480" w:hangingChars="200"/>
        <w:rPr>
          <w:rFonts w:ascii="新宋体" w:hAnsi="新宋体" w:eastAsia="新宋体" w:cs="新宋体"/>
          <w:sz w:val="24"/>
          <w:szCs w:val="24"/>
        </w:rPr>
      </w:pPr>
      <w:r>
        <w:rPr>
          <w:rFonts w:hint="eastAsia" w:ascii="新宋体" w:hAnsi="新宋体" w:eastAsia="新宋体" w:cs="新宋体"/>
          <w:sz w:val="24"/>
          <w:szCs w:val="24"/>
        </w:rPr>
        <w:t>2.使用说明书、质量检验证明书、随配附件和工具以及清单一并附于货物内。</w:t>
      </w:r>
    </w:p>
    <w:p>
      <w:pPr>
        <w:pStyle w:val="20"/>
        <w:snapToGrid w:val="0"/>
        <w:spacing w:before="120" w:after="120" w:line="360" w:lineRule="auto"/>
        <w:ind w:left="480" w:hanging="480" w:hangingChars="200"/>
        <w:rPr>
          <w:rFonts w:ascii="新宋体" w:hAnsi="新宋体" w:eastAsia="新宋体" w:cs="新宋体"/>
          <w:sz w:val="24"/>
          <w:szCs w:val="24"/>
        </w:rPr>
      </w:pPr>
      <w:r>
        <w:rPr>
          <w:rFonts w:hint="eastAsia" w:ascii="新宋体" w:hAnsi="新宋体" w:eastAsia="新宋体" w:cs="新宋体"/>
          <w:sz w:val="24"/>
          <w:szCs w:val="24"/>
        </w:rPr>
        <w:t>3.乙方在货物发运手续办理完毕后24小时内或货到甲方48小时前通知甲方，以准备接货。</w:t>
      </w:r>
    </w:p>
    <w:p>
      <w:pPr>
        <w:pStyle w:val="20"/>
        <w:snapToGrid w:val="0"/>
        <w:spacing w:before="120" w:after="120" w:line="360" w:lineRule="auto"/>
        <w:ind w:left="480" w:hanging="480" w:hangingChars="200"/>
        <w:rPr>
          <w:rFonts w:ascii="新宋体" w:hAnsi="新宋体" w:eastAsia="新宋体" w:cs="新宋体"/>
          <w:sz w:val="24"/>
          <w:szCs w:val="24"/>
        </w:rPr>
      </w:pPr>
      <w:r>
        <w:rPr>
          <w:rFonts w:hint="eastAsia" w:ascii="新宋体" w:hAnsi="新宋体" w:eastAsia="新宋体" w:cs="新宋体"/>
          <w:sz w:val="24"/>
          <w:szCs w:val="24"/>
        </w:rPr>
        <w:t>4. 货物在交付甲方前发生的风险均由乙方负责。</w:t>
      </w:r>
    </w:p>
    <w:p>
      <w:pPr>
        <w:pStyle w:val="20"/>
        <w:snapToGrid w:val="0"/>
        <w:spacing w:line="360" w:lineRule="auto"/>
        <w:ind w:right="26"/>
        <w:rPr>
          <w:rFonts w:ascii="新宋体" w:hAnsi="新宋体" w:eastAsia="新宋体" w:cs="新宋体"/>
          <w:sz w:val="24"/>
          <w:szCs w:val="24"/>
        </w:rPr>
      </w:pPr>
      <w:r>
        <w:rPr>
          <w:rFonts w:hint="eastAsia" w:ascii="新宋体" w:hAnsi="新宋体" w:eastAsia="新宋体" w:cs="新宋体"/>
          <w:sz w:val="24"/>
          <w:szCs w:val="24"/>
        </w:rPr>
        <w:t>5.货物在规定的交付期限内由乙方送达甲方指定的地点视为交付，乙方同时需通知甲方货物已送达。</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十四、违约责任</w:t>
      </w:r>
    </w:p>
    <w:p>
      <w:pPr>
        <w:pStyle w:val="20"/>
        <w:snapToGrid w:val="0"/>
        <w:spacing w:before="120" w:after="120" w:line="360" w:lineRule="auto"/>
        <w:ind w:left="410" w:hanging="410" w:hangingChars="171"/>
        <w:rPr>
          <w:rFonts w:ascii="新宋体" w:hAnsi="新宋体" w:eastAsia="新宋体" w:cs="新宋体"/>
          <w:sz w:val="24"/>
          <w:szCs w:val="24"/>
        </w:rPr>
      </w:pPr>
      <w:r>
        <w:rPr>
          <w:rFonts w:hint="eastAsia" w:ascii="新宋体" w:hAnsi="新宋体" w:eastAsia="新宋体" w:cs="新宋体"/>
          <w:sz w:val="24"/>
          <w:szCs w:val="24"/>
        </w:rPr>
        <w:t>1.甲方无正当理由拒收货物的，甲方向乙方偿付拒收货款总值的百分之一违约金。</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2.甲方无故逾期验收和办理货款支付手续的,甲方应按逾期付款总额每日万分之五向乙方支付违约金。</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十五、不可抗力事件处理</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1.在合同有效期内，任何一方因不可抗力事件导致不能履行合同，则合同履行期可延长，其延长期与不可抗力影响期相同。</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2.不可抗力事件发生后，应立即通知对方。</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3.不可抗力事件延续120天以上，双方应通过友好协商，确定是否继续履行合同。</w:t>
      </w:r>
    </w:p>
    <w:p>
      <w:pPr>
        <w:pStyle w:val="20"/>
        <w:snapToGrid w:val="0"/>
        <w:spacing w:before="120" w:after="120" w:line="360" w:lineRule="auto"/>
        <w:rPr>
          <w:rFonts w:ascii="新宋体" w:hAnsi="新宋体" w:eastAsia="新宋体" w:cs="新宋体"/>
          <w:b/>
          <w:sz w:val="24"/>
          <w:szCs w:val="24"/>
        </w:rPr>
      </w:pPr>
      <w:r>
        <w:rPr>
          <w:rFonts w:hint="eastAsia" w:ascii="新宋体" w:hAnsi="新宋体" w:eastAsia="新宋体" w:cs="新宋体"/>
          <w:b/>
          <w:sz w:val="24"/>
          <w:szCs w:val="24"/>
        </w:rPr>
        <w:t>十六、诉讼</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双方在执行合同中所发生的一切争议，应通过协商解决。如协商不成，可向甲方所在地法院起诉。</w:t>
      </w:r>
    </w:p>
    <w:p>
      <w:pPr>
        <w:pStyle w:val="20"/>
        <w:snapToGrid w:val="0"/>
        <w:spacing w:before="120" w:after="120"/>
        <w:rPr>
          <w:rFonts w:hAnsi="宋体"/>
          <w:b/>
        </w:rPr>
      </w:pPr>
      <w:r>
        <w:rPr>
          <w:rFonts w:hAnsi="宋体"/>
          <w:b/>
        </w:rPr>
        <w:t>十</w:t>
      </w:r>
      <w:r>
        <w:rPr>
          <w:rFonts w:hint="eastAsia" w:hAnsi="宋体"/>
          <w:b/>
        </w:rPr>
        <w:t>七</w:t>
      </w:r>
      <w:r>
        <w:rPr>
          <w:rFonts w:hAnsi="宋体"/>
          <w:b/>
        </w:rPr>
        <w:t>、合同生效及其它</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1. 合同经双方法定代表人或授权代表签字并加盖单位公章后生效。</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3.永康市第三中学校园网络监控改造、专用教室装备、路灯采购项目（采购编号：</w:t>
      </w:r>
      <w:r>
        <w:rPr>
          <w:rFonts w:hint="eastAsia" w:ascii="新宋体" w:hAnsi="新宋体" w:eastAsia="新宋体" w:cs="新宋体"/>
          <w:sz w:val="24"/>
          <w:szCs w:val="24"/>
          <w:lang w:eastAsia="zh-CN"/>
        </w:rPr>
        <w:t>4017112022009-CJCG22026</w:t>
      </w:r>
      <w:r>
        <w:rPr>
          <w:rFonts w:hint="eastAsia" w:ascii="新宋体" w:hAnsi="新宋体" w:eastAsia="新宋体" w:cs="新宋体"/>
          <w:sz w:val="24"/>
          <w:szCs w:val="24"/>
        </w:rPr>
        <w:t>）采购文件以及采购响应文件、询标纪要、“承诺书”等是本合同不可分割的组成部分，本合同未尽事宜从其规定。其它按《民法典》有关条文执行。</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4.本合同正本一式四份，具有同等法律效力，甲乙双方各执一份；市财政局政府采购监管科和金华市创佳工程项目管理有限公司各执一份。</w:t>
      </w:r>
    </w:p>
    <w:p>
      <w:pPr>
        <w:pStyle w:val="2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甲方（公章）：                     见证方（公章）：</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法定代表人或受委托人              法定代表人或受委托人</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（签字）                           （签字）</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地址：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邮编：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电话：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传真：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开户银行：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帐号：                       </w:t>
      </w:r>
    </w:p>
    <w:p>
      <w:pPr>
        <w:pStyle w:val="20"/>
        <w:snapToGrid w:val="0"/>
        <w:spacing w:before="120" w:after="120" w:line="360" w:lineRule="auto"/>
        <w:rPr>
          <w:rFonts w:ascii="新宋体" w:hAnsi="新宋体" w:eastAsia="新宋体" w:cs="新宋体"/>
          <w:sz w:val="24"/>
          <w:szCs w:val="24"/>
        </w:rPr>
      </w:pP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乙方（公章）：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法定代表人或受委托人             永康市财政局采购监管科（备案）：</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（签字）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地址：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邮编：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电话：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传真：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开户银行：                   </w:t>
      </w:r>
    </w:p>
    <w:p>
      <w:pPr>
        <w:pStyle w:val="20"/>
        <w:snapToGrid w:val="0"/>
        <w:spacing w:before="120" w:after="120" w:line="360" w:lineRule="auto"/>
        <w:rPr>
          <w:rFonts w:ascii="新宋体" w:hAnsi="新宋体" w:eastAsia="新宋体" w:cs="新宋体"/>
          <w:sz w:val="24"/>
          <w:szCs w:val="24"/>
        </w:rPr>
      </w:pPr>
      <w:r>
        <w:rPr>
          <w:rFonts w:hint="eastAsia" w:ascii="新宋体" w:hAnsi="新宋体" w:eastAsia="新宋体" w:cs="新宋体"/>
          <w:sz w:val="24"/>
          <w:szCs w:val="24"/>
        </w:rPr>
        <w:t xml:space="preserve">帐号：   </w:t>
      </w:r>
    </w:p>
    <w:p>
      <w:pPr>
        <w:pStyle w:val="20"/>
        <w:snapToGrid w:val="0"/>
        <w:spacing w:before="120" w:after="120" w:line="360" w:lineRule="auto"/>
        <w:rPr>
          <w:rFonts w:ascii="新宋体" w:hAnsi="新宋体" w:eastAsia="新宋体" w:cs="新宋体"/>
          <w:sz w:val="24"/>
          <w:szCs w:val="24"/>
        </w:rPr>
      </w:pPr>
    </w:p>
    <w:p>
      <w:pPr>
        <w:pStyle w:val="20"/>
        <w:snapToGrid w:val="0"/>
        <w:spacing w:before="120" w:after="120" w:line="360" w:lineRule="auto"/>
        <w:ind w:firstLine="4080" w:firstLineChars="1700"/>
        <w:rPr>
          <w:rFonts w:ascii="新宋体" w:hAnsi="新宋体" w:eastAsia="新宋体" w:cs="新宋体"/>
          <w:sz w:val="24"/>
          <w:szCs w:val="24"/>
        </w:rPr>
      </w:pPr>
      <w:r>
        <w:rPr>
          <w:rFonts w:hint="eastAsia" w:ascii="新宋体" w:hAnsi="新宋体" w:eastAsia="新宋体" w:cs="新宋体"/>
          <w:sz w:val="24"/>
          <w:szCs w:val="24"/>
        </w:rPr>
        <w:t>签约时间：2022年    月    日</w:t>
      </w:r>
    </w:p>
    <w:p>
      <w:pPr>
        <w:pStyle w:val="20"/>
        <w:snapToGrid w:val="0"/>
        <w:spacing w:line="330" w:lineRule="exact"/>
      </w:pPr>
    </w:p>
    <w:sectPr>
      <w:footerReference r:id="rId7" w:type="default"/>
      <w:pgSz w:w="11905" w:h="16838"/>
      <w:pgMar w:top="1440" w:right="1803" w:bottom="1440" w:left="1803" w:header="851" w:footer="992" w:gutter="0"/>
      <w:pgNumType w:start="1"/>
      <w:cols w:space="0" w:num="1"/>
      <w:docGrid w:type="line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ont-weight : 400">
    <w:altName w:val="Courier New"/>
    <w:panose1 w:val="00000000000000000000"/>
    <w:charset w:val="00"/>
    <w:family w:val="auto"/>
    <w:pitch w:val="default"/>
    <w:sig w:usb0="00000000" w:usb1="00000000" w:usb2="00000000" w:usb3="00000000" w:csb0="00000001" w:csb1="00000000"/>
  </w:font>
  <w:font w:name="Futura Lt">
    <w:altName w:val="Courier New"/>
    <w:panose1 w:val="00000000000000000000"/>
    <w:charset w:val="00"/>
    <w:family w:val="auto"/>
    <w:pitch w:val="default"/>
    <w:sig w:usb0="00000000" w:usb1="00000000" w:usb2="00000000" w:usb3="00000000" w:csb0="000001FB" w:csb1="00000000"/>
  </w:font>
  <w:font w:name="PMingLiU">
    <w:panose1 w:val="02020500000000000000"/>
    <w:charset w:val="88"/>
    <w:family w:val="auto"/>
    <w:pitch w:val="default"/>
    <w:sig w:usb0="A00002FF" w:usb1="28CFFCFA" w:usb2="00000016" w:usb3="00000000" w:csb0="00100001" w:csb1="00000000"/>
  </w:font>
  <w:font w:name="Arial Unicode MS">
    <w:altName w:val="宋体"/>
    <w:panose1 w:val="020B0604020202020204"/>
    <w:charset w:val="86"/>
    <w:family w:val="swiss"/>
    <w:pitch w:val="default"/>
    <w:sig w:usb0="00000000" w:usb1="00000000" w:usb2="0000003F" w:usb3="00000000" w:csb0="603F01FF" w:csb1="FFFF0000"/>
  </w:font>
  <w:font w:name="_x000B__x000C_">
    <w:altName w:val="Courier New"/>
    <w:panose1 w:val="00000000000000000000"/>
    <w:charset w:val="00"/>
    <w:family w:val="roman"/>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003" w:usb1="288F0000" w:usb2="0000000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方正黑体简体">
    <w:altName w:val="微软雅黑"/>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rPr>
        <w:rFonts w:ascii="Calibri" w:hAnsi="Calibri" w:cs="Times New Roman"/>
        <w:sz w:val="18"/>
        <w:szCs w:val="18"/>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-38735</wp:posOffset>
              </wp:positionV>
              <wp:extent cx="5943600" cy="0"/>
              <wp:effectExtent l="0" t="0" r="0" b="0"/>
              <wp:wrapNone/>
              <wp:docPr id="13"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ln>
                      <a:effectLst/>
                    </wps:spPr>
                    <wps:bodyPr/>
                  </wps:wsp>
                </a:graphicData>
              </a:graphic>
            </wp:anchor>
          </w:drawing>
        </mc:Choice>
        <mc:Fallback>
          <w:pict>
            <v:line id="直接连接符 1" o:spid="_x0000_s1026" o:spt="20" style="position:absolute;left:0pt;margin-left:0pt;margin-top:-3.05pt;height:0pt;width:468pt;z-index:251660288;mso-width-relative:page;mso-height-relative:page;" filled="f" stroked="t" coordsize="21600,21600" o:gfxdata="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PnCzP0wAA&#10;AAYBAAAPAAAAAAAAAAEAIAAAACIAAABkcnMvZG93bnJldi54bWxQSwECFAAUAAAACACHTuJAdUZm&#10;XuoBAAC5AwAADgAAAAAAAAABACAAAAAiAQAAZHJzL2Uyb0RvYy54bWxQSwUGAAAAAAYABgBZAQAA&#10;fgUAAAAA&#10;">
              <v:fill on="f" focussize="0,0"/>
              <v:stroke color="#000000" joinstyle="round"/>
              <v:imagedata o:title=""/>
              <o:lock v:ext="edit" aspectratio="f"/>
            </v:lin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jc w:val="center"/>
    </w:pPr>
  </w:p>
  <w:p>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jc w:val="left"/>
      <w:rPr>
        <w:rFonts w:ascii="Calibri" w:hAnsi="Calibri" w:cs="Times New Roman"/>
        <w:sz w:val="18"/>
        <w:szCs w:val="1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rPr>
        <w:rFonts w:hint="eastAsia" w:cs="宋体"/>
        <w:color w:val="FF0000"/>
      </w:rPr>
      <w:t>永康市第三中学校园网络监控改造、专用教室装备、路灯采购项目招标文件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C8D8BA"/>
    <w:multiLevelType w:val="singleLevel"/>
    <w:tmpl w:val="88C8D8BA"/>
    <w:lvl w:ilvl="0" w:tentative="0">
      <w:start w:val="1"/>
      <w:numFmt w:val="decimal"/>
      <w:lvlText w:val="%1."/>
      <w:lvlJc w:val="left"/>
      <w:pPr>
        <w:tabs>
          <w:tab w:val="left" w:pos="312"/>
        </w:tabs>
      </w:pPr>
    </w:lvl>
  </w:abstractNum>
  <w:abstractNum w:abstractNumId="1">
    <w:nsid w:val="8C842113"/>
    <w:multiLevelType w:val="singleLevel"/>
    <w:tmpl w:val="8C842113"/>
    <w:lvl w:ilvl="0" w:tentative="0">
      <w:start w:val="1"/>
      <w:numFmt w:val="decimal"/>
      <w:suff w:val="nothing"/>
      <w:lvlText w:val="%1、"/>
      <w:lvlJc w:val="left"/>
    </w:lvl>
  </w:abstractNum>
  <w:abstractNum w:abstractNumId="2">
    <w:nsid w:val="A4B6FA79"/>
    <w:multiLevelType w:val="singleLevel"/>
    <w:tmpl w:val="A4B6FA79"/>
    <w:lvl w:ilvl="0" w:tentative="0">
      <w:start w:val="9"/>
      <w:numFmt w:val="decimal"/>
      <w:suff w:val="nothing"/>
      <w:lvlText w:val="%1、"/>
      <w:lvlJc w:val="left"/>
    </w:lvl>
  </w:abstractNum>
  <w:abstractNum w:abstractNumId="3">
    <w:nsid w:val="A745AC90"/>
    <w:multiLevelType w:val="singleLevel"/>
    <w:tmpl w:val="A745AC90"/>
    <w:lvl w:ilvl="0" w:tentative="0">
      <w:start w:val="7"/>
      <w:numFmt w:val="chineseCounting"/>
      <w:suff w:val="nothing"/>
      <w:lvlText w:val="%1．"/>
      <w:lvlJc w:val="left"/>
      <w:rPr>
        <w:rFonts w:hint="eastAsia"/>
      </w:rPr>
    </w:lvl>
  </w:abstractNum>
  <w:abstractNum w:abstractNumId="4">
    <w:nsid w:val="B0B95BA2"/>
    <w:multiLevelType w:val="singleLevel"/>
    <w:tmpl w:val="B0B95BA2"/>
    <w:lvl w:ilvl="0" w:tentative="0">
      <w:start w:val="4"/>
      <w:numFmt w:val="decimal"/>
      <w:lvlText w:val="%1."/>
      <w:lvlJc w:val="left"/>
      <w:pPr>
        <w:tabs>
          <w:tab w:val="left" w:pos="312"/>
        </w:tabs>
      </w:pPr>
    </w:lvl>
  </w:abstractNum>
  <w:abstractNum w:abstractNumId="5">
    <w:nsid w:val="C2D1C204"/>
    <w:multiLevelType w:val="singleLevel"/>
    <w:tmpl w:val="C2D1C204"/>
    <w:lvl w:ilvl="0" w:tentative="0">
      <w:start w:val="2"/>
      <w:numFmt w:val="chineseCounting"/>
      <w:suff w:val="nothing"/>
      <w:lvlText w:val="%1、"/>
      <w:lvlJc w:val="left"/>
      <w:rPr>
        <w:rFonts w:hint="eastAsia"/>
      </w:rPr>
    </w:lvl>
  </w:abstractNum>
  <w:abstractNum w:abstractNumId="6">
    <w:nsid w:val="D75B4F53"/>
    <w:multiLevelType w:val="singleLevel"/>
    <w:tmpl w:val="D75B4F53"/>
    <w:lvl w:ilvl="0" w:tentative="0">
      <w:start w:val="1"/>
      <w:numFmt w:val="decimal"/>
      <w:pStyle w:val="8"/>
      <w:lvlText w:val="%1."/>
      <w:lvlJc w:val="left"/>
      <w:pPr>
        <w:tabs>
          <w:tab w:val="left" w:pos="360"/>
        </w:tabs>
        <w:ind w:left="360" w:hanging="360"/>
      </w:pPr>
    </w:lvl>
  </w:abstractNum>
  <w:abstractNum w:abstractNumId="7">
    <w:nsid w:val="DE378389"/>
    <w:multiLevelType w:val="singleLevel"/>
    <w:tmpl w:val="DE378389"/>
    <w:lvl w:ilvl="0" w:tentative="0">
      <w:start w:val="1"/>
      <w:numFmt w:val="decimal"/>
      <w:suff w:val="nothing"/>
      <w:lvlText w:val="%1、"/>
      <w:lvlJc w:val="left"/>
    </w:lvl>
  </w:abstractNum>
  <w:abstractNum w:abstractNumId="8">
    <w:nsid w:val="E04C49AB"/>
    <w:multiLevelType w:val="singleLevel"/>
    <w:tmpl w:val="E04C49AB"/>
    <w:lvl w:ilvl="0" w:tentative="0">
      <w:start w:val="1"/>
      <w:numFmt w:val="decimal"/>
      <w:suff w:val="space"/>
      <w:lvlText w:val="%1."/>
      <w:lvlJc w:val="left"/>
    </w:lvl>
  </w:abstractNum>
  <w:abstractNum w:abstractNumId="9">
    <w:nsid w:val="E0AF3B20"/>
    <w:multiLevelType w:val="singleLevel"/>
    <w:tmpl w:val="E0AF3B20"/>
    <w:lvl w:ilvl="0" w:tentative="0">
      <w:start w:val="1"/>
      <w:numFmt w:val="decimal"/>
      <w:suff w:val="nothing"/>
      <w:lvlText w:val="%1、"/>
      <w:lvlJc w:val="left"/>
    </w:lvl>
  </w:abstractNum>
  <w:abstractNum w:abstractNumId="10">
    <w:nsid w:val="E2713C37"/>
    <w:multiLevelType w:val="singleLevel"/>
    <w:tmpl w:val="E2713C37"/>
    <w:lvl w:ilvl="0" w:tentative="0">
      <w:start w:val="1"/>
      <w:numFmt w:val="decimal"/>
      <w:suff w:val="nothing"/>
      <w:lvlText w:val="（%1）"/>
      <w:lvlJc w:val="left"/>
      <w:pPr>
        <w:ind w:left="42"/>
      </w:pPr>
    </w:lvl>
  </w:abstractNum>
  <w:abstractNum w:abstractNumId="11">
    <w:nsid w:val="E94D4651"/>
    <w:multiLevelType w:val="singleLevel"/>
    <w:tmpl w:val="E94D4651"/>
    <w:lvl w:ilvl="0" w:tentative="0">
      <w:start w:val="1"/>
      <w:numFmt w:val="decimal"/>
      <w:suff w:val="space"/>
      <w:lvlText w:val="%1."/>
      <w:lvlJc w:val="left"/>
    </w:lvl>
  </w:abstractNum>
  <w:abstractNum w:abstractNumId="12">
    <w:nsid w:val="0000000C"/>
    <w:multiLevelType w:val="multilevel"/>
    <w:tmpl w:val="0000000C"/>
    <w:lvl w:ilvl="0" w:tentative="0">
      <w:start w:val="1"/>
      <w:numFmt w:val="japaneseCounting"/>
      <w:lvlText w:val="第%1章"/>
      <w:lvlJc w:val="left"/>
      <w:pPr>
        <w:tabs>
          <w:tab w:val="left" w:pos="3645"/>
        </w:tabs>
        <w:ind w:left="3645" w:hanging="1965"/>
      </w:pPr>
      <w:rPr>
        <w:rFonts w:hint="eastAsia"/>
      </w:rPr>
    </w:lvl>
    <w:lvl w:ilvl="1" w:tentative="0">
      <w:start w:val="1"/>
      <w:numFmt w:val="lowerLetter"/>
      <w:lvlText w:val="%2)"/>
      <w:lvlJc w:val="left"/>
      <w:pPr>
        <w:tabs>
          <w:tab w:val="left" w:pos="2520"/>
        </w:tabs>
        <w:ind w:left="2520" w:hanging="420"/>
      </w:pPr>
    </w:lvl>
    <w:lvl w:ilvl="2" w:tentative="0">
      <w:start w:val="1"/>
      <w:numFmt w:val="lowerRoman"/>
      <w:lvlText w:val="%3."/>
      <w:lvlJc w:val="right"/>
      <w:pPr>
        <w:tabs>
          <w:tab w:val="left" w:pos="2940"/>
        </w:tabs>
        <w:ind w:left="2940" w:hanging="420"/>
      </w:pPr>
    </w:lvl>
    <w:lvl w:ilvl="3" w:tentative="0">
      <w:start w:val="1"/>
      <w:numFmt w:val="decimal"/>
      <w:lvlText w:val="%4."/>
      <w:lvlJc w:val="left"/>
      <w:pPr>
        <w:tabs>
          <w:tab w:val="left" w:pos="3360"/>
        </w:tabs>
        <w:ind w:left="3360" w:hanging="420"/>
      </w:pPr>
    </w:lvl>
    <w:lvl w:ilvl="4" w:tentative="0">
      <w:start w:val="1"/>
      <w:numFmt w:val="lowerLetter"/>
      <w:lvlText w:val="%5)"/>
      <w:lvlJc w:val="left"/>
      <w:pPr>
        <w:tabs>
          <w:tab w:val="left" w:pos="3780"/>
        </w:tabs>
        <w:ind w:left="3780" w:hanging="420"/>
      </w:pPr>
    </w:lvl>
    <w:lvl w:ilvl="5" w:tentative="0">
      <w:start w:val="1"/>
      <w:numFmt w:val="lowerRoman"/>
      <w:lvlText w:val="%6."/>
      <w:lvlJc w:val="right"/>
      <w:pPr>
        <w:tabs>
          <w:tab w:val="left" w:pos="4200"/>
        </w:tabs>
        <w:ind w:left="4200" w:hanging="420"/>
      </w:pPr>
    </w:lvl>
    <w:lvl w:ilvl="6" w:tentative="0">
      <w:start w:val="1"/>
      <w:numFmt w:val="decimal"/>
      <w:lvlText w:val="%7."/>
      <w:lvlJc w:val="left"/>
      <w:pPr>
        <w:tabs>
          <w:tab w:val="left" w:pos="4620"/>
        </w:tabs>
        <w:ind w:left="4620" w:hanging="420"/>
      </w:pPr>
    </w:lvl>
    <w:lvl w:ilvl="7" w:tentative="0">
      <w:start w:val="1"/>
      <w:numFmt w:val="lowerLetter"/>
      <w:lvlText w:val="%8)"/>
      <w:lvlJc w:val="left"/>
      <w:pPr>
        <w:tabs>
          <w:tab w:val="left" w:pos="5040"/>
        </w:tabs>
        <w:ind w:left="5040" w:hanging="420"/>
      </w:pPr>
    </w:lvl>
    <w:lvl w:ilvl="8" w:tentative="0">
      <w:start w:val="1"/>
      <w:numFmt w:val="lowerRoman"/>
      <w:lvlText w:val="%9."/>
      <w:lvlJc w:val="right"/>
      <w:pPr>
        <w:tabs>
          <w:tab w:val="left" w:pos="5460"/>
        </w:tabs>
        <w:ind w:left="5460" w:hanging="420"/>
      </w:pPr>
    </w:lvl>
  </w:abstractNum>
  <w:abstractNum w:abstractNumId="13">
    <w:nsid w:val="562897E9"/>
    <w:multiLevelType w:val="multilevel"/>
    <w:tmpl w:val="562897E9"/>
    <w:lvl w:ilvl="0" w:tentative="0">
      <w:start w:val="3"/>
      <w:numFmt w:val="decimal"/>
      <w:suff w:val="nothing"/>
      <w:lvlText w:val="%1、"/>
      <w:lvlJc w:val="left"/>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14">
    <w:nsid w:val="5F413461"/>
    <w:multiLevelType w:val="singleLevel"/>
    <w:tmpl w:val="5F413461"/>
    <w:lvl w:ilvl="0" w:tentative="0">
      <w:start w:val="2"/>
      <w:numFmt w:val="decimal"/>
      <w:suff w:val="nothing"/>
      <w:lvlText w:val="%1、"/>
      <w:lvlJc w:val="left"/>
    </w:lvl>
  </w:abstractNum>
  <w:abstractNum w:abstractNumId="15">
    <w:nsid w:val="6C0B36DF"/>
    <w:multiLevelType w:val="singleLevel"/>
    <w:tmpl w:val="6C0B36DF"/>
    <w:lvl w:ilvl="0" w:tentative="0">
      <w:start w:val="4"/>
      <w:numFmt w:val="decimal"/>
      <w:suff w:val="nothing"/>
      <w:lvlText w:val="%1、"/>
      <w:lvlJc w:val="left"/>
    </w:lvl>
  </w:abstractNum>
  <w:abstractNum w:abstractNumId="16">
    <w:nsid w:val="7AECA05C"/>
    <w:multiLevelType w:val="singleLevel"/>
    <w:tmpl w:val="7AECA05C"/>
    <w:lvl w:ilvl="0" w:tentative="0">
      <w:start w:val="1"/>
      <w:numFmt w:val="decimal"/>
      <w:suff w:val="nothing"/>
      <w:lvlText w:val="%1、"/>
      <w:lvlJc w:val="left"/>
    </w:lvl>
  </w:abstractNum>
  <w:abstractNum w:abstractNumId="17">
    <w:nsid w:val="7D8ABB34"/>
    <w:multiLevelType w:val="singleLevel"/>
    <w:tmpl w:val="7D8ABB34"/>
    <w:lvl w:ilvl="0" w:tentative="0">
      <w:start w:val="1"/>
      <w:numFmt w:val="decimal"/>
      <w:lvlText w:val="%1."/>
      <w:lvlJc w:val="left"/>
      <w:pPr>
        <w:tabs>
          <w:tab w:val="left" w:pos="312"/>
        </w:tabs>
      </w:pPr>
    </w:lvl>
  </w:abstractNum>
  <w:num w:numId="1">
    <w:abstractNumId w:val="6"/>
  </w:num>
  <w:num w:numId="2">
    <w:abstractNumId w:val="12"/>
  </w:num>
  <w:num w:numId="3">
    <w:abstractNumId w:val="3"/>
  </w:num>
  <w:num w:numId="4">
    <w:abstractNumId w:val="14"/>
  </w:num>
  <w:num w:numId="5">
    <w:abstractNumId w:val="15"/>
  </w:num>
  <w:num w:numId="6">
    <w:abstractNumId w:val="16"/>
  </w:num>
  <w:num w:numId="7">
    <w:abstractNumId w:val="13"/>
  </w:num>
  <w:num w:numId="8">
    <w:abstractNumId w:val="2"/>
  </w:num>
  <w:num w:numId="9">
    <w:abstractNumId w:val="5"/>
  </w:num>
  <w:num w:numId="10">
    <w:abstractNumId w:val="1"/>
  </w:num>
  <w:num w:numId="11">
    <w:abstractNumId w:val="4"/>
  </w:num>
  <w:num w:numId="12">
    <w:abstractNumId w:val="8"/>
  </w:num>
  <w:num w:numId="13">
    <w:abstractNumId w:val="9"/>
  </w:num>
  <w:num w:numId="14">
    <w:abstractNumId w:val="17"/>
  </w:num>
  <w:num w:numId="15">
    <w:abstractNumId w:val="0"/>
  </w:num>
  <w:num w:numId="16">
    <w:abstractNumId w:val="7"/>
  </w:num>
  <w:num w:numId="17">
    <w:abstractNumId w:val="11"/>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HorizontalSpacing w:val="210"/>
  <w:drawingGridVerticalSpacing w:val="165"/>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0MDAyZTIyODkyZTFlZGUyNTYyNDcyYTk3YTRmZGQifQ=="/>
  </w:docVars>
  <w:rsids>
    <w:rsidRoot w:val="00172A27"/>
    <w:rsid w:val="00011D92"/>
    <w:rsid w:val="0001316C"/>
    <w:rsid w:val="000415C8"/>
    <w:rsid w:val="00042E8A"/>
    <w:rsid w:val="00044361"/>
    <w:rsid w:val="00063C24"/>
    <w:rsid w:val="00072EED"/>
    <w:rsid w:val="000B603D"/>
    <w:rsid w:val="000B6219"/>
    <w:rsid w:val="000C3C06"/>
    <w:rsid w:val="000D0761"/>
    <w:rsid w:val="000D76EE"/>
    <w:rsid w:val="000E0318"/>
    <w:rsid w:val="000E1A5E"/>
    <w:rsid w:val="000E2295"/>
    <w:rsid w:val="000E3B68"/>
    <w:rsid w:val="000F016C"/>
    <w:rsid w:val="000F062D"/>
    <w:rsid w:val="000F07B7"/>
    <w:rsid w:val="000F24D1"/>
    <w:rsid w:val="000F29A4"/>
    <w:rsid w:val="000F3F12"/>
    <w:rsid w:val="000F4695"/>
    <w:rsid w:val="000F6A79"/>
    <w:rsid w:val="0010122C"/>
    <w:rsid w:val="0010172E"/>
    <w:rsid w:val="00101E07"/>
    <w:rsid w:val="00131FA1"/>
    <w:rsid w:val="001321FC"/>
    <w:rsid w:val="001331F1"/>
    <w:rsid w:val="00147F61"/>
    <w:rsid w:val="00151AD7"/>
    <w:rsid w:val="001749BD"/>
    <w:rsid w:val="00183893"/>
    <w:rsid w:val="001858DA"/>
    <w:rsid w:val="001955F5"/>
    <w:rsid w:val="00196339"/>
    <w:rsid w:val="001B260D"/>
    <w:rsid w:val="001B36A1"/>
    <w:rsid w:val="001C01BA"/>
    <w:rsid w:val="001C5C4C"/>
    <w:rsid w:val="001C66D6"/>
    <w:rsid w:val="001D5661"/>
    <w:rsid w:val="001E4792"/>
    <w:rsid w:val="00212DEC"/>
    <w:rsid w:val="00213C28"/>
    <w:rsid w:val="00225C38"/>
    <w:rsid w:val="00235E40"/>
    <w:rsid w:val="00261D02"/>
    <w:rsid w:val="002620DF"/>
    <w:rsid w:val="0026702F"/>
    <w:rsid w:val="0027550B"/>
    <w:rsid w:val="002806D2"/>
    <w:rsid w:val="002A40C3"/>
    <w:rsid w:val="002B07CC"/>
    <w:rsid w:val="002B7F30"/>
    <w:rsid w:val="002C0D0C"/>
    <w:rsid w:val="002C2457"/>
    <w:rsid w:val="002C50A7"/>
    <w:rsid w:val="002D1C50"/>
    <w:rsid w:val="002E5080"/>
    <w:rsid w:val="002F7F92"/>
    <w:rsid w:val="00317164"/>
    <w:rsid w:val="00321AB2"/>
    <w:rsid w:val="003325A4"/>
    <w:rsid w:val="003438B0"/>
    <w:rsid w:val="0034430F"/>
    <w:rsid w:val="00345AF9"/>
    <w:rsid w:val="00347501"/>
    <w:rsid w:val="00347D1B"/>
    <w:rsid w:val="00353AA1"/>
    <w:rsid w:val="00354836"/>
    <w:rsid w:val="00365F3D"/>
    <w:rsid w:val="0037332D"/>
    <w:rsid w:val="00380669"/>
    <w:rsid w:val="0038763C"/>
    <w:rsid w:val="00390729"/>
    <w:rsid w:val="003922A2"/>
    <w:rsid w:val="00392FAE"/>
    <w:rsid w:val="003A257E"/>
    <w:rsid w:val="003A5783"/>
    <w:rsid w:val="003A5B60"/>
    <w:rsid w:val="003A69AA"/>
    <w:rsid w:val="003B4594"/>
    <w:rsid w:val="003C2279"/>
    <w:rsid w:val="003C519D"/>
    <w:rsid w:val="003D19AB"/>
    <w:rsid w:val="003D61FB"/>
    <w:rsid w:val="003E538E"/>
    <w:rsid w:val="003F1917"/>
    <w:rsid w:val="003F25AC"/>
    <w:rsid w:val="00412373"/>
    <w:rsid w:val="00427158"/>
    <w:rsid w:val="004425D6"/>
    <w:rsid w:val="004529D3"/>
    <w:rsid w:val="0047035F"/>
    <w:rsid w:val="0048242B"/>
    <w:rsid w:val="004848E9"/>
    <w:rsid w:val="00494B9C"/>
    <w:rsid w:val="00497ED9"/>
    <w:rsid w:val="004B3952"/>
    <w:rsid w:val="004C3380"/>
    <w:rsid w:val="004D02B4"/>
    <w:rsid w:val="004F21C2"/>
    <w:rsid w:val="0050113E"/>
    <w:rsid w:val="005037A9"/>
    <w:rsid w:val="00504FF8"/>
    <w:rsid w:val="005162BD"/>
    <w:rsid w:val="00520A97"/>
    <w:rsid w:val="005210F3"/>
    <w:rsid w:val="00526F14"/>
    <w:rsid w:val="0052733B"/>
    <w:rsid w:val="00532F8F"/>
    <w:rsid w:val="00533277"/>
    <w:rsid w:val="005403AE"/>
    <w:rsid w:val="00540D3A"/>
    <w:rsid w:val="005414DD"/>
    <w:rsid w:val="00551794"/>
    <w:rsid w:val="00554D38"/>
    <w:rsid w:val="005554FB"/>
    <w:rsid w:val="00557378"/>
    <w:rsid w:val="00593811"/>
    <w:rsid w:val="00594930"/>
    <w:rsid w:val="005953FD"/>
    <w:rsid w:val="00596B29"/>
    <w:rsid w:val="00596FB3"/>
    <w:rsid w:val="00597F75"/>
    <w:rsid w:val="005A0D31"/>
    <w:rsid w:val="005A4EC1"/>
    <w:rsid w:val="005B62E0"/>
    <w:rsid w:val="005B6F15"/>
    <w:rsid w:val="005D0A81"/>
    <w:rsid w:val="005E7C5B"/>
    <w:rsid w:val="00606E59"/>
    <w:rsid w:val="00616AFE"/>
    <w:rsid w:val="00620154"/>
    <w:rsid w:val="00641F35"/>
    <w:rsid w:val="00644889"/>
    <w:rsid w:val="006465BD"/>
    <w:rsid w:val="0065217A"/>
    <w:rsid w:val="0065560A"/>
    <w:rsid w:val="006560BC"/>
    <w:rsid w:val="006618BF"/>
    <w:rsid w:val="006701B0"/>
    <w:rsid w:val="0068756B"/>
    <w:rsid w:val="006966E0"/>
    <w:rsid w:val="006974BF"/>
    <w:rsid w:val="006A2D87"/>
    <w:rsid w:val="006B4B0D"/>
    <w:rsid w:val="006C43A9"/>
    <w:rsid w:val="006E533D"/>
    <w:rsid w:val="006E70C3"/>
    <w:rsid w:val="00717F68"/>
    <w:rsid w:val="00720375"/>
    <w:rsid w:val="00723674"/>
    <w:rsid w:val="007271B7"/>
    <w:rsid w:val="00727E25"/>
    <w:rsid w:val="00741C06"/>
    <w:rsid w:val="00743CDC"/>
    <w:rsid w:val="0075761A"/>
    <w:rsid w:val="00775CBF"/>
    <w:rsid w:val="00786371"/>
    <w:rsid w:val="0078777D"/>
    <w:rsid w:val="00796304"/>
    <w:rsid w:val="007A0817"/>
    <w:rsid w:val="007B43B2"/>
    <w:rsid w:val="007C2EC8"/>
    <w:rsid w:val="007D02A5"/>
    <w:rsid w:val="007E60B9"/>
    <w:rsid w:val="007E6415"/>
    <w:rsid w:val="007F2ED4"/>
    <w:rsid w:val="007F6228"/>
    <w:rsid w:val="00801B4E"/>
    <w:rsid w:val="00810B4B"/>
    <w:rsid w:val="00814BB6"/>
    <w:rsid w:val="00862D91"/>
    <w:rsid w:val="00865C66"/>
    <w:rsid w:val="00865E55"/>
    <w:rsid w:val="00873006"/>
    <w:rsid w:val="008736A1"/>
    <w:rsid w:val="00875F8F"/>
    <w:rsid w:val="00881FF8"/>
    <w:rsid w:val="008825BB"/>
    <w:rsid w:val="008832D1"/>
    <w:rsid w:val="0089186D"/>
    <w:rsid w:val="00892E1E"/>
    <w:rsid w:val="0089514F"/>
    <w:rsid w:val="008A343C"/>
    <w:rsid w:val="008A4C7E"/>
    <w:rsid w:val="008B480F"/>
    <w:rsid w:val="008D71E8"/>
    <w:rsid w:val="008F0732"/>
    <w:rsid w:val="008F4C40"/>
    <w:rsid w:val="009016D8"/>
    <w:rsid w:val="00902040"/>
    <w:rsid w:val="00915DB5"/>
    <w:rsid w:val="0093355B"/>
    <w:rsid w:val="00940537"/>
    <w:rsid w:val="009410B0"/>
    <w:rsid w:val="00945A57"/>
    <w:rsid w:val="00946EE2"/>
    <w:rsid w:val="00952285"/>
    <w:rsid w:val="00952885"/>
    <w:rsid w:val="009576B3"/>
    <w:rsid w:val="0097099E"/>
    <w:rsid w:val="0097338A"/>
    <w:rsid w:val="00980379"/>
    <w:rsid w:val="009869DD"/>
    <w:rsid w:val="00987E74"/>
    <w:rsid w:val="0099737B"/>
    <w:rsid w:val="009D013D"/>
    <w:rsid w:val="009D07BC"/>
    <w:rsid w:val="009D1B21"/>
    <w:rsid w:val="009E5805"/>
    <w:rsid w:val="00A03C29"/>
    <w:rsid w:val="00A071B6"/>
    <w:rsid w:val="00A17B62"/>
    <w:rsid w:val="00A22298"/>
    <w:rsid w:val="00A320EC"/>
    <w:rsid w:val="00A3617D"/>
    <w:rsid w:val="00A42A61"/>
    <w:rsid w:val="00A65A99"/>
    <w:rsid w:val="00A6684D"/>
    <w:rsid w:val="00A852DB"/>
    <w:rsid w:val="00A8692F"/>
    <w:rsid w:val="00A9451C"/>
    <w:rsid w:val="00AA78F1"/>
    <w:rsid w:val="00AB2BB3"/>
    <w:rsid w:val="00AB5A5A"/>
    <w:rsid w:val="00AD289A"/>
    <w:rsid w:val="00AD79F1"/>
    <w:rsid w:val="00AF539B"/>
    <w:rsid w:val="00B02518"/>
    <w:rsid w:val="00B0373D"/>
    <w:rsid w:val="00B121C0"/>
    <w:rsid w:val="00B1267B"/>
    <w:rsid w:val="00B12FB2"/>
    <w:rsid w:val="00B14DC0"/>
    <w:rsid w:val="00B217F2"/>
    <w:rsid w:val="00B43396"/>
    <w:rsid w:val="00B52278"/>
    <w:rsid w:val="00B6257C"/>
    <w:rsid w:val="00B66D6A"/>
    <w:rsid w:val="00B674EC"/>
    <w:rsid w:val="00B732D1"/>
    <w:rsid w:val="00B77E0B"/>
    <w:rsid w:val="00B80063"/>
    <w:rsid w:val="00B871AC"/>
    <w:rsid w:val="00BA518A"/>
    <w:rsid w:val="00BB53C8"/>
    <w:rsid w:val="00BB7EB6"/>
    <w:rsid w:val="00BC088F"/>
    <w:rsid w:val="00BC11B3"/>
    <w:rsid w:val="00BD68CE"/>
    <w:rsid w:val="00BE6C88"/>
    <w:rsid w:val="00BF01C6"/>
    <w:rsid w:val="00BF1597"/>
    <w:rsid w:val="00BF5E9E"/>
    <w:rsid w:val="00C105D5"/>
    <w:rsid w:val="00C11A8F"/>
    <w:rsid w:val="00C17C81"/>
    <w:rsid w:val="00C303E0"/>
    <w:rsid w:val="00C365A9"/>
    <w:rsid w:val="00C41697"/>
    <w:rsid w:val="00C42685"/>
    <w:rsid w:val="00C47650"/>
    <w:rsid w:val="00C539F8"/>
    <w:rsid w:val="00C54330"/>
    <w:rsid w:val="00C67720"/>
    <w:rsid w:val="00C73BF4"/>
    <w:rsid w:val="00C7490C"/>
    <w:rsid w:val="00C75F2A"/>
    <w:rsid w:val="00C773DB"/>
    <w:rsid w:val="00C94098"/>
    <w:rsid w:val="00C954CC"/>
    <w:rsid w:val="00CA449F"/>
    <w:rsid w:val="00CA7C89"/>
    <w:rsid w:val="00CB59D7"/>
    <w:rsid w:val="00CC4D65"/>
    <w:rsid w:val="00CC6AA1"/>
    <w:rsid w:val="00CC7C15"/>
    <w:rsid w:val="00CD419C"/>
    <w:rsid w:val="00CD6729"/>
    <w:rsid w:val="00CF491C"/>
    <w:rsid w:val="00CF4AE6"/>
    <w:rsid w:val="00D02A1E"/>
    <w:rsid w:val="00D03D35"/>
    <w:rsid w:val="00D15B96"/>
    <w:rsid w:val="00D16BFE"/>
    <w:rsid w:val="00D17C29"/>
    <w:rsid w:val="00D36440"/>
    <w:rsid w:val="00D47824"/>
    <w:rsid w:val="00D53F83"/>
    <w:rsid w:val="00D55C79"/>
    <w:rsid w:val="00D602D0"/>
    <w:rsid w:val="00D60658"/>
    <w:rsid w:val="00D60B4E"/>
    <w:rsid w:val="00D614C7"/>
    <w:rsid w:val="00D634B7"/>
    <w:rsid w:val="00D71276"/>
    <w:rsid w:val="00D72A3D"/>
    <w:rsid w:val="00D86AA3"/>
    <w:rsid w:val="00D90ED7"/>
    <w:rsid w:val="00D91FED"/>
    <w:rsid w:val="00D96B0E"/>
    <w:rsid w:val="00D976E3"/>
    <w:rsid w:val="00DA1A33"/>
    <w:rsid w:val="00DA3EBA"/>
    <w:rsid w:val="00DA6D5E"/>
    <w:rsid w:val="00DA7313"/>
    <w:rsid w:val="00DB28F8"/>
    <w:rsid w:val="00DC6859"/>
    <w:rsid w:val="00DE3B20"/>
    <w:rsid w:val="00DE4A15"/>
    <w:rsid w:val="00DE4F79"/>
    <w:rsid w:val="00DE5C9E"/>
    <w:rsid w:val="00E13240"/>
    <w:rsid w:val="00E212C9"/>
    <w:rsid w:val="00E224D1"/>
    <w:rsid w:val="00E307BE"/>
    <w:rsid w:val="00E37C42"/>
    <w:rsid w:val="00E54624"/>
    <w:rsid w:val="00E54D85"/>
    <w:rsid w:val="00E7120B"/>
    <w:rsid w:val="00E75C47"/>
    <w:rsid w:val="00E82C4B"/>
    <w:rsid w:val="00E83EB4"/>
    <w:rsid w:val="00E9213C"/>
    <w:rsid w:val="00E93D90"/>
    <w:rsid w:val="00EA0065"/>
    <w:rsid w:val="00EA2113"/>
    <w:rsid w:val="00EA3C37"/>
    <w:rsid w:val="00EB49CE"/>
    <w:rsid w:val="00EB5DE7"/>
    <w:rsid w:val="00EB60FF"/>
    <w:rsid w:val="00EC09E3"/>
    <w:rsid w:val="00EC6492"/>
    <w:rsid w:val="00ED1917"/>
    <w:rsid w:val="00ED1ED6"/>
    <w:rsid w:val="00ED433F"/>
    <w:rsid w:val="00ED4C7F"/>
    <w:rsid w:val="00EF02EF"/>
    <w:rsid w:val="00EF1088"/>
    <w:rsid w:val="00EF37E2"/>
    <w:rsid w:val="00EF7ACA"/>
    <w:rsid w:val="00F0678B"/>
    <w:rsid w:val="00F167E9"/>
    <w:rsid w:val="00F237B3"/>
    <w:rsid w:val="00F524D6"/>
    <w:rsid w:val="00F569D6"/>
    <w:rsid w:val="00F5743C"/>
    <w:rsid w:val="00F60F0F"/>
    <w:rsid w:val="00F61D87"/>
    <w:rsid w:val="00F62431"/>
    <w:rsid w:val="00F7180A"/>
    <w:rsid w:val="00F800F1"/>
    <w:rsid w:val="00F81F59"/>
    <w:rsid w:val="00F971AC"/>
    <w:rsid w:val="00FA37AB"/>
    <w:rsid w:val="00FB57C3"/>
    <w:rsid w:val="00FC165C"/>
    <w:rsid w:val="00FC4245"/>
    <w:rsid w:val="00FC5E86"/>
    <w:rsid w:val="00FD2F4D"/>
    <w:rsid w:val="00FE09E1"/>
    <w:rsid w:val="00FF2293"/>
    <w:rsid w:val="012B6937"/>
    <w:rsid w:val="01AE7277"/>
    <w:rsid w:val="01CF6CC2"/>
    <w:rsid w:val="01E01A8E"/>
    <w:rsid w:val="01F04499"/>
    <w:rsid w:val="020F3A79"/>
    <w:rsid w:val="04344AA5"/>
    <w:rsid w:val="045C1EA6"/>
    <w:rsid w:val="04D1736D"/>
    <w:rsid w:val="050D7546"/>
    <w:rsid w:val="05F60430"/>
    <w:rsid w:val="065357F9"/>
    <w:rsid w:val="07F5125C"/>
    <w:rsid w:val="082559D9"/>
    <w:rsid w:val="092423D6"/>
    <w:rsid w:val="09276052"/>
    <w:rsid w:val="096D608A"/>
    <w:rsid w:val="097A3D26"/>
    <w:rsid w:val="0BDC72AF"/>
    <w:rsid w:val="0BE11644"/>
    <w:rsid w:val="0BF5372E"/>
    <w:rsid w:val="0C813D3B"/>
    <w:rsid w:val="0D2674A9"/>
    <w:rsid w:val="0DB538AC"/>
    <w:rsid w:val="0E212F6F"/>
    <w:rsid w:val="0E8C0579"/>
    <w:rsid w:val="0F1478D0"/>
    <w:rsid w:val="0F4F6B77"/>
    <w:rsid w:val="0FF04A9E"/>
    <w:rsid w:val="107812AC"/>
    <w:rsid w:val="114B6629"/>
    <w:rsid w:val="11D82174"/>
    <w:rsid w:val="11F56CB9"/>
    <w:rsid w:val="11FC51F4"/>
    <w:rsid w:val="12957BB2"/>
    <w:rsid w:val="12FC13B0"/>
    <w:rsid w:val="132C3788"/>
    <w:rsid w:val="13C53535"/>
    <w:rsid w:val="13CA5118"/>
    <w:rsid w:val="13DB7987"/>
    <w:rsid w:val="140963AB"/>
    <w:rsid w:val="1486575B"/>
    <w:rsid w:val="14FF668D"/>
    <w:rsid w:val="15A96067"/>
    <w:rsid w:val="162445F8"/>
    <w:rsid w:val="177E5399"/>
    <w:rsid w:val="19456905"/>
    <w:rsid w:val="1B5F5C6D"/>
    <w:rsid w:val="1CC52663"/>
    <w:rsid w:val="1D312236"/>
    <w:rsid w:val="1DD5496F"/>
    <w:rsid w:val="1E17351A"/>
    <w:rsid w:val="1F4072EA"/>
    <w:rsid w:val="1F9C3E1C"/>
    <w:rsid w:val="1FE173D8"/>
    <w:rsid w:val="20CA1D45"/>
    <w:rsid w:val="20E051D4"/>
    <w:rsid w:val="20ED364B"/>
    <w:rsid w:val="21D435EF"/>
    <w:rsid w:val="22080B21"/>
    <w:rsid w:val="2236792C"/>
    <w:rsid w:val="224C1EB9"/>
    <w:rsid w:val="23630548"/>
    <w:rsid w:val="237E22DE"/>
    <w:rsid w:val="238B6382"/>
    <w:rsid w:val="23D37820"/>
    <w:rsid w:val="243226E8"/>
    <w:rsid w:val="248608FD"/>
    <w:rsid w:val="25987DE4"/>
    <w:rsid w:val="268A4A57"/>
    <w:rsid w:val="26A94938"/>
    <w:rsid w:val="26AD6E50"/>
    <w:rsid w:val="26D76D2B"/>
    <w:rsid w:val="26DF0059"/>
    <w:rsid w:val="26F33BA3"/>
    <w:rsid w:val="27200B2C"/>
    <w:rsid w:val="27BF40D9"/>
    <w:rsid w:val="28722A91"/>
    <w:rsid w:val="28A21943"/>
    <w:rsid w:val="28B56309"/>
    <w:rsid w:val="28BF18B6"/>
    <w:rsid w:val="2967007A"/>
    <w:rsid w:val="29761ABD"/>
    <w:rsid w:val="29B62BC0"/>
    <w:rsid w:val="29D91732"/>
    <w:rsid w:val="2A5D31BD"/>
    <w:rsid w:val="2AD91F0A"/>
    <w:rsid w:val="2B014054"/>
    <w:rsid w:val="2BF735CD"/>
    <w:rsid w:val="2C140842"/>
    <w:rsid w:val="2E1D2633"/>
    <w:rsid w:val="2E1E5DAE"/>
    <w:rsid w:val="2EBF7117"/>
    <w:rsid w:val="302C7292"/>
    <w:rsid w:val="309269AE"/>
    <w:rsid w:val="30F84323"/>
    <w:rsid w:val="31081A27"/>
    <w:rsid w:val="31A6515C"/>
    <w:rsid w:val="31FC5D17"/>
    <w:rsid w:val="3231670E"/>
    <w:rsid w:val="328D2954"/>
    <w:rsid w:val="33A17CA5"/>
    <w:rsid w:val="34540AF1"/>
    <w:rsid w:val="34DD43D8"/>
    <w:rsid w:val="35A07A01"/>
    <w:rsid w:val="366D71CF"/>
    <w:rsid w:val="369E035A"/>
    <w:rsid w:val="37055F07"/>
    <w:rsid w:val="37236AE7"/>
    <w:rsid w:val="375B6BAC"/>
    <w:rsid w:val="37850BBF"/>
    <w:rsid w:val="39322095"/>
    <w:rsid w:val="393E407D"/>
    <w:rsid w:val="3A017404"/>
    <w:rsid w:val="3A154D7A"/>
    <w:rsid w:val="3A160C88"/>
    <w:rsid w:val="3C0D4421"/>
    <w:rsid w:val="3C894DA9"/>
    <w:rsid w:val="3C9E715D"/>
    <w:rsid w:val="3D1607FC"/>
    <w:rsid w:val="3D4864F0"/>
    <w:rsid w:val="3D657435"/>
    <w:rsid w:val="3D817F37"/>
    <w:rsid w:val="3E411443"/>
    <w:rsid w:val="3E985CDA"/>
    <w:rsid w:val="40A558B4"/>
    <w:rsid w:val="4136241B"/>
    <w:rsid w:val="4204506C"/>
    <w:rsid w:val="42B62A37"/>
    <w:rsid w:val="43850C6C"/>
    <w:rsid w:val="44000676"/>
    <w:rsid w:val="45E143E0"/>
    <w:rsid w:val="466B524A"/>
    <w:rsid w:val="46992CEA"/>
    <w:rsid w:val="46CF5C1F"/>
    <w:rsid w:val="47347ED4"/>
    <w:rsid w:val="47481675"/>
    <w:rsid w:val="47B04F65"/>
    <w:rsid w:val="47EA6191"/>
    <w:rsid w:val="48A944CA"/>
    <w:rsid w:val="48E146F8"/>
    <w:rsid w:val="492C6132"/>
    <w:rsid w:val="495B5395"/>
    <w:rsid w:val="49E95BE1"/>
    <w:rsid w:val="4AFE304E"/>
    <w:rsid w:val="4B11477D"/>
    <w:rsid w:val="4C4C5707"/>
    <w:rsid w:val="4DF07E31"/>
    <w:rsid w:val="4E4D4F9C"/>
    <w:rsid w:val="4EEF6AFE"/>
    <w:rsid w:val="4F0C3617"/>
    <w:rsid w:val="4F1F0379"/>
    <w:rsid w:val="4FA611B3"/>
    <w:rsid w:val="505540AA"/>
    <w:rsid w:val="51747715"/>
    <w:rsid w:val="519F5AA2"/>
    <w:rsid w:val="520B0905"/>
    <w:rsid w:val="52492727"/>
    <w:rsid w:val="526E1486"/>
    <w:rsid w:val="533F0BF8"/>
    <w:rsid w:val="53860519"/>
    <w:rsid w:val="53E333C6"/>
    <w:rsid w:val="54593C76"/>
    <w:rsid w:val="55930515"/>
    <w:rsid w:val="55941913"/>
    <w:rsid w:val="55A244F7"/>
    <w:rsid w:val="55E446F6"/>
    <w:rsid w:val="55FD7796"/>
    <w:rsid w:val="560662AD"/>
    <w:rsid w:val="577469B9"/>
    <w:rsid w:val="5827505E"/>
    <w:rsid w:val="58F21E8F"/>
    <w:rsid w:val="58F61756"/>
    <w:rsid w:val="59006D75"/>
    <w:rsid w:val="597F77CB"/>
    <w:rsid w:val="5A8F05E2"/>
    <w:rsid w:val="5AD6363E"/>
    <w:rsid w:val="5B0071A0"/>
    <w:rsid w:val="5B176633"/>
    <w:rsid w:val="5B55302F"/>
    <w:rsid w:val="5BB442AC"/>
    <w:rsid w:val="5C851EA1"/>
    <w:rsid w:val="5D8A58D0"/>
    <w:rsid w:val="5E1029D5"/>
    <w:rsid w:val="5E282CCF"/>
    <w:rsid w:val="5E8149E3"/>
    <w:rsid w:val="605E04F2"/>
    <w:rsid w:val="60E21587"/>
    <w:rsid w:val="61371DBF"/>
    <w:rsid w:val="61814727"/>
    <w:rsid w:val="62036F93"/>
    <w:rsid w:val="62B6639A"/>
    <w:rsid w:val="637840C2"/>
    <w:rsid w:val="63F525EF"/>
    <w:rsid w:val="64331200"/>
    <w:rsid w:val="644757E5"/>
    <w:rsid w:val="656735AD"/>
    <w:rsid w:val="65680850"/>
    <w:rsid w:val="65705BA3"/>
    <w:rsid w:val="65B039E9"/>
    <w:rsid w:val="65BF02DA"/>
    <w:rsid w:val="66186F67"/>
    <w:rsid w:val="661B5389"/>
    <w:rsid w:val="66401380"/>
    <w:rsid w:val="664C2042"/>
    <w:rsid w:val="67714FD1"/>
    <w:rsid w:val="67AA0AB5"/>
    <w:rsid w:val="67AD2513"/>
    <w:rsid w:val="67FC3F60"/>
    <w:rsid w:val="684B64CB"/>
    <w:rsid w:val="6904153A"/>
    <w:rsid w:val="69420AF4"/>
    <w:rsid w:val="6AF71ECE"/>
    <w:rsid w:val="6BA5059F"/>
    <w:rsid w:val="6BA70785"/>
    <w:rsid w:val="6C845956"/>
    <w:rsid w:val="6CF91E10"/>
    <w:rsid w:val="6D2A36A1"/>
    <w:rsid w:val="6ED70885"/>
    <w:rsid w:val="6EE04E7C"/>
    <w:rsid w:val="6F0666D2"/>
    <w:rsid w:val="6F320C1C"/>
    <w:rsid w:val="6F33305B"/>
    <w:rsid w:val="6F9422EA"/>
    <w:rsid w:val="70A14871"/>
    <w:rsid w:val="70C20CF6"/>
    <w:rsid w:val="71080904"/>
    <w:rsid w:val="725526ED"/>
    <w:rsid w:val="731F3E01"/>
    <w:rsid w:val="73484244"/>
    <w:rsid w:val="73514799"/>
    <w:rsid w:val="73DD1DF1"/>
    <w:rsid w:val="75165ABD"/>
    <w:rsid w:val="77337E64"/>
    <w:rsid w:val="77AE29F7"/>
    <w:rsid w:val="795F767E"/>
    <w:rsid w:val="79BF0F46"/>
    <w:rsid w:val="7A25135F"/>
    <w:rsid w:val="7B377D68"/>
    <w:rsid w:val="7B4427BD"/>
    <w:rsid w:val="7B83218C"/>
    <w:rsid w:val="7BB12613"/>
    <w:rsid w:val="7BE31528"/>
    <w:rsid w:val="7D3E31C9"/>
    <w:rsid w:val="7D4FB245"/>
    <w:rsid w:val="7E175FCE"/>
    <w:rsid w:val="7EE44F73"/>
    <w:rsid w:val="7EF52847"/>
    <w:rsid w:val="7FA57890"/>
    <w:rsid w:val="7FA76E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9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9"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uiPriority="0" w:name="toc 3"/>
    <w:lsdException w:uiPriority="0" w:name="toc 4"/>
    <w:lsdException w:uiPriority="0" w:name="toc 5"/>
    <w:lsdException w:uiPriority="0" w:name="toc 6"/>
    <w:lsdException w:uiPriority="0" w:name="toc 7"/>
    <w:lsdException w:qFormat="1" w:unhideWhenUsed="0" w:uiPriority="0" w:semiHidden="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uiPriority="0" w:name="FollowedHyperlink"/>
    <w:lsdException w:qFormat="1" w:unhideWhenUsed="0" w:uiPriority="99"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99"/>
    <w:pPr>
      <w:jc w:val="both"/>
    </w:pPr>
    <w:rPr>
      <w:rFonts w:ascii="等线" w:hAnsi="等线" w:eastAsia="宋体" w:cs="等线"/>
      <w:color w:val="000000" w:themeColor="text1"/>
      <w:kern w:val="2"/>
      <w:sz w:val="21"/>
      <w:szCs w:val="21"/>
      <w:lang w:val="en-US" w:eastAsia="zh-CN" w:bidi="ar-SA"/>
      <w14:textFill>
        <w14:solidFill>
          <w14:schemeClr w14:val="tx1"/>
        </w14:solidFill>
      </w14:textFill>
    </w:rPr>
  </w:style>
  <w:style w:type="paragraph" w:styleId="3">
    <w:name w:val="heading 1"/>
    <w:basedOn w:val="1"/>
    <w:next w:val="1"/>
    <w:link w:val="46"/>
    <w:qFormat/>
    <w:uiPriority w:val="99"/>
    <w:pPr>
      <w:keepNext/>
      <w:keepLines/>
      <w:spacing w:before="340" w:after="330" w:line="578" w:lineRule="auto"/>
      <w:outlineLvl w:val="0"/>
    </w:pPr>
    <w:rPr>
      <w:rFonts w:cs="Times New Roman"/>
      <w:b/>
      <w:bCs/>
      <w:kern w:val="44"/>
      <w:sz w:val="44"/>
      <w:szCs w:val="44"/>
    </w:rPr>
  </w:style>
  <w:style w:type="paragraph" w:styleId="2">
    <w:name w:val="heading 2"/>
    <w:basedOn w:val="1"/>
    <w:next w:val="1"/>
    <w:link w:val="47"/>
    <w:qFormat/>
    <w:uiPriority w:val="9"/>
    <w:pPr>
      <w:keepNext/>
      <w:keepLines/>
      <w:tabs>
        <w:tab w:val="left" w:pos="1080"/>
      </w:tabs>
      <w:spacing w:line="360" w:lineRule="auto"/>
      <w:outlineLvl w:val="1"/>
    </w:pPr>
    <w:rPr>
      <w:rFonts w:ascii="宋体" w:cs="Times New Roman"/>
      <w:kern w:val="24"/>
      <w:sz w:val="24"/>
      <w:szCs w:val="24"/>
    </w:rPr>
  </w:style>
  <w:style w:type="paragraph" w:styleId="4">
    <w:name w:val="heading 3"/>
    <w:basedOn w:val="1"/>
    <w:next w:val="1"/>
    <w:link w:val="48"/>
    <w:qFormat/>
    <w:uiPriority w:val="9"/>
    <w:pPr>
      <w:keepNext/>
      <w:keepLines/>
      <w:spacing w:after="120" w:line="360" w:lineRule="auto"/>
      <w:outlineLvl w:val="2"/>
    </w:pPr>
    <w:rPr>
      <w:rFonts w:ascii="黑体" w:eastAsia="黑体" w:cs="Times New Roman"/>
      <w:color w:val="000000"/>
      <w:kern w:val="24"/>
      <w:sz w:val="24"/>
      <w:szCs w:val="24"/>
    </w:rPr>
  </w:style>
  <w:style w:type="paragraph" w:styleId="5">
    <w:name w:val="heading 4"/>
    <w:basedOn w:val="1"/>
    <w:next w:val="1"/>
    <w:link w:val="49"/>
    <w:qFormat/>
    <w:uiPriority w:val="9"/>
    <w:pPr>
      <w:keepNext/>
      <w:keepLines/>
      <w:spacing w:before="280" w:after="290" w:line="376" w:lineRule="auto"/>
      <w:outlineLvl w:val="3"/>
    </w:pPr>
    <w:rPr>
      <w:rFonts w:ascii="Cambria" w:hAnsi="Cambria" w:cs="Times New Roman"/>
      <w:b/>
      <w:bCs/>
      <w:sz w:val="28"/>
      <w:szCs w:val="28"/>
    </w:rPr>
  </w:style>
  <w:style w:type="paragraph" w:styleId="6">
    <w:name w:val="heading 5"/>
    <w:basedOn w:val="1"/>
    <w:next w:val="1"/>
    <w:link w:val="50"/>
    <w:qFormat/>
    <w:uiPriority w:val="99"/>
    <w:pPr>
      <w:widowControl w:val="0"/>
      <w:ind w:firstLine="454"/>
      <w:outlineLvl w:val="4"/>
    </w:pPr>
    <w:rPr>
      <w:rFonts w:ascii="Calibri" w:hAnsi="Calibri" w:cs="Times New Roman"/>
    </w:rPr>
  </w:style>
  <w:style w:type="paragraph" w:styleId="7">
    <w:name w:val="heading 6"/>
    <w:basedOn w:val="1"/>
    <w:next w:val="1"/>
    <w:link w:val="51"/>
    <w:qFormat/>
    <w:uiPriority w:val="99"/>
    <w:pPr>
      <w:widowControl w:val="0"/>
      <w:ind w:firstLine="680"/>
      <w:outlineLvl w:val="5"/>
    </w:pPr>
    <w:rPr>
      <w:rFonts w:ascii="Calibri" w:hAnsi="Calibri" w:cs="Times New Roman"/>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8">
    <w:name w:val="List Number"/>
    <w:basedOn w:val="1"/>
    <w:unhideWhenUsed/>
    <w:qFormat/>
    <w:uiPriority w:val="0"/>
    <w:pPr>
      <w:numPr>
        <w:ilvl w:val="0"/>
        <w:numId w:val="1"/>
      </w:numPr>
    </w:pPr>
  </w:style>
  <w:style w:type="paragraph" w:styleId="9">
    <w:name w:val="Normal Indent"/>
    <w:basedOn w:val="1"/>
    <w:next w:val="1"/>
    <w:link w:val="52"/>
    <w:qFormat/>
    <w:uiPriority w:val="0"/>
    <w:pPr>
      <w:adjustRightInd w:val="0"/>
      <w:snapToGrid w:val="0"/>
      <w:spacing w:line="480" w:lineRule="exact"/>
      <w:ind w:firstLine="567"/>
    </w:pPr>
    <w:rPr>
      <w:rFonts w:ascii="宋体" w:cs="Times New Roman"/>
      <w:snapToGrid w:val="0"/>
      <w:color w:val="000000"/>
      <w:kern w:val="28"/>
      <w:sz w:val="28"/>
      <w:szCs w:val="20"/>
    </w:rPr>
  </w:style>
  <w:style w:type="paragraph" w:styleId="10">
    <w:name w:val="caption"/>
    <w:basedOn w:val="1"/>
    <w:next w:val="1"/>
    <w:qFormat/>
    <w:uiPriority w:val="35"/>
    <w:rPr>
      <w:rFonts w:ascii="Arial" w:hAnsi="Arial" w:eastAsia="黑体"/>
      <w:sz w:val="20"/>
    </w:rPr>
  </w:style>
  <w:style w:type="paragraph" w:styleId="11">
    <w:name w:val="Document Map"/>
    <w:basedOn w:val="1"/>
    <w:link w:val="53"/>
    <w:qFormat/>
    <w:uiPriority w:val="99"/>
    <w:pPr>
      <w:widowControl w:val="0"/>
    </w:pPr>
    <w:rPr>
      <w:rFonts w:ascii="宋体" w:hAnsi="Calibri" w:cs="Times New Roman"/>
      <w:sz w:val="18"/>
      <w:szCs w:val="18"/>
    </w:rPr>
  </w:style>
  <w:style w:type="paragraph" w:styleId="12">
    <w:name w:val="annotation text"/>
    <w:basedOn w:val="1"/>
    <w:link w:val="54"/>
    <w:qFormat/>
    <w:uiPriority w:val="99"/>
    <w:pPr>
      <w:widowControl w:val="0"/>
      <w:jc w:val="left"/>
    </w:pPr>
    <w:rPr>
      <w:rFonts w:ascii="Calibri" w:hAnsi="Calibri" w:cs="Times New Roman"/>
    </w:rPr>
  </w:style>
  <w:style w:type="paragraph" w:styleId="13">
    <w:name w:val="Body Text 3"/>
    <w:basedOn w:val="1"/>
    <w:qFormat/>
    <w:uiPriority w:val="0"/>
    <w:pPr>
      <w:snapToGrid w:val="0"/>
      <w:spacing w:before="50" w:after="50"/>
    </w:pPr>
    <w:rPr>
      <w:rFonts w:ascii="Times New Roman" w:eastAsia="仿宋_GB2312"/>
      <w:b/>
      <w:bCs/>
      <w:sz w:val="24"/>
      <w:szCs w:val="20"/>
    </w:rPr>
  </w:style>
  <w:style w:type="paragraph" w:styleId="14">
    <w:name w:val="Body Text"/>
    <w:basedOn w:val="1"/>
    <w:next w:val="15"/>
    <w:link w:val="45"/>
    <w:qFormat/>
    <w:uiPriority w:val="99"/>
    <w:pPr>
      <w:widowControl w:val="0"/>
      <w:spacing w:after="120"/>
    </w:pPr>
    <w:rPr>
      <w:rFonts w:ascii="Calibri" w:hAnsi="Calibri" w:cs="Times New Roman"/>
    </w:rPr>
  </w:style>
  <w:style w:type="paragraph" w:customStyle="1" w:styleId="15">
    <w:name w:val="一级条标题"/>
    <w:basedOn w:val="16"/>
    <w:next w:val="17"/>
    <w:qFormat/>
    <w:uiPriority w:val="0"/>
    <w:pPr>
      <w:tabs>
        <w:tab w:val="left" w:pos="810"/>
        <w:tab w:val="left" w:pos="907"/>
        <w:tab w:val="left" w:pos="1265"/>
      </w:tabs>
      <w:spacing w:before="0" w:after="0"/>
      <w:ind w:left="907" w:hanging="907"/>
      <w:outlineLvl w:val="2"/>
    </w:pPr>
    <w:rPr>
      <w:rFonts w:hAnsi="宋体"/>
      <w:kern w:val="0"/>
      <w:sz w:val="20"/>
      <w:szCs w:val="20"/>
    </w:rPr>
  </w:style>
  <w:style w:type="paragraph" w:customStyle="1" w:styleId="16">
    <w:name w:val="章标题"/>
    <w:next w:val="1"/>
    <w:qFormat/>
    <w:uiPriority w:val="0"/>
    <w:pPr>
      <w:tabs>
        <w:tab w:val="left" w:pos="810"/>
        <w:tab w:val="left" w:pos="1265"/>
      </w:tabs>
      <w:spacing w:before="50" w:after="50"/>
      <w:ind w:left="810" w:hanging="810"/>
      <w:jc w:val="both"/>
      <w:outlineLvl w:val="1"/>
    </w:pPr>
    <w:rPr>
      <w:rFonts w:ascii="黑体" w:hAnsi="Times New Roman" w:eastAsia="黑体" w:cs="Times New Roman"/>
      <w:kern w:val="2"/>
      <w:sz w:val="21"/>
      <w:szCs w:val="22"/>
      <w:lang w:val="en-US" w:eastAsia="zh-CN" w:bidi="ar-SA"/>
    </w:rPr>
  </w:style>
  <w:style w:type="paragraph" w:customStyle="1" w:styleId="17">
    <w:name w:val="段"/>
    <w:next w:val="1"/>
    <w:qFormat/>
    <w:uiPriority w:val="0"/>
    <w:pPr>
      <w:widowControl w:val="0"/>
      <w:ind w:firstLine="200"/>
      <w:jc w:val="both"/>
    </w:pPr>
    <w:rPr>
      <w:rFonts w:ascii="宋体" w:hAnsi="宋体" w:eastAsia="宋体" w:cs="宋体"/>
      <w:color w:val="000000"/>
      <w:sz w:val="21"/>
      <w:szCs w:val="21"/>
      <w:lang w:val="en-US" w:eastAsia="zh-CN" w:bidi="ar-SA"/>
    </w:rPr>
  </w:style>
  <w:style w:type="paragraph" w:styleId="18">
    <w:name w:val="Body Text Indent"/>
    <w:basedOn w:val="1"/>
    <w:next w:val="19"/>
    <w:link w:val="55"/>
    <w:qFormat/>
    <w:uiPriority w:val="99"/>
    <w:pPr>
      <w:widowControl w:val="0"/>
      <w:spacing w:after="120"/>
      <w:ind w:left="420" w:leftChars="200"/>
    </w:pPr>
    <w:rPr>
      <w:rFonts w:ascii="Calibri" w:hAnsi="Calibri" w:cs="Times New Roman"/>
    </w:rPr>
  </w:style>
  <w:style w:type="paragraph" w:styleId="19">
    <w:name w:val="Body Text First Indent 2"/>
    <w:basedOn w:val="18"/>
    <w:next w:val="1"/>
    <w:link w:val="62"/>
    <w:qFormat/>
    <w:uiPriority w:val="99"/>
    <w:pPr>
      <w:ind w:firstLine="420" w:firstLineChars="200"/>
    </w:pPr>
  </w:style>
  <w:style w:type="paragraph" w:styleId="20">
    <w:name w:val="Plain Text"/>
    <w:basedOn w:val="1"/>
    <w:next w:val="21"/>
    <w:link w:val="56"/>
    <w:qFormat/>
    <w:uiPriority w:val="0"/>
    <w:pPr>
      <w:widowControl w:val="0"/>
    </w:pPr>
    <w:rPr>
      <w:rFonts w:ascii="宋体" w:hAnsi="Courier New" w:cs="Times New Roman"/>
    </w:rPr>
  </w:style>
  <w:style w:type="paragraph" w:styleId="21">
    <w:name w:val="Date"/>
    <w:basedOn w:val="1"/>
    <w:next w:val="1"/>
    <w:qFormat/>
    <w:uiPriority w:val="0"/>
    <w:pPr>
      <w:ind w:left="2500" w:leftChars="2500"/>
    </w:pPr>
    <w:rPr>
      <w:rFonts w:eastAsia="楷体_GB2312"/>
      <w:sz w:val="32"/>
      <w:szCs w:val="20"/>
    </w:rPr>
  </w:style>
  <w:style w:type="paragraph" w:styleId="22">
    <w:name w:val="toc 8"/>
    <w:basedOn w:val="1"/>
    <w:next w:val="1"/>
    <w:qFormat/>
    <w:uiPriority w:val="0"/>
    <w:pPr>
      <w:ind w:left="2940" w:leftChars="1400"/>
    </w:pPr>
  </w:style>
  <w:style w:type="paragraph" w:styleId="23">
    <w:name w:val="Body Text Indent 2"/>
    <w:basedOn w:val="1"/>
    <w:qFormat/>
    <w:uiPriority w:val="0"/>
    <w:pPr>
      <w:spacing w:line="480" w:lineRule="atLeast"/>
      <w:ind w:firstLine="480"/>
    </w:pPr>
    <w:rPr>
      <w:rFonts w:ascii="宋体"/>
      <w:kern w:val="0"/>
      <w:sz w:val="24"/>
      <w:szCs w:val="20"/>
    </w:rPr>
  </w:style>
  <w:style w:type="paragraph" w:styleId="24">
    <w:name w:val="Balloon Text"/>
    <w:basedOn w:val="1"/>
    <w:link w:val="57"/>
    <w:qFormat/>
    <w:uiPriority w:val="99"/>
    <w:pPr>
      <w:widowControl w:val="0"/>
    </w:pPr>
    <w:rPr>
      <w:rFonts w:ascii="Calibri" w:hAnsi="Calibri" w:cs="Times New Roman"/>
      <w:sz w:val="18"/>
      <w:szCs w:val="18"/>
    </w:rPr>
  </w:style>
  <w:style w:type="paragraph" w:styleId="25">
    <w:name w:val="footer"/>
    <w:basedOn w:val="1"/>
    <w:link w:val="58"/>
    <w:qFormat/>
    <w:uiPriority w:val="99"/>
    <w:pPr>
      <w:tabs>
        <w:tab w:val="center" w:pos="4153"/>
        <w:tab w:val="right" w:pos="8306"/>
      </w:tabs>
      <w:snapToGrid w:val="0"/>
      <w:jc w:val="left"/>
    </w:pPr>
    <w:rPr>
      <w:rFonts w:cs="Times New Roman"/>
      <w:sz w:val="18"/>
      <w:szCs w:val="18"/>
    </w:rPr>
  </w:style>
  <w:style w:type="paragraph" w:styleId="26">
    <w:name w:val="header"/>
    <w:basedOn w:val="1"/>
    <w:next w:val="27"/>
    <w:link w:val="59"/>
    <w:qFormat/>
    <w:uiPriority w:val="99"/>
    <w:pPr>
      <w:widowControl w:val="0"/>
      <w:pBdr>
        <w:bottom w:val="single" w:color="auto" w:sz="6" w:space="1"/>
      </w:pBdr>
      <w:tabs>
        <w:tab w:val="center" w:pos="4153"/>
        <w:tab w:val="right" w:pos="8306"/>
      </w:tabs>
      <w:snapToGrid w:val="0"/>
      <w:jc w:val="center"/>
    </w:pPr>
    <w:rPr>
      <w:rFonts w:ascii="Calibri" w:hAnsi="Calibri" w:cs="Times New Roman"/>
      <w:sz w:val="18"/>
      <w:szCs w:val="18"/>
    </w:rPr>
  </w:style>
  <w:style w:type="paragraph" w:customStyle="1" w:styleId="27">
    <w:name w:val="Quote1"/>
    <w:basedOn w:val="1"/>
    <w:next w:val="1"/>
    <w:qFormat/>
    <w:uiPriority w:val="99"/>
    <w:pPr>
      <w:wordWrap w:val="0"/>
      <w:spacing w:before="200" w:after="160"/>
      <w:ind w:left="864" w:right="864"/>
      <w:jc w:val="center"/>
    </w:pPr>
    <w:rPr>
      <w:rFonts w:ascii="宋体"/>
      <w:i/>
      <w:color w:val="404040"/>
    </w:rPr>
  </w:style>
  <w:style w:type="paragraph" w:styleId="28">
    <w:name w:val="toc 1"/>
    <w:basedOn w:val="1"/>
    <w:next w:val="1"/>
    <w:qFormat/>
    <w:uiPriority w:val="0"/>
    <w:pPr>
      <w:spacing w:line="400" w:lineRule="exact"/>
    </w:pPr>
    <w:rPr>
      <w:rFonts w:ascii="Calibri" w:hAnsi="Calibri" w:cs="Times New Roman"/>
      <w:szCs w:val="24"/>
    </w:rPr>
  </w:style>
  <w:style w:type="paragraph" w:styleId="29">
    <w:name w:val="Body Text Indent 3"/>
    <w:basedOn w:val="1"/>
    <w:qFormat/>
    <w:uiPriority w:val="0"/>
    <w:pPr>
      <w:snapToGrid w:val="0"/>
      <w:ind w:firstLine="480" w:firstLineChars="200"/>
      <w:jc w:val="left"/>
    </w:pPr>
    <w:rPr>
      <w:rFonts w:ascii="仿宋_GB2312" w:eastAsia="仿宋_GB2312"/>
      <w:color w:val="000000"/>
      <w:sz w:val="24"/>
      <w:szCs w:val="24"/>
    </w:rPr>
  </w:style>
  <w:style w:type="paragraph" w:styleId="30">
    <w:name w:val="toc 2"/>
    <w:basedOn w:val="1"/>
    <w:next w:val="1"/>
    <w:qFormat/>
    <w:uiPriority w:val="0"/>
    <w:pPr>
      <w:ind w:left="420" w:leftChars="200"/>
    </w:pPr>
  </w:style>
  <w:style w:type="paragraph" w:styleId="31">
    <w:name w:val="Body Text 2"/>
    <w:basedOn w:val="1"/>
    <w:qFormat/>
    <w:uiPriority w:val="0"/>
    <w:rPr>
      <w:rFonts w:ascii="宋体" w:hAnsi="Times New Roman" w:cs="Times New Roman"/>
      <w:color w:val="000000"/>
      <w:sz w:val="28"/>
    </w:rPr>
  </w:style>
  <w:style w:type="paragraph" w:styleId="32">
    <w:name w:val="HTML Preformatted"/>
    <w:basedOn w:val="1"/>
    <w:link w:val="60"/>
    <w:qFormat/>
    <w:uiPriority w:val="99"/>
    <w:pPr>
      <w:widowControl w:val="0"/>
    </w:pPr>
    <w:rPr>
      <w:rFonts w:ascii="Courier New" w:hAnsi="Courier New" w:cs="Times New Roman"/>
      <w:sz w:val="20"/>
      <w:szCs w:val="20"/>
    </w:rPr>
  </w:style>
  <w:style w:type="paragraph" w:styleId="33">
    <w:name w:val="Normal (Web)"/>
    <w:basedOn w:val="1"/>
    <w:qFormat/>
    <w:uiPriority w:val="0"/>
    <w:pPr>
      <w:widowControl w:val="0"/>
    </w:pPr>
    <w:rPr>
      <w:rFonts w:ascii="Calibri" w:hAnsi="Calibri" w:cs="Calibri"/>
      <w:sz w:val="24"/>
      <w:szCs w:val="24"/>
    </w:rPr>
  </w:style>
  <w:style w:type="paragraph" w:styleId="34">
    <w:name w:val="annotation subject"/>
    <w:basedOn w:val="12"/>
    <w:next w:val="12"/>
    <w:link w:val="61"/>
    <w:qFormat/>
    <w:uiPriority w:val="99"/>
    <w:rPr>
      <w:b/>
      <w:bCs/>
    </w:rPr>
  </w:style>
  <w:style w:type="paragraph" w:styleId="35">
    <w:name w:val="Body Text First Indent"/>
    <w:basedOn w:val="14"/>
    <w:next w:val="1"/>
    <w:unhideWhenUsed/>
    <w:qFormat/>
    <w:uiPriority w:val="99"/>
    <w:pPr>
      <w:ind w:firstLine="420" w:firstLineChars="100"/>
    </w:pPr>
    <w:rPr>
      <w:szCs w:val="22"/>
    </w:rPr>
  </w:style>
  <w:style w:type="table" w:styleId="37">
    <w:name w:val="Table Grid"/>
    <w:basedOn w:val="36"/>
    <w:qFormat/>
    <w:uiPriority w:val="39"/>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99"/>
    <w:rPr>
      <w:b/>
      <w:bCs/>
    </w:rPr>
  </w:style>
  <w:style w:type="character" w:styleId="40">
    <w:name w:val="page number"/>
    <w:qFormat/>
    <w:uiPriority w:val="99"/>
  </w:style>
  <w:style w:type="character" w:styleId="41">
    <w:name w:val="Emphasis"/>
    <w:qFormat/>
    <w:uiPriority w:val="20"/>
    <w:rPr>
      <w:rFonts w:eastAsia="黑体"/>
      <w:color w:val="auto"/>
    </w:rPr>
  </w:style>
  <w:style w:type="character" w:styleId="42">
    <w:name w:val="Hyperlink"/>
    <w:basedOn w:val="38"/>
    <w:qFormat/>
    <w:uiPriority w:val="99"/>
    <w:rPr>
      <w:color w:val="0000FF"/>
      <w:u w:val="single"/>
    </w:rPr>
  </w:style>
  <w:style w:type="character" w:styleId="43">
    <w:name w:val="annotation reference"/>
    <w:qFormat/>
    <w:uiPriority w:val="99"/>
    <w:rPr>
      <w:sz w:val="21"/>
      <w:szCs w:val="21"/>
    </w:rPr>
  </w:style>
  <w:style w:type="paragraph" w:customStyle="1" w:styleId="44">
    <w:name w:val="xl53"/>
    <w:basedOn w:val="1"/>
    <w:next w:val="1"/>
    <w:qFormat/>
    <w:uiPriority w:val="0"/>
    <w:pPr>
      <w:spacing w:before="280" w:after="280" w:line="100" w:lineRule="exact"/>
      <w:jc w:val="center"/>
    </w:pPr>
    <w:rPr>
      <w:b/>
      <w:sz w:val="20"/>
    </w:rPr>
  </w:style>
  <w:style w:type="character" w:customStyle="1" w:styleId="45">
    <w:name w:val="正文文本 字符"/>
    <w:link w:val="14"/>
    <w:qFormat/>
    <w:uiPriority w:val="99"/>
    <w:rPr>
      <w:rFonts w:ascii="Calibri" w:hAnsi="Calibri" w:cs="Calibri"/>
      <w:kern w:val="2"/>
      <w:sz w:val="21"/>
      <w:szCs w:val="21"/>
    </w:rPr>
  </w:style>
  <w:style w:type="character" w:customStyle="1" w:styleId="46">
    <w:name w:val="标题 1 字符"/>
    <w:link w:val="3"/>
    <w:qFormat/>
    <w:locked/>
    <w:uiPriority w:val="99"/>
    <w:rPr>
      <w:rFonts w:ascii="等线" w:hAnsi="宋体" w:cs="等线"/>
      <w:b/>
      <w:bCs/>
      <w:kern w:val="44"/>
      <w:sz w:val="44"/>
      <w:szCs w:val="44"/>
    </w:rPr>
  </w:style>
  <w:style w:type="character" w:customStyle="1" w:styleId="47">
    <w:name w:val="标题 2 字符"/>
    <w:link w:val="2"/>
    <w:qFormat/>
    <w:locked/>
    <w:uiPriority w:val="9"/>
    <w:rPr>
      <w:rFonts w:ascii="宋体" w:hAnsi="宋体" w:cs="宋体"/>
      <w:kern w:val="24"/>
      <w:sz w:val="24"/>
      <w:szCs w:val="24"/>
    </w:rPr>
  </w:style>
  <w:style w:type="character" w:customStyle="1" w:styleId="48">
    <w:name w:val="标题 3 字符"/>
    <w:link w:val="4"/>
    <w:qFormat/>
    <w:locked/>
    <w:uiPriority w:val="9"/>
    <w:rPr>
      <w:rFonts w:ascii="黑体" w:hAnsi="宋体" w:eastAsia="黑体" w:cs="黑体"/>
      <w:color w:val="000000"/>
      <w:kern w:val="24"/>
      <w:sz w:val="24"/>
      <w:szCs w:val="24"/>
    </w:rPr>
  </w:style>
  <w:style w:type="character" w:customStyle="1" w:styleId="49">
    <w:name w:val="标题 4 字符"/>
    <w:link w:val="5"/>
    <w:qFormat/>
    <w:uiPriority w:val="9"/>
    <w:rPr>
      <w:rFonts w:ascii="Cambria" w:hAnsi="Cambria"/>
      <w:b/>
      <w:bCs/>
      <w:kern w:val="2"/>
      <w:sz w:val="28"/>
      <w:szCs w:val="28"/>
    </w:rPr>
  </w:style>
  <w:style w:type="character" w:customStyle="1" w:styleId="50">
    <w:name w:val="标题 5 字符"/>
    <w:link w:val="6"/>
    <w:qFormat/>
    <w:uiPriority w:val="99"/>
    <w:rPr>
      <w:rFonts w:ascii="Calibri" w:hAnsi="Calibri" w:cs="Calibri"/>
      <w:kern w:val="2"/>
      <w:sz w:val="21"/>
      <w:szCs w:val="21"/>
    </w:rPr>
  </w:style>
  <w:style w:type="character" w:customStyle="1" w:styleId="51">
    <w:name w:val="标题 6 字符"/>
    <w:link w:val="7"/>
    <w:qFormat/>
    <w:uiPriority w:val="99"/>
    <w:rPr>
      <w:rFonts w:ascii="Calibri" w:hAnsi="Calibri" w:cs="Calibri"/>
      <w:kern w:val="2"/>
      <w:sz w:val="21"/>
      <w:szCs w:val="21"/>
    </w:rPr>
  </w:style>
  <w:style w:type="character" w:customStyle="1" w:styleId="52">
    <w:name w:val="正文缩进 字符"/>
    <w:link w:val="9"/>
    <w:qFormat/>
    <w:uiPriority w:val="0"/>
    <w:rPr>
      <w:rFonts w:ascii="宋体" w:hAnsi="宋体"/>
      <w:snapToGrid w:val="0"/>
      <w:color w:val="000000"/>
      <w:kern w:val="28"/>
      <w:sz w:val="28"/>
    </w:rPr>
  </w:style>
  <w:style w:type="character" w:customStyle="1" w:styleId="53">
    <w:name w:val="文档结构图 字符"/>
    <w:link w:val="11"/>
    <w:qFormat/>
    <w:uiPriority w:val="99"/>
    <w:rPr>
      <w:rFonts w:ascii="宋体" w:hAnsi="Calibri" w:cs="宋体"/>
      <w:kern w:val="2"/>
      <w:sz w:val="18"/>
      <w:szCs w:val="18"/>
    </w:rPr>
  </w:style>
  <w:style w:type="character" w:customStyle="1" w:styleId="54">
    <w:name w:val="批注文字 字符"/>
    <w:link w:val="12"/>
    <w:qFormat/>
    <w:uiPriority w:val="99"/>
    <w:rPr>
      <w:rFonts w:ascii="Calibri" w:hAnsi="Calibri" w:cs="Calibri"/>
      <w:kern w:val="2"/>
      <w:sz w:val="21"/>
      <w:szCs w:val="21"/>
    </w:rPr>
  </w:style>
  <w:style w:type="character" w:customStyle="1" w:styleId="55">
    <w:name w:val="正文文本缩进 字符"/>
    <w:link w:val="18"/>
    <w:qFormat/>
    <w:locked/>
    <w:uiPriority w:val="99"/>
    <w:rPr>
      <w:rFonts w:ascii="Calibri" w:hAnsi="Calibri" w:cs="Calibri"/>
      <w:kern w:val="2"/>
      <w:sz w:val="21"/>
      <w:szCs w:val="21"/>
    </w:rPr>
  </w:style>
  <w:style w:type="character" w:customStyle="1" w:styleId="56">
    <w:name w:val="纯文本 字符"/>
    <w:link w:val="20"/>
    <w:qFormat/>
    <w:locked/>
    <w:uiPriority w:val="0"/>
    <w:rPr>
      <w:rFonts w:ascii="宋体" w:hAnsi="Courier New" w:cs="宋体"/>
      <w:kern w:val="2"/>
      <w:sz w:val="21"/>
      <w:szCs w:val="21"/>
    </w:rPr>
  </w:style>
  <w:style w:type="character" w:customStyle="1" w:styleId="57">
    <w:name w:val="批注框文本 字符"/>
    <w:link w:val="24"/>
    <w:qFormat/>
    <w:uiPriority w:val="99"/>
    <w:rPr>
      <w:rFonts w:ascii="Calibri" w:hAnsi="Calibri" w:cs="Calibri"/>
      <w:kern w:val="2"/>
      <w:sz w:val="18"/>
      <w:szCs w:val="18"/>
    </w:rPr>
  </w:style>
  <w:style w:type="character" w:customStyle="1" w:styleId="58">
    <w:name w:val="页脚 字符"/>
    <w:link w:val="25"/>
    <w:qFormat/>
    <w:uiPriority w:val="99"/>
    <w:rPr>
      <w:rFonts w:ascii="等线" w:hAnsi="宋体" w:cs="等线"/>
      <w:kern w:val="2"/>
      <w:sz w:val="18"/>
      <w:szCs w:val="18"/>
    </w:rPr>
  </w:style>
  <w:style w:type="character" w:customStyle="1" w:styleId="59">
    <w:name w:val="页眉 字符"/>
    <w:link w:val="26"/>
    <w:qFormat/>
    <w:locked/>
    <w:uiPriority w:val="99"/>
    <w:rPr>
      <w:rFonts w:ascii="Calibri" w:hAnsi="Calibri" w:cs="Calibri"/>
      <w:kern w:val="2"/>
      <w:sz w:val="18"/>
      <w:szCs w:val="18"/>
    </w:rPr>
  </w:style>
  <w:style w:type="character" w:customStyle="1" w:styleId="60">
    <w:name w:val="HTML 预设格式 字符"/>
    <w:link w:val="32"/>
    <w:qFormat/>
    <w:uiPriority w:val="99"/>
    <w:rPr>
      <w:rFonts w:ascii="Courier New" w:hAnsi="Courier New" w:cs="Courier New"/>
      <w:kern w:val="2"/>
    </w:rPr>
  </w:style>
  <w:style w:type="character" w:customStyle="1" w:styleId="61">
    <w:name w:val="批注主题 字符"/>
    <w:link w:val="34"/>
    <w:qFormat/>
    <w:uiPriority w:val="99"/>
    <w:rPr>
      <w:rFonts w:ascii="Calibri" w:hAnsi="Calibri" w:cs="Calibri"/>
      <w:b/>
      <w:bCs/>
      <w:kern w:val="2"/>
      <w:sz w:val="21"/>
      <w:szCs w:val="21"/>
    </w:rPr>
  </w:style>
  <w:style w:type="character" w:customStyle="1" w:styleId="62">
    <w:name w:val="正文首行缩进 2 字符"/>
    <w:link w:val="19"/>
    <w:qFormat/>
    <w:locked/>
    <w:uiPriority w:val="99"/>
    <w:rPr>
      <w:rFonts w:ascii="Calibri" w:hAnsi="Calibri" w:cs="Calibri"/>
      <w:kern w:val="2"/>
      <w:sz w:val="21"/>
      <w:szCs w:val="21"/>
    </w:rPr>
  </w:style>
  <w:style w:type="paragraph" w:customStyle="1" w:styleId="63">
    <w:name w:val="自动更正"/>
    <w:qFormat/>
    <w:uiPriority w:val="99"/>
    <w:pPr>
      <w:widowControl w:val="0"/>
      <w:jc w:val="both"/>
    </w:pPr>
    <w:rPr>
      <w:rFonts w:ascii="黑体" w:hAnsi="黑体" w:eastAsia="微软雅黑" w:cs="黑体"/>
      <w:kern w:val="2"/>
      <w:sz w:val="21"/>
      <w:szCs w:val="21"/>
      <w:lang w:val="en-US" w:eastAsia="zh-CN" w:bidi="ar-SA"/>
    </w:rPr>
  </w:style>
  <w:style w:type="character" w:customStyle="1" w:styleId="64">
    <w:name w:val="font171"/>
    <w:qFormat/>
    <w:uiPriority w:val="99"/>
    <w:rPr>
      <w:rFonts w:ascii="font-weight : 400" w:hAnsi="font-weight : 400" w:cs="font-weight : 400"/>
      <w:color w:val="000000"/>
      <w:sz w:val="20"/>
      <w:szCs w:val="20"/>
      <w:u w:val="none"/>
    </w:rPr>
  </w:style>
  <w:style w:type="character" w:customStyle="1" w:styleId="65">
    <w:name w:val="font161"/>
    <w:qFormat/>
    <w:uiPriority w:val="99"/>
    <w:rPr>
      <w:rFonts w:ascii="宋体" w:hAnsi="宋体" w:eastAsia="宋体" w:cs="宋体"/>
      <w:color w:val="000000"/>
      <w:sz w:val="20"/>
      <w:szCs w:val="20"/>
      <w:u w:val="none"/>
    </w:rPr>
  </w:style>
  <w:style w:type="character" w:customStyle="1" w:styleId="66">
    <w:name w:val="font71"/>
    <w:qFormat/>
    <w:uiPriority w:val="99"/>
    <w:rPr>
      <w:rFonts w:ascii="宋体" w:hAnsi="宋体" w:eastAsia="宋体" w:cs="宋体"/>
      <w:color w:val="000000"/>
      <w:sz w:val="18"/>
      <w:szCs w:val="18"/>
      <w:u w:val="none"/>
    </w:rPr>
  </w:style>
  <w:style w:type="character" w:customStyle="1" w:styleId="67">
    <w:name w:val="large1"/>
    <w:qFormat/>
    <w:uiPriority w:val="99"/>
    <w:rPr>
      <w:rFonts w:ascii="宋体" w:hAnsi="宋体" w:eastAsia="宋体" w:cs="宋体"/>
      <w:sz w:val="21"/>
      <w:szCs w:val="21"/>
    </w:rPr>
  </w:style>
  <w:style w:type="character" w:customStyle="1" w:styleId="68">
    <w:name w:val="！正文（四号字） Char"/>
    <w:link w:val="69"/>
    <w:qFormat/>
    <w:uiPriority w:val="0"/>
    <w:rPr>
      <w:sz w:val="24"/>
      <w:szCs w:val="28"/>
      <w:lang w:val="en-US" w:eastAsia="zh-CN" w:bidi="ar-SA"/>
    </w:rPr>
  </w:style>
  <w:style w:type="paragraph" w:customStyle="1" w:styleId="69">
    <w:name w:val="！正文（四号字）"/>
    <w:link w:val="68"/>
    <w:qFormat/>
    <w:locked/>
    <w:uiPriority w:val="0"/>
    <w:pPr>
      <w:snapToGrid w:val="0"/>
      <w:spacing w:line="360" w:lineRule="auto"/>
      <w:ind w:firstLine="200" w:firstLineChars="200"/>
      <w:jc w:val="both"/>
    </w:pPr>
    <w:rPr>
      <w:rFonts w:ascii="Times New Roman" w:hAnsi="Times New Roman" w:eastAsia="宋体" w:cs="Times New Roman"/>
      <w:sz w:val="24"/>
      <w:szCs w:val="28"/>
      <w:lang w:val="en-US" w:eastAsia="zh-CN" w:bidi="ar-SA"/>
    </w:rPr>
  </w:style>
  <w:style w:type="character" w:customStyle="1" w:styleId="70">
    <w:name w:val="font51"/>
    <w:qFormat/>
    <w:uiPriority w:val="99"/>
    <w:rPr>
      <w:rFonts w:ascii="宋体" w:hAnsi="宋体" w:eastAsia="宋体" w:cs="宋体"/>
      <w:color w:val="000000"/>
      <w:sz w:val="20"/>
      <w:szCs w:val="20"/>
      <w:u w:val="none"/>
    </w:rPr>
  </w:style>
  <w:style w:type="character" w:customStyle="1" w:styleId="71">
    <w:name w:val="font31"/>
    <w:qFormat/>
    <w:uiPriority w:val="99"/>
    <w:rPr>
      <w:rFonts w:ascii="宋体" w:hAnsi="宋体" w:eastAsia="宋体" w:cs="宋体"/>
      <w:color w:val="000000"/>
      <w:sz w:val="24"/>
      <w:szCs w:val="24"/>
      <w:u w:val="none"/>
    </w:rPr>
  </w:style>
  <w:style w:type="character" w:customStyle="1" w:styleId="72">
    <w:name w:val="font21"/>
    <w:qFormat/>
    <w:uiPriority w:val="99"/>
    <w:rPr>
      <w:rFonts w:ascii="宋体" w:hAnsi="宋体" w:eastAsia="宋体" w:cs="宋体"/>
      <w:color w:val="000000"/>
      <w:sz w:val="22"/>
      <w:szCs w:val="22"/>
      <w:u w:val="none"/>
    </w:rPr>
  </w:style>
  <w:style w:type="character" w:customStyle="1" w:styleId="73">
    <w:name w:val="font01"/>
    <w:qFormat/>
    <w:uiPriority w:val="99"/>
    <w:rPr>
      <w:rFonts w:ascii="宋体" w:hAnsi="宋体" w:eastAsia="宋体" w:cs="宋体"/>
      <w:color w:val="000000"/>
      <w:sz w:val="20"/>
      <w:szCs w:val="20"/>
      <w:u w:val="none"/>
    </w:rPr>
  </w:style>
  <w:style w:type="character" w:customStyle="1" w:styleId="74">
    <w:name w:val="font141"/>
    <w:qFormat/>
    <w:uiPriority w:val="99"/>
    <w:rPr>
      <w:rFonts w:ascii="宋体" w:hAnsi="宋体" w:eastAsia="宋体" w:cs="宋体"/>
      <w:color w:val="000000"/>
      <w:sz w:val="20"/>
      <w:szCs w:val="20"/>
      <w:u w:val="none"/>
    </w:rPr>
  </w:style>
  <w:style w:type="character" w:customStyle="1" w:styleId="75">
    <w:name w:val="不明显强调1"/>
    <w:qFormat/>
    <w:uiPriority w:val="99"/>
    <w:rPr>
      <w:i/>
      <w:iCs/>
      <w:color w:val="auto"/>
    </w:rPr>
  </w:style>
  <w:style w:type="character" w:customStyle="1" w:styleId="76">
    <w:name w:val="font61"/>
    <w:qFormat/>
    <w:uiPriority w:val="99"/>
    <w:rPr>
      <w:rFonts w:ascii="宋体" w:hAnsi="宋体" w:eastAsia="宋体" w:cs="宋体"/>
      <w:color w:val="7030A0"/>
      <w:sz w:val="20"/>
      <w:szCs w:val="20"/>
      <w:u w:val="none"/>
    </w:rPr>
  </w:style>
  <w:style w:type="character" w:customStyle="1" w:styleId="77">
    <w:name w:val="font11"/>
    <w:qFormat/>
    <w:uiPriority w:val="99"/>
    <w:rPr>
      <w:rFonts w:ascii="宋体" w:hAnsi="宋体" w:eastAsia="宋体" w:cs="宋体"/>
      <w:color w:val="000000"/>
      <w:sz w:val="22"/>
      <w:szCs w:val="22"/>
      <w:u w:val="none"/>
    </w:rPr>
  </w:style>
  <w:style w:type="character" w:customStyle="1" w:styleId="78">
    <w:name w:val="font41"/>
    <w:qFormat/>
    <w:uiPriority w:val="99"/>
    <w:rPr>
      <w:rFonts w:ascii="Calibri" w:hAnsi="Calibri" w:cs="Calibri"/>
      <w:color w:val="000000"/>
      <w:sz w:val="18"/>
      <w:szCs w:val="18"/>
      <w:u w:val="none"/>
    </w:rPr>
  </w:style>
  <w:style w:type="character" w:customStyle="1" w:styleId="79">
    <w:name w:val="font131"/>
    <w:qFormat/>
    <w:uiPriority w:val="99"/>
    <w:rPr>
      <w:rFonts w:ascii="等线" w:hAnsi="等线" w:eastAsia="等线" w:cs="等线"/>
      <w:color w:val="FF0000"/>
      <w:sz w:val="22"/>
      <w:szCs w:val="22"/>
      <w:u w:val="none"/>
    </w:rPr>
  </w:style>
  <w:style w:type="character" w:customStyle="1" w:styleId="80">
    <w:name w:val="font151"/>
    <w:qFormat/>
    <w:uiPriority w:val="99"/>
    <w:rPr>
      <w:rFonts w:ascii="宋体" w:hAnsi="宋体" w:eastAsia="宋体" w:cs="宋体"/>
      <w:color w:val="000000"/>
      <w:sz w:val="20"/>
      <w:szCs w:val="20"/>
      <w:u w:val="none"/>
    </w:rPr>
  </w:style>
  <w:style w:type="paragraph" w:customStyle="1" w:styleId="81">
    <w:name w:val="正文1"/>
    <w:basedOn w:val="1"/>
    <w:next w:val="63"/>
    <w:qFormat/>
    <w:uiPriority w:val="0"/>
    <w:pPr>
      <w:tabs>
        <w:tab w:val="left" w:pos="1980"/>
        <w:tab w:val="left" w:pos="2160"/>
      </w:tabs>
      <w:spacing w:line="360" w:lineRule="auto"/>
      <w:ind w:left="2160"/>
    </w:pPr>
    <w:rPr>
      <w:rFonts w:ascii="宋体"/>
    </w:rPr>
  </w:style>
  <w:style w:type="paragraph" w:customStyle="1" w:styleId="82">
    <w:name w:val="*Body Text"/>
    <w:qFormat/>
    <w:uiPriority w:val="0"/>
    <w:pPr>
      <w:spacing w:line="360" w:lineRule="auto"/>
    </w:pPr>
    <w:rPr>
      <w:rFonts w:ascii="Futura Lt" w:hAnsi="Futura Lt" w:eastAsia="宋体" w:cs="Futura Lt"/>
      <w:kern w:val="2"/>
      <w:sz w:val="21"/>
      <w:szCs w:val="21"/>
      <w:lang w:val="en-US" w:eastAsia="en-US" w:bidi="ar-SA"/>
    </w:rPr>
  </w:style>
  <w:style w:type="paragraph" w:customStyle="1" w:styleId="83">
    <w:name w:val="样式1"/>
    <w:basedOn w:val="1"/>
    <w:qFormat/>
    <w:uiPriority w:val="0"/>
    <w:pPr>
      <w:spacing w:line="360" w:lineRule="exact"/>
      <w:ind w:firstLine="200" w:firstLineChars="200"/>
    </w:pPr>
    <w:rPr>
      <w:rFonts w:ascii="Arial" w:hAnsi="Arial"/>
    </w:rPr>
  </w:style>
  <w:style w:type="paragraph" w:customStyle="1" w:styleId="84">
    <w:name w:val="正文段"/>
    <w:basedOn w:val="1"/>
    <w:qFormat/>
    <w:uiPriority w:val="0"/>
    <w:pPr>
      <w:snapToGrid w:val="0"/>
      <w:spacing w:afterLines="50"/>
      <w:ind w:firstLine="200" w:firstLineChars="200"/>
    </w:pPr>
    <w:rPr>
      <w:rFonts w:ascii="Times New Roman" w:hAnsi="Times New Roman"/>
      <w:kern w:val="0"/>
      <w:sz w:val="24"/>
      <w:szCs w:val="20"/>
    </w:rPr>
  </w:style>
  <w:style w:type="paragraph" w:customStyle="1" w:styleId="85">
    <w:name w:val="Item List in Table"/>
    <w:basedOn w:val="1"/>
    <w:qFormat/>
    <w:uiPriority w:val="99"/>
    <w:pPr>
      <w:tabs>
        <w:tab w:val="left" w:pos="284"/>
      </w:tabs>
      <w:topLinePunct/>
      <w:snapToGrid w:val="0"/>
      <w:spacing w:before="80" w:after="80" w:line="240" w:lineRule="atLeast"/>
      <w:ind w:left="284" w:hanging="284"/>
    </w:pPr>
    <w:rPr>
      <w:rFonts w:ascii="Calibri" w:hAnsi="Calibri" w:cs="Calibri"/>
    </w:rPr>
  </w:style>
  <w:style w:type="paragraph" w:customStyle="1" w:styleId="86">
    <w:name w:val="普通(Web)1"/>
    <w:basedOn w:val="1"/>
    <w:next w:val="33"/>
    <w:qFormat/>
    <w:uiPriority w:val="99"/>
    <w:pPr>
      <w:spacing w:before="100" w:beforeAutospacing="1" w:after="100" w:afterAutospacing="1"/>
      <w:jc w:val="left"/>
    </w:pPr>
    <w:rPr>
      <w:rFonts w:ascii="宋体" w:cs="宋体"/>
      <w:color w:val="000000"/>
      <w:kern w:val="0"/>
      <w:sz w:val="24"/>
      <w:szCs w:val="24"/>
    </w:rPr>
  </w:style>
  <w:style w:type="paragraph" w:customStyle="1" w:styleId="87">
    <w:name w:val="paragraphindent"/>
    <w:basedOn w:val="1"/>
    <w:qFormat/>
    <w:uiPriority w:val="99"/>
    <w:pPr>
      <w:spacing w:before="100" w:beforeAutospacing="1" w:after="100" w:afterAutospacing="1"/>
      <w:jc w:val="left"/>
    </w:pPr>
    <w:rPr>
      <w:rFonts w:ascii="宋体" w:cs="宋体"/>
      <w:kern w:val="0"/>
      <w:sz w:val="24"/>
      <w:szCs w:val="24"/>
    </w:rPr>
  </w:style>
  <w:style w:type="paragraph" w:customStyle="1" w:styleId="88">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b/>
      <w:bCs/>
      <w:kern w:val="0"/>
      <w:sz w:val="20"/>
      <w:szCs w:val="20"/>
    </w:rPr>
  </w:style>
  <w:style w:type="paragraph" w:customStyle="1" w:styleId="89">
    <w:name w:val="xl71"/>
    <w:basedOn w:val="1"/>
    <w:qFormat/>
    <w:uiPriority w:val="0"/>
    <w:pPr>
      <w:spacing w:before="100" w:beforeAutospacing="1" w:after="100" w:afterAutospacing="1"/>
      <w:jc w:val="left"/>
      <w:textAlignment w:val="center"/>
    </w:pPr>
    <w:rPr>
      <w:rFonts w:ascii="宋体" w:cs="宋体"/>
      <w:kern w:val="0"/>
      <w:sz w:val="20"/>
      <w:szCs w:val="20"/>
    </w:rPr>
  </w:style>
  <w:style w:type="paragraph" w:customStyle="1" w:styleId="90">
    <w:name w:val="Default"/>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1">
    <w:name w:val="xl70"/>
    <w:basedOn w:val="1"/>
    <w:qFormat/>
    <w:uiPriority w:val="0"/>
    <w:pPr>
      <w:pBdr>
        <w:top w:val="single" w:color="auto" w:sz="4" w:space="0"/>
        <w:left w:val="single" w:color="auto" w:sz="4" w:space="0"/>
        <w:bottom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92">
    <w:name w:val="xl84"/>
    <w:basedOn w:val="1"/>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93">
    <w:name w:val="xl8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sz w:val="20"/>
      <w:szCs w:val="20"/>
    </w:rPr>
  </w:style>
  <w:style w:type="paragraph" w:customStyle="1" w:styleId="94">
    <w:name w:val="Proposals body"/>
    <w:basedOn w:val="1"/>
    <w:next w:val="1"/>
    <w:qFormat/>
    <w:uiPriority w:val="99"/>
    <w:pPr>
      <w:spacing w:line="360" w:lineRule="auto"/>
      <w:jc w:val="left"/>
    </w:pPr>
    <w:rPr>
      <w:rFonts w:ascii="宋体" w:hAnsi="Calibri" w:cs="宋体"/>
      <w:color w:val="000000"/>
      <w:kern w:val="0"/>
      <w:sz w:val="24"/>
      <w:szCs w:val="24"/>
    </w:rPr>
  </w:style>
  <w:style w:type="paragraph" w:customStyle="1" w:styleId="95">
    <w:name w:val="xl69"/>
    <w:basedOn w:val="1"/>
    <w:qFormat/>
    <w:uiPriority w:val="0"/>
    <w:pPr>
      <w:spacing w:before="100" w:beforeAutospacing="1" w:after="100" w:afterAutospacing="1"/>
      <w:jc w:val="left"/>
      <w:textAlignment w:val="center"/>
    </w:pPr>
    <w:rPr>
      <w:rFonts w:ascii="宋体" w:cs="宋体"/>
      <w:kern w:val="0"/>
      <w:sz w:val="24"/>
      <w:szCs w:val="24"/>
    </w:rPr>
  </w:style>
  <w:style w:type="paragraph" w:customStyle="1" w:styleId="96">
    <w:name w:val="p0"/>
    <w:basedOn w:val="1"/>
    <w:qFormat/>
    <w:uiPriority w:val="0"/>
    <w:pPr>
      <w:ind w:left="108" w:right="108" w:firstLine="200"/>
    </w:pPr>
    <w:rPr>
      <w:rFonts w:ascii="Times New Roman" w:hAnsi="Times New Roman" w:eastAsia="微软雅黑" w:cs="Times New Roman"/>
      <w:kern w:val="0"/>
    </w:rPr>
  </w:style>
  <w:style w:type="paragraph" w:customStyle="1" w:styleId="97">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98">
    <w:name w:val="_Style 2"/>
    <w:basedOn w:val="1"/>
    <w:qFormat/>
    <w:uiPriority w:val="99"/>
    <w:pPr>
      <w:widowControl w:val="0"/>
      <w:ind w:firstLine="420" w:firstLineChars="200"/>
    </w:pPr>
    <w:rPr>
      <w:rFonts w:ascii="Calibri" w:hAnsi="Calibri" w:cs="Calibri"/>
    </w:rPr>
  </w:style>
  <w:style w:type="paragraph" w:customStyle="1" w:styleId="99">
    <w:name w:val="_Style 3"/>
    <w:qFormat/>
    <w:uiPriority w:val="99"/>
    <w:rPr>
      <w:rFonts w:ascii="Calibri" w:hAnsi="Calibri" w:eastAsia="宋体" w:cs="Calibri"/>
      <w:sz w:val="22"/>
      <w:szCs w:val="22"/>
      <w:lang w:val="en-US" w:eastAsia="zh-CN" w:bidi="ar-SA"/>
    </w:rPr>
  </w:style>
  <w:style w:type="paragraph" w:customStyle="1" w:styleId="100">
    <w:name w:val="xl102"/>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01">
    <w:name w:val="xl82"/>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4"/>
      <w:szCs w:val="24"/>
    </w:rPr>
  </w:style>
  <w:style w:type="paragraph" w:customStyle="1" w:styleId="102">
    <w:name w:val="正文 New New New New"/>
    <w:qFormat/>
    <w:uiPriority w:val="99"/>
    <w:pPr>
      <w:widowControl w:val="0"/>
      <w:jc w:val="both"/>
    </w:pPr>
    <w:rPr>
      <w:rFonts w:ascii="Calibri" w:hAnsi="Calibri" w:eastAsia="宋体" w:cs="Calibri"/>
      <w:sz w:val="21"/>
      <w:szCs w:val="21"/>
      <w:lang w:val="en-US" w:eastAsia="zh-CN" w:bidi="ar-SA"/>
    </w:rPr>
  </w:style>
  <w:style w:type="paragraph" w:customStyle="1" w:styleId="103">
    <w:name w:val="xl79"/>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4">
    <w:name w:val="xl6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05">
    <w:name w:val="xl87"/>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06">
    <w:name w:val="xl73"/>
    <w:basedOn w:val="1"/>
    <w:qFormat/>
    <w:uiPriority w:val="0"/>
    <w:pPr>
      <w:spacing w:before="100" w:beforeAutospacing="1" w:after="100" w:afterAutospacing="1"/>
      <w:jc w:val="center"/>
      <w:textAlignment w:val="center"/>
    </w:pPr>
    <w:rPr>
      <w:rFonts w:ascii="宋体" w:cs="宋体"/>
      <w:kern w:val="0"/>
      <w:sz w:val="20"/>
      <w:szCs w:val="20"/>
    </w:rPr>
  </w:style>
  <w:style w:type="paragraph" w:customStyle="1" w:styleId="107">
    <w:name w:val="Table Paragraph"/>
    <w:basedOn w:val="1"/>
    <w:qFormat/>
    <w:uiPriority w:val="99"/>
    <w:pPr>
      <w:widowControl w:val="0"/>
    </w:pPr>
    <w:rPr>
      <w:rFonts w:ascii="PMingLiU" w:hAnsi="PMingLiU" w:eastAsia="PMingLiU" w:cs="PMingLiU"/>
      <w:lang w:val="zh-CN"/>
    </w:rPr>
  </w:style>
  <w:style w:type="paragraph" w:customStyle="1" w:styleId="108">
    <w:name w:val="xl9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09">
    <w:name w:val="font5"/>
    <w:basedOn w:val="1"/>
    <w:qFormat/>
    <w:uiPriority w:val="0"/>
    <w:pPr>
      <w:spacing w:before="100" w:beforeAutospacing="1" w:after="100" w:afterAutospacing="1"/>
      <w:jc w:val="left"/>
    </w:pPr>
    <w:rPr>
      <w:rFonts w:eastAsia="等线" w:cs="宋体"/>
      <w:kern w:val="0"/>
      <w:sz w:val="18"/>
      <w:szCs w:val="18"/>
    </w:rPr>
  </w:style>
  <w:style w:type="paragraph" w:customStyle="1" w:styleId="110">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Arial Unicode MS" w:eastAsia="Times New Roman" w:cs="Calibri"/>
      <w:color w:val="000000"/>
      <w:kern w:val="2"/>
      <w:sz w:val="21"/>
      <w:szCs w:val="21"/>
      <w:lang w:val="en-US" w:eastAsia="zh-CN" w:bidi="ar-SA"/>
    </w:rPr>
  </w:style>
  <w:style w:type="paragraph" w:customStyle="1" w:styleId="111">
    <w:name w:val="样式 样式 标题 4 + 段后: 0.5 行 + 段后: 0.5 行"/>
    <w:basedOn w:val="1"/>
    <w:qFormat/>
    <w:uiPriority w:val="99"/>
    <w:pPr>
      <w:keepNext/>
      <w:widowControl w:val="0"/>
      <w:tabs>
        <w:tab w:val="left" w:pos="432"/>
        <w:tab w:val="left" w:pos="864"/>
      </w:tabs>
      <w:ind w:left="864" w:hanging="864"/>
      <w:jc w:val="left"/>
      <w:outlineLvl w:val="3"/>
    </w:pPr>
    <w:rPr>
      <w:rFonts w:ascii="宋体" w:hAnsi="Calibri" w:cs="宋体"/>
      <w:b/>
      <w:bCs/>
      <w:kern w:val="0"/>
    </w:rPr>
  </w:style>
  <w:style w:type="paragraph" w:customStyle="1" w:styleId="112">
    <w:name w:val="xl92"/>
    <w:basedOn w:val="1"/>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3">
    <w:name w:val="xl95"/>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14">
    <w:name w:val="font6"/>
    <w:basedOn w:val="1"/>
    <w:qFormat/>
    <w:uiPriority w:val="0"/>
    <w:pPr>
      <w:spacing w:before="100" w:beforeAutospacing="1" w:after="100" w:afterAutospacing="1"/>
      <w:jc w:val="left"/>
    </w:pPr>
    <w:rPr>
      <w:rFonts w:ascii="宋体" w:cs="宋体"/>
      <w:kern w:val="0"/>
      <w:sz w:val="18"/>
      <w:szCs w:val="18"/>
    </w:rPr>
  </w:style>
  <w:style w:type="paragraph" w:customStyle="1" w:styleId="115">
    <w:name w:val="xl7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16">
    <w:name w:val="xl74"/>
    <w:basedOn w:val="1"/>
    <w:qFormat/>
    <w:uiPriority w:val="0"/>
    <w:pPr>
      <w:spacing w:before="100" w:beforeAutospacing="1" w:after="100" w:afterAutospacing="1"/>
      <w:jc w:val="center"/>
      <w:textAlignment w:val="center"/>
    </w:pPr>
    <w:rPr>
      <w:rFonts w:ascii="宋体" w:cs="宋体"/>
      <w:kern w:val="0"/>
      <w:sz w:val="20"/>
      <w:szCs w:val="20"/>
    </w:rPr>
  </w:style>
  <w:style w:type="paragraph" w:customStyle="1" w:styleId="117">
    <w:name w:val="xl88"/>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18">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styleId="119">
    <w:name w:val="List Paragraph"/>
    <w:basedOn w:val="1"/>
    <w:qFormat/>
    <w:uiPriority w:val="34"/>
    <w:pPr>
      <w:ind w:firstLine="420" w:firstLineChars="200"/>
    </w:pPr>
  </w:style>
  <w:style w:type="paragraph" w:customStyle="1" w:styleId="120">
    <w:name w:val="正文文字 Char"/>
    <w:basedOn w:val="1"/>
    <w:next w:val="32"/>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paragraph" w:customStyle="1" w:styleId="121">
    <w:name w:val="l15"/>
    <w:basedOn w:val="1"/>
    <w:qFormat/>
    <w:uiPriority w:val="99"/>
    <w:pPr>
      <w:spacing w:before="100" w:beforeAutospacing="1" w:after="100" w:afterAutospacing="1" w:line="300" w:lineRule="atLeast"/>
      <w:jc w:val="left"/>
    </w:pPr>
    <w:rPr>
      <w:rFonts w:ascii="_x000B__x000C_" w:hAnsi="_x000B__x000C_" w:cs="_x000B__x000C_"/>
      <w:color w:val="000000"/>
      <w:kern w:val="0"/>
      <w:sz w:val="23"/>
      <w:szCs w:val="23"/>
    </w:rPr>
  </w:style>
  <w:style w:type="paragraph" w:customStyle="1" w:styleId="122">
    <w:name w:val="_Style 49"/>
    <w:basedOn w:val="1"/>
    <w:next w:val="20"/>
    <w:qFormat/>
    <w:uiPriority w:val="34"/>
    <w:pPr>
      <w:ind w:firstLine="420" w:firstLineChars="200"/>
    </w:pPr>
    <w:rPr>
      <w:rFonts w:ascii="Calibri" w:hAnsi="Calibri" w:cs="Times New Roman"/>
    </w:rPr>
  </w:style>
  <w:style w:type="paragraph" w:customStyle="1" w:styleId="123">
    <w:name w:val="xl10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24">
    <w:name w:val="Normal Indent1"/>
    <w:basedOn w:val="1"/>
    <w:qFormat/>
    <w:uiPriority w:val="0"/>
    <w:pPr>
      <w:ind w:firstLine="420" w:firstLineChars="200"/>
    </w:pPr>
  </w:style>
  <w:style w:type="paragraph" w:customStyle="1" w:styleId="125">
    <w:name w:val="xl10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26">
    <w:name w:val="xl72"/>
    <w:basedOn w:val="1"/>
    <w:qFormat/>
    <w:uiPriority w:val="0"/>
    <w:pPr>
      <w:spacing w:before="100" w:beforeAutospacing="1" w:after="100" w:afterAutospacing="1"/>
      <w:jc w:val="left"/>
      <w:textAlignment w:val="center"/>
    </w:pPr>
    <w:rPr>
      <w:rFonts w:ascii="宋体" w:cs="宋体"/>
      <w:kern w:val="0"/>
      <w:sz w:val="20"/>
      <w:szCs w:val="20"/>
    </w:rPr>
  </w:style>
  <w:style w:type="paragraph" w:customStyle="1" w:styleId="127">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4"/>
      <w:szCs w:val="24"/>
    </w:rPr>
  </w:style>
  <w:style w:type="paragraph" w:customStyle="1" w:styleId="128">
    <w:name w:val="xl91"/>
    <w:basedOn w:val="1"/>
    <w:qFormat/>
    <w:uiPriority w:val="0"/>
    <w:pPr>
      <w:pBdr>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129">
    <w:name w:val="+正文"/>
    <w:basedOn w:val="1"/>
    <w:qFormat/>
    <w:uiPriority w:val="0"/>
    <w:pPr>
      <w:ind w:firstLine="200" w:firstLineChars="200"/>
    </w:pPr>
    <w:rPr>
      <w:rFonts w:cs="Times New Roman"/>
      <w:szCs w:val="24"/>
    </w:rPr>
  </w:style>
  <w:style w:type="paragraph" w:customStyle="1" w:styleId="130">
    <w:name w:val="xl94"/>
    <w:basedOn w:val="1"/>
    <w:qFormat/>
    <w:uiPriority w:val="0"/>
    <w:pPr>
      <w:pBdr>
        <w:left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31">
    <w:name w:val="_Style 131"/>
    <w:basedOn w:val="1"/>
    <w:next w:val="119"/>
    <w:qFormat/>
    <w:uiPriority w:val="34"/>
    <w:pPr>
      <w:ind w:firstLine="420" w:firstLineChars="200"/>
    </w:pPr>
    <w:rPr>
      <w:rFonts w:ascii="Calibri" w:hAnsi="Calibri" w:cs="Times New Roman"/>
    </w:rPr>
  </w:style>
  <w:style w:type="paragraph" w:customStyle="1" w:styleId="132">
    <w:name w:val="xl90"/>
    <w:basedOn w:val="1"/>
    <w:qFormat/>
    <w:uiPriority w:val="0"/>
    <w:pPr>
      <w:pBdr>
        <w:top w:val="single" w:color="auto" w:sz="4" w:space="0"/>
        <w:left w:val="single" w:color="auto" w:sz="4" w:space="0"/>
        <w:right w:val="single" w:color="auto" w:sz="4" w:space="0"/>
      </w:pBdr>
      <w:spacing w:before="100" w:beforeAutospacing="1" w:after="100" w:afterAutospacing="1"/>
      <w:jc w:val="right"/>
      <w:textAlignment w:val="center"/>
    </w:pPr>
    <w:rPr>
      <w:rFonts w:ascii="宋体" w:cs="宋体"/>
      <w:kern w:val="0"/>
      <w:sz w:val="20"/>
      <w:szCs w:val="20"/>
    </w:rPr>
  </w:style>
  <w:style w:type="paragraph" w:customStyle="1" w:styleId="133">
    <w:name w:val="xl93"/>
    <w:basedOn w:val="1"/>
    <w:qFormat/>
    <w:uiPriority w:val="0"/>
    <w:pPr>
      <w:pBdr>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kern w:val="0"/>
      <w:sz w:val="20"/>
      <w:szCs w:val="20"/>
    </w:rPr>
  </w:style>
  <w:style w:type="paragraph" w:customStyle="1" w:styleId="134">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135">
    <w:name w:val="xl67"/>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136">
    <w:name w:val="xl85"/>
    <w:basedOn w:val="1"/>
    <w:qFormat/>
    <w:uiPriority w:val="0"/>
    <w:pPr>
      <w:pBdr>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7">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38">
    <w:name w:val="bg正文"/>
    <w:basedOn w:val="1"/>
    <w:qFormat/>
    <w:uiPriority w:val="0"/>
    <w:pPr>
      <w:spacing w:line="360" w:lineRule="auto"/>
      <w:jc w:val="left"/>
    </w:pPr>
    <w:rPr>
      <w:rFonts w:ascii="仿宋" w:eastAsia="仿宋" w:cs="Times New Roman"/>
      <w:sz w:val="28"/>
      <w:szCs w:val="28"/>
    </w:rPr>
  </w:style>
  <w:style w:type="paragraph" w:customStyle="1" w:styleId="139">
    <w:name w:val="xl65"/>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kern w:val="0"/>
    </w:rPr>
  </w:style>
  <w:style w:type="paragraph" w:customStyle="1" w:styleId="140">
    <w:name w:val="xl6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cs="宋体"/>
      <w:b/>
      <w:bCs/>
      <w:kern w:val="0"/>
    </w:rPr>
  </w:style>
  <w:style w:type="paragraph" w:customStyle="1" w:styleId="141">
    <w:name w:val="xl68"/>
    <w:basedOn w:val="1"/>
    <w:qFormat/>
    <w:uiPriority w:val="0"/>
    <w:pPr>
      <w:pBdr>
        <w:top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rPr>
  </w:style>
  <w:style w:type="paragraph" w:customStyle="1" w:styleId="142">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cs="宋体"/>
      <w:b/>
      <w:bCs/>
      <w:kern w:val="0"/>
      <w:sz w:val="20"/>
      <w:szCs w:val="20"/>
    </w:rPr>
  </w:style>
  <w:style w:type="paragraph" w:customStyle="1" w:styleId="143">
    <w:name w:val="列出段落2"/>
    <w:basedOn w:val="1"/>
    <w:qFormat/>
    <w:uiPriority w:val="0"/>
    <w:pPr>
      <w:ind w:firstLine="420" w:firstLineChars="200"/>
    </w:pPr>
  </w:style>
  <w:style w:type="paragraph" w:customStyle="1" w:styleId="144">
    <w:name w:val="正文2"/>
    <w:basedOn w:val="1"/>
    <w:qFormat/>
    <w:uiPriority w:val="99"/>
    <w:pPr>
      <w:widowControl w:val="0"/>
      <w:spacing w:before="156" w:line="360" w:lineRule="auto"/>
      <w:ind w:firstLine="510" w:firstLineChars="200"/>
    </w:pPr>
    <w:rPr>
      <w:rFonts w:ascii="Calibri" w:hAnsi="Calibri" w:cs="Calibri"/>
      <w:sz w:val="24"/>
      <w:szCs w:val="24"/>
    </w:rPr>
  </w:style>
  <w:style w:type="paragraph" w:customStyle="1" w:styleId="145">
    <w:name w:val="列出段落11"/>
    <w:basedOn w:val="1"/>
    <w:qFormat/>
    <w:uiPriority w:val="99"/>
    <w:pPr>
      <w:widowControl w:val="0"/>
      <w:ind w:firstLine="420" w:firstLineChars="200"/>
    </w:pPr>
    <w:rPr>
      <w:rFonts w:ascii="Calibri" w:hAnsi="Calibri" w:cs="Calibri"/>
    </w:rPr>
  </w:style>
  <w:style w:type="paragraph" w:customStyle="1" w:styleId="146">
    <w:name w:val="xl96"/>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47">
    <w:name w:val="xl80"/>
    <w:basedOn w:val="1"/>
    <w:qFormat/>
    <w:uiPriority w:val="0"/>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cs="宋体"/>
      <w:kern w:val="0"/>
      <w:sz w:val="20"/>
      <w:szCs w:val="20"/>
    </w:rPr>
  </w:style>
  <w:style w:type="paragraph" w:customStyle="1" w:styleId="148">
    <w:name w:val="列出段落1"/>
    <w:basedOn w:val="1"/>
    <w:qFormat/>
    <w:uiPriority w:val="99"/>
    <w:pPr>
      <w:widowControl w:val="0"/>
      <w:ind w:firstLine="420" w:firstLineChars="200"/>
    </w:pPr>
    <w:rPr>
      <w:rFonts w:ascii="Calibri" w:hAnsi="Calibri" w:cs="Calibri"/>
    </w:rPr>
  </w:style>
  <w:style w:type="paragraph" w:customStyle="1" w:styleId="149">
    <w:name w:val="xl83"/>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cs="宋体"/>
      <w:kern w:val="0"/>
      <w:sz w:val="20"/>
      <w:szCs w:val="20"/>
    </w:rPr>
  </w:style>
  <w:style w:type="paragraph" w:customStyle="1" w:styleId="150">
    <w:name w:val="章正文"/>
    <w:basedOn w:val="1"/>
    <w:qFormat/>
    <w:uiPriority w:val="99"/>
    <w:pPr>
      <w:spacing w:beforeLines="50" w:after="120" w:line="300" w:lineRule="auto"/>
      <w:ind w:firstLine="480"/>
    </w:pPr>
    <w:rPr>
      <w:rFonts w:ascii="Helvetica" w:hAnsi="Helvetica"/>
      <w:kern w:val="0"/>
      <w:sz w:val="24"/>
    </w:rPr>
  </w:style>
  <w:style w:type="paragraph" w:customStyle="1" w:styleId="151">
    <w:name w:val="列表段落"/>
    <w:basedOn w:val="1"/>
    <w:qFormat/>
    <w:uiPriority w:val="34"/>
    <w:pPr>
      <w:spacing w:line="360" w:lineRule="auto"/>
      <w:ind w:firstLine="420" w:firstLineChars="200"/>
    </w:pPr>
    <w:rPr>
      <w:rFonts w:ascii="楷体" w:hAnsi="楷体" w:eastAsia="楷体"/>
      <w:sz w:val="24"/>
    </w:rPr>
  </w:style>
  <w:style w:type="paragraph" w:customStyle="1" w:styleId="152">
    <w:name w:val="P正文 Char"/>
    <w:basedOn w:val="1"/>
    <w:qFormat/>
    <w:uiPriority w:val="0"/>
    <w:pPr>
      <w:spacing w:beforeLines="50" w:afterLines="50"/>
      <w:ind w:left="540" w:leftChars="257"/>
    </w:pPr>
    <w:rPr>
      <w:rFonts w:ascii="Times New Roman" w:hAnsi="Times New Roman" w:cs="Times New Roman"/>
      <w:kern w:val="0"/>
      <w:sz w:val="24"/>
      <w:szCs w:val="24"/>
    </w:rPr>
  </w:style>
  <w:style w:type="paragraph" w:customStyle="1" w:styleId="153">
    <w:name w:val="[Normal]"/>
    <w:qFormat/>
    <w:uiPriority w:val="0"/>
    <w:rPr>
      <w:rFonts w:ascii="宋体" w:hAnsi="宋体" w:eastAsia="宋体" w:cs="Times New Roman"/>
      <w:sz w:val="24"/>
      <w:lang w:val="zh-CN" w:eastAsia="zh-CN" w:bidi="ar-SA"/>
    </w:rPr>
  </w:style>
  <w:style w:type="paragraph" w:customStyle="1" w:styleId="154">
    <w:name w:val="样式 标题 3 + 左侧:  1 字符 右侧:  1 字符"/>
    <w:basedOn w:val="4"/>
    <w:qFormat/>
    <w:uiPriority w:val="0"/>
    <w:pPr>
      <w:spacing w:before="20" w:after="20"/>
      <w:ind w:left="4200" w:leftChars="100" w:right="280" w:rightChars="100"/>
    </w:pPr>
    <w:rPr>
      <w:rFonts w:cs="宋体"/>
      <w:szCs w:val="20"/>
    </w:rPr>
  </w:style>
  <w:style w:type="paragraph" w:customStyle="1" w:styleId="155">
    <w:name w:val="Char Char Char Char Char Char Char Char Char Char Char Char Char Char Char Char"/>
    <w:basedOn w:val="1"/>
    <w:qFormat/>
    <w:uiPriority w:val="0"/>
    <w:pPr>
      <w:tabs>
        <w:tab w:val="left" w:pos="360"/>
      </w:tabs>
    </w:pPr>
    <w:rPr>
      <w:szCs w:val="20"/>
    </w:rPr>
  </w:style>
  <w:style w:type="paragraph" w:customStyle="1" w:styleId="156">
    <w:name w:val="样式 表格正文 + 两端对齐"/>
    <w:basedOn w:val="1"/>
    <w:next w:val="81"/>
    <w:qFormat/>
    <w:uiPriority w:val="99"/>
    <w:pPr>
      <w:spacing w:line="300" w:lineRule="auto"/>
    </w:pPr>
    <w:rPr>
      <w:sz w:val="24"/>
    </w:rPr>
  </w:style>
  <w:style w:type="paragraph" w:customStyle="1" w:styleId="157">
    <w:name w:val="xl39"/>
    <w:basedOn w:val="1"/>
    <w:next w:val="158"/>
    <w:qFormat/>
    <w:uiPriority w:val="99"/>
    <w:pPr>
      <w:pBdr>
        <w:left w:val="single" w:color="auto" w:sz="4" w:space="0"/>
        <w:right w:val="single" w:color="auto" w:sz="4" w:space="0"/>
      </w:pBdr>
      <w:spacing w:before="100" w:beforeAutospacing="1" w:after="100" w:afterAutospacing="1"/>
      <w:jc w:val="center"/>
    </w:pPr>
    <w:rPr>
      <w:rFonts w:ascii="宋体" w:cs="宋体"/>
      <w:b/>
      <w:bCs/>
      <w:kern w:val="0"/>
      <w:sz w:val="24"/>
    </w:rPr>
  </w:style>
  <w:style w:type="paragraph" w:customStyle="1" w:styleId="158">
    <w:name w:val="分手多日，近况如何？"/>
    <w:next w:val="1"/>
    <w:qFormat/>
    <w:uiPriority w:val="99"/>
    <w:pPr>
      <w:widowControl w:val="0"/>
      <w:jc w:val="both"/>
    </w:pPr>
    <w:rPr>
      <w:rFonts w:ascii="Calibri" w:hAnsi="Calibri" w:eastAsia="等线"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header" Target="header1.xml"/><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image" Target="media/image18.png"/><Relationship Id="rId25" Type="http://schemas.openxmlformats.org/officeDocument/2006/relationships/image" Target="media/image17.png"/><Relationship Id="rId24" Type="http://schemas.openxmlformats.org/officeDocument/2006/relationships/image" Target="media/image16.png"/><Relationship Id="rId23" Type="http://schemas.openxmlformats.org/officeDocument/2006/relationships/image" Target="media/image15.png"/><Relationship Id="rId22" Type="http://schemas.openxmlformats.org/officeDocument/2006/relationships/image" Target="media/image14.png"/><Relationship Id="rId21" Type="http://schemas.openxmlformats.org/officeDocument/2006/relationships/image" Target="media/image13.png"/><Relationship Id="rId20" Type="http://schemas.openxmlformats.org/officeDocument/2006/relationships/image" Target="media/image12.png"/><Relationship Id="rId2" Type="http://schemas.openxmlformats.org/officeDocument/2006/relationships/settings" Target="settings.xml"/><Relationship Id="rId19" Type="http://schemas.openxmlformats.org/officeDocument/2006/relationships/image" Target="media/image11.png"/><Relationship Id="rId18" Type="http://schemas.openxmlformats.org/officeDocument/2006/relationships/image" Target="media/image10.png"/><Relationship Id="rId17" Type="http://schemas.openxmlformats.org/officeDocument/2006/relationships/image" Target="media/image9.png"/><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HP Inc.</Company>
  <Pages>121</Pages>
  <Words>59095</Words>
  <Characters>66584</Characters>
  <Lines>442</Lines>
  <Paragraphs>124</Paragraphs>
  <TotalTime>12</TotalTime>
  <ScaleCrop>false</ScaleCrop>
  <LinksUpToDate>false</LinksUpToDate>
  <CharactersWithSpaces>70840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2022-02-14T08:02:00Z</dcterms:created>
  <dc:creator>2K-5</dc:creator>
  <cp:lastModifiedBy>金华创佳何叶挺（388876）</cp:lastModifiedBy>
  <cp:lastPrinted>2021-05-11T17:00:00Z</cp:lastPrinted>
  <dcterms:modified xsi:type="dcterms:W3CDTF">2022-06-15T08:52:35Z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F145AF2F45A344888EFA980C351609F4</vt:lpwstr>
  </property>
</Properties>
</file>