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sz w:val="44"/>
          <w:szCs w:val="44"/>
        </w:rPr>
      </w:pPr>
      <w:r>
        <w:rPr>
          <w:rFonts w:hint="eastAsia" w:ascii="宋体" w:hAnsi="宋体" w:cs="宋体"/>
          <w:b/>
          <w:bCs/>
          <w:sz w:val="44"/>
          <w:szCs w:val="44"/>
        </w:rPr>
        <w:t>2020年金华市直水利工程维修养护</w:t>
      </w:r>
    </w:p>
    <w:p>
      <w:pPr>
        <w:jc w:val="center"/>
        <w:rPr>
          <w:rFonts w:ascii="宋体" w:hAnsi="宋体" w:cs="宋体"/>
          <w:sz w:val="44"/>
          <w:szCs w:val="44"/>
        </w:rPr>
      </w:pPr>
      <w:r>
        <w:rPr>
          <w:rFonts w:hint="eastAsia" w:ascii="宋体" w:hAnsi="宋体" w:cs="宋体"/>
          <w:b/>
          <w:bCs/>
          <w:sz w:val="44"/>
          <w:szCs w:val="44"/>
        </w:rPr>
        <w:t>（工程维护类）项目</w:t>
      </w:r>
    </w:p>
    <w:p>
      <w:pPr>
        <w:rPr>
          <w:rFonts w:ascii="宋体" w:hAnsi="宋体" w:cs="宋体"/>
        </w:rPr>
      </w:pPr>
    </w:p>
    <w:p>
      <w:pPr>
        <w:pStyle w:val="2"/>
        <w:ind w:left="480" w:firstLine="480"/>
        <w:rPr>
          <w:rFonts w:ascii="宋体" w:hAnsi="宋体" w:cs="宋体"/>
        </w:rPr>
      </w:pPr>
    </w:p>
    <w:p>
      <w:pPr>
        <w:pStyle w:val="2"/>
        <w:ind w:left="480" w:firstLine="480"/>
        <w:rPr>
          <w:rFonts w:ascii="宋体" w:hAnsi="宋体" w:cs="宋体"/>
        </w:rPr>
      </w:pPr>
    </w:p>
    <w:p>
      <w:pPr>
        <w:pStyle w:val="2"/>
        <w:ind w:left="480" w:firstLine="480"/>
        <w:rPr>
          <w:rFonts w:ascii="宋体" w:hAnsi="宋体" w:cs="宋体"/>
        </w:rPr>
      </w:pPr>
    </w:p>
    <w:p>
      <w:pPr>
        <w:pStyle w:val="2"/>
        <w:ind w:left="480" w:firstLine="480"/>
        <w:rPr>
          <w:rFonts w:ascii="宋体" w:hAnsi="宋体" w:cs="宋体"/>
        </w:rPr>
      </w:pPr>
    </w:p>
    <w:p>
      <w:pPr>
        <w:pStyle w:val="2"/>
        <w:ind w:left="480" w:firstLine="480"/>
        <w:rPr>
          <w:rFonts w:ascii="宋体" w:hAnsi="宋体" w:cs="宋体"/>
        </w:rPr>
      </w:pPr>
    </w:p>
    <w:p>
      <w:pPr>
        <w:pStyle w:val="2"/>
        <w:ind w:left="480" w:firstLine="480"/>
        <w:rPr>
          <w:rFonts w:ascii="宋体" w:hAnsi="宋体" w:cs="宋体"/>
        </w:rPr>
      </w:pPr>
    </w:p>
    <w:p>
      <w:pPr>
        <w:pStyle w:val="2"/>
        <w:ind w:left="480" w:firstLine="480"/>
        <w:rPr>
          <w:rFonts w:ascii="宋体" w:hAnsi="宋体" w:cs="宋体"/>
        </w:rPr>
      </w:pPr>
    </w:p>
    <w:p>
      <w:pPr>
        <w:jc w:val="center"/>
        <w:rPr>
          <w:rFonts w:ascii="宋体" w:hAnsi="宋体" w:cs="宋体"/>
          <w:b/>
          <w:bCs/>
          <w:sz w:val="96"/>
          <w:szCs w:val="96"/>
        </w:rPr>
      </w:pPr>
      <w:r>
        <w:rPr>
          <w:rFonts w:hint="eastAsia" w:ascii="宋体" w:hAnsi="宋体" w:cs="宋体"/>
          <w:b/>
          <w:bCs/>
          <w:sz w:val="96"/>
          <w:szCs w:val="96"/>
        </w:rPr>
        <w:t>招</w:t>
      </w:r>
    </w:p>
    <w:p>
      <w:pPr>
        <w:jc w:val="center"/>
        <w:rPr>
          <w:rFonts w:ascii="宋体" w:hAnsi="宋体" w:cs="宋体"/>
          <w:b/>
          <w:bCs/>
          <w:sz w:val="96"/>
          <w:szCs w:val="96"/>
        </w:rPr>
      </w:pPr>
      <w:r>
        <w:rPr>
          <w:rFonts w:hint="eastAsia" w:ascii="宋体" w:hAnsi="宋体" w:cs="宋体"/>
          <w:b/>
          <w:bCs/>
          <w:sz w:val="96"/>
          <w:szCs w:val="96"/>
        </w:rPr>
        <w:t>标</w:t>
      </w:r>
    </w:p>
    <w:p>
      <w:pPr>
        <w:jc w:val="center"/>
        <w:rPr>
          <w:rFonts w:ascii="宋体" w:hAnsi="宋体" w:cs="宋体"/>
          <w:b/>
          <w:bCs/>
          <w:sz w:val="96"/>
          <w:szCs w:val="96"/>
        </w:rPr>
      </w:pPr>
      <w:r>
        <w:rPr>
          <w:rFonts w:hint="eastAsia" w:ascii="宋体" w:hAnsi="宋体" w:cs="宋体"/>
          <w:b/>
          <w:bCs/>
          <w:sz w:val="96"/>
          <w:szCs w:val="96"/>
        </w:rPr>
        <w:t>文</w:t>
      </w:r>
    </w:p>
    <w:p>
      <w:pPr>
        <w:jc w:val="center"/>
        <w:rPr>
          <w:rFonts w:ascii="宋体" w:hAnsi="宋体" w:cs="宋体"/>
          <w:b/>
          <w:bCs/>
          <w:sz w:val="48"/>
          <w:szCs w:val="48"/>
        </w:rPr>
      </w:pPr>
      <w:r>
        <w:rPr>
          <w:rFonts w:hint="eastAsia" w:ascii="宋体" w:hAnsi="宋体" w:cs="宋体"/>
          <w:b/>
          <w:bCs/>
          <w:sz w:val="96"/>
          <w:szCs w:val="96"/>
        </w:rPr>
        <w:t>件</w:t>
      </w:r>
    </w:p>
    <w:p>
      <w:pPr>
        <w:pStyle w:val="2"/>
        <w:ind w:left="0" w:leftChars="0" w:firstLine="0" w:firstLineChars="0"/>
        <w:rPr>
          <w:rFonts w:ascii="宋体" w:hAnsi="宋体" w:cs="宋体"/>
        </w:rPr>
      </w:pPr>
    </w:p>
    <w:p>
      <w:pPr>
        <w:spacing w:line="360" w:lineRule="auto"/>
        <w:rPr>
          <w:rFonts w:ascii="宋体" w:hAnsi="宋体" w:cs="宋体"/>
          <w:b/>
          <w:bCs/>
          <w:sz w:val="32"/>
          <w:szCs w:val="32"/>
        </w:rPr>
      </w:pPr>
      <w:r>
        <w:rPr>
          <w:rFonts w:hint="eastAsia" w:ascii="宋体" w:hAnsi="宋体" w:cs="宋体"/>
          <w:b/>
          <w:bCs/>
          <w:sz w:val="32"/>
          <w:szCs w:val="32"/>
        </w:rPr>
        <w:t xml:space="preserve">项目编号：HJCG2020-05    </w:t>
      </w:r>
    </w:p>
    <w:p>
      <w:pPr>
        <w:spacing w:line="360" w:lineRule="auto"/>
        <w:rPr>
          <w:rFonts w:ascii="宋体" w:hAnsi="宋体" w:cs="宋体"/>
          <w:b/>
          <w:bCs/>
          <w:sz w:val="32"/>
          <w:szCs w:val="32"/>
        </w:rPr>
      </w:pPr>
      <w:r>
        <w:rPr>
          <w:rFonts w:hint="eastAsia" w:ascii="宋体" w:hAnsi="宋体" w:cs="宋体"/>
          <w:b/>
          <w:bCs/>
          <w:sz w:val="32"/>
          <w:szCs w:val="32"/>
        </w:rPr>
        <w:t>采购单位：金华市水利局</w:t>
      </w:r>
    </w:p>
    <w:p>
      <w:pPr>
        <w:spacing w:line="360" w:lineRule="auto"/>
        <w:rPr>
          <w:rFonts w:ascii="宋体" w:hAnsi="宋体" w:cs="宋体"/>
          <w:b/>
          <w:bCs/>
          <w:sz w:val="32"/>
          <w:szCs w:val="32"/>
        </w:rPr>
      </w:pPr>
      <w:r>
        <w:rPr>
          <w:rFonts w:hint="eastAsia" w:ascii="宋体" w:hAnsi="宋体" w:cs="宋体"/>
          <w:b/>
          <w:bCs/>
          <w:sz w:val="32"/>
          <w:szCs w:val="32"/>
        </w:rPr>
        <w:t>代理机构：浙江华杰工程咨询有限公司</w:t>
      </w:r>
    </w:p>
    <w:p>
      <w:pPr>
        <w:spacing w:line="360" w:lineRule="auto"/>
        <w:rPr>
          <w:rFonts w:ascii="宋体" w:hAnsi="宋体" w:cs="宋体"/>
          <w:b/>
          <w:bCs/>
          <w:sz w:val="48"/>
        </w:rPr>
      </w:pPr>
      <w:r>
        <w:rPr>
          <w:rFonts w:hint="eastAsia" w:ascii="宋体" w:hAnsi="宋体" w:cs="宋体"/>
          <w:b/>
          <w:bCs/>
          <w:sz w:val="32"/>
          <w:szCs w:val="32"/>
        </w:rPr>
        <w:t>日    期： 2020年</w:t>
      </w:r>
      <w:r>
        <w:rPr>
          <w:rFonts w:hint="eastAsia" w:ascii="宋体" w:hAnsi="宋体" w:cs="宋体"/>
          <w:b/>
          <w:bCs/>
          <w:sz w:val="32"/>
          <w:szCs w:val="32"/>
          <w:lang w:val="en-US" w:eastAsia="zh-CN"/>
        </w:rPr>
        <w:t>4</w:t>
      </w:r>
      <w:r>
        <w:rPr>
          <w:rFonts w:hint="eastAsia" w:ascii="宋体" w:hAnsi="宋体" w:cs="宋体"/>
          <w:b/>
          <w:bCs/>
          <w:sz w:val="32"/>
          <w:szCs w:val="32"/>
        </w:rPr>
        <w:t>月</w:t>
      </w:r>
      <w:r>
        <w:rPr>
          <w:rFonts w:ascii="宋体" w:hAnsi="宋体" w:cs="宋体"/>
          <w:b/>
          <w:bCs/>
          <w:sz w:val="52"/>
          <w:szCs w:val="52"/>
        </w:rPr>
        <w:tab/>
      </w:r>
    </w:p>
    <w:p>
      <w:pPr>
        <w:widowControl w:val="0"/>
        <w:tabs>
          <w:tab w:val="left" w:pos="1935"/>
          <w:tab w:val="center" w:pos="4500"/>
        </w:tabs>
        <w:adjustRightInd w:val="0"/>
        <w:snapToGrid w:val="0"/>
        <w:spacing w:line="360" w:lineRule="auto"/>
        <w:jc w:val="center"/>
        <w:rPr>
          <w:rFonts w:ascii="宋体" w:hAnsi="宋体" w:cs="宋体"/>
          <w:b/>
          <w:bCs/>
          <w:sz w:val="52"/>
          <w:szCs w:val="52"/>
        </w:rPr>
      </w:pPr>
      <w:r>
        <w:rPr>
          <w:rFonts w:ascii="宋体" w:hAnsi="宋体" w:cs="宋体"/>
          <w:sz w:val="52"/>
          <w:szCs w:val="52"/>
        </w:rPr>
        <w:br w:type="page"/>
      </w:r>
      <w:r>
        <w:rPr>
          <w:rFonts w:hint="eastAsia" w:ascii="宋体" w:hAnsi="宋体" w:cs="宋体"/>
          <w:b/>
          <w:bCs/>
          <w:sz w:val="52"/>
          <w:szCs w:val="52"/>
        </w:rPr>
        <w:t>招 标 文 件 目 录</w:t>
      </w:r>
    </w:p>
    <w:p>
      <w:pPr>
        <w:pStyle w:val="22"/>
        <w:widowControl w:val="0"/>
        <w:numPr>
          <w:ilvl w:val="1"/>
          <w:numId w:val="2"/>
        </w:numPr>
        <w:adjustRightInd w:val="0"/>
        <w:snapToGrid w:val="0"/>
        <w:spacing w:line="480" w:lineRule="auto"/>
        <w:ind w:left="1384" w:hanging="482"/>
        <w:jc w:val="both"/>
        <w:rPr>
          <w:rFonts w:cs="宋体"/>
          <w:sz w:val="32"/>
        </w:rPr>
      </w:pPr>
      <w:r>
        <w:rPr>
          <w:rFonts w:hint="eastAsia" w:cs="宋体"/>
          <w:sz w:val="32"/>
        </w:rPr>
        <w:t>招标公告</w:t>
      </w:r>
    </w:p>
    <w:p>
      <w:pPr>
        <w:pStyle w:val="22"/>
        <w:widowControl w:val="0"/>
        <w:numPr>
          <w:ilvl w:val="1"/>
          <w:numId w:val="2"/>
        </w:numPr>
        <w:adjustRightInd w:val="0"/>
        <w:snapToGrid w:val="0"/>
        <w:spacing w:line="480" w:lineRule="auto"/>
        <w:ind w:left="1384" w:hanging="482"/>
        <w:jc w:val="both"/>
        <w:rPr>
          <w:rFonts w:cs="宋体"/>
          <w:sz w:val="32"/>
        </w:rPr>
      </w:pPr>
      <w:r>
        <w:rPr>
          <w:rFonts w:hint="eastAsia" w:cs="宋体"/>
          <w:sz w:val="32"/>
        </w:rPr>
        <w:t>前附表</w:t>
      </w:r>
    </w:p>
    <w:p>
      <w:pPr>
        <w:pStyle w:val="22"/>
        <w:widowControl w:val="0"/>
        <w:numPr>
          <w:ilvl w:val="1"/>
          <w:numId w:val="2"/>
        </w:numPr>
        <w:adjustRightInd w:val="0"/>
        <w:snapToGrid w:val="0"/>
        <w:spacing w:line="480" w:lineRule="auto"/>
        <w:ind w:left="1384" w:hanging="482"/>
        <w:jc w:val="both"/>
        <w:rPr>
          <w:rFonts w:cs="宋体"/>
          <w:sz w:val="32"/>
        </w:rPr>
      </w:pPr>
      <w:r>
        <w:rPr>
          <w:rFonts w:hint="eastAsia" w:cs="宋体"/>
          <w:sz w:val="32"/>
        </w:rPr>
        <w:t>投标人须知</w:t>
      </w:r>
    </w:p>
    <w:p>
      <w:pPr>
        <w:pStyle w:val="22"/>
        <w:widowControl w:val="0"/>
        <w:numPr>
          <w:ilvl w:val="1"/>
          <w:numId w:val="2"/>
        </w:numPr>
        <w:adjustRightInd w:val="0"/>
        <w:snapToGrid w:val="0"/>
        <w:spacing w:line="480" w:lineRule="auto"/>
        <w:ind w:left="1384" w:hanging="482"/>
        <w:jc w:val="both"/>
        <w:rPr>
          <w:rFonts w:cs="宋体"/>
          <w:sz w:val="32"/>
        </w:rPr>
      </w:pPr>
      <w:r>
        <w:rPr>
          <w:rFonts w:hint="eastAsia" w:cs="宋体"/>
          <w:sz w:val="32"/>
        </w:rPr>
        <w:t>开标、评标须知</w:t>
      </w:r>
    </w:p>
    <w:p>
      <w:pPr>
        <w:pStyle w:val="22"/>
        <w:widowControl w:val="0"/>
        <w:numPr>
          <w:ilvl w:val="1"/>
          <w:numId w:val="2"/>
        </w:numPr>
        <w:adjustRightInd w:val="0"/>
        <w:snapToGrid w:val="0"/>
        <w:spacing w:line="480" w:lineRule="auto"/>
        <w:ind w:left="1384" w:hanging="482"/>
        <w:jc w:val="both"/>
        <w:rPr>
          <w:rFonts w:cs="宋体"/>
          <w:sz w:val="32"/>
        </w:rPr>
      </w:pPr>
      <w:r>
        <w:rPr>
          <w:rFonts w:hint="eastAsia" w:cs="宋体"/>
          <w:sz w:val="32"/>
        </w:rPr>
        <w:t>招标项目技术规范和要求</w:t>
      </w:r>
    </w:p>
    <w:p>
      <w:pPr>
        <w:pStyle w:val="22"/>
        <w:widowControl w:val="0"/>
        <w:numPr>
          <w:ilvl w:val="1"/>
          <w:numId w:val="2"/>
        </w:numPr>
        <w:adjustRightInd w:val="0"/>
        <w:snapToGrid w:val="0"/>
        <w:spacing w:line="480" w:lineRule="auto"/>
        <w:ind w:left="1384" w:hanging="482"/>
        <w:jc w:val="both"/>
        <w:rPr>
          <w:rFonts w:cs="宋体"/>
          <w:sz w:val="32"/>
        </w:rPr>
      </w:pPr>
      <w:r>
        <w:rPr>
          <w:rFonts w:hint="eastAsia" w:cs="宋体"/>
          <w:sz w:val="32"/>
        </w:rPr>
        <w:t>合同（格式范本）</w:t>
      </w:r>
    </w:p>
    <w:p>
      <w:pPr>
        <w:pStyle w:val="22"/>
        <w:widowControl w:val="0"/>
        <w:numPr>
          <w:ilvl w:val="1"/>
          <w:numId w:val="2"/>
        </w:numPr>
        <w:adjustRightInd w:val="0"/>
        <w:snapToGrid w:val="0"/>
        <w:spacing w:line="480" w:lineRule="auto"/>
        <w:ind w:left="1384" w:hanging="482"/>
        <w:jc w:val="both"/>
        <w:rPr>
          <w:rFonts w:cs="宋体"/>
          <w:sz w:val="32"/>
        </w:rPr>
      </w:pPr>
      <w:r>
        <w:rPr>
          <w:rFonts w:hint="eastAsia" w:cs="宋体"/>
          <w:sz w:val="32"/>
        </w:rPr>
        <w:t>投标文件格式</w:t>
      </w:r>
    </w:p>
    <w:p>
      <w:pPr>
        <w:pStyle w:val="22"/>
        <w:widowControl w:val="0"/>
        <w:adjustRightInd w:val="0"/>
        <w:snapToGrid w:val="0"/>
        <w:ind w:left="902" w:leftChars="376" w:firstLine="1280" w:firstLineChars="400"/>
        <w:jc w:val="both"/>
        <w:rPr>
          <w:rFonts w:cs="宋体"/>
          <w:sz w:val="32"/>
        </w:rPr>
      </w:pPr>
    </w:p>
    <w:p>
      <w:pPr>
        <w:pStyle w:val="22"/>
        <w:widowControl w:val="0"/>
        <w:adjustRightInd w:val="0"/>
        <w:snapToGrid w:val="0"/>
        <w:spacing w:line="480" w:lineRule="auto"/>
        <w:ind w:left="902"/>
        <w:jc w:val="both"/>
        <w:rPr>
          <w:rFonts w:cs="宋体"/>
          <w:sz w:val="32"/>
        </w:rPr>
      </w:pPr>
    </w:p>
    <w:p>
      <w:pPr>
        <w:widowControl w:val="0"/>
        <w:tabs>
          <w:tab w:val="left" w:pos="1935"/>
          <w:tab w:val="center" w:pos="4500"/>
        </w:tabs>
        <w:adjustRightInd w:val="0"/>
        <w:snapToGrid w:val="0"/>
        <w:spacing w:line="360" w:lineRule="auto"/>
        <w:jc w:val="center"/>
        <w:rPr>
          <w:rFonts w:ascii="宋体" w:hAnsi="宋体" w:cs="宋体"/>
          <w:b/>
          <w:bCs/>
          <w:sz w:val="52"/>
          <w:szCs w:val="52"/>
        </w:rPr>
      </w:pPr>
      <w:r>
        <w:rPr>
          <w:rFonts w:hint="eastAsia" w:ascii="宋体" w:hAnsi="宋体" w:cs="宋体"/>
          <w:b/>
          <w:bCs/>
          <w:sz w:val="48"/>
        </w:rPr>
        <w:br w:type="page"/>
      </w:r>
      <w:r>
        <w:rPr>
          <w:rFonts w:hint="eastAsia" w:ascii="宋体" w:hAnsi="宋体" w:cs="宋体"/>
          <w:b/>
          <w:bCs/>
          <w:sz w:val="52"/>
          <w:szCs w:val="52"/>
        </w:rPr>
        <w:t>第一章  招标公告</w:t>
      </w:r>
    </w:p>
    <w:p>
      <w:pPr>
        <w:spacing w:line="360" w:lineRule="auto"/>
        <w:ind w:firstLine="540" w:firstLineChars="225"/>
        <w:rPr>
          <w:rFonts w:ascii="宋体" w:hAnsi="宋体" w:cs="宋体"/>
        </w:rPr>
      </w:pPr>
      <w:r>
        <w:rPr>
          <w:rFonts w:hint="eastAsia" w:ascii="宋体" w:hAnsi="宋体" w:cs="宋体"/>
        </w:rPr>
        <w:t>根据《中华人民共和国政府采购法》有关规定，浙江华杰工程咨询有限公司受金华市水利局的委托，对2020年金华市直水利工程维修养护（工程维护类）项目进行公开招标。现将有关事项公告如下：</w:t>
      </w:r>
    </w:p>
    <w:p>
      <w:pPr>
        <w:spacing w:line="360" w:lineRule="auto"/>
        <w:ind w:firstLine="542" w:firstLineChars="225"/>
        <w:outlineLvl w:val="0"/>
        <w:rPr>
          <w:rFonts w:ascii="宋体" w:hAnsi="宋体" w:cs="宋体"/>
        </w:rPr>
      </w:pPr>
      <w:r>
        <w:rPr>
          <w:rFonts w:hint="eastAsia" w:ascii="宋体" w:hAnsi="宋体" w:cs="宋体"/>
          <w:b/>
        </w:rPr>
        <w:t>一、招标项目编号</w:t>
      </w:r>
      <w:bookmarkStart w:id="0" w:name="B08_项目编号"/>
      <w:r>
        <w:rPr>
          <w:rFonts w:hint="eastAsia" w:ascii="宋体" w:hAnsi="宋体" w:cs="宋体"/>
        </w:rPr>
        <w:t>：</w:t>
      </w:r>
      <w:bookmarkEnd w:id="0"/>
      <w:r>
        <w:rPr>
          <w:rFonts w:hint="eastAsia" w:ascii="宋体" w:hAnsi="宋体" w:cs="宋体"/>
        </w:rPr>
        <w:t>HJCG2020-05</w:t>
      </w:r>
    </w:p>
    <w:p>
      <w:pPr>
        <w:spacing w:line="360" w:lineRule="auto"/>
        <w:ind w:firstLine="1024" w:firstLineChars="425"/>
        <w:rPr>
          <w:rFonts w:ascii="宋体" w:hAnsi="宋体" w:cs="宋体"/>
        </w:rPr>
      </w:pPr>
      <w:r>
        <w:rPr>
          <w:rFonts w:hint="eastAsia" w:ascii="宋体" w:hAnsi="宋体" w:cs="宋体"/>
          <w:b/>
        </w:rPr>
        <w:t>采购组织类型：</w:t>
      </w:r>
      <w:r>
        <w:rPr>
          <w:rFonts w:hint="eastAsia" w:ascii="宋体" w:hAnsi="宋体" w:cs="宋体"/>
        </w:rPr>
        <w:t>分散采购委托代理</w:t>
      </w:r>
    </w:p>
    <w:p>
      <w:pPr>
        <w:spacing w:line="360" w:lineRule="auto"/>
        <w:ind w:firstLine="1024" w:firstLineChars="425"/>
        <w:rPr>
          <w:rFonts w:ascii="宋体" w:hAnsi="宋体" w:cs="宋体"/>
          <w:b/>
        </w:rPr>
      </w:pPr>
      <w:r>
        <w:rPr>
          <w:rFonts w:hint="eastAsia" w:ascii="宋体" w:hAnsi="宋体" w:cs="宋体"/>
          <w:b/>
        </w:rPr>
        <w:t>采购方式：</w:t>
      </w:r>
      <w:r>
        <w:rPr>
          <w:rFonts w:hint="eastAsia" w:ascii="宋体" w:hAnsi="宋体" w:cs="宋体"/>
        </w:rPr>
        <w:t>公开招标</w:t>
      </w:r>
    </w:p>
    <w:p>
      <w:pPr>
        <w:spacing w:line="360" w:lineRule="auto"/>
        <w:ind w:firstLine="542" w:firstLineChars="225"/>
        <w:outlineLvl w:val="0"/>
        <w:rPr>
          <w:rFonts w:ascii="宋体" w:hAnsi="宋体" w:cs="宋体"/>
          <w:b/>
        </w:rPr>
      </w:pPr>
      <w:r>
        <w:rPr>
          <w:rFonts w:hint="eastAsia" w:ascii="宋体" w:hAnsi="宋体" w:cs="宋体"/>
          <w:b/>
        </w:rPr>
        <w:t>二、招标项目概况：</w:t>
      </w:r>
    </w:p>
    <w:tbl>
      <w:tblPr>
        <w:tblStyle w:val="36"/>
        <w:tblW w:w="10441" w:type="dxa"/>
        <w:jc w:val="center"/>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573"/>
        <w:gridCol w:w="2416"/>
        <w:gridCol w:w="1560"/>
        <w:gridCol w:w="567"/>
        <w:gridCol w:w="567"/>
        <w:gridCol w:w="2268"/>
        <w:gridCol w:w="1903"/>
        <w:gridCol w:w="587"/>
      </w:tblGrid>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shd w:val="clear" w:color="auto" w:fill="FFFFFF"/>
          <w:tblCellMar>
            <w:top w:w="15" w:type="dxa"/>
            <w:left w:w="15" w:type="dxa"/>
            <w:bottom w:w="15" w:type="dxa"/>
            <w:right w:w="15" w:type="dxa"/>
          </w:tblCellMar>
        </w:tblPrEx>
        <w:trPr>
          <w:trHeight w:val="390" w:hRule="atLeast"/>
          <w:jc w:val="center"/>
        </w:trPr>
        <w:tc>
          <w:tcPr>
            <w:tcW w:w="573" w:type="dxa"/>
            <w:tcBorders>
              <w:top w:val="single" w:color="DDDDDD" w:sz="6" w:space="0"/>
              <w:left w:val="single" w:color="DDDDDD" w:sz="6" w:space="0"/>
              <w:bottom w:val="single" w:color="DDDDDD" w:sz="6" w:space="0"/>
              <w:right w:val="single" w:color="DDDDDD" w:sz="6" w:space="0"/>
            </w:tcBorders>
            <w:shd w:val="clear" w:color="auto" w:fill="F5F5F5"/>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b/>
                <w:bCs/>
              </w:rPr>
              <w:t>序号</w:t>
            </w:r>
          </w:p>
        </w:tc>
        <w:tc>
          <w:tcPr>
            <w:tcW w:w="2416" w:type="dxa"/>
            <w:tcBorders>
              <w:top w:val="single" w:color="DDDDDD" w:sz="6" w:space="0"/>
              <w:left w:val="single" w:color="DDDDDD" w:sz="6" w:space="0"/>
              <w:bottom w:val="single" w:color="DDDDDD" w:sz="6" w:space="0"/>
              <w:right w:val="single" w:color="DDDDDD" w:sz="6" w:space="0"/>
            </w:tcBorders>
            <w:shd w:val="clear" w:color="auto" w:fill="F5F5F5"/>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标段内容</w:t>
            </w:r>
          </w:p>
        </w:tc>
        <w:tc>
          <w:tcPr>
            <w:tcW w:w="1560" w:type="dxa"/>
            <w:tcBorders>
              <w:top w:val="single" w:color="DDDDDD" w:sz="6" w:space="0"/>
              <w:left w:val="single" w:color="DDDDDD" w:sz="6" w:space="0"/>
              <w:bottom w:val="single" w:color="DDDDDD" w:sz="6" w:space="0"/>
              <w:right w:val="single" w:color="DDDDDD" w:sz="6" w:space="0"/>
            </w:tcBorders>
            <w:shd w:val="clear" w:color="auto" w:fill="F5F5F5"/>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分项</w:t>
            </w:r>
          </w:p>
        </w:tc>
        <w:tc>
          <w:tcPr>
            <w:tcW w:w="567" w:type="dxa"/>
            <w:tcBorders>
              <w:top w:val="single" w:color="DDDDDD" w:sz="6" w:space="0"/>
              <w:left w:val="single" w:color="DDDDDD" w:sz="6" w:space="0"/>
              <w:bottom w:val="single" w:color="DDDDDD" w:sz="6" w:space="0"/>
              <w:right w:val="single" w:color="DDDDDD" w:sz="6" w:space="0"/>
            </w:tcBorders>
            <w:shd w:val="clear" w:color="auto" w:fill="F5F5F5"/>
            <w:vAlign w:val="center"/>
          </w:tcPr>
          <w:p>
            <w:pPr>
              <w:spacing w:line="360" w:lineRule="auto"/>
              <w:jc w:val="center"/>
              <w:rPr>
                <w:rFonts w:ascii="宋体" w:hAnsi="宋体" w:cs="宋体"/>
                <w:b/>
                <w:bCs/>
              </w:rPr>
            </w:pPr>
            <w:r>
              <w:rPr>
                <w:rFonts w:hint="eastAsia" w:ascii="宋体" w:hAnsi="宋体" w:cs="宋体"/>
                <w:b/>
                <w:bCs/>
              </w:rPr>
              <w:t>数量</w:t>
            </w:r>
          </w:p>
        </w:tc>
        <w:tc>
          <w:tcPr>
            <w:tcW w:w="567" w:type="dxa"/>
            <w:tcBorders>
              <w:top w:val="single" w:color="DDDDDD" w:sz="6" w:space="0"/>
              <w:left w:val="single" w:color="DDDDDD" w:sz="6" w:space="0"/>
              <w:bottom w:val="single" w:color="DDDDDD" w:sz="6" w:space="0"/>
              <w:right w:val="single" w:color="DDDDDD" w:sz="6" w:space="0"/>
            </w:tcBorders>
            <w:shd w:val="clear" w:color="auto" w:fill="F5F5F5"/>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b/>
                <w:bCs/>
              </w:rPr>
              <w:t>单位</w:t>
            </w:r>
          </w:p>
        </w:tc>
        <w:tc>
          <w:tcPr>
            <w:tcW w:w="2268" w:type="dxa"/>
            <w:tcBorders>
              <w:top w:val="single" w:color="DDDDDD" w:sz="6" w:space="0"/>
              <w:left w:val="single" w:color="DDDDDD" w:sz="6" w:space="0"/>
              <w:bottom w:val="single" w:color="DDDDDD" w:sz="6" w:space="0"/>
              <w:right w:val="single" w:color="DDDDDD" w:sz="6" w:space="0"/>
            </w:tcBorders>
            <w:shd w:val="clear" w:color="auto" w:fill="F5F5F5"/>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b/>
                <w:bCs/>
              </w:rPr>
              <w:t>最高限价</w:t>
            </w:r>
          </w:p>
        </w:tc>
        <w:tc>
          <w:tcPr>
            <w:tcW w:w="1903" w:type="dxa"/>
            <w:tcBorders>
              <w:top w:val="single" w:color="DDDDDD" w:sz="6" w:space="0"/>
              <w:left w:val="single" w:color="DDDDDD" w:sz="6" w:space="0"/>
              <w:bottom w:val="single" w:color="DDDDDD" w:sz="6" w:space="0"/>
              <w:right w:val="single" w:color="DDDDDD" w:sz="6" w:space="0"/>
            </w:tcBorders>
            <w:shd w:val="clear" w:color="auto" w:fill="F5F5F5"/>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b/>
                <w:bCs/>
              </w:rPr>
              <w:t>简要规格描述</w:t>
            </w:r>
          </w:p>
        </w:tc>
        <w:tc>
          <w:tcPr>
            <w:tcW w:w="587" w:type="dxa"/>
            <w:tcBorders>
              <w:top w:val="single" w:color="DDDDDD" w:sz="6" w:space="0"/>
              <w:left w:val="single" w:color="DDDDDD" w:sz="6" w:space="0"/>
              <w:bottom w:val="single" w:color="DDDDDD" w:sz="6" w:space="0"/>
              <w:right w:val="single" w:color="DDDDDD" w:sz="6" w:space="0"/>
            </w:tcBorders>
            <w:shd w:val="clear" w:color="auto" w:fill="F5F5F5"/>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b/>
                <w:bCs/>
              </w:rPr>
              <w:t>备注</w:t>
            </w: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CellMar>
            <w:top w:w="15" w:type="dxa"/>
            <w:left w:w="15" w:type="dxa"/>
            <w:bottom w:w="15" w:type="dxa"/>
            <w:right w:w="15" w:type="dxa"/>
          </w:tblCellMar>
        </w:tblPrEx>
        <w:trPr>
          <w:trHeight w:val="1005" w:hRule="atLeast"/>
          <w:jc w:val="center"/>
        </w:trPr>
        <w:tc>
          <w:tcPr>
            <w:tcW w:w="573"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1</w:t>
            </w:r>
          </w:p>
        </w:tc>
        <w:tc>
          <w:tcPr>
            <w:tcW w:w="2416" w:type="dxa"/>
            <w:vMerge w:val="restart"/>
            <w:tcBorders>
              <w:top w:val="single" w:color="DDDDDD" w:sz="6" w:space="0"/>
              <w:left w:val="single" w:color="DDDDDD" w:sz="6" w:space="0"/>
              <w:right w:val="single" w:color="DDDDDD" w:sz="6" w:space="0"/>
            </w:tcBorders>
            <w:shd w:val="clear" w:color="auto" w:fill="FFFFFF"/>
            <w:tcMar>
              <w:top w:w="75" w:type="dxa"/>
              <w:left w:w="75" w:type="dxa"/>
              <w:bottom w:w="75" w:type="dxa"/>
              <w:right w:w="75" w:type="dxa"/>
            </w:tcMar>
            <w:vAlign w:val="center"/>
          </w:tcPr>
          <w:p>
            <w:pPr>
              <w:pStyle w:val="2"/>
              <w:ind w:left="0" w:leftChars="0" w:firstLine="480"/>
              <w:rPr>
                <w:rFonts w:ascii="宋体" w:hAnsi="宋体" w:cs="宋体"/>
              </w:rPr>
            </w:pPr>
            <w:r>
              <w:rPr>
                <w:rFonts w:hint="eastAsia" w:ascii="宋体" w:hAnsi="宋体" w:cs="宋体"/>
              </w:rPr>
              <w:t xml:space="preserve">2020年金华市直水利工程维修养护（工程维护类）项目 </w:t>
            </w:r>
          </w:p>
        </w:tc>
        <w:tc>
          <w:tcPr>
            <w:tcW w:w="1560"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金华市沙畈水库管理处</w:t>
            </w:r>
          </w:p>
        </w:tc>
        <w:tc>
          <w:tcPr>
            <w:tcW w:w="567" w:type="dxa"/>
            <w:tcBorders>
              <w:top w:val="single" w:color="DDDDDD" w:sz="6" w:space="0"/>
              <w:left w:val="single" w:color="DDDDDD" w:sz="6" w:space="0"/>
              <w:bottom w:val="single" w:color="DDDDDD" w:sz="6" w:space="0"/>
              <w:right w:val="single" w:color="DDDDDD" w:sz="6" w:space="0"/>
            </w:tcBorders>
            <w:shd w:val="clear" w:color="auto" w:fill="FFFFFF"/>
            <w:vAlign w:val="center"/>
          </w:tcPr>
          <w:p>
            <w:pPr>
              <w:spacing w:line="360" w:lineRule="auto"/>
              <w:jc w:val="center"/>
              <w:rPr>
                <w:rFonts w:ascii="宋体" w:hAnsi="宋体" w:cs="宋体"/>
              </w:rPr>
            </w:pPr>
            <w:r>
              <w:rPr>
                <w:rFonts w:hint="eastAsia" w:ascii="宋体" w:hAnsi="宋体" w:cs="宋体"/>
              </w:rPr>
              <w:t>1</w:t>
            </w:r>
          </w:p>
        </w:tc>
        <w:tc>
          <w:tcPr>
            <w:tcW w:w="56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项</w:t>
            </w:r>
          </w:p>
        </w:tc>
        <w:tc>
          <w:tcPr>
            <w:tcW w:w="2268"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人民币</w:t>
            </w:r>
            <w:r>
              <w:rPr>
                <w:rFonts w:hint="eastAsia" w:ascii="宋体" w:hAnsi="宋体" w:cs="宋体"/>
                <w:u w:val="single"/>
              </w:rPr>
              <w:t xml:space="preserve"> </w:t>
            </w:r>
            <w:r>
              <w:rPr>
                <w:rFonts w:ascii="宋体" w:hAnsi="宋体" w:cs="宋体"/>
                <w:u w:val="single"/>
              </w:rPr>
              <w:t>1001570</w:t>
            </w:r>
            <w:r>
              <w:rPr>
                <w:rFonts w:hint="eastAsia" w:ascii="宋体" w:hAnsi="宋体" w:cs="宋体"/>
              </w:rPr>
              <w:t>元</w:t>
            </w:r>
          </w:p>
        </w:tc>
        <w:tc>
          <w:tcPr>
            <w:tcW w:w="1903" w:type="dxa"/>
            <w:vMerge w:val="restart"/>
            <w:tcBorders>
              <w:top w:val="single" w:color="DDDDDD" w:sz="6" w:space="0"/>
              <w:left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r>
              <w:rPr>
                <w:rFonts w:hint="eastAsia" w:ascii="宋体" w:hAnsi="宋体" w:cs="宋体"/>
              </w:rPr>
              <w:t>具体内容及要求详见招标采购需求。</w:t>
            </w:r>
          </w:p>
        </w:tc>
        <w:tc>
          <w:tcPr>
            <w:tcW w:w="58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CellMar>
            <w:top w:w="15" w:type="dxa"/>
            <w:left w:w="15" w:type="dxa"/>
            <w:bottom w:w="15" w:type="dxa"/>
            <w:right w:w="15" w:type="dxa"/>
          </w:tblCellMar>
        </w:tblPrEx>
        <w:trPr>
          <w:trHeight w:val="1005" w:hRule="atLeast"/>
          <w:jc w:val="center"/>
        </w:trPr>
        <w:tc>
          <w:tcPr>
            <w:tcW w:w="573"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2</w:t>
            </w:r>
          </w:p>
        </w:tc>
        <w:tc>
          <w:tcPr>
            <w:tcW w:w="2416"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pStyle w:val="2"/>
              <w:ind w:left="0" w:leftChars="0" w:firstLine="480"/>
              <w:rPr>
                <w:rFonts w:ascii="宋体" w:hAnsi="宋体" w:cs="宋体"/>
              </w:rPr>
            </w:pPr>
          </w:p>
        </w:tc>
        <w:tc>
          <w:tcPr>
            <w:tcW w:w="1560"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金华市金兰水库管理处</w:t>
            </w:r>
          </w:p>
        </w:tc>
        <w:tc>
          <w:tcPr>
            <w:tcW w:w="567" w:type="dxa"/>
            <w:tcBorders>
              <w:top w:val="single" w:color="DDDDDD" w:sz="6" w:space="0"/>
              <w:left w:val="single" w:color="DDDDDD" w:sz="6" w:space="0"/>
              <w:bottom w:val="single" w:color="DDDDDD" w:sz="6" w:space="0"/>
              <w:right w:val="single" w:color="DDDDDD" w:sz="6" w:space="0"/>
            </w:tcBorders>
            <w:shd w:val="clear" w:color="auto" w:fill="FFFFFF"/>
            <w:vAlign w:val="center"/>
          </w:tcPr>
          <w:p>
            <w:pPr>
              <w:spacing w:line="360" w:lineRule="auto"/>
              <w:jc w:val="center"/>
              <w:rPr>
                <w:rFonts w:ascii="宋体" w:hAnsi="宋体" w:cs="宋体"/>
              </w:rPr>
            </w:pPr>
            <w:r>
              <w:rPr>
                <w:rFonts w:hint="eastAsia" w:ascii="宋体" w:hAnsi="宋体" w:cs="宋体"/>
              </w:rPr>
              <w:t>1</w:t>
            </w:r>
          </w:p>
        </w:tc>
        <w:tc>
          <w:tcPr>
            <w:tcW w:w="56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项</w:t>
            </w:r>
          </w:p>
        </w:tc>
        <w:tc>
          <w:tcPr>
            <w:tcW w:w="2268"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人民币</w:t>
            </w:r>
            <w:r>
              <w:rPr>
                <w:rFonts w:hint="eastAsia" w:ascii="宋体" w:hAnsi="宋体" w:cs="宋体"/>
                <w:u w:val="single"/>
              </w:rPr>
              <w:t xml:space="preserve"> </w:t>
            </w:r>
            <w:r>
              <w:rPr>
                <w:rFonts w:ascii="宋体" w:hAnsi="宋体" w:cs="宋体"/>
                <w:u w:val="single"/>
              </w:rPr>
              <w:t>787175</w:t>
            </w:r>
            <w:r>
              <w:rPr>
                <w:rFonts w:hint="eastAsia" w:ascii="宋体" w:hAnsi="宋体" w:cs="宋体"/>
              </w:rPr>
              <w:t>元</w:t>
            </w:r>
          </w:p>
        </w:tc>
        <w:tc>
          <w:tcPr>
            <w:tcW w:w="1903"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c>
          <w:tcPr>
            <w:tcW w:w="58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CellMar>
            <w:top w:w="15" w:type="dxa"/>
            <w:left w:w="15" w:type="dxa"/>
            <w:bottom w:w="15" w:type="dxa"/>
            <w:right w:w="15" w:type="dxa"/>
          </w:tblCellMar>
        </w:tblPrEx>
        <w:trPr>
          <w:trHeight w:val="1005" w:hRule="atLeast"/>
          <w:jc w:val="center"/>
        </w:trPr>
        <w:tc>
          <w:tcPr>
            <w:tcW w:w="573"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3</w:t>
            </w:r>
          </w:p>
        </w:tc>
        <w:tc>
          <w:tcPr>
            <w:tcW w:w="2416"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pStyle w:val="2"/>
              <w:ind w:left="0" w:leftChars="0" w:firstLine="480"/>
              <w:rPr>
                <w:rFonts w:ascii="宋体" w:hAnsi="宋体" w:cs="宋体"/>
              </w:rPr>
            </w:pPr>
          </w:p>
        </w:tc>
        <w:tc>
          <w:tcPr>
            <w:tcW w:w="1560"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金华市安地水库管理处</w:t>
            </w:r>
          </w:p>
        </w:tc>
        <w:tc>
          <w:tcPr>
            <w:tcW w:w="567" w:type="dxa"/>
            <w:tcBorders>
              <w:top w:val="single" w:color="DDDDDD" w:sz="6" w:space="0"/>
              <w:left w:val="single" w:color="DDDDDD" w:sz="6" w:space="0"/>
              <w:bottom w:val="single" w:color="DDDDDD" w:sz="6" w:space="0"/>
              <w:right w:val="single" w:color="DDDDDD" w:sz="6" w:space="0"/>
            </w:tcBorders>
            <w:shd w:val="clear" w:color="auto" w:fill="FFFFFF"/>
            <w:vAlign w:val="center"/>
          </w:tcPr>
          <w:p>
            <w:pPr>
              <w:spacing w:line="360" w:lineRule="auto"/>
              <w:jc w:val="center"/>
              <w:rPr>
                <w:rFonts w:ascii="宋体" w:hAnsi="宋体" w:cs="宋体"/>
              </w:rPr>
            </w:pPr>
            <w:r>
              <w:rPr>
                <w:rFonts w:hint="eastAsia" w:ascii="宋体" w:hAnsi="宋体" w:cs="宋体"/>
              </w:rPr>
              <w:t>1</w:t>
            </w:r>
          </w:p>
        </w:tc>
        <w:tc>
          <w:tcPr>
            <w:tcW w:w="56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项</w:t>
            </w:r>
          </w:p>
        </w:tc>
        <w:tc>
          <w:tcPr>
            <w:tcW w:w="2268"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人民币</w:t>
            </w:r>
            <w:r>
              <w:rPr>
                <w:rFonts w:ascii="宋体" w:hAnsi="宋体" w:cs="宋体"/>
                <w:u w:val="single"/>
              </w:rPr>
              <w:t>2101431</w:t>
            </w:r>
            <w:r>
              <w:rPr>
                <w:rFonts w:hint="eastAsia" w:ascii="宋体" w:hAnsi="宋体" w:cs="宋体"/>
              </w:rPr>
              <w:t>元</w:t>
            </w:r>
          </w:p>
        </w:tc>
        <w:tc>
          <w:tcPr>
            <w:tcW w:w="1903"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c>
          <w:tcPr>
            <w:tcW w:w="58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CellMar>
            <w:top w:w="15" w:type="dxa"/>
            <w:left w:w="15" w:type="dxa"/>
            <w:bottom w:w="15" w:type="dxa"/>
            <w:right w:w="15" w:type="dxa"/>
          </w:tblCellMar>
        </w:tblPrEx>
        <w:trPr>
          <w:trHeight w:val="1005" w:hRule="atLeast"/>
          <w:jc w:val="center"/>
        </w:trPr>
        <w:tc>
          <w:tcPr>
            <w:tcW w:w="573"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4</w:t>
            </w:r>
          </w:p>
        </w:tc>
        <w:tc>
          <w:tcPr>
            <w:tcW w:w="2416"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pStyle w:val="2"/>
              <w:ind w:left="0" w:leftChars="0" w:firstLine="480"/>
              <w:rPr>
                <w:rFonts w:ascii="宋体" w:hAnsi="宋体" w:cs="宋体"/>
              </w:rPr>
            </w:pPr>
          </w:p>
        </w:tc>
        <w:tc>
          <w:tcPr>
            <w:tcW w:w="1560"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ascii="宋体" w:hAnsi="宋体" w:cs="宋体"/>
              </w:rPr>
              <w:t>金华市安地渠道管理所</w:t>
            </w:r>
          </w:p>
        </w:tc>
        <w:tc>
          <w:tcPr>
            <w:tcW w:w="567" w:type="dxa"/>
            <w:tcBorders>
              <w:top w:val="single" w:color="DDDDDD" w:sz="6" w:space="0"/>
              <w:left w:val="single" w:color="DDDDDD" w:sz="6" w:space="0"/>
              <w:bottom w:val="single" w:color="DDDDDD" w:sz="6" w:space="0"/>
              <w:right w:val="single" w:color="DDDDDD" w:sz="6" w:space="0"/>
            </w:tcBorders>
            <w:shd w:val="clear" w:color="auto" w:fill="FFFFFF"/>
            <w:vAlign w:val="center"/>
          </w:tcPr>
          <w:p>
            <w:pPr>
              <w:spacing w:line="360" w:lineRule="auto"/>
              <w:jc w:val="center"/>
              <w:rPr>
                <w:rFonts w:ascii="宋体" w:hAnsi="宋体" w:cs="宋体"/>
              </w:rPr>
            </w:pPr>
            <w:r>
              <w:rPr>
                <w:rFonts w:hint="eastAsia" w:ascii="宋体" w:hAnsi="宋体" w:cs="宋体"/>
              </w:rPr>
              <w:t>1</w:t>
            </w:r>
          </w:p>
        </w:tc>
        <w:tc>
          <w:tcPr>
            <w:tcW w:w="56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项</w:t>
            </w:r>
          </w:p>
        </w:tc>
        <w:tc>
          <w:tcPr>
            <w:tcW w:w="2268"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人民币</w:t>
            </w:r>
            <w:r>
              <w:rPr>
                <w:rFonts w:ascii="宋体" w:hAnsi="宋体" w:cs="宋体"/>
                <w:u w:val="single"/>
              </w:rPr>
              <w:t>1379012</w:t>
            </w:r>
            <w:r>
              <w:rPr>
                <w:rFonts w:hint="eastAsia" w:ascii="宋体" w:hAnsi="宋体" w:cs="宋体"/>
              </w:rPr>
              <w:t>元</w:t>
            </w:r>
          </w:p>
        </w:tc>
        <w:tc>
          <w:tcPr>
            <w:tcW w:w="1903"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c>
          <w:tcPr>
            <w:tcW w:w="58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CellMar>
            <w:top w:w="15" w:type="dxa"/>
            <w:left w:w="15" w:type="dxa"/>
            <w:bottom w:w="15" w:type="dxa"/>
            <w:right w:w="15" w:type="dxa"/>
          </w:tblCellMar>
        </w:tblPrEx>
        <w:trPr>
          <w:trHeight w:val="1005" w:hRule="atLeast"/>
          <w:jc w:val="center"/>
        </w:trPr>
        <w:tc>
          <w:tcPr>
            <w:tcW w:w="573"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5</w:t>
            </w:r>
          </w:p>
        </w:tc>
        <w:tc>
          <w:tcPr>
            <w:tcW w:w="2416"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pStyle w:val="2"/>
              <w:ind w:left="0" w:leftChars="0" w:firstLine="480"/>
              <w:rPr>
                <w:rFonts w:ascii="宋体" w:hAnsi="宋体" w:cs="宋体"/>
              </w:rPr>
            </w:pPr>
          </w:p>
        </w:tc>
        <w:tc>
          <w:tcPr>
            <w:tcW w:w="1560"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金兰水库灌区管理委员会</w:t>
            </w:r>
          </w:p>
        </w:tc>
        <w:tc>
          <w:tcPr>
            <w:tcW w:w="567" w:type="dxa"/>
            <w:tcBorders>
              <w:top w:val="single" w:color="DDDDDD" w:sz="6" w:space="0"/>
              <w:left w:val="single" w:color="DDDDDD" w:sz="6" w:space="0"/>
              <w:bottom w:val="single" w:color="DDDDDD" w:sz="6" w:space="0"/>
              <w:right w:val="single" w:color="DDDDDD" w:sz="6" w:space="0"/>
            </w:tcBorders>
            <w:shd w:val="clear" w:color="auto" w:fill="FFFFFF"/>
            <w:vAlign w:val="center"/>
          </w:tcPr>
          <w:p>
            <w:pPr>
              <w:spacing w:line="360" w:lineRule="auto"/>
              <w:jc w:val="center"/>
              <w:rPr>
                <w:rFonts w:ascii="宋体" w:hAnsi="宋体" w:cs="宋体"/>
              </w:rPr>
            </w:pPr>
            <w:r>
              <w:rPr>
                <w:rFonts w:hint="eastAsia" w:ascii="宋体" w:hAnsi="宋体" w:cs="宋体"/>
              </w:rPr>
              <w:t>1</w:t>
            </w:r>
          </w:p>
        </w:tc>
        <w:tc>
          <w:tcPr>
            <w:tcW w:w="56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项</w:t>
            </w:r>
          </w:p>
        </w:tc>
        <w:tc>
          <w:tcPr>
            <w:tcW w:w="2268"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jc w:val="center"/>
              <w:rPr>
                <w:rFonts w:ascii="宋体" w:hAnsi="宋体" w:cs="宋体"/>
              </w:rPr>
            </w:pPr>
            <w:r>
              <w:rPr>
                <w:rFonts w:hint="eastAsia" w:ascii="宋体" w:hAnsi="宋体" w:cs="宋体"/>
              </w:rPr>
              <w:t>人民币</w:t>
            </w:r>
            <w:r>
              <w:rPr>
                <w:rFonts w:ascii="宋体" w:hAnsi="宋体" w:cs="宋体"/>
                <w:u w:val="single"/>
              </w:rPr>
              <w:t>1580094</w:t>
            </w:r>
            <w:r>
              <w:rPr>
                <w:rFonts w:hint="eastAsia" w:ascii="宋体" w:hAnsi="宋体" w:cs="宋体"/>
              </w:rPr>
              <w:t>元</w:t>
            </w:r>
          </w:p>
        </w:tc>
        <w:tc>
          <w:tcPr>
            <w:tcW w:w="1903" w:type="dxa"/>
            <w:vMerge w:val="continue"/>
            <w:tcBorders>
              <w:left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c>
          <w:tcPr>
            <w:tcW w:w="587" w:type="dxa"/>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rPr>
                <w:rFonts w:ascii="宋体" w:hAnsi="宋体" w:cs="宋体"/>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CellMar>
            <w:top w:w="15" w:type="dxa"/>
            <w:left w:w="15" w:type="dxa"/>
            <w:bottom w:w="15" w:type="dxa"/>
            <w:right w:w="15" w:type="dxa"/>
          </w:tblCellMar>
        </w:tblPrEx>
        <w:trPr>
          <w:trHeight w:val="473" w:hRule="atLeast"/>
          <w:jc w:val="center"/>
        </w:trPr>
        <w:tc>
          <w:tcPr>
            <w:tcW w:w="10441" w:type="dxa"/>
            <w:gridSpan w:val="8"/>
            <w:tcBorders>
              <w:top w:val="single" w:color="DDDDDD" w:sz="6" w:space="0"/>
              <w:left w:val="single" w:color="DDDDDD" w:sz="6" w:space="0"/>
              <w:bottom w:val="single" w:color="DDDDDD" w:sz="6" w:space="0"/>
              <w:right w:val="single" w:color="DDDDDD" w:sz="6" w:space="0"/>
            </w:tcBorders>
            <w:shd w:val="clear" w:color="auto" w:fill="FFFFFF"/>
            <w:tcMar>
              <w:top w:w="75" w:type="dxa"/>
              <w:left w:w="75" w:type="dxa"/>
              <w:bottom w:w="75" w:type="dxa"/>
              <w:right w:w="75" w:type="dxa"/>
            </w:tcMar>
            <w:vAlign w:val="center"/>
          </w:tcPr>
          <w:p>
            <w:pPr>
              <w:spacing w:line="360" w:lineRule="auto"/>
              <w:ind w:right="960" w:firstLine="5760" w:firstLineChars="2400"/>
              <w:rPr>
                <w:rFonts w:ascii="宋体" w:hAnsi="宋体" w:cs="宋体"/>
              </w:rPr>
            </w:pPr>
            <w:r>
              <w:rPr>
                <w:rFonts w:hint="eastAsia" w:ascii="宋体" w:hAnsi="宋体" w:cs="宋体"/>
              </w:rPr>
              <w:t>合计：6</w:t>
            </w:r>
            <w:r>
              <w:rPr>
                <w:rFonts w:ascii="宋体" w:hAnsi="宋体" w:cs="宋体"/>
              </w:rPr>
              <w:t>849282</w:t>
            </w:r>
            <w:r>
              <w:rPr>
                <w:rFonts w:hint="eastAsia" w:ascii="宋体" w:hAnsi="宋体" w:cs="宋体"/>
              </w:rPr>
              <w:t>元</w:t>
            </w:r>
          </w:p>
        </w:tc>
      </w:tr>
    </w:tbl>
    <w:p>
      <w:pPr>
        <w:widowControl w:val="0"/>
        <w:adjustRightInd w:val="0"/>
        <w:snapToGrid w:val="0"/>
        <w:spacing w:line="400" w:lineRule="exact"/>
        <w:ind w:firstLine="482" w:firstLineChars="200"/>
        <w:rPr>
          <w:rFonts w:ascii="宋体" w:hAnsi="宋体" w:cs="宋体"/>
          <w:b/>
        </w:rPr>
      </w:pPr>
    </w:p>
    <w:p>
      <w:pPr>
        <w:widowControl w:val="0"/>
        <w:adjustRightInd w:val="0"/>
        <w:snapToGrid w:val="0"/>
        <w:spacing w:line="360" w:lineRule="auto"/>
        <w:ind w:firstLine="482" w:firstLineChars="200"/>
        <w:rPr>
          <w:rFonts w:ascii="宋体" w:hAnsi="宋体" w:cs="宋体"/>
          <w:b/>
        </w:rPr>
      </w:pPr>
      <w:r>
        <w:rPr>
          <w:rFonts w:hint="eastAsia" w:ascii="宋体" w:hAnsi="宋体" w:cs="宋体"/>
          <w:b/>
        </w:rPr>
        <w:t>三、投标人资格要求：</w:t>
      </w:r>
    </w:p>
    <w:p>
      <w:pPr>
        <w:widowControl w:val="0"/>
        <w:spacing w:line="360" w:lineRule="auto"/>
        <w:ind w:firstLine="480" w:firstLineChars="200"/>
        <w:rPr>
          <w:rFonts w:ascii="宋体" w:hAnsi="宋体" w:cs="宋体"/>
        </w:rPr>
      </w:pPr>
      <w:r>
        <w:rPr>
          <w:rFonts w:hint="eastAsia" w:ascii="宋体" w:hAnsi="宋体" w:cs="宋体"/>
        </w:rPr>
        <w:t>（1）符合《中华人民共和国政府采购法》第二十二条供应商应当具备的条件和浙财采监【2013】24号《关于规范政府采购供应商资格设定及资格审查的通知》第六条规定；</w:t>
      </w:r>
    </w:p>
    <w:p>
      <w:pPr>
        <w:widowControl w:val="0"/>
        <w:spacing w:line="360" w:lineRule="auto"/>
        <w:ind w:firstLine="480" w:firstLineChars="200"/>
        <w:rPr>
          <w:rFonts w:ascii="宋体" w:hAnsi="宋体" w:cs="宋体"/>
        </w:rPr>
      </w:pPr>
      <w:r>
        <w:rPr>
          <w:rFonts w:hint="eastAsia" w:ascii="宋体" w:hAnsi="宋体" w:cs="宋体"/>
        </w:rPr>
        <w:t>（</w:t>
      </w:r>
      <w:r>
        <w:rPr>
          <w:rFonts w:ascii="宋体" w:hAnsi="宋体" w:cs="宋体"/>
        </w:rPr>
        <w:t>2</w:t>
      </w:r>
      <w:r>
        <w:rPr>
          <w:rFonts w:hint="eastAsia" w:ascii="宋体" w:hAnsi="宋体" w:cs="宋体"/>
        </w:rPr>
        <w:t>）本次采购活动拒绝投标人以联合体的形式参加投标。</w:t>
      </w:r>
    </w:p>
    <w:p>
      <w:pPr>
        <w:spacing w:line="360" w:lineRule="auto"/>
        <w:ind w:firstLine="482" w:firstLineChars="200"/>
        <w:rPr>
          <w:rFonts w:ascii="宋体" w:hAnsi="宋体" w:cs="宋体"/>
          <w:b/>
          <w:color w:val="000000"/>
          <w:szCs w:val="21"/>
        </w:rPr>
      </w:pPr>
      <w:r>
        <w:rPr>
          <w:rFonts w:hint="eastAsia" w:ascii="宋体" w:hAnsi="宋体" w:cs="宋体"/>
          <w:b/>
          <w:color w:val="000000"/>
          <w:szCs w:val="21"/>
        </w:rPr>
        <w:t>投标人的特定条件</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（1）具有水利水电工程施工总承包叁级及以上资质的施工企业 ，并在人员、设备、资金等方面具有相应的施工能力；</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（2）项目负责人为水利水电工程二级（含）以上资格的建造师且无因犯罪被判刑在刑期内（包括行贿犯罪判刑）；</w:t>
      </w:r>
    </w:p>
    <w:p>
      <w:pPr>
        <w:widowControl w:val="0"/>
        <w:adjustRightInd w:val="0"/>
        <w:snapToGrid w:val="0"/>
        <w:spacing w:line="360" w:lineRule="auto"/>
        <w:ind w:firstLine="482" w:firstLineChars="200"/>
        <w:rPr>
          <w:rFonts w:ascii="宋体" w:hAnsi="宋体" w:cs="宋体"/>
          <w:b/>
        </w:rPr>
      </w:pPr>
      <w:r>
        <w:rPr>
          <w:rFonts w:hint="eastAsia" w:ascii="宋体" w:hAnsi="宋体" w:cs="宋体"/>
          <w:b/>
        </w:rPr>
        <w:t>四、</w:t>
      </w:r>
      <w:r>
        <w:rPr>
          <w:rFonts w:hint="eastAsia" w:ascii="宋体" w:hAnsi="宋体" w:cs="宋体"/>
          <w:b/>
          <w:u w:val="thick" w:color="FFFFFF"/>
        </w:rPr>
        <w:t>招标文件</w:t>
      </w:r>
      <w:r>
        <w:rPr>
          <w:rFonts w:hint="eastAsia" w:ascii="宋体" w:hAnsi="宋体" w:cs="宋体"/>
          <w:b/>
        </w:rPr>
        <w:t>的获取时间及方式等：</w:t>
      </w:r>
    </w:p>
    <w:p>
      <w:pPr>
        <w:widowControl w:val="0"/>
        <w:adjustRightInd w:val="0"/>
        <w:snapToGrid w:val="0"/>
        <w:spacing w:line="360" w:lineRule="auto"/>
        <w:ind w:firstLine="480" w:firstLineChars="200"/>
        <w:rPr>
          <w:rFonts w:ascii="宋体" w:hAnsi="宋体" w:cs="宋体"/>
        </w:rPr>
      </w:pPr>
      <w:r>
        <w:rPr>
          <w:rFonts w:hint="eastAsia" w:ascii="宋体" w:hAnsi="宋体" w:cs="宋体"/>
        </w:rPr>
        <w:t>时间：</w:t>
      </w:r>
      <w:bookmarkStart w:id="1" w:name="B19_招标文件发售起始日期"/>
      <w:bookmarkEnd w:id="1"/>
      <w:r>
        <w:rPr>
          <w:rFonts w:hint="eastAsia" w:ascii="宋体" w:hAnsi="宋体" w:cs="宋体"/>
          <w:u w:val="single"/>
        </w:rPr>
        <w:t>2020年</w:t>
      </w:r>
      <w:r>
        <w:rPr>
          <w:rFonts w:hint="eastAsia" w:ascii="宋体" w:hAnsi="宋体" w:cs="宋体"/>
          <w:u w:val="single"/>
          <w:lang w:val="en-US" w:eastAsia="zh-CN"/>
        </w:rPr>
        <w:t>4</w:t>
      </w:r>
      <w:r>
        <w:rPr>
          <w:rFonts w:hint="eastAsia" w:ascii="宋体" w:hAnsi="宋体" w:cs="宋体"/>
          <w:u w:val="single"/>
        </w:rPr>
        <w:t>月</w:t>
      </w:r>
      <w:r>
        <w:rPr>
          <w:rFonts w:hint="eastAsia" w:ascii="宋体" w:hAnsi="宋体" w:cs="宋体"/>
          <w:u w:val="single"/>
          <w:lang w:val="en-US" w:eastAsia="zh-CN"/>
        </w:rPr>
        <w:t>24</w:t>
      </w:r>
      <w:r>
        <w:rPr>
          <w:rFonts w:hint="eastAsia" w:ascii="宋体" w:hAnsi="宋体" w:cs="宋体"/>
          <w:u w:val="single"/>
        </w:rPr>
        <w:t>日至</w:t>
      </w:r>
      <w:bookmarkStart w:id="2" w:name="B20_招标文件发售截止日期"/>
      <w:bookmarkEnd w:id="2"/>
      <w:r>
        <w:rPr>
          <w:rFonts w:hint="eastAsia" w:ascii="宋体" w:hAnsi="宋体" w:cs="宋体"/>
          <w:u w:val="single"/>
        </w:rPr>
        <w:t>2020年</w:t>
      </w:r>
      <w:r>
        <w:rPr>
          <w:rFonts w:hint="eastAsia" w:ascii="宋体" w:hAnsi="宋体" w:cs="宋体"/>
          <w:u w:val="single"/>
          <w:lang w:val="en-US" w:eastAsia="zh-CN"/>
        </w:rPr>
        <w:t>5</w:t>
      </w:r>
      <w:r>
        <w:rPr>
          <w:rFonts w:hint="eastAsia" w:ascii="宋体" w:hAnsi="宋体" w:cs="宋体"/>
          <w:u w:val="single"/>
        </w:rPr>
        <w:t>月</w:t>
      </w:r>
      <w:r>
        <w:rPr>
          <w:rFonts w:hint="eastAsia" w:ascii="宋体" w:hAnsi="宋体" w:cs="宋体"/>
          <w:u w:val="single"/>
          <w:lang w:val="en-US" w:eastAsia="zh-CN"/>
        </w:rPr>
        <w:t>13</w:t>
      </w:r>
      <w:r>
        <w:rPr>
          <w:rFonts w:hint="eastAsia" w:ascii="宋体" w:hAnsi="宋体" w:cs="宋体"/>
          <w:u w:val="single"/>
        </w:rPr>
        <w:t>日</w:t>
      </w:r>
      <w:r>
        <w:rPr>
          <w:rFonts w:hint="eastAsia" w:ascii="宋体" w:hAnsi="宋体" w:cs="宋体"/>
        </w:rPr>
        <w:t>，每天上午</w:t>
      </w:r>
      <w:bookmarkStart w:id="3" w:name="B21_招标文件的发布上午时间"/>
      <w:r>
        <w:rPr>
          <w:rFonts w:hint="eastAsia" w:ascii="宋体" w:hAnsi="宋体" w:cs="宋体"/>
        </w:rPr>
        <w:t>8:30-11:30</w:t>
      </w:r>
      <w:bookmarkEnd w:id="3"/>
      <w:r>
        <w:rPr>
          <w:rFonts w:hint="eastAsia" w:ascii="宋体" w:hAnsi="宋体" w:cs="宋体"/>
        </w:rPr>
        <w:t>下午</w:t>
      </w:r>
      <w:bookmarkStart w:id="4" w:name="B22_招标文件的发布下午时间"/>
      <w:r>
        <w:rPr>
          <w:rFonts w:hint="eastAsia" w:ascii="宋体" w:hAnsi="宋体" w:cs="宋体"/>
        </w:rPr>
        <w:t>14:00-</w:t>
      </w:r>
      <w:bookmarkEnd w:id="4"/>
      <w:r>
        <w:rPr>
          <w:rFonts w:hint="eastAsia" w:ascii="宋体" w:hAnsi="宋体" w:cs="宋体"/>
        </w:rPr>
        <w:t>17:00，休息日除外。</w:t>
      </w:r>
    </w:p>
    <w:p>
      <w:pPr>
        <w:widowControl w:val="0"/>
        <w:adjustRightInd w:val="0"/>
        <w:snapToGrid w:val="0"/>
        <w:spacing w:line="360" w:lineRule="auto"/>
        <w:ind w:firstLine="480" w:firstLineChars="200"/>
        <w:rPr>
          <w:rFonts w:ascii="宋体" w:hAnsi="宋体" w:cs="宋体"/>
        </w:rPr>
      </w:pPr>
      <w:r>
        <w:rPr>
          <w:rFonts w:hint="eastAsia" w:ascii="宋体" w:hAnsi="宋体" w:cs="宋体"/>
        </w:rPr>
        <w:t>地点：浙江华杰工程咨询有限公司（浙江省金华市金东区环城东路1777号11楼）</w:t>
      </w:r>
    </w:p>
    <w:p>
      <w:pPr>
        <w:widowControl w:val="0"/>
        <w:adjustRightInd w:val="0"/>
        <w:snapToGrid w:val="0"/>
        <w:spacing w:line="360" w:lineRule="auto"/>
        <w:ind w:left="1070" w:leftChars="200" w:hanging="590" w:hangingChars="245"/>
        <w:rPr>
          <w:rFonts w:ascii="宋体" w:hAnsi="宋体" w:cs="宋体"/>
          <w:b/>
        </w:rPr>
      </w:pPr>
      <w:r>
        <w:rPr>
          <w:rFonts w:hint="eastAsia" w:ascii="宋体" w:hAnsi="宋体" w:cs="宋体"/>
          <w:b/>
        </w:rPr>
        <w:t>注：（1）该项目不接受“政采云系统”线上报名及下载获取，请联系代理机构现场或邮件报名后获取。（邮箱7</w:t>
      </w:r>
      <w:r>
        <w:rPr>
          <w:rFonts w:ascii="宋体" w:hAnsi="宋体" w:cs="宋体"/>
          <w:b/>
        </w:rPr>
        <w:t>85713904</w:t>
      </w:r>
      <w:r>
        <w:rPr>
          <w:rFonts w:hint="eastAsia" w:ascii="宋体" w:hAnsi="宋体" w:cs="宋体"/>
          <w:b/>
        </w:rPr>
        <w:t>@qq.com）</w:t>
      </w:r>
    </w:p>
    <w:p>
      <w:pPr>
        <w:widowControl w:val="0"/>
        <w:adjustRightInd w:val="0"/>
        <w:snapToGrid w:val="0"/>
        <w:spacing w:line="360" w:lineRule="auto"/>
        <w:ind w:left="1068" w:leftChars="400" w:hanging="108" w:hangingChars="45"/>
        <w:rPr>
          <w:rFonts w:ascii="宋体" w:hAnsi="宋体" w:cs="宋体"/>
          <w:b/>
        </w:rPr>
      </w:pPr>
      <w:r>
        <w:rPr>
          <w:rFonts w:hint="eastAsia" w:ascii="宋体" w:hAnsi="宋体" w:cs="宋体"/>
          <w:b/>
        </w:rPr>
        <w:t>（2）采购代理机构将拒绝接受非报名投标人的投标文件。</w:t>
      </w:r>
    </w:p>
    <w:p>
      <w:pPr>
        <w:widowControl w:val="0"/>
        <w:adjustRightInd w:val="0"/>
        <w:snapToGrid w:val="0"/>
        <w:spacing w:line="360" w:lineRule="auto"/>
        <w:ind w:left="1068" w:leftChars="400" w:hanging="108" w:hangingChars="45"/>
        <w:rPr>
          <w:rFonts w:ascii="宋体" w:hAnsi="宋体" w:cs="宋体"/>
          <w:b/>
        </w:rPr>
      </w:pPr>
      <w:r>
        <w:rPr>
          <w:rFonts w:hint="eastAsia" w:ascii="宋体" w:hAnsi="宋体" w:cs="宋体"/>
          <w:b/>
        </w:rPr>
        <w:t>（3）招标文件发售截止时间之后有潜在投标人提出要求领售招标文件的，采购机构将允许其领售，但该潜在投标人如对招标文件有异议的，应于公告期限届满之日起七个工作日内以书面形式向采购代理机构提出。</w:t>
      </w:r>
    </w:p>
    <w:p>
      <w:pPr>
        <w:widowControl w:val="0"/>
        <w:adjustRightInd w:val="0"/>
        <w:snapToGrid w:val="0"/>
        <w:spacing w:line="360" w:lineRule="auto"/>
        <w:ind w:firstLine="482" w:firstLineChars="200"/>
        <w:rPr>
          <w:rFonts w:ascii="宋体" w:hAnsi="宋体" w:cs="宋体"/>
        </w:rPr>
      </w:pPr>
      <w:r>
        <w:rPr>
          <w:rFonts w:hint="eastAsia" w:ascii="宋体" w:hAnsi="宋体" w:cs="宋体"/>
          <w:b/>
        </w:rPr>
        <w:t>五、投标截止时间：</w:t>
      </w:r>
      <w:bookmarkStart w:id="5" w:name="B25_投标截止日期"/>
      <w:bookmarkEnd w:id="5"/>
      <w:r>
        <w:rPr>
          <w:rFonts w:hint="eastAsia" w:ascii="宋体" w:hAnsi="宋体" w:cs="宋体"/>
          <w:u w:val="single"/>
        </w:rPr>
        <w:t>2020年</w:t>
      </w:r>
      <w:r>
        <w:rPr>
          <w:rFonts w:hint="eastAsia" w:ascii="宋体" w:hAnsi="宋体" w:cs="宋体"/>
          <w:u w:val="single"/>
          <w:lang w:val="en-US" w:eastAsia="zh-CN"/>
        </w:rPr>
        <w:t>5</w:t>
      </w:r>
      <w:r>
        <w:rPr>
          <w:rFonts w:hint="eastAsia" w:ascii="宋体" w:hAnsi="宋体" w:cs="宋体"/>
          <w:u w:val="single"/>
        </w:rPr>
        <w:t>月</w:t>
      </w:r>
      <w:r>
        <w:rPr>
          <w:rFonts w:hint="eastAsia" w:ascii="宋体" w:hAnsi="宋体" w:cs="宋体"/>
          <w:u w:val="single"/>
          <w:lang w:val="en-US" w:eastAsia="zh-CN"/>
        </w:rPr>
        <w:t>14</w:t>
      </w:r>
      <w:r>
        <w:rPr>
          <w:rFonts w:hint="eastAsia" w:ascii="宋体" w:hAnsi="宋体" w:cs="宋体"/>
          <w:u w:val="single"/>
        </w:rPr>
        <w:t>日09:30 止</w:t>
      </w:r>
    </w:p>
    <w:p>
      <w:pPr>
        <w:widowControl w:val="0"/>
        <w:adjustRightInd w:val="0"/>
        <w:snapToGrid w:val="0"/>
        <w:spacing w:line="360" w:lineRule="auto"/>
        <w:ind w:firstLine="482" w:firstLineChars="200"/>
        <w:rPr>
          <w:rFonts w:ascii="宋体" w:hAnsi="宋体" w:cs="宋体"/>
        </w:rPr>
      </w:pPr>
      <w:r>
        <w:rPr>
          <w:rFonts w:hint="eastAsia" w:ascii="宋体" w:hAnsi="宋体" w:cs="宋体"/>
          <w:b/>
        </w:rPr>
        <w:t>六、投标地点：</w:t>
      </w:r>
      <w:r>
        <w:rPr>
          <w:rFonts w:hint="eastAsia" w:ascii="宋体" w:hAnsi="宋体" w:cs="宋体"/>
        </w:rPr>
        <w:t>金华市行政服务中心新办事大厅4楼开标室（双龙南街858号财富大厦）</w:t>
      </w:r>
    </w:p>
    <w:p>
      <w:pPr>
        <w:widowControl w:val="0"/>
        <w:adjustRightInd w:val="0"/>
        <w:snapToGrid w:val="0"/>
        <w:spacing w:line="360" w:lineRule="auto"/>
        <w:ind w:firstLine="482" w:firstLineChars="200"/>
        <w:rPr>
          <w:rFonts w:ascii="宋体" w:hAnsi="宋体" w:cs="宋体"/>
        </w:rPr>
      </w:pPr>
      <w:r>
        <w:rPr>
          <w:rFonts w:hint="eastAsia" w:ascii="宋体" w:hAnsi="宋体" w:cs="宋体"/>
          <w:b/>
        </w:rPr>
        <w:t>七、开标时间：</w:t>
      </w:r>
      <w:bookmarkStart w:id="6" w:name="B28_开标日期"/>
      <w:bookmarkEnd w:id="6"/>
      <w:r>
        <w:rPr>
          <w:rFonts w:hint="eastAsia" w:ascii="宋体" w:hAnsi="宋体" w:cs="宋体"/>
          <w:u w:val="single"/>
        </w:rPr>
        <w:t>2020年</w:t>
      </w:r>
      <w:r>
        <w:rPr>
          <w:rFonts w:hint="eastAsia" w:ascii="宋体" w:hAnsi="宋体" w:cs="宋体"/>
          <w:u w:val="single"/>
          <w:lang w:val="en-US" w:eastAsia="zh-CN"/>
        </w:rPr>
        <w:t>5</w:t>
      </w:r>
      <w:r>
        <w:rPr>
          <w:rFonts w:hint="eastAsia" w:ascii="宋体" w:hAnsi="宋体" w:cs="宋体"/>
          <w:u w:val="single"/>
        </w:rPr>
        <w:t>月</w:t>
      </w:r>
      <w:r>
        <w:rPr>
          <w:rFonts w:hint="eastAsia" w:ascii="宋体" w:hAnsi="宋体" w:cs="宋体"/>
          <w:u w:val="single"/>
          <w:lang w:val="en-US" w:eastAsia="zh-CN"/>
        </w:rPr>
        <w:t>14</w:t>
      </w:r>
      <w:r>
        <w:rPr>
          <w:rFonts w:hint="eastAsia" w:ascii="宋体" w:hAnsi="宋体" w:cs="宋体"/>
          <w:u w:val="single"/>
        </w:rPr>
        <w:t>日09:30 开始</w:t>
      </w:r>
    </w:p>
    <w:p>
      <w:pPr>
        <w:widowControl w:val="0"/>
        <w:adjustRightInd w:val="0"/>
        <w:snapToGrid w:val="0"/>
        <w:spacing w:line="360" w:lineRule="auto"/>
        <w:ind w:firstLine="482" w:firstLineChars="200"/>
        <w:rPr>
          <w:rFonts w:ascii="宋体" w:hAnsi="宋体" w:cs="宋体"/>
        </w:rPr>
      </w:pPr>
      <w:r>
        <w:rPr>
          <w:rFonts w:hint="eastAsia" w:ascii="宋体" w:hAnsi="宋体" w:cs="宋体"/>
          <w:b/>
        </w:rPr>
        <w:t>八、开标地点：</w:t>
      </w:r>
      <w:r>
        <w:rPr>
          <w:rFonts w:hint="eastAsia" w:ascii="宋体" w:hAnsi="宋体" w:cs="宋体"/>
        </w:rPr>
        <w:t>金华市行政服务中心新办事大厅4楼开标室（双龙南街858号财富大厦）</w:t>
      </w:r>
    </w:p>
    <w:p>
      <w:pPr>
        <w:widowControl w:val="0"/>
        <w:adjustRightInd w:val="0"/>
        <w:snapToGrid w:val="0"/>
        <w:spacing w:line="360" w:lineRule="auto"/>
        <w:ind w:firstLine="482" w:firstLineChars="200"/>
        <w:rPr>
          <w:rFonts w:ascii="宋体" w:hAnsi="宋体" w:cs="宋体"/>
          <w:b/>
        </w:rPr>
      </w:pPr>
      <w:r>
        <w:rPr>
          <w:rFonts w:hint="eastAsia" w:ascii="宋体" w:hAnsi="宋体" w:cs="宋体"/>
          <w:b/>
        </w:rPr>
        <w:t>九、投标保证金：无须缴纳</w:t>
      </w:r>
    </w:p>
    <w:p>
      <w:pPr>
        <w:widowControl w:val="0"/>
        <w:adjustRightInd w:val="0"/>
        <w:snapToGrid w:val="0"/>
        <w:spacing w:line="360" w:lineRule="auto"/>
        <w:ind w:firstLine="482" w:firstLineChars="200"/>
        <w:rPr>
          <w:rFonts w:ascii="宋体" w:hAnsi="宋体" w:cs="宋体"/>
          <w:b/>
        </w:rPr>
      </w:pPr>
      <w:r>
        <w:rPr>
          <w:rFonts w:hint="eastAsia" w:ascii="宋体" w:hAnsi="宋体" w:cs="宋体"/>
          <w:b/>
        </w:rPr>
        <w:t>十、其他要求</w:t>
      </w:r>
    </w:p>
    <w:p>
      <w:pPr>
        <w:widowControl w:val="0"/>
        <w:adjustRightInd w:val="0"/>
        <w:snapToGrid w:val="0"/>
        <w:spacing w:line="360" w:lineRule="auto"/>
        <w:ind w:firstLine="480" w:firstLineChars="200"/>
        <w:rPr>
          <w:rFonts w:ascii="宋体" w:hAnsi="宋体" w:cs="宋体"/>
        </w:rPr>
      </w:pPr>
      <w:r>
        <w:rPr>
          <w:rFonts w:hint="eastAsia" w:ascii="宋体" w:hAnsi="宋体" w:cs="宋体"/>
        </w:rPr>
        <w:t xml:space="preserve">1、获取招标文件时应提供以下资料： </w:t>
      </w:r>
    </w:p>
    <w:p>
      <w:pPr>
        <w:widowControl w:val="0"/>
        <w:adjustRightInd w:val="0"/>
        <w:snapToGrid w:val="0"/>
        <w:spacing w:line="360" w:lineRule="auto"/>
        <w:ind w:firstLine="480" w:firstLineChars="200"/>
        <w:rPr>
          <w:rFonts w:ascii="宋体" w:hAnsi="宋体" w:cs="宋体"/>
        </w:rPr>
      </w:pPr>
      <w:r>
        <w:rPr>
          <w:rFonts w:hint="eastAsia" w:ascii="宋体" w:hAnsi="宋体" w:cs="宋体"/>
        </w:rPr>
        <w:t>（1）营业执照副本复印件；</w:t>
      </w:r>
    </w:p>
    <w:p>
      <w:pPr>
        <w:widowControl w:val="0"/>
        <w:adjustRightInd w:val="0"/>
        <w:snapToGrid w:val="0"/>
        <w:spacing w:line="360" w:lineRule="auto"/>
        <w:ind w:firstLine="480" w:firstLineChars="200"/>
        <w:rPr>
          <w:rFonts w:ascii="宋体" w:hAnsi="宋体" w:cs="宋体"/>
        </w:rPr>
      </w:pPr>
      <w:r>
        <w:rPr>
          <w:rFonts w:hint="eastAsia" w:ascii="宋体" w:hAnsi="宋体" w:cs="宋体"/>
        </w:rPr>
        <w:t>（2）法定代表人（负责人）授权委托书原件及授权代表联系方式；</w:t>
      </w:r>
    </w:p>
    <w:p>
      <w:pPr>
        <w:widowControl w:val="0"/>
        <w:adjustRightInd w:val="0"/>
        <w:snapToGrid w:val="0"/>
        <w:spacing w:line="360" w:lineRule="auto"/>
        <w:ind w:firstLine="480" w:firstLineChars="200"/>
        <w:rPr>
          <w:rFonts w:ascii="宋体" w:hAnsi="宋体" w:cs="宋体"/>
        </w:rPr>
      </w:pPr>
      <w:r>
        <w:rPr>
          <w:rFonts w:hint="eastAsia" w:ascii="宋体" w:hAnsi="宋体" w:cs="宋体"/>
        </w:rPr>
        <w:t>（3）法定代表人（负责人）身份证复印件、授权代表身份证复印件；</w:t>
      </w:r>
    </w:p>
    <w:p>
      <w:pPr>
        <w:widowControl w:val="0"/>
        <w:adjustRightInd w:val="0"/>
        <w:snapToGrid w:val="0"/>
        <w:spacing w:line="360" w:lineRule="auto"/>
        <w:ind w:firstLine="480" w:firstLineChars="200"/>
        <w:rPr>
          <w:rFonts w:ascii="宋体" w:hAnsi="宋体" w:cs="宋体"/>
        </w:rPr>
      </w:pPr>
      <w:r>
        <w:rPr>
          <w:rFonts w:hint="eastAsia" w:ascii="宋体" w:hAnsi="宋体" w:cs="宋体"/>
        </w:rPr>
        <w:t>（4）资格要求中所需要的其他资质证书。</w:t>
      </w:r>
    </w:p>
    <w:p>
      <w:pPr>
        <w:widowControl w:val="0"/>
        <w:adjustRightInd w:val="0"/>
        <w:snapToGrid w:val="0"/>
        <w:spacing w:line="360" w:lineRule="auto"/>
        <w:ind w:firstLine="480" w:firstLineChars="200"/>
        <w:rPr>
          <w:rFonts w:ascii="宋体" w:hAnsi="宋体" w:cs="宋体"/>
        </w:rPr>
      </w:pPr>
      <w:r>
        <w:rPr>
          <w:rFonts w:hint="eastAsia" w:ascii="宋体" w:hAnsi="宋体" w:cs="宋体"/>
        </w:rPr>
        <w:t>2、潜在投标人可在浙江政府采购网（</w:t>
      </w:r>
      <w:r>
        <w:fldChar w:fldCharType="begin"/>
      </w:r>
      <w:r>
        <w:instrText xml:space="preserve"> HYPERLINK "http://www.zjzfcg.gov.cn/" </w:instrText>
      </w:r>
      <w:r>
        <w:fldChar w:fldCharType="separate"/>
      </w:r>
      <w:r>
        <w:rPr>
          <w:rFonts w:hint="eastAsia" w:ascii="宋体" w:hAnsi="宋体" w:cs="宋体"/>
        </w:rPr>
        <w:t>www.zjzfcg.gov.cn</w:t>
      </w:r>
      <w:r>
        <w:rPr>
          <w:rFonts w:hint="eastAsia" w:ascii="宋体" w:hAnsi="宋体" w:cs="宋体"/>
        </w:rPr>
        <w:fldChar w:fldCharType="end"/>
      </w:r>
      <w:r>
        <w:rPr>
          <w:rFonts w:hint="eastAsia" w:ascii="宋体" w:hAnsi="宋体" w:cs="宋体"/>
        </w:rPr>
        <w:t>）进行免费注册，具体详见网站供应商注册要求，中标人应在合同签订前完成注册并成为网站正式注册供应商。否则将无法完成合同签订与付款程序。</w:t>
      </w:r>
    </w:p>
    <w:p>
      <w:pPr>
        <w:widowControl w:val="0"/>
        <w:adjustRightInd w:val="0"/>
        <w:snapToGrid w:val="0"/>
        <w:spacing w:line="360" w:lineRule="auto"/>
        <w:ind w:firstLine="480" w:firstLineChars="200"/>
        <w:rPr>
          <w:rFonts w:ascii="宋体" w:hAnsi="宋体" w:cs="宋体"/>
        </w:rPr>
      </w:pPr>
      <w:r>
        <w:rPr>
          <w:rFonts w:hint="eastAsia" w:ascii="宋体" w:hAnsi="宋体" w:cs="宋体"/>
        </w:rPr>
        <w:t>3、资格审查：本次招标采取开标后资格审查，采购代理机构不保证所有已完成报名的潜在投标人都符合资格要求。</w:t>
      </w:r>
    </w:p>
    <w:p>
      <w:pPr>
        <w:widowControl w:val="0"/>
        <w:tabs>
          <w:tab w:val="left" w:pos="7380"/>
        </w:tabs>
        <w:adjustRightInd w:val="0"/>
        <w:snapToGrid w:val="0"/>
        <w:spacing w:line="360" w:lineRule="auto"/>
        <w:ind w:firstLine="480" w:firstLineChars="200"/>
        <w:rPr>
          <w:rFonts w:ascii="宋体" w:hAnsi="宋体" w:cs="宋体"/>
        </w:rPr>
      </w:pPr>
      <w:r>
        <w:rPr>
          <w:rFonts w:hint="eastAsia" w:ascii="宋体" w:hAnsi="宋体" w:cs="宋体"/>
        </w:rPr>
        <w:t>4、</w:t>
      </w:r>
      <w:r>
        <w:rPr>
          <w:rFonts w:hint="eastAsia" w:ascii="宋体" w:hAnsi="宋体" w:cs="宋体"/>
          <w:b/>
        </w:rPr>
        <w:t>本项目公告期限为5个工作日</w:t>
      </w:r>
      <w:r>
        <w:rPr>
          <w:rFonts w:hint="eastAsia" w:ascii="宋体" w:hAnsi="宋体" w:cs="宋体"/>
        </w:rPr>
        <w:t>，投标人如认为公开招标文件表述不清晰、存在歧视性、排他性或者其他违法内容的，可以自收到采购文件之日（发售截止日之后收到采购文件的，以发售截止日为准）或者采购文件公告期限届满之日（公告发布后的第6个工作日）起7个工作日内，以书面形式向采购人和采购代理机构提出质疑。质疑投标人对采购人、代理机构的答复不满意或者采购人、代理机构未在规定的时间内做出答复的，可以在答复期满后15个工作日内向同级政府采购监管部门投诉。质疑函范本、投诉书范本请到浙江政府采购网下载专区下载。</w:t>
      </w:r>
    </w:p>
    <w:p>
      <w:pPr>
        <w:widowControl w:val="0"/>
        <w:tabs>
          <w:tab w:val="left" w:pos="7380"/>
        </w:tabs>
        <w:adjustRightInd w:val="0"/>
        <w:snapToGrid w:val="0"/>
        <w:spacing w:line="360" w:lineRule="auto"/>
        <w:ind w:firstLine="480" w:firstLineChars="200"/>
        <w:rPr>
          <w:rFonts w:ascii="宋体" w:hAnsi="宋体" w:cs="宋体"/>
        </w:rPr>
      </w:pPr>
      <w:r>
        <w:rPr>
          <w:rFonts w:hint="eastAsia" w:ascii="宋体" w:hAnsi="宋体" w:cs="宋体"/>
        </w:rPr>
        <w:t>5、本项目落实政府采购政策：对符合财政扶持政策的中小企业（小型、微型）、监狱企业、残疾人福利性单位给予价格优惠扶持，执行节能产品政府强制采购和优先采购政策，执行环境标志产品政府优先采购政策。</w:t>
      </w:r>
    </w:p>
    <w:p>
      <w:pPr>
        <w:widowControl w:val="0"/>
        <w:adjustRightInd w:val="0"/>
        <w:snapToGrid w:val="0"/>
        <w:spacing w:line="360" w:lineRule="auto"/>
        <w:ind w:firstLine="482" w:firstLineChars="200"/>
        <w:rPr>
          <w:rFonts w:ascii="宋体" w:hAnsi="宋体" w:cs="宋体"/>
          <w:b/>
        </w:rPr>
      </w:pPr>
      <w:r>
        <w:rPr>
          <w:rFonts w:hint="eastAsia" w:ascii="宋体" w:hAnsi="宋体" w:cs="宋体"/>
          <w:b/>
        </w:rPr>
        <w:t>十一、发布招标公告的媒体为：</w:t>
      </w:r>
    </w:p>
    <w:p>
      <w:pPr>
        <w:widowControl w:val="0"/>
        <w:adjustRightInd w:val="0"/>
        <w:snapToGrid w:val="0"/>
        <w:spacing w:line="360" w:lineRule="auto"/>
        <w:ind w:firstLine="480" w:firstLineChars="200"/>
        <w:rPr>
          <w:rFonts w:ascii="宋体" w:hAnsi="宋体" w:cs="宋体"/>
        </w:rPr>
      </w:pPr>
      <w:r>
        <w:rPr>
          <w:rFonts w:hint="eastAsia" w:ascii="宋体" w:hAnsi="宋体" w:cs="宋体"/>
        </w:rPr>
        <w:t>浙江政府采购网(</w:t>
      </w:r>
      <w:r>
        <w:fldChar w:fldCharType="begin"/>
      </w:r>
      <w:r>
        <w:instrText xml:space="preserve"> HYPERLINK "http://www.zjzfcg.gov.cn/" </w:instrText>
      </w:r>
      <w:r>
        <w:fldChar w:fldCharType="separate"/>
      </w:r>
      <w:r>
        <w:rPr>
          <w:rFonts w:hint="eastAsia" w:ascii="宋体" w:hAnsi="宋体" w:cs="宋体"/>
        </w:rPr>
        <w:t>www.zjzfcg.gov.cn</w:t>
      </w:r>
      <w:r>
        <w:rPr>
          <w:rFonts w:hint="eastAsia" w:ascii="宋体" w:hAnsi="宋体" w:cs="宋体"/>
        </w:rPr>
        <w:fldChar w:fldCharType="end"/>
      </w:r>
      <w:r>
        <w:rPr>
          <w:rFonts w:hint="eastAsia" w:ascii="宋体" w:hAnsi="宋体" w:cs="宋体"/>
        </w:rPr>
        <w:t>)</w:t>
      </w:r>
    </w:p>
    <w:p>
      <w:pPr>
        <w:widowControl w:val="0"/>
        <w:adjustRightInd w:val="0"/>
        <w:snapToGrid w:val="0"/>
        <w:spacing w:line="360" w:lineRule="auto"/>
        <w:ind w:firstLine="482" w:firstLineChars="200"/>
        <w:rPr>
          <w:rFonts w:ascii="宋体" w:hAnsi="宋体" w:cs="宋体"/>
          <w:b/>
        </w:rPr>
      </w:pPr>
      <w:r>
        <w:rPr>
          <w:rFonts w:hint="eastAsia" w:ascii="宋体" w:hAnsi="宋体" w:cs="宋体"/>
          <w:b/>
        </w:rPr>
        <w:t>十二、信用记录：</w:t>
      </w:r>
    </w:p>
    <w:p>
      <w:pPr>
        <w:widowControl w:val="0"/>
        <w:adjustRightInd w:val="0"/>
        <w:snapToGrid w:val="0"/>
        <w:spacing w:line="360" w:lineRule="auto"/>
        <w:ind w:firstLine="480" w:firstLineChars="200"/>
        <w:rPr>
          <w:rFonts w:ascii="宋体" w:hAnsi="宋体" w:cs="宋体"/>
        </w:rPr>
      </w:pPr>
      <w:r>
        <w:rPr>
          <w:rFonts w:hint="eastAsia" w:ascii="宋体" w:hAnsi="宋体" w:cs="宋体"/>
        </w:rPr>
        <w:t>根据财库[2016]125号《关于在政府采购活动中查询及使用信用记录有关问题的通知》要求，采购代理机构会对供应商信用记录进行查询并甄别。</w:t>
      </w:r>
    </w:p>
    <w:p>
      <w:pPr>
        <w:widowControl w:val="0"/>
        <w:adjustRightInd w:val="0"/>
        <w:snapToGrid w:val="0"/>
        <w:spacing w:line="360" w:lineRule="auto"/>
        <w:ind w:firstLine="480" w:firstLineChars="200"/>
        <w:rPr>
          <w:rFonts w:ascii="宋体" w:hAnsi="宋体" w:cs="宋体"/>
        </w:rPr>
      </w:pPr>
      <w:r>
        <w:rPr>
          <w:rFonts w:hint="eastAsia" w:ascii="宋体" w:hAnsi="宋体" w:cs="宋体"/>
        </w:rPr>
        <w:t>1、信用信息查询的截止时点：投标截止时间前1个工作日查询；</w:t>
      </w:r>
    </w:p>
    <w:p>
      <w:pPr>
        <w:widowControl w:val="0"/>
        <w:adjustRightInd w:val="0"/>
        <w:snapToGrid w:val="0"/>
        <w:spacing w:line="360" w:lineRule="auto"/>
        <w:ind w:firstLine="480" w:firstLineChars="200"/>
        <w:rPr>
          <w:rFonts w:ascii="宋体" w:hAnsi="宋体" w:cs="宋体"/>
        </w:rPr>
      </w:pPr>
      <w:r>
        <w:rPr>
          <w:rFonts w:hint="eastAsia" w:ascii="宋体" w:hAnsi="宋体" w:cs="宋体"/>
        </w:rPr>
        <w:t>2、查询渠道：</w:t>
      </w:r>
    </w:p>
    <w:p>
      <w:pPr>
        <w:widowControl w:val="0"/>
        <w:adjustRightInd w:val="0"/>
        <w:snapToGrid w:val="0"/>
        <w:spacing w:line="360" w:lineRule="auto"/>
        <w:ind w:firstLine="480" w:firstLineChars="200"/>
        <w:rPr>
          <w:rFonts w:ascii="宋体" w:hAnsi="宋体" w:cs="宋体"/>
        </w:rPr>
      </w:pPr>
      <w:r>
        <w:rPr>
          <w:rFonts w:hint="eastAsia" w:ascii="宋体" w:hAnsi="宋体" w:cs="宋体"/>
        </w:rPr>
        <w:t>信用中国（www.creditchina.gov.cn）；</w:t>
      </w:r>
    </w:p>
    <w:p>
      <w:pPr>
        <w:widowControl w:val="0"/>
        <w:adjustRightInd w:val="0"/>
        <w:snapToGrid w:val="0"/>
        <w:spacing w:line="360" w:lineRule="auto"/>
        <w:ind w:firstLine="480" w:firstLineChars="200"/>
        <w:rPr>
          <w:rFonts w:ascii="宋体" w:hAnsi="宋体" w:cs="宋体"/>
        </w:rPr>
      </w:pPr>
      <w:r>
        <w:rPr>
          <w:rFonts w:hint="eastAsia" w:ascii="宋体" w:hAnsi="宋体" w:cs="宋体"/>
        </w:rPr>
        <w:t>中国政府采购网（www.ccgp.gov.cn）；</w:t>
      </w:r>
    </w:p>
    <w:p>
      <w:pPr>
        <w:widowControl w:val="0"/>
        <w:adjustRightInd w:val="0"/>
        <w:snapToGrid w:val="0"/>
        <w:spacing w:line="360" w:lineRule="auto"/>
        <w:ind w:firstLine="480" w:firstLineChars="200"/>
        <w:rPr>
          <w:rFonts w:ascii="宋体" w:hAnsi="宋体" w:cs="宋体"/>
        </w:rPr>
      </w:pPr>
      <w:r>
        <w:rPr>
          <w:rFonts w:hint="eastAsia" w:ascii="宋体" w:hAnsi="宋体" w:cs="宋体"/>
        </w:rPr>
        <w:t>浙江政府采购网（</w:t>
      </w:r>
      <w:r>
        <w:fldChar w:fldCharType="begin"/>
      </w:r>
      <w:r>
        <w:instrText xml:space="preserve"> HYPERLINK "http://www.zjzfcg.gov.cn/" </w:instrText>
      </w:r>
      <w:r>
        <w:fldChar w:fldCharType="separate"/>
      </w:r>
      <w:r>
        <w:rPr>
          <w:rFonts w:hint="eastAsia" w:ascii="宋体" w:hAnsi="宋体" w:cs="宋体"/>
        </w:rPr>
        <w:t>www.zjzfcg.gov.cn</w:t>
      </w:r>
      <w:r>
        <w:rPr>
          <w:rFonts w:hint="eastAsia" w:ascii="宋体" w:hAnsi="宋体" w:cs="宋体"/>
        </w:rPr>
        <w:fldChar w:fldCharType="end"/>
      </w:r>
      <w:r>
        <w:rPr>
          <w:rFonts w:hint="eastAsia" w:ascii="宋体" w:hAnsi="宋体" w:cs="宋体"/>
        </w:rPr>
        <w:t>）；</w:t>
      </w:r>
    </w:p>
    <w:p>
      <w:pPr>
        <w:widowControl w:val="0"/>
        <w:adjustRightInd w:val="0"/>
        <w:snapToGrid w:val="0"/>
        <w:spacing w:line="360" w:lineRule="auto"/>
        <w:ind w:firstLine="480" w:firstLineChars="200"/>
        <w:rPr>
          <w:rFonts w:ascii="宋体" w:hAnsi="宋体" w:cs="宋体"/>
        </w:rPr>
      </w:pPr>
      <w:r>
        <w:rPr>
          <w:rFonts w:hint="eastAsia" w:ascii="宋体" w:hAnsi="宋体" w:cs="宋体"/>
        </w:rPr>
        <w:t>3、信用信息查询记录和证据留存具体方式：采购代理机构经办人和监督人员将查询网页打印、签字与其他采购文件一并保存；</w:t>
      </w:r>
    </w:p>
    <w:p>
      <w:pPr>
        <w:widowControl w:val="0"/>
        <w:adjustRightInd w:val="0"/>
        <w:snapToGrid w:val="0"/>
        <w:spacing w:line="360" w:lineRule="auto"/>
        <w:ind w:firstLine="480" w:firstLineChars="200"/>
        <w:rPr>
          <w:rFonts w:ascii="宋体" w:hAnsi="宋体" w:cs="宋体"/>
        </w:rPr>
      </w:pPr>
      <w:r>
        <w:rPr>
          <w:rFonts w:hint="eastAsia" w:ascii="宋体" w:hAnsi="宋体" w:cs="宋体"/>
        </w:rPr>
        <w:t>4、信用信息的使用规则：投标人存在不良信用记录的，其投标将被作为无效投标被拒绝。</w:t>
      </w:r>
    </w:p>
    <w:p>
      <w:pPr>
        <w:widowControl w:val="0"/>
        <w:adjustRightInd w:val="0"/>
        <w:snapToGrid w:val="0"/>
        <w:spacing w:line="360" w:lineRule="auto"/>
        <w:ind w:firstLine="480" w:firstLineChars="200"/>
        <w:rPr>
          <w:rFonts w:ascii="宋体" w:hAnsi="宋体" w:cs="宋体"/>
        </w:rPr>
      </w:pPr>
      <w:r>
        <w:rPr>
          <w:rFonts w:hint="eastAsia" w:ascii="宋体" w:hAnsi="宋体" w:cs="宋体"/>
        </w:rPr>
        <w:t>不良信用记录指：被列入失信被执行人、重大税收违法案件当事人名单、政府采购严重违法失信行为记录名单或浙江政府采购网曝光台中尚在行政处罚期内的。</w:t>
      </w:r>
    </w:p>
    <w:p>
      <w:pPr>
        <w:widowControl w:val="0"/>
        <w:adjustRightInd w:val="0"/>
        <w:snapToGrid w:val="0"/>
        <w:spacing w:line="360" w:lineRule="auto"/>
        <w:ind w:firstLine="482" w:firstLineChars="200"/>
        <w:rPr>
          <w:rFonts w:ascii="宋体" w:hAnsi="宋体" w:cs="宋体"/>
          <w:b/>
        </w:rPr>
      </w:pPr>
      <w:r>
        <w:rPr>
          <w:rFonts w:hint="eastAsia" w:ascii="宋体" w:hAnsi="宋体" w:cs="宋体"/>
          <w:b/>
        </w:rPr>
        <w:t>十三、联系方式</w:t>
      </w:r>
    </w:p>
    <w:p>
      <w:pPr>
        <w:widowControl w:val="0"/>
        <w:adjustRightInd w:val="0"/>
        <w:snapToGrid w:val="0"/>
        <w:spacing w:line="360" w:lineRule="auto"/>
        <w:ind w:firstLine="480" w:firstLineChars="200"/>
        <w:rPr>
          <w:rFonts w:ascii="宋体" w:hAnsi="宋体" w:cs="宋体"/>
        </w:rPr>
      </w:pPr>
      <w:r>
        <w:rPr>
          <w:rFonts w:hint="eastAsia" w:ascii="宋体" w:hAnsi="宋体" w:cs="宋体"/>
        </w:rPr>
        <w:t>采购人名称：金华市水利局</w:t>
      </w:r>
    </w:p>
    <w:p>
      <w:pPr>
        <w:widowControl w:val="0"/>
        <w:adjustRightInd w:val="0"/>
        <w:snapToGrid w:val="0"/>
        <w:spacing w:line="360" w:lineRule="auto"/>
        <w:ind w:firstLine="480" w:firstLineChars="200"/>
        <w:rPr>
          <w:rFonts w:ascii="宋体" w:hAnsi="宋体" w:cs="宋体"/>
        </w:rPr>
      </w:pPr>
      <w:r>
        <w:rPr>
          <w:rFonts w:hint="eastAsia" w:ascii="宋体" w:hAnsi="宋体" w:cs="宋体"/>
        </w:rPr>
        <w:t>联系人：</w:t>
      </w:r>
      <w:r>
        <w:rPr>
          <w:rFonts w:hint="eastAsia" w:ascii="宋体" w:hAnsi="宋体"/>
          <w:bCs/>
          <w:szCs w:val="21"/>
        </w:rPr>
        <w:t>薛先生</w:t>
      </w:r>
      <w:r>
        <w:rPr>
          <w:rFonts w:hint="eastAsia" w:ascii="宋体" w:hAnsi="宋体" w:cs="宋体"/>
        </w:rPr>
        <w:t xml:space="preserve">               联系电话：</w:t>
      </w:r>
      <w:r>
        <w:rPr>
          <w:rFonts w:ascii="宋体" w:hAnsi="宋体" w:cs="Arial"/>
          <w:szCs w:val="21"/>
        </w:rPr>
        <w:t>13868918811</w:t>
      </w:r>
    </w:p>
    <w:p>
      <w:pPr>
        <w:widowControl w:val="0"/>
        <w:adjustRightInd w:val="0"/>
        <w:snapToGrid w:val="0"/>
        <w:spacing w:line="360" w:lineRule="auto"/>
        <w:ind w:firstLine="480" w:firstLineChars="200"/>
        <w:rPr>
          <w:rFonts w:ascii="宋体" w:hAnsi="宋体" w:cs="宋体"/>
        </w:rPr>
      </w:pPr>
      <w:r>
        <w:rPr>
          <w:rFonts w:hint="eastAsia" w:ascii="宋体" w:hAnsi="宋体" w:cs="宋体"/>
        </w:rPr>
        <w:t>代理机构名称：浙江华杰工程咨询有限公司</w:t>
      </w:r>
    </w:p>
    <w:p>
      <w:pPr>
        <w:widowControl w:val="0"/>
        <w:adjustRightInd w:val="0"/>
        <w:snapToGrid w:val="0"/>
        <w:spacing w:line="360" w:lineRule="auto"/>
        <w:ind w:firstLine="480" w:firstLineChars="200"/>
        <w:rPr>
          <w:rFonts w:ascii="宋体" w:hAnsi="宋体" w:cs="宋体"/>
        </w:rPr>
      </w:pPr>
      <w:r>
        <w:rPr>
          <w:rFonts w:hint="eastAsia" w:ascii="宋体" w:hAnsi="宋体" w:cs="宋体"/>
        </w:rPr>
        <w:t>地    址：浙江省金华市金东区环城东路1777号11楼</w:t>
      </w:r>
    </w:p>
    <w:p>
      <w:pPr>
        <w:widowControl w:val="0"/>
        <w:adjustRightInd w:val="0"/>
        <w:snapToGrid w:val="0"/>
        <w:spacing w:line="360" w:lineRule="auto"/>
        <w:ind w:firstLine="480" w:firstLineChars="200"/>
        <w:rPr>
          <w:rFonts w:ascii="宋体" w:hAnsi="宋体" w:cs="宋体"/>
        </w:rPr>
      </w:pPr>
      <w:r>
        <w:rPr>
          <w:rFonts w:hint="eastAsia" w:ascii="宋体" w:hAnsi="宋体" w:cs="宋体"/>
        </w:rPr>
        <w:t xml:space="preserve">报名联系人：郑先生          联系电话：15557989937    </w:t>
      </w:r>
    </w:p>
    <w:p>
      <w:pPr>
        <w:widowControl w:val="0"/>
        <w:adjustRightInd w:val="0"/>
        <w:snapToGrid w:val="0"/>
        <w:spacing w:line="360" w:lineRule="auto"/>
        <w:ind w:firstLine="480" w:firstLineChars="200"/>
        <w:rPr>
          <w:rFonts w:ascii="宋体" w:hAnsi="宋体" w:cs="宋体"/>
        </w:rPr>
      </w:pPr>
      <w:r>
        <w:rPr>
          <w:rFonts w:hint="eastAsia" w:ascii="宋体" w:hAnsi="宋体" w:cs="宋体"/>
        </w:rPr>
        <w:t>政府采购行政监管及投诉受理部门：金华市政府采购管理办公室</w:t>
      </w:r>
    </w:p>
    <w:p>
      <w:pPr>
        <w:widowControl w:val="0"/>
        <w:adjustRightInd w:val="0"/>
        <w:snapToGrid w:val="0"/>
        <w:spacing w:line="360" w:lineRule="auto"/>
        <w:ind w:firstLine="480" w:firstLineChars="200"/>
        <w:rPr>
          <w:rFonts w:ascii="宋体" w:hAnsi="宋体" w:cs="宋体"/>
        </w:rPr>
      </w:pPr>
      <w:r>
        <w:rPr>
          <w:rFonts w:hint="eastAsia" w:ascii="宋体" w:hAnsi="宋体" w:cs="宋体"/>
        </w:rPr>
        <w:t>联系电话：:0579-</w:t>
      </w:r>
      <w:r>
        <w:rPr>
          <w:rFonts w:ascii="宋体" w:hAnsi="宋体" w:cs="宋体"/>
        </w:rPr>
        <w:t>82468735</w:t>
      </w:r>
      <w:r>
        <w:rPr>
          <w:rFonts w:hint="eastAsia" w:ascii="宋体" w:hAnsi="宋体" w:cs="宋体"/>
        </w:rPr>
        <w:t> </w:t>
      </w:r>
    </w:p>
    <w:p>
      <w:pPr>
        <w:widowControl w:val="0"/>
        <w:adjustRightInd w:val="0"/>
        <w:snapToGrid w:val="0"/>
        <w:spacing w:line="360" w:lineRule="auto"/>
        <w:ind w:firstLine="482" w:firstLineChars="200"/>
        <w:rPr>
          <w:rFonts w:ascii="宋体" w:hAnsi="宋体" w:cs="宋体"/>
        </w:rPr>
      </w:pPr>
      <w:r>
        <w:rPr>
          <w:rFonts w:hint="eastAsia" w:ascii="宋体" w:hAnsi="宋体" w:cs="宋体"/>
          <w:b/>
        </w:rPr>
        <w:t>十四、</w:t>
      </w:r>
      <w:r>
        <w:rPr>
          <w:rFonts w:hint="eastAsia" w:ascii="宋体" w:hAnsi="宋体" w:cs="宋体"/>
        </w:rPr>
        <w:t>为确保招投标活动的公开、公平、公正，切实维护各方合法权益，凡在招标投标、开标评标过程中，受到敲诈、勒索或发现围标串标、虚假投标、恶意竞标等涉黑涉恶线索者，请及时保留相关证据并向有关部门举报。</w:t>
      </w:r>
    </w:p>
    <w:p>
      <w:pPr>
        <w:jc w:val="center"/>
        <w:rPr>
          <w:rFonts w:ascii="宋体" w:hAnsi="宋体" w:cs="宋体"/>
        </w:rPr>
      </w:pPr>
    </w:p>
    <w:p>
      <w:pPr>
        <w:widowControl w:val="0"/>
        <w:tabs>
          <w:tab w:val="left" w:pos="1935"/>
          <w:tab w:val="center" w:pos="4500"/>
        </w:tabs>
        <w:adjustRightInd w:val="0"/>
        <w:snapToGrid w:val="0"/>
        <w:spacing w:line="360" w:lineRule="auto"/>
        <w:jc w:val="center"/>
        <w:rPr>
          <w:rFonts w:ascii="宋体" w:hAnsi="宋体" w:cs="宋体"/>
          <w:b/>
          <w:bCs/>
          <w:sz w:val="52"/>
          <w:szCs w:val="52"/>
        </w:rPr>
      </w:pPr>
      <w:r>
        <w:rPr>
          <w:rFonts w:ascii="宋体" w:hAnsi="宋体" w:cs="宋体"/>
          <w:b/>
          <w:bCs/>
          <w:sz w:val="52"/>
          <w:szCs w:val="52"/>
        </w:rPr>
        <w:br w:type="page"/>
      </w:r>
    </w:p>
    <w:p>
      <w:pPr>
        <w:widowControl w:val="0"/>
        <w:tabs>
          <w:tab w:val="left" w:pos="1935"/>
          <w:tab w:val="center" w:pos="4500"/>
        </w:tabs>
        <w:adjustRightInd w:val="0"/>
        <w:snapToGrid w:val="0"/>
        <w:spacing w:line="360" w:lineRule="auto"/>
        <w:jc w:val="center"/>
        <w:rPr>
          <w:rFonts w:ascii="宋体" w:hAnsi="宋体" w:cs="宋体"/>
          <w:b/>
          <w:bCs/>
          <w:sz w:val="48"/>
        </w:rPr>
      </w:pPr>
      <w:r>
        <w:rPr>
          <w:rFonts w:hint="eastAsia" w:ascii="宋体" w:hAnsi="宋体" w:cs="宋体"/>
          <w:b/>
          <w:bCs/>
          <w:sz w:val="52"/>
          <w:szCs w:val="52"/>
        </w:rPr>
        <w:t>第二章 前附表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9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序号</w:t>
            </w:r>
          </w:p>
        </w:tc>
        <w:tc>
          <w:tcPr>
            <w:tcW w:w="9181" w:type="dxa"/>
            <w:vAlign w:val="center"/>
          </w:tcPr>
          <w:p>
            <w:pPr>
              <w:pStyle w:val="22"/>
              <w:widowControl w:val="0"/>
              <w:adjustRightInd w:val="0"/>
              <w:snapToGrid w:val="0"/>
              <w:spacing w:before="120" w:beforeLines="50" w:after="120" w:afterLines="50"/>
              <w:jc w:val="center"/>
              <w:rPr>
                <w:rFonts w:cs="宋体"/>
              </w:rPr>
            </w:pPr>
            <w:r>
              <w:rPr>
                <w:rFonts w:hint="eastAsia" w:cs="宋体"/>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3" w:type="dxa"/>
            <w:vAlign w:val="center"/>
          </w:tcPr>
          <w:p>
            <w:pPr>
              <w:pStyle w:val="170"/>
              <w:adjustRightInd w:val="0"/>
              <w:snapToGrid w:val="0"/>
              <w:spacing w:before="120" w:beforeLines="50" w:after="120" w:afterLines="50"/>
              <w:jc w:val="center"/>
              <w:rPr>
                <w:rFonts w:ascii="宋体" w:hAnsi="宋体" w:cs="宋体"/>
                <w:kern w:val="0"/>
                <w:sz w:val="24"/>
              </w:rPr>
            </w:pPr>
            <w:r>
              <w:rPr>
                <w:rFonts w:hint="eastAsia" w:ascii="宋体" w:hAnsi="宋体" w:cs="宋体"/>
                <w:kern w:val="0"/>
                <w:sz w:val="24"/>
              </w:rPr>
              <w:t>1</w:t>
            </w:r>
          </w:p>
        </w:tc>
        <w:tc>
          <w:tcPr>
            <w:tcW w:w="9181" w:type="dxa"/>
            <w:vAlign w:val="center"/>
          </w:tcPr>
          <w:p>
            <w:pPr>
              <w:widowControl w:val="0"/>
              <w:adjustRightInd w:val="0"/>
              <w:snapToGrid w:val="0"/>
              <w:rPr>
                <w:rFonts w:ascii="宋体" w:hAnsi="宋体" w:cs="宋体"/>
              </w:rPr>
            </w:pPr>
            <w:r>
              <w:rPr>
                <w:rFonts w:hint="eastAsia" w:ascii="宋体" w:hAnsi="宋体" w:cs="宋体"/>
              </w:rPr>
              <w:t>项目名称：2020年金华市直水利工程维修养护（工程维护类）项目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2</w:t>
            </w:r>
          </w:p>
        </w:tc>
        <w:tc>
          <w:tcPr>
            <w:tcW w:w="9181" w:type="dxa"/>
            <w:vAlign w:val="center"/>
          </w:tcPr>
          <w:p>
            <w:pPr>
              <w:spacing w:line="360" w:lineRule="auto"/>
              <w:rPr>
                <w:rFonts w:ascii="宋体" w:hAnsi="宋体" w:cs="宋体"/>
                <w:color w:val="000000"/>
                <w:szCs w:val="21"/>
              </w:rPr>
            </w:pPr>
            <w:r>
              <w:rPr>
                <w:rFonts w:hint="eastAsia" w:ascii="宋体" w:hAnsi="宋体" w:cs="宋体"/>
              </w:rPr>
              <w:t>服务时间：</w:t>
            </w:r>
            <w:r>
              <w:rPr>
                <w:rFonts w:hint="eastAsia" w:ascii="宋体" w:hAnsi="宋体" w:cs="宋体"/>
                <w:color w:val="000000"/>
                <w:szCs w:val="21"/>
              </w:rPr>
              <w:t>2020年1月1日至20</w:t>
            </w:r>
            <w:r>
              <w:rPr>
                <w:rFonts w:ascii="宋体" w:hAnsi="宋体" w:cs="宋体"/>
                <w:color w:val="000000"/>
                <w:szCs w:val="21"/>
              </w:rPr>
              <w:t>20</w:t>
            </w:r>
            <w:r>
              <w:rPr>
                <w:rFonts w:hint="eastAsia" w:ascii="宋体" w:hAnsi="宋体" w:cs="宋体"/>
                <w:color w:val="000000"/>
                <w:szCs w:val="21"/>
              </w:rPr>
              <w:t>年12月15日。</w:t>
            </w:r>
            <w:r>
              <w:rPr>
                <w:rFonts w:hint="eastAsia" w:ascii="宋体" w:hAnsi="宋体" w:cs="宋体"/>
              </w:rPr>
              <w:t>（具体实施时间以招标人根据实际情况提出的要求为准）。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3</w:t>
            </w:r>
          </w:p>
        </w:tc>
        <w:tc>
          <w:tcPr>
            <w:tcW w:w="9181" w:type="dxa"/>
            <w:vAlign w:val="center"/>
          </w:tcPr>
          <w:p>
            <w:pPr>
              <w:widowControl w:val="0"/>
              <w:adjustRightInd w:val="0"/>
              <w:snapToGrid w:val="0"/>
              <w:rPr>
                <w:rFonts w:ascii="宋体" w:hAnsi="宋体" w:cs="宋体"/>
              </w:rPr>
            </w:pPr>
            <w:r>
              <w:rPr>
                <w:rFonts w:hint="eastAsia" w:ascii="宋体" w:hAnsi="宋体" w:cs="宋体"/>
              </w:rPr>
              <w:t>投标保证金：无须缴纳。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13" w:type="dxa"/>
            <w:vAlign w:val="center"/>
          </w:tcPr>
          <w:p>
            <w:pPr>
              <w:pStyle w:val="22"/>
              <w:widowControl w:val="0"/>
              <w:adjustRightInd w:val="0"/>
              <w:snapToGrid w:val="0"/>
              <w:spacing w:before="120" w:beforeLines="50" w:after="120" w:afterLines="5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4</w:t>
            </w:r>
          </w:p>
        </w:tc>
        <w:tc>
          <w:tcPr>
            <w:tcW w:w="9181" w:type="dxa"/>
            <w:vAlign w:val="center"/>
          </w:tcPr>
          <w:p>
            <w:pPr>
              <w:shd w:val="clear" w:color="auto" w:fill="FFFFFF"/>
              <w:snapToGrid w:val="0"/>
              <w:spacing w:line="360" w:lineRule="auto"/>
              <w:jc w:val="both"/>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中标服务费：参照国家发改委关于降低部分建设项目收费标准规范收费行为等有关问题的通知（发改价格[2002]1980号）收费标准基础下浮</w:t>
            </w:r>
            <w:r>
              <w:rPr>
                <w:rFonts w:hint="eastAsia" w:ascii="宋体" w:hAnsi="宋体" w:cs="宋体"/>
                <w:color w:val="000000"/>
                <w:kern w:val="0"/>
                <w:sz w:val="24"/>
                <w:szCs w:val="21"/>
                <w:lang w:val="en-US" w:eastAsia="zh-CN" w:bidi="ar-SA"/>
              </w:rPr>
              <w:t>60%计取</w:t>
            </w:r>
            <w:r>
              <w:rPr>
                <w:rFonts w:hint="eastAsia" w:ascii="宋体" w:hAnsi="宋体" w:eastAsia="宋体" w:cs="宋体"/>
                <w:color w:val="000000"/>
                <w:kern w:val="0"/>
                <w:sz w:val="24"/>
                <w:szCs w:val="21"/>
                <w:lang w:val="en-US" w:eastAsia="zh-CN" w:bidi="ar-SA"/>
              </w:rPr>
              <w:t>。</w:t>
            </w:r>
          </w:p>
          <w:p>
            <w:pPr>
              <w:widowControl w:val="0"/>
              <w:adjustRightInd w:val="0"/>
              <w:snapToGrid w:val="0"/>
              <w:ind w:right="-82"/>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投标人取得中标资格后，需向招标代理机构支付采购代理服务费。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13" w:type="dxa"/>
            <w:vAlign w:val="center"/>
          </w:tcPr>
          <w:p>
            <w:pPr>
              <w:snapToGrid w:val="0"/>
              <w:spacing w:line="380" w:lineRule="exact"/>
              <w:jc w:val="center"/>
              <w:rPr>
                <w:rFonts w:ascii="宋体" w:hAnsi="宋体" w:cs="宋体"/>
              </w:rPr>
            </w:pPr>
            <w:r>
              <w:rPr>
                <w:rFonts w:hint="eastAsia" w:ascii="宋体" w:hAnsi="宋体" w:cs="宋体"/>
              </w:rPr>
              <w:t>5</w:t>
            </w:r>
          </w:p>
        </w:tc>
        <w:tc>
          <w:tcPr>
            <w:tcW w:w="9181" w:type="dxa"/>
            <w:vAlign w:val="center"/>
          </w:tcPr>
          <w:p>
            <w:pPr>
              <w:widowControl w:val="0"/>
              <w:adjustRightInd w:val="0"/>
              <w:snapToGrid w:val="0"/>
              <w:rPr>
                <w:rFonts w:ascii="宋体" w:hAnsi="宋体" w:cs="宋体"/>
              </w:rPr>
            </w:pPr>
            <w:r>
              <w:rPr>
                <w:rFonts w:hint="eastAsia" w:ascii="宋体" w:hAnsi="宋体" w:cs="宋体"/>
              </w:rPr>
              <w:t>投标文件组成：单独密封的技术标书正本1份、副本4份；单独密封的价格标书正本1份、副本4份。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6</w:t>
            </w:r>
          </w:p>
        </w:tc>
        <w:tc>
          <w:tcPr>
            <w:tcW w:w="9181" w:type="dxa"/>
            <w:vAlign w:val="center"/>
          </w:tcPr>
          <w:p>
            <w:pPr>
              <w:widowControl w:val="0"/>
              <w:adjustRightInd w:val="0"/>
              <w:snapToGrid w:val="0"/>
              <w:rPr>
                <w:rFonts w:ascii="宋体" w:hAnsi="宋体" w:cs="宋体"/>
              </w:rPr>
            </w:pPr>
            <w:r>
              <w:rPr>
                <w:rFonts w:hint="eastAsia" w:ascii="宋体" w:hAnsi="宋体" w:cs="宋体"/>
              </w:rPr>
              <w:t>答疑与澄清：投标人如认为公开招标文件表述不清晰、存在歧视性、排他性或者其他违法内容的，可以自收到采购文件之日（发售截止日之后收到采购文件的，以发售截止日为准）或者采购文件公告期限届满之日（公告发布后的第6个工作日）起7个工作日内，以书面形式向采购人和采购代理机构提出质疑；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13" w:type="dxa"/>
            <w:vAlign w:val="center"/>
          </w:tcPr>
          <w:p>
            <w:pPr>
              <w:pStyle w:val="22"/>
              <w:widowControl w:val="0"/>
              <w:adjustRightInd w:val="0"/>
              <w:snapToGrid w:val="0"/>
              <w:spacing w:before="120" w:beforeLines="50" w:after="120" w:afterLines="50" w:line="360" w:lineRule="exact"/>
              <w:jc w:val="center"/>
              <w:rPr>
                <w:rFonts w:cs="宋体"/>
              </w:rPr>
            </w:pPr>
            <w:r>
              <w:rPr>
                <w:rFonts w:hint="eastAsia" w:cs="宋体"/>
              </w:rPr>
              <w:t>7</w:t>
            </w:r>
          </w:p>
        </w:tc>
        <w:tc>
          <w:tcPr>
            <w:tcW w:w="9181" w:type="dxa"/>
            <w:vAlign w:val="center"/>
          </w:tcPr>
          <w:p>
            <w:pPr>
              <w:widowControl w:val="0"/>
              <w:adjustRightInd w:val="0"/>
              <w:snapToGrid w:val="0"/>
              <w:rPr>
                <w:rFonts w:ascii="宋体" w:hAnsi="宋体" w:cs="宋体"/>
              </w:rPr>
            </w:pPr>
            <w:r>
              <w:rPr>
                <w:rFonts w:hint="eastAsia" w:ascii="宋体" w:hAnsi="宋体" w:cs="宋体"/>
              </w:rPr>
              <w:t>投标截止时间及地点：2020年</w:t>
            </w:r>
            <w:r>
              <w:rPr>
                <w:rFonts w:hint="eastAsia" w:ascii="宋体" w:hAnsi="宋体" w:cs="宋体"/>
                <w:lang w:val="en-US" w:eastAsia="zh-CN"/>
              </w:rPr>
              <w:t>5</w:t>
            </w:r>
            <w:r>
              <w:rPr>
                <w:rFonts w:hint="eastAsia" w:ascii="宋体" w:hAnsi="宋体" w:cs="宋体"/>
              </w:rPr>
              <w:t>月</w:t>
            </w:r>
            <w:r>
              <w:rPr>
                <w:rFonts w:hint="eastAsia" w:ascii="宋体" w:hAnsi="宋体" w:cs="宋体"/>
                <w:lang w:val="en-US" w:eastAsia="zh-CN"/>
              </w:rPr>
              <w:t>14</w:t>
            </w:r>
            <w:r>
              <w:rPr>
                <w:rFonts w:hint="eastAsia" w:ascii="宋体" w:hAnsi="宋体" w:cs="宋体"/>
              </w:rPr>
              <w:t>日09:30止，金华市行政服务中心新办事大厅4楼开标室（双龙南街858号财富大厦）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8</w:t>
            </w:r>
          </w:p>
        </w:tc>
        <w:tc>
          <w:tcPr>
            <w:tcW w:w="9181" w:type="dxa"/>
            <w:vAlign w:val="center"/>
          </w:tcPr>
          <w:p>
            <w:pPr>
              <w:widowControl w:val="0"/>
              <w:adjustRightInd w:val="0"/>
              <w:snapToGrid w:val="0"/>
              <w:rPr>
                <w:rFonts w:ascii="宋体" w:hAnsi="宋体" w:cs="宋体"/>
              </w:rPr>
            </w:pPr>
            <w:r>
              <w:rPr>
                <w:rFonts w:hint="eastAsia" w:ascii="宋体" w:hAnsi="宋体" w:cs="宋体"/>
              </w:rPr>
              <w:t>开标时间及地点：2020年</w:t>
            </w:r>
            <w:r>
              <w:rPr>
                <w:rFonts w:hint="eastAsia" w:ascii="宋体" w:hAnsi="宋体" w:cs="宋体"/>
                <w:lang w:val="en-US" w:eastAsia="zh-CN"/>
              </w:rPr>
              <w:t>5</w:t>
            </w:r>
            <w:r>
              <w:rPr>
                <w:rFonts w:hint="eastAsia" w:ascii="宋体" w:hAnsi="宋体" w:cs="宋体"/>
              </w:rPr>
              <w:t>月</w:t>
            </w:r>
            <w:r>
              <w:rPr>
                <w:rFonts w:hint="eastAsia" w:ascii="宋体" w:hAnsi="宋体" w:cs="宋体"/>
                <w:lang w:val="en-US" w:eastAsia="zh-CN"/>
              </w:rPr>
              <w:t>14</w:t>
            </w:r>
            <w:r>
              <w:rPr>
                <w:rFonts w:hint="eastAsia" w:ascii="宋体" w:hAnsi="宋体" w:cs="宋体"/>
              </w:rPr>
              <w:t>日09:30 止，金华市行政服务中心新办事大厅4楼开标室（双龙南街858号财富大厦）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9</w:t>
            </w:r>
          </w:p>
        </w:tc>
        <w:tc>
          <w:tcPr>
            <w:tcW w:w="9181" w:type="dxa"/>
            <w:vAlign w:val="center"/>
          </w:tcPr>
          <w:p>
            <w:pPr>
              <w:widowControl w:val="0"/>
              <w:adjustRightInd w:val="0"/>
              <w:snapToGrid w:val="0"/>
              <w:rPr>
                <w:rFonts w:ascii="宋体" w:hAnsi="宋体" w:cs="宋体"/>
              </w:rPr>
            </w:pPr>
            <w:r>
              <w:rPr>
                <w:rFonts w:hint="eastAsia" w:ascii="宋体" w:hAnsi="宋体" w:cs="宋体"/>
              </w:rPr>
              <w:t>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10</w:t>
            </w:r>
          </w:p>
        </w:tc>
        <w:tc>
          <w:tcPr>
            <w:tcW w:w="9181" w:type="dxa"/>
            <w:vAlign w:val="center"/>
          </w:tcPr>
          <w:p>
            <w:pPr>
              <w:widowControl w:val="0"/>
              <w:adjustRightInd w:val="0"/>
              <w:snapToGrid w:val="0"/>
              <w:rPr>
                <w:rFonts w:ascii="宋体" w:hAnsi="宋体" w:cs="宋体"/>
              </w:rPr>
            </w:pPr>
            <w:r>
              <w:rPr>
                <w:rFonts w:hint="eastAsia" w:ascii="宋体" w:hAnsi="宋体" w:cs="宋体"/>
              </w:rPr>
              <w:t>评标结果公告：采购人依法确定中标人后2个工作日内，评标结果公告于浙江政府采购网。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11</w:t>
            </w:r>
          </w:p>
        </w:tc>
        <w:tc>
          <w:tcPr>
            <w:tcW w:w="9181" w:type="dxa"/>
            <w:vAlign w:val="center"/>
          </w:tcPr>
          <w:p>
            <w:pPr>
              <w:snapToGrid w:val="0"/>
              <w:spacing w:line="380" w:lineRule="exact"/>
              <w:textAlignment w:val="bottom"/>
              <w:rPr>
                <w:rFonts w:ascii="宋体" w:hAnsi="宋体" w:cs="宋体"/>
              </w:rPr>
            </w:pPr>
            <w:r>
              <w:rPr>
                <w:rFonts w:hint="eastAsia" w:ascii="宋体" w:hAnsi="宋体" w:cs="宋体"/>
              </w:rPr>
              <w:t>签订合同时间：中标通知书发出后30日内。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12</w:t>
            </w:r>
          </w:p>
        </w:tc>
        <w:tc>
          <w:tcPr>
            <w:tcW w:w="9181" w:type="dxa"/>
            <w:vAlign w:val="center"/>
          </w:tcPr>
          <w:p>
            <w:pPr>
              <w:widowControl w:val="0"/>
              <w:adjustRightInd w:val="0"/>
              <w:snapToGrid w:val="0"/>
              <w:rPr>
                <w:rFonts w:ascii="宋体" w:hAnsi="宋体" w:cs="宋体"/>
              </w:rPr>
            </w:pPr>
            <w:r>
              <w:rPr>
                <w:rFonts w:hint="eastAsia" w:ascii="宋体" w:hAnsi="宋体" w:cs="宋体"/>
              </w:rPr>
              <w:t>履约保证金的收取及退还：按合同总金额的5%计收，以转账或保函的形式交至采购人指定账户。履约保证金按合同约定的时间退还。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13</w:t>
            </w:r>
          </w:p>
        </w:tc>
        <w:tc>
          <w:tcPr>
            <w:tcW w:w="9181" w:type="dxa"/>
            <w:vAlign w:val="center"/>
          </w:tcPr>
          <w:p>
            <w:pPr>
              <w:widowControl w:val="0"/>
              <w:adjustRightInd w:val="0"/>
              <w:snapToGrid w:val="0"/>
              <w:rPr>
                <w:rFonts w:ascii="宋体" w:hAnsi="宋体" w:cs="宋体"/>
              </w:rPr>
            </w:pPr>
            <w:r>
              <w:rPr>
                <w:rFonts w:hint="eastAsia" w:ascii="宋体" w:hAnsi="宋体" w:cs="宋体"/>
              </w:rPr>
              <w:t>投标文件有效期：开标后90天。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14</w:t>
            </w:r>
          </w:p>
        </w:tc>
        <w:tc>
          <w:tcPr>
            <w:tcW w:w="9181" w:type="dxa"/>
            <w:vAlign w:val="center"/>
          </w:tcPr>
          <w:p>
            <w:pPr>
              <w:snapToGrid w:val="0"/>
              <w:spacing w:line="380" w:lineRule="exact"/>
              <w:rPr>
                <w:rFonts w:ascii="宋体" w:hAnsi="宋体" w:cs="宋体"/>
              </w:rPr>
            </w:pPr>
            <w:r>
              <w:rPr>
                <w:rFonts w:hint="eastAsia" w:ascii="宋体" w:hAnsi="宋体" w:cs="宋体"/>
              </w:rPr>
              <w:t>项目概算：</w:t>
            </w:r>
            <w:r>
              <w:rPr>
                <w:rFonts w:hint="eastAsia" w:ascii="宋体" w:hAnsi="宋体" w:cs="宋体"/>
                <w:u w:val="single"/>
              </w:rPr>
              <w:t>见公告</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15</w:t>
            </w:r>
          </w:p>
        </w:tc>
        <w:tc>
          <w:tcPr>
            <w:tcW w:w="9181" w:type="dxa"/>
            <w:vAlign w:val="center"/>
          </w:tcPr>
          <w:p>
            <w:pPr>
              <w:widowControl w:val="0"/>
              <w:adjustRightInd w:val="0"/>
              <w:snapToGrid w:val="0"/>
              <w:rPr>
                <w:rFonts w:ascii="宋体" w:hAnsi="宋体" w:cs="宋体"/>
              </w:rPr>
            </w:pPr>
            <w:r>
              <w:rPr>
                <w:rFonts w:hint="eastAsia" w:ascii="宋体" w:hAnsi="宋体" w:cs="宋体"/>
              </w:rPr>
              <w:t>解释：本招标文件的解释权属于采购人和代理机构。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13" w:type="dxa"/>
            <w:vAlign w:val="center"/>
          </w:tcPr>
          <w:p>
            <w:pPr>
              <w:pStyle w:val="22"/>
              <w:widowControl w:val="0"/>
              <w:adjustRightInd w:val="0"/>
              <w:snapToGrid w:val="0"/>
              <w:spacing w:before="120" w:beforeLines="50" w:after="120" w:afterLines="50"/>
              <w:jc w:val="center"/>
              <w:rPr>
                <w:rFonts w:cs="宋体"/>
              </w:rPr>
            </w:pPr>
            <w:r>
              <w:rPr>
                <w:rFonts w:hint="eastAsia" w:cs="宋体"/>
              </w:rPr>
              <w:t>16</w:t>
            </w:r>
          </w:p>
        </w:tc>
        <w:tc>
          <w:tcPr>
            <w:tcW w:w="9181" w:type="dxa"/>
            <w:vAlign w:val="center"/>
          </w:tcPr>
          <w:p>
            <w:pPr>
              <w:widowControl w:val="0"/>
              <w:adjustRightInd w:val="0"/>
              <w:snapToGrid w:val="0"/>
              <w:rPr>
                <w:rFonts w:ascii="宋体" w:hAnsi="宋体" w:cs="宋体"/>
              </w:rPr>
            </w:pPr>
            <w:r>
              <w:rPr>
                <w:rFonts w:hint="eastAsia" w:ascii="宋体" w:hAnsi="宋体" w:cs="宋体"/>
              </w:rPr>
              <w:t>备注：当招标文件中的内容与前附表规定不一致时，以前附表规定为准。</w:t>
            </w:r>
          </w:p>
        </w:tc>
      </w:tr>
    </w:tbl>
    <w:p>
      <w:pPr>
        <w:widowControl w:val="0"/>
        <w:tabs>
          <w:tab w:val="left" w:pos="1935"/>
          <w:tab w:val="center" w:pos="4500"/>
        </w:tabs>
        <w:adjustRightInd w:val="0"/>
        <w:snapToGrid w:val="0"/>
        <w:spacing w:line="360" w:lineRule="auto"/>
        <w:jc w:val="center"/>
        <w:rPr>
          <w:rFonts w:ascii="宋体" w:hAnsi="宋体" w:cs="宋体"/>
          <w:b/>
          <w:bCs/>
          <w:sz w:val="48"/>
        </w:rPr>
      </w:pPr>
      <w:r>
        <w:rPr>
          <w:rFonts w:hint="eastAsia" w:ascii="宋体" w:hAnsi="宋体" w:cs="宋体"/>
          <w:b/>
          <w:bCs/>
          <w:sz w:val="48"/>
        </w:rPr>
        <w:br w:type="page"/>
      </w:r>
      <w:r>
        <w:rPr>
          <w:rFonts w:hint="eastAsia" w:ascii="宋体" w:hAnsi="宋体" w:cs="宋体"/>
          <w:b/>
          <w:bCs/>
          <w:sz w:val="52"/>
          <w:szCs w:val="52"/>
        </w:rPr>
        <w:t>第三章  投标人须知</w:t>
      </w:r>
    </w:p>
    <w:p>
      <w:pPr>
        <w:pStyle w:val="22"/>
        <w:widowControl w:val="0"/>
        <w:adjustRightInd w:val="0"/>
        <w:snapToGrid w:val="0"/>
        <w:spacing w:before="0" w:beforeAutospacing="0" w:after="0" w:afterAutospacing="0" w:line="360" w:lineRule="auto"/>
        <w:ind w:firstLine="540" w:firstLineChars="224"/>
        <w:jc w:val="both"/>
        <w:rPr>
          <w:rFonts w:cs="宋体"/>
          <w:b/>
          <w:bCs/>
        </w:rPr>
      </w:pPr>
      <w:bookmarkStart w:id="7" w:name="_Toc198712702"/>
      <w:r>
        <w:rPr>
          <w:rFonts w:hint="eastAsia" w:cs="宋体"/>
          <w:b/>
          <w:bCs/>
        </w:rPr>
        <w:t>一、说明</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1、适用范围</w:t>
      </w:r>
    </w:p>
    <w:p>
      <w:pPr>
        <w:widowControl w:val="0"/>
        <w:adjustRightInd w:val="0"/>
        <w:snapToGrid w:val="0"/>
        <w:spacing w:line="360" w:lineRule="auto"/>
        <w:ind w:firstLine="537" w:firstLineChars="224"/>
        <w:rPr>
          <w:rFonts w:ascii="宋体" w:hAnsi="宋体" w:cs="宋体"/>
        </w:rPr>
      </w:pPr>
      <w:r>
        <w:rPr>
          <w:rFonts w:hint="eastAsia" w:ascii="宋体" w:hAnsi="宋体" w:cs="宋体"/>
        </w:rPr>
        <w:t>本</w:t>
      </w:r>
      <w:r>
        <w:rPr>
          <w:rFonts w:hint="eastAsia" w:ascii="宋体" w:hAnsi="宋体" w:cs="宋体"/>
          <w:u w:val="thick" w:color="FFFFFF"/>
        </w:rPr>
        <w:t>招标文件</w:t>
      </w:r>
      <w:r>
        <w:rPr>
          <w:rFonts w:hint="eastAsia" w:ascii="宋体" w:hAnsi="宋体" w:cs="宋体"/>
        </w:rPr>
        <w:t>仅适用于招标公告中所述项目的采购活动。</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2、定义</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 “采购人”系指金华市水利局。</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（2）“投标人”系指经报名合格，允许向招标代理机构提交投标文件的单位或个人。</w:t>
      </w:r>
    </w:p>
    <w:p>
      <w:pPr>
        <w:widowControl w:val="0"/>
        <w:adjustRightInd w:val="0"/>
        <w:snapToGrid w:val="0"/>
        <w:spacing w:line="360" w:lineRule="auto"/>
        <w:ind w:firstLine="537" w:firstLineChars="224"/>
        <w:rPr>
          <w:rFonts w:ascii="宋体" w:hAnsi="宋体" w:cs="宋体"/>
          <w:u w:val="thick" w:color="FFFFFF"/>
        </w:rPr>
      </w:pPr>
      <w:r>
        <w:rPr>
          <w:rFonts w:hint="eastAsia" w:ascii="宋体" w:hAnsi="宋体" w:cs="宋体"/>
        </w:rPr>
        <w:t>（3）“代理机构”系指组织</w:t>
      </w:r>
      <w:r>
        <w:rPr>
          <w:rFonts w:hint="eastAsia" w:ascii="宋体" w:hAnsi="宋体" w:cs="宋体"/>
          <w:u w:val="thick" w:color="FFFFFF"/>
        </w:rPr>
        <w:t>招标活动的浙江华杰工程咨询有限公司。</w:t>
      </w:r>
    </w:p>
    <w:p>
      <w:pPr>
        <w:widowControl w:val="0"/>
        <w:adjustRightInd w:val="0"/>
        <w:snapToGrid w:val="0"/>
        <w:spacing w:line="360" w:lineRule="auto"/>
        <w:ind w:firstLine="537" w:firstLineChars="224"/>
        <w:rPr>
          <w:rFonts w:ascii="宋体" w:hAnsi="宋体" w:cs="宋体"/>
        </w:rPr>
      </w:pPr>
      <w:r>
        <w:rPr>
          <w:rFonts w:hint="eastAsia" w:ascii="宋体" w:hAnsi="宋体" w:cs="宋体"/>
          <w:u w:val="thick" w:color="FFFFFF"/>
        </w:rPr>
        <w:t>（4）</w:t>
      </w:r>
      <w:r>
        <w:rPr>
          <w:rFonts w:hint="eastAsia" w:ascii="宋体" w:hAnsi="宋体" w:cs="宋体"/>
        </w:rPr>
        <w:t xml:space="preserve"> “货物”系指本招标文件所述的，招标文件中亦称为“产品”。具体工作范围按照《招标项目技术规范和要求》执行。</w:t>
      </w:r>
    </w:p>
    <w:p>
      <w:pPr>
        <w:widowControl w:val="0"/>
        <w:adjustRightInd w:val="0"/>
        <w:snapToGrid w:val="0"/>
        <w:spacing w:line="360" w:lineRule="auto"/>
        <w:ind w:firstLine="537" w:firstLineChars="224"/>
        <w:rPr>
          <w:rFonts w:ascii="宋体" w:hAnsi="宋体" w:cs="宋体"/>
        </w:rPr>
      </w:pPr>
      <w:r>
        <w:rPr>
          <w:rFonts w:hint="eastAsia" w:ascii="宋体" w:hAnsi="宋体" w:cs="宋体"/>
        </w:rPr>
        <w:t>（5）“服务期限”系指本招标文件规定的投标人服务起止时间。本项目服务期限为壹年。</w:t>
      </w:r>
    </w:p>
    <w:p>
      <w:pPr>
        <w:widowControl w:val="0"/>
        <w:adjustRightInd w:val="0"/>
        <w:snapToGrid w:val="0"/>
        <w:spacing w:line="360" w:lineRule="auto"/>
        <w:ind w:firstLine="537" w:firstLineChars="224"/>
        <w:rPr>
          <w:rFonts w:ascii="宋体" w:hAnsi="宋体" w:cs="宋体"/>
        </w:rPr>
      </w:pPr>
      <w:r>
        <w:rPr>
          <w:rFonts w:hint="eastAsia" w:ascii="宋体" w:hAnsi="宋体" w:cs="宋体"/>
        </w:rPr>
        <w:t>（6）“★”系指实质性要求条款。</w:t>
      </w:r>
    </w:p>
    <w:p>
      <w:pPr>
        <w:widowControl w:val="0"/>
        <w:adjustRightInd w:val="0"/>
        <w:snapToGrid w:val="0"/>
        <w:spacing w:line="360" w:lineRule="auto"/>
        <w:ind w:firstLine="537" w:firstLineChars="224"/>
        <w:rPr>
          <w:rFonts w:ascii="宋体" w:hAnsi="宋体" w:cs="宋体"/>
        </w:rPr>
      </w:pPr>
      <w:r>
        <w:rPr>
          <w:rFonts w:hint="eastAsia" w:ascii="宋体" w:hAnsi="宋体" w:cs="宋体"/>
        </w:rPr>
        <w:t>3、投标委托</w:t>
      </w:r>
    </w:p>
    <w:p>
      <w:pPr>
        <w:spacing w:line="360" w:lineRule="auto"/>
        <w:ind w:firstLine="480" w:firstLineChars="200"/>
        <w:jc w:val="both"/>
        <w:rPr>
          <w:rFonts w:ascii="宋体" w:hAnsi="宋体" w:cs="宋体"/>
        </w:rPr>
      </w:pPr>
      <w:r>
        <w:rPr>
          <w:rFonts w:hint="eastAsia" w:ascii="宋体" w:hAnsi="宋体" w:cs="宋体"/>
        </w:rPr>
        <w:t>投标人代表须携带有效身份证件。</w:t>
      </w:r>
    </w:p>
    <w:p>
      <w:pPr>
        <w:widowControl w:val="0"/>
        <w:adjustRightInd w:val="0"/>
        <w:snapToGrid w:val="0"/>
        <w:spacing w:line="360" w:lineRule="auto"/>
        <w:ind w:firstLine="537" w:firstLineChars="224"/>
        <w:rPr>
          <w:rFonts w:ascii="宋体" w:hAnsi="宋体" w:cs="宋体"/>
        </w:rPr>
      </w:pPr>
      <w:r>
        <w:rPr>
          <w:rFonts w:hint="eastAsia" w:ascii="宋体" w:hAnsi="宋体" w:cs="宋体"/>
        </w:rPr>
        <w:t>4、合格的投标人</w:t>
      </w:r>
    </w:p>
    <w:p>
      <w:pPr>
        <w:spacing w:line="360" w:lineRule="auto"/>
        <w:ind w:firstLine="480" w:firstLineChars="200"/>
        <w:jc w:val="both"/>
        <w:rPr>
          <w:rFonts w:ascii="宋体" w:hAnsi="宋体" w:cs="宋体"/>
        </w:rPr>
      </w:pPr>
      <w:r>
        <w:rPr>
          <w:rFonts w:hint="eastAsia" w:ascii="宋体" w:hAnsi="宋体" w:cs="宋体"/>
        </w:rPr>
        <w:t>详见《招标公告》。</w:t>
      </w:r>
    </w:p>
    <w:p>
      <w:pPr>
        <w:spacing w:line="360" w:lineRule="auto"/>
        <w:ind w:firstLine="480" w:firstLineChars="200"/>
        <w:jc w:val="both"/>
        <w:rPr>
          <w:rFonts w:ascii="宋体" w:hAnsi="宋体" w:cs="宋体"/>
        </w:rPr>
      </w:pPr>
      <w:r>
        <w:rPr>
          <w:rFonts w:hint="eastAsia" w:ascii="宋体" w:hAnsi="宋体" w:cs="宋体"/>
        </w:rPr>
        <w:t>5、招标方式</w:t>
      </w:r>
    </w:p>
    <w:p>
      <w:pPr>
        <w:spacing w:line="360" w:lineRule="auto"/>
        <w:ind w:firstLine="480" w:firstLineChars="200"/>
        <w:jc w:val="both"/>
        <w:rPr>
          <w:rFonts w:ascii="宋体" w:hAnsi="宋体" w:cs="宋体"/>
        </w:rPr>
      </w:pPr>
      <w:r>
        <w:rPr>
          <w:rFonts w:hint="eastAsia" w:ascii="宋体" w:hAnsi="宋体" w:cs="宋体"/>
        </w:rPr>
        <w:t>本次招标采用公开招标方式进行。</w:t>
      </w:r>
    </w:p>
    <w:p>
      <w:pPr>
        <w:widowControl w:val="0"/>
        <w:adjustRightInd w:val="0"/>
        <w:snapToGrid w:val="0"/>
        <w:spacing w:line="360" w:lineRule="auto"/>
        <w:ind w:firstLine="537" w:firstLineChars="224"/>
        <w:rPr>
          <w:rFonts w:ascii="宋体" w:hAnsi="宋体" w:cs="宋体"/>
        </w:rPr>
      </w:pPr>
      <w:r>
        <w:rPr>
          <w:rFonts w:hint="eastAsia" w:ascii="宋体" w:hAnsi="宋体" w:cs="宋体"/>
        </w:rPr>
        <w:t>6、投标费用</w:t>
      </w:r>
    </w:p>
    <w:p>
      <w:pPr>
        <w:widowControl w:val="0"/>
        <w:adjustRightInd w:val="0"/>
        <w:snapToGrid w:val="0"/>
        <w:spacing w:line="360" w:lineRule="auto"/>
        <w:ind w:firstLine="537" w:firstLineChars="224"/>
        <w:rPr>
          <w:rFonts w:ascii="宋体" w:hAnsi="宋体" w:cs="宋体"/>
        </w:rPr>
      </w:pPr>
      <w:r>
        <w:rPr>
          <w:rFonts w:hint="eastAsia" w:ascii="宋体" w:hAnsi="宋体" w:cs="宋体"/>
        </w:rPr>
        <w:t>无论投标过程中的做法和结果如何，投标人自行承担与参加投标有关的费用。</w:t>
      </w:r>
    </w:p>
    <w:p>
      <w:pPr>
        <w:spacing w:line="360" w:lineRule="auto"/>
        <w:ind w:firstLine="480" w:firstLineChars="200"/>
        <w:jc w:val="both"/>
        <w:rPr>
          <w:rFonts w:ascii="宋体" w:hAnsi="宋体" w:cs="宋体"/>
        </w:rPr>
      </w:pPr>
      <w:r>
        <w:rPr>
          <w:rFonts w:hint="eastAsia" w:ascii="宋体" w:hAnsi="宋体" w:cs="宋体"/>
        </w:rPr>
        <w:t>7、联合体投标</w:t>
      </w:r>
    </w:p>
    <w:p>
      <w:pPr>
        <w:spacing w:line="360" w:lineRule="auto"/>
        <w:ind w:firstLine="480" w:firstLineChars="200"/>
        <w:jc w:val="both"/>
        <w:rPr>
          <w:rFonts w:ascii="宋体" w:hAnsi="宋体" w:cs="宋体"/>
        </w:rPr>
      </w:pPr>
      <w:r>
        <w:rPr>
          <w:rFonts w:hint="eastAsia" w:ascii="宋体" w:hAnsi="宋体" w:cs="宋体"/>
        </w:rPr>
        <w:t>本项目不接受联合体投标。</w:t>
      </w:r>
    </w:p>
    <w:p>
      <w:pPr>
        <w:spacing w:line="360" w:lineRule="auto"/>
        <w:ind w:firstLine="480" w:firstLineChars="200"/>
        <w:jc w:val="both"/>
        <w:rPr>
          <w:rFonts w:ascii="宋体" w:hAnsi="宋体" w:cs="宋体"/>
        </w:rPr>
      </w:pPr>
      <w:r>
        <w:rPr>
          <w:rFonts w:hint="eastAsia" w:ascii="宋体" w:hAnsi="宋体" w:cs="宋体"/>
        </w:rPr>
        <w:t>8、转包与分包</w:t>
      </w:r>
    </w:p>
    <w:p>
      <w:pPr>
        <w:spacing w:line="360" w:lineRule="auto"/>
        <w:ind w:firstLine="480" w:firstLineChars="200"/>
        <w:jc w:val="both"/>
        <w:rPr>
          <w:rFonts w:ascii="宋体" w:hAnsi="宋体" w:cs="宋体"/>
        </w:rPr>
      </w:pPr>
      <w:r>
        <w:rPr>
          <w:rFonts w:hint="eastAsia" w:ascii="宋体" w:hAnsi="宋体" w:cs="宋体"/>
        </w:rPr>
        <w:t>（1）本项目不允许转包。</w:t>
      </w:r>
    </w:p>
    <w:p>
      <w:pPr>
        <w:ind w:firstLine="480" w:firstLineChars="200"/>
        <w:jc w:val="both"/>
        <w:rPr>
          <w:rFonts w:ascii="宋体" w:hAnsi="宋体" w:cs="宋体"/>
          <w:color w:val="auto"/>
          <w:highlight w:val="none"/>
        </w:rPr>
      </w:pPr>
      <w:r>
        <w:rPr>
          <w:rFonts w:hint="eastAsia" w:ascii="宋体" w:hAnsi="宋体" w:cs="宋体"/>
          <w:color w:val="auto"/>
          <w:highlight w:val="none"/>
        </w:rPr>
        <w:t>（2）本项目除指定实施内容（1、沙畈水库：大坝安全监测系统检测鉴定（须具有金属结构甲级和机械电气甲级资质；）、闸门及启闭机维修养护（须具有水电建筑机械、启重机械、其他机械产品设计、制造、安装、维修、改造经营范围；须具有G</w:t>
      </w:r>
      <w:r>
        <w:rPr>
          <w:rFonts w:ascii="宋体" w:hAnsi="宋体" w:cs="宋体"/>
          <w:color w:val="auto"/>
          <w:highlight w:val="none"/>
        </w:rPr>
        <w:t>B/T19001-2008/ISO9001:2008</w:t>
      </w:r>
      <w:r>
        <w:rPr>
          <w:rFonts w:ascii="宋体" w:hAnsi="宋体" w:cs="宋体"/>
          <w:color w:val="auto"/>
          <w:highlight w:val="none"/>
        </w:rPr>
        <w:tab/>
      </w:r>
      <w:r>
        <w:rPr>
          <w:rFonts w:hint="eastAsia" w:ascii="宋体" w:hAnsi="宋体" w:cs="宋体"/>
          <w:color w:val="auto"/>
          <w:highlight w:val="none"/>
        </w:rPr>
        <w:t>认证体系。）、洪水测报系统维修养护及水雨情系统升</w:t>
      </w:r>
      <w:r>
        <w:rPr>
          <w:rFonts w:hint="eastAsia" w:ascii="宋体" w:hAnsi="宋体" w:cs="宋体"/>
          <w:color w:val="auto"/>
          <w:highlight w:val="none"/>
          <w:lang w:val="en-US" w:eastAsia="zh-CN"/>
        </w:rPr>
        <w:t>级</w:t>
      </w:r>
      <w:r>
        <w:rPr>
          <w:rFonts w:hint="eastAsia" w:ascii="宋体" w:hAnsi="宋体" w:cs="宋体"/>
          <w:color w:val="auto"/>
          <w:highlight w:val="none"/>
        </w:rPr>
        <w:t>（须具有电子产品、计算机软硬件的研发、销售、安装、技术咨询、技术服务：网络系统集成经营范围）</w:t>
      </w:r>
      <w:r>
        <w:rPr>
          <w:rFonts w:ascii="宋体" w:hAnsi="宋体" w:cs="宋体"/>
          <w:color w:val="auto"/>
          <w:highlight w:val="none"/>
        </w:rPr>
        <w:t>2</w:t>
      </w:r>
      <w:r>
        <w:rPr>
          <w:rFonts w:hint="eastAsia" w:ascii="宋体" w:hAnsi="宋体" w:cs="宋体"/>
          <w:color w:val="auto"/>
          <w:highlight w:val="none"/>
        </w:rPr>
        <w:t>、金兰水库：闸门维修养护、启闭机维修养护（须具有水电建筑机械、启重机械、其他机械产品设计、制造、安装、维修、改造经营范围；须具有G</w:t>
      </w:r>
      <w:r>
        <w:rPr>
          <w:rFonts w:ascii="宋体" w:hAnsi="宋体" w:cs="宋体"/>
          <w:color w:val="auto"/>
          <w:highlight w:val="none"/>
        </w:rPr>
        <w:t>B/T19001-2008/ISO9001:2008</w:t>
      </w:r>
      <w:r>
        <w:rPr>
          <w:rFonts w:ascii="宋体" w:hAnsi="宋体" w:cs="宋体"/>
          <w:color w:val="auto"/>
          <w:highlight w:val="none"/>
        </w:rPr>
        <w:tab/>
      </w:r>
      <w:r>
        <w:rPr>
          <w:rFonts w:hint="eastAsia" w:ascii="宋体" w:hAnsi="宋体" w:cs="宋体"/>
          <w:color w:val="auto"/>
          <w:highlight w:val="none"/>
        </w:rPr>
        <w:t>认证体系。）3、安地水库：闸门维修养护、启闭机维修养护（须具有水电建筑机械、启重机械、其他机械产品设计、制造、安装、维修、改造经营范围；须具有G</w:t>
      </w:r>
      <w:r>
        <w:rPr>
          <w:rFonts w:ascii="宋体" w:hAnsi="宋体" w:cs="宋体"/>
          <w:color w:val="auto"/>
          <w:highlight w:val="none"/>
        </w:rPr>
        <w:t>B/T19001-2008/ISO9001:2008</w:t>
      </w:r>
      <w:r>
        <w:rPr>
          <w:rFonts w:hint="eastAsia" w:ascii="宋体" w:hAnsi="宋体" w:cs="宋体"/>
          <w:color w:val="auto"/>
          <w:highlight w:val="none"/>
        </w:rPr>
        <w:t>认证体系。）、启闭机齿轮油更换、启闭机外表油漆刷新、柴油发电机维修养护、水雨情遥测系统改造升级（卫星+GPRS）（须具有电子产品、计算机软硬件的研发、销售、安装、技术咨询、技术服务：网络系统集成经营范围）4、安地渠道：高压配电设备巡查维护）之外的不允许分包。</w:t>
      </w:r>
    </w:p>
    <w:p>
      <w:pPr>
        <w:spacing w:line="360" w:lineRule="auto"/>
        <w:ind w:firstLine="480" w:firstLineChars="200"/>
        <w:jc w:val="both"/>
        <w:rPr>
          <w:rFonts w:ascii="宋体" w:hAnsi="宋体" w:cs="宋体"/>
          <w:color w:val="auto"/>
          <w:highlight w:val="none"/>
        </w:rPr>
      </w:pPr>
      <w:r>
        <w:rPr>
          <w:rFonts w:hint="eastAsia" w:ascii="宋体" w:hAnsi="宋体" w:cs="宋体"/>
          <w:color w:val="auto"/>
          <w:highlight w:val="none"/>
        </w:rPr>
        <w:t>9、特别说明：</w:t>
      </w:r>
    </w:p>
    <w:p>
      <w:pPr>
        <w:spacing w:line="360" w:lineRule="auto"/>
        <w:ind w:firstLine="482" w:firstLineChars="200"/>
        <w:jc w:val="both"/>
        <w:rPr>
          <w:rFonts w:ascii="宋体" w:hAnsi="宋体" w:cs="宋体"/>
          <w:b/>
        </w:rPr>
      </w:pPr>
      <w:r>
        <w:rPr>
          <w:rFonts w:hint="eastAsia" w:ascii="宋体" w:hAnsi="宋体" w:cs="宋体"/>
          <w:b/>
        </w:rPr>
        <w:t>（1）提供相同品牌产品（或同品牌核心产品）且通过资格审查、符合性审查的不同投标人参加同一合同项下投标的，按一家投标人计算，评审后得分最高的同品牌（或同品牌核心产品）投标人获得中标人推荐资格；如出现评审得分相同的，则以价格低者推荐为中标人；如出现评审得分、报价均相同时，则以技术得分高者推荐为中标人；如出现三者得分均相同，则采取抽签方式确定，其他同品牌（或同品牌核心产品）投标人不作为中标候选人。</w:t>
      </w:r>
    </w:p>
    <w:p>
      <w:pPr>
        <w:spacing w:line="360" w:lineRule="auto"/>
        <w:ind w:firstLine="480" w:firstLineChars="200"/>
        <w:jc w:val="both"/>
        <w:rPr>
          <w:rFonts w:ascii="宋体" w:hAnsi="宋体" w:cs="宋体"/>
        </w:rPr>
      </w:pPr>
      <w:r>
        <w:rPr>
          <w:rFonts w:hint="eastAsia" w:ascii="宋体" w:hAnsi="宋体" w:cs="宋体"/>
        </w:rPr>
        <w:t>（2）投标人投标所使用的资格、信誉、荣誉、业绩与企业认证必须为本法人所拥有。</w:t>
      </w:r>
    </w:p>
    <w:p>
      <w:pPr>
        <w:spacing w:line="360" w:lineRule="auto"/>
        <w:ind w:firstLine="480" w:firstLineChars="200"/>
        <w:jc w:val="both"/>
        <w:rPr>
          <w:rFonts w:ascii="宋体" w:hAnsi="宋体" w:cs="宋体"/>
        </w:rPr>
      </w:pPr>
      <w:r>
        <w:rPr>
          <w:rFonts w:hint="eastAsia" w:ascii="宋体" w:hAnsi="宋体" w:cs="宋体"/>
        </w:rPr>
        <w:t>（3）投标人应仔细阅读招标文件的所有内容，按照招标文件的要求提交投标文件，并对所提供的全部资料的真实性承担法律责任。</w:t>
      </w:r>
    </w:p>
    <w:p>
      <w:pPr>
        <w:spacing w:line="360" w:lineRule="auto"/>
        <w:ind w:firstLine="480" w:firstLineChars="200"/>
        <w:jc w:val="both"/>
        <w:rPr>
          <w:rFonts w:ascii="宋体" w:hAnsi="宋体" w:cs="宋体"/>
        </w:rPr>
      </w:pPr>
      <w:r>
        <w:rPr>
          <w:rFonts w:hint="eastAsia" w:ascii="宋体" w:hAnsi="宋体" w:cs="宋体"/>
        </w:rPr>
        <w:t>（4）投标人在投标活动中提供任何虚假材料，其投标无效，并报监管部门查处；中标后发现的，中标人须依照《中华人民共和国消费者权益保护法》规定赔偿采购人，且民事赔偿并不免除违法投标人的行政与刑事责任。</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10、现场踏勘</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（1）不组织集中踏勘，由各投标人自行安排。投标人在踏勘过程中发生的各类事件和所发生的各项费用，均由投标人自行承担，采购人和代理机构概不负责。</w:t>
      </w:r>
    </w:p>
    <w:p>
      <w:pPr>
        <w:spacing w:line="360" w:lineRule="auto"/>
        <w:ind w:firstLine="480" w:firstLineChars="200"/>
        <w:jc w:val="both"/>
        <w:rPr>
          <w:rFonts w:ascii="宋体" w:hAnsi="宋体" w:cs="宋体"/>
        </w:rPr>
      </w:pPr>
      <w:r>
        <w:rPr>
          <w:rFonts w:hint="eastAsia" w:ascii="宋体" w:hAnsi="宋体" w:cs="宋体"/>
        </w:rPr>
        <w:t>（2）采购人向投标人提供的有关现场的数据和资料，是采购人现有的能被投标人利用的资料，采购人对投标人据此做出的任何推论、理解和结论不负责任。</w:t>
      </w:r>
    </w:p>
    <w:p>
      <w:pPr>
        <w:spacing w:line="360" w:lineRule="auto"/>
        <w:ind w:firstLine="482" w:firstLineChars="200"/>
        <w:jc w:val="both"/>
        <w:rPr>
          <w:rFonts w:ascii="宋体" w:hAnsi="宋体" w:cs="宋体"/>
          <w:b/>
        </w:rPr>
      </w:pPr>
      <w:r>
        <w:rPr>
          <w:rFonts w:hint="eastAsia" w:ascii="宋体" w:hAnsi="宋体" w:cs="宋体"/>
          <w:b/>
        </w:rPr>
        <w:t>二、招标文件的编写</w:t>
      </w:r>
    </w:p>
    <w:p>
      <w:pPr>
        <w:spacing w:line="360" w:lineRule="auto"/>
        <w:ind w:firstLine="480" w:firstLineChars="200"/>
        <w:jc w:val="both"/>
        <w:rPr>
          <w:rFonts w:ascii="宋体" w:hAnsi="宋体" w:cs="宋体"/>
        </w:rPr>
      </w:pPr>
      <w:r>
        <w:rPr>
          <w:rFonts w:hint="eastAsia" w:ascii="宋体" w:hAnsi="宋体" w:cs="宋体"/>
        </w:rPr>
        <w:t>1、要求</w:t>
      </w:r>
    </w:p>
    <w:p>
      <w:pPr>
        <w:spacing w:line="360" w:lineRule="auto"/>
        <w:ind w:firstLine="480" w:firstLineChars="200"/>
        <w:jc w:val="both"/>
        <w:rPr>
          <w:rFonts w:ascii="宋体" w:hAnsi="宋体" w:cs="宋体"/>
        </w:rPr>
      </w:pPr>
      <w:r>
        <w:rPr>
          <w:rFonts w:hint="eastAsia" w:ascii="宋体" w:hAnsi="宋体" w:cs="宋体"/>
        </w:rPr>
        <w:t>（1）投标人应仔细阅读</w:t>
      </w:r>
      <w:r>
        <w:rPr>
          <w:rFonts w:hint="eastAsia" w:ascii="宋体" w:hAnsi="宋体" w:cs="宋体"/>
          <w:u w:val="thick" w:color="FFFFFF"/>
        </w:rPr>
        <w:t>招标文件</w:t>
      </w:r>
      <w:r>
        <w:rPr>
          <w:rFonts w:hint="eastAsia" w:ascii="宋体" w:hAnsi="宋体" w:cs="宋体"/>
        </w:rPr>
        <w:t>的所有内容，按</w:t>
      </w:r>
      <w:r>
        <w:rPr>
          <w:rFonts w:hint="eastAsia" w:ascii="宋体" w:hAnsi="宋体" w:cs="宋体"/>
          <w:u w:val="thick" w:color="FFFFFF"/>
        </w:rPr>
        <w:t>招标文件</w:t>
      </w:r>
      <w:r>
        <w:rPr>
          <w:rFonts w:hint="eastAsia" w:ascii="宋体" w:hAnsi="宋体" w:cs="宋体"/>
        </w:rPr>
        <w:t>的要求提供投标文件，并保证所提供的全部资料的真实性，以使其投标对</w:t>
      </w:r>
      <w:r>
        <w:rPr>
          <w:rFonts w:hint="eastAsia" w:ascii="宋体" w:hAnsi="宋体" w:cs="宋体"/>
          <w:u w:val="thick" w:color="FFFFFF"/>
        </w:rPr>
        <w:t>招标文件</w:t>
      </w:r>
      <w:r>
        <w:rPr>
          <w:rFonts w:hint="eastAsia" w:ascii="宋体" w:hAnsi="宋体" w:cs="宋体"/>
        </w:rPr>
        <w:t>的实质性要求做出完全响应，否则其投标将被拒绝。</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（2）投标人应按照</w:t>
      </w:r>
      <w:r>
        <w:rPr>
          <w:rFonts w:hint="eastAsia" w:ascii="宋体" w:hAnsi="宋体" w:cs="宋体"/>
          <w:u w:val="thick" w:color="FFFFFF"/>
        </w:rPr>
        <w:t>招标文件</w:t>
      </w:r>
      <w:r>
        <w:rPr>
          <w:rFonts w:hint="eastAsia" w:ascii="宋体" w:hAnsi="宋体" w:cs="宋体"/>
        </w:rPr>
        <w:t>要求及有关资料编制投标文件，并保证投标文件的正确性和真实性，所有文件资料必须是针对本次招标。</w:t>
      </w:r>
    </w:p>
    <w:p>
      <w:pPr>
        <w:widowControl w:val="0"/>
        <w:adjustRightInd w:val="0"/>
        <w:snapToGrid w:val="0"/>
        <w:spacing w:line="360" w:lineRule="auto"/>
        <w:ind w:firstLine="537" w:firstLineChars="224"/>
        <w:rPr>
          <w:rFonts w:ascii="宋体" w:hAnsi="宋体" w:cs="宋体"/>
        </w:rPr>
      </w:pPr>
      <w:r>
        <w:rPr>
          <w:rFonts w:hint="eastAsia" w:ascii="宋体" w:hAnsi="宋体" w:cs="宋体"/>
        </w:rPr>
        <w:t>（3）</w:t>
      </w:r>
      <w:r>
        <w:rPr>
          <w:rFonts w:hint="eastAsia" w:ascii="宋体" w:hAnsi="宋体" w:cs="宋体"/>
          <w:b/>
        </w:rPr>
        <w:t>本次招标采用</w:t>
      </w:r>
      <w:r>
        <w:rPr>
          <w:rFonts w:hint="eastAsia" w:ascii="宋体" w:hAnsi="宋体" w:cs="宋体"/>
          <w:b/>
          <w:u w:val="single"/>
        </w:rPr>
        <w:t>综合评分法</w:t>
      </w:r>
      <w:r>
        <w:rPr>
          <w:rFonts w:hint="eastAsia" w:ascii="宋体" w:hAnsi="宋体" w:cs="宋体"/>
          <w:b/>
        </w:rPr>
        <w:t>选定中标人，</w:t>
      </w:r>
      <w:r>
        <w:rPr>
          <w:rFonts w:hint="eastAsia" w:ascii="宋体" w:hAnsi="宋体" w:cs="宋体"/>
        </w:rPr>
        <w:t>待技术分评定后，再进行价格的评分。</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2、招标文件的构成。</w:t>
      </w:r>
    </w:p>
    <w:p>
      <w:pPr>
        <w:widowControl w:val="0"/>
        <w:adjustRightInd w:val="0"/>
        <w:snapToGrid w:val="0"/>
        <w:spacing w:line="360" w:lineRule="auto"/>
        <w:ind w:firstLine="537" w:firstLineChars="224"/>
        <w:rPr>
          <w:rFonts w:ascii="宋体" w:hAnsi="宋体" w:cs="宋体"/>
        </w:rPr>
      </w:pPr>
      <w:r>
        <w:rPr>
          <w:rFonts w:hint="eastAsia" w:ascii="宋体" w:hAnsi="宋体" w:cs="宋体"/>
        </w:rPr>
        <w:t>本招标文件由以下部份组成：</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（1）招标公告</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（2）前附表</w:t>
      </w:r>
    </w:p>
    <w:p>
      <w:pPr>
        <w:widowControl w:val="0"/>
        <w:adjustRightInd w:val="0"/>
        <w:snapToGrid w:val="0"/>
        <w:spacing w:line="360" w:lineRule="auto"/>
        <w:ind w:firstLine="537" w:firstLineChars="224"/>
        <w:rPr>
          <w:rFonts w:ascii="宋体" w:hAnsi="宋体" w:cs="宋体"/>
        </w:rPr>
      </w:pPr>
      <w:r>
        <w:rPr>
          <w:rFonts w:hint="eastAsia" w:ascii="宋体" w:hAnsi="宋体" w:cs="宋体"/>
        </w:rPr>
        <w:t>（3）投标人须知</w:t>
      </w:r>
    </w:p>
    <w:p>
      <w:pPr>
        <w:widowControl w:val="0"/>
        <w:adjustRightInd w:val="0"/>
        <w:snapToGrid w:val="0"/>
        <w:spacing w:line="360" w:lineRule="auto"/>
        <w:ind w:firstLine="537" w:firstLineChars="224"/>
        <w:rPr>
          <w:rFonts w:ascii="宋体" w:hAnsi="宋体" w:cs="宋体"/>
        </w:rPr>
      </w:pPr>
      <w:r>
        <w:rPr>
          <w:rFonts w:hint="eastAsia" w:ascii="宋体" w:hAnsi="宋体" w:cs="宋体"/>
        </w:rPr>
        <w:t>（4）评标办法及标准</w:t>
      </w:r>
    </w:p>
    <w:p>
      <w:pPr>
        <w:widowControl w:val="0"/>
        <w:adjustRightInd w:val="0"/>
        <w:snapToGrid w:val="0"/>
        <w:spacing w:line="360" w:lineRule="auto"/>
        <w:ind w:firstLine="537" w:firstLineChars="224"/>
        <w:rPr>
          <w:rFonts w:ascii="宋体" w:hAnsi="宋体" w:cs="宋体"/>
        </w:rPr>
      </w:pPr>
      <w:r>
        <w:rPr>
          <w:rFonts w:hint="eastAsia" w:ascii="宋体" w:hAnsi="宋体" w:cs="宋体"/>
        </w:rPr>
        <w:t>（5）招标项目技术规范和要求</w:t>
      </w:r>
    </w:p>
    <w:p>
      <w:pPr>
        <w:widowControl w:val="0"/>
        <w:adjustRightInd w:val="0"/>
        <w:snapToGrid w:val="0"/>
        <w:spacing w:line="360" w:lineRule="auto"/>
        <w:ind w:firstLine="537" w:firstLineChars="224"/>
        <w:rPr>
          <w:rFonts w:ascii="宋体" w:hAnsi="宋体" w:cs="宋体"/>
        </w:rPr>
      </w:pPr>
      <w:r>
        <w:rPr>
          <w:rFonts w:hint="eastAsia" w:ascii="宋体" w:hAnsi="宋体" w:cs="宋体"/>
        </w:rPr>
        <w:t>（6）合同（格式范本）</w:t>
      </w:r>
    </w:p>
    <w:p>
      <w:pPr>
        <w:widowControl w:val="0"/>
        <w:adjustRightInd w:val="0"/>
        <w:snapToGrid w:val="0"/>
        <w:spacing w:line="360" w:lineRule="auto"/>
        <w:ind w:firstLine="537" w:firstLineChars="224"/>
        <w:rPr>
          <w:rFonts w:ascii="宋体" w:hAnsi="宋体" w:cs="宋体"/>
        </w:rPr>
      </w:pPr>
      <w:r>
        <w:rPr>
          <w:rFonts w:hint="eastAsia" w:ascii="宋体" w:hAnsi="宋体" w:cs="宋体"/>
        </w:rPr>
        <w:t>（7）投标文件格式</w:t>
      </w:r>
    </w:p>
    <w:p>
      <w:pPr>
        <w:widowControl w:val="0"/>
        <w:adjustRightInd w:val="0"/>
        <w:snapToGrid w:val="0"/>
        <w:spacing w:line="360" w:lineRule="auto"/>
        <w:ind w:firstLine="537" w:firstLineChars="224"/>
        <w:rPr>
          <w:rFonts w:ascii="宋体" w:hAnsi="宋体" w:cs="宋体"/>
        </w:rPr>
      </w:pPr>
      <w:r>
        <w:rPr>
          <w:rFonts w:hint="eastAsia" w:ascii="宋体" w:hAnsi="宋体" w:cs="宋体"/>
        </w:rPr>
        <w:t>（8）本项目招标文件的澄清、答复、修改、补充的内容（如有）</w:t>
      </w:r>
    </w:p>
    <w:p>
      <w:pPr>
        <w:widowControl w:val="0"/>
        <w:adjustRightInd w:val="0"/>
        <w:snapToGrid w:val="0"/>
        <w:spacing w:line="360" w:lineRule="auto"/>
        <w:ind w:firstLine="480" w:firstLineChars="200"/>
        <w:rPr>
          <w:rFonts w:ascii="宋体" w:hAnsi="宋体" w:cs="宋体"/>
        </w:rPr>
      </w:pPr>
      <w:r>
        <w:rPr>
          <w:rFonts w:hint="eastAsia" w:ascii="宋体" w:hAnsi="宋体" w:cs="宋体"/>
        </w:rPr>
        <w:t>3、投标人的风险</w:t>
      </w:r>
    </w:p>
    <w:p>
      <w:pPr>
        <w:widowControl w:val="0"/>
        <w:adjustRightInd w:val="0"/>
        <w:snapToGrid w:val="0"/>
        <w:spacing w:line="360" w:lineRule="auto"/>
        <w:ind w:firstLine="537" w:firstLineChars="224"/>
        <w:rPr>
          <w:rFonts w:ascii="宋体" w:hAnsi="宋体" w:cs="宋体"/>
        </w:rPr>
      </w:pPr>
      <w:r>
        <w:rPr>
          <w:rFonts w:hint="eastAsia" w:ascii="宋体" w:hAnsi="宋体" w:cs="宋体"/>
        </w:rPr>
        <w:t>投标人没有按照招标文件要求提供全部资料，或者投标人没有对招标文件在各方面作出实质性响应，投标人需自行承担其投标无效的风险。</w:t>
      </w:r>
    </w:p>
    <w:p>
      <w:pPr>
        <w:widowControl w:val="0"/>
        <w:adjustRightInd w:val="0"/>
        <w:snapToGrid w:val="0"/>
        <w:spacing w:line="360" w:lineRule="auto"/>
        <w:ind w:firstLine="537" w:firstLineChars="224"/>
        <w:rPr>
          <w:rFonts w:ascii="宋体" w:hAnsi="宋体" w:cs="宋体"/>
        </w:rPr>
      </w:pPr>
      <w:r>
        <w:rPr>
          <w:rFonts w:hint="eastAsia" w:ascii="宋体" w:hAnsi="宋体" w:cs="宋体"/>
        </w:rPr>
        <w:t xml:space="preserve">4、招标文件的澄清与修改 </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投标人如认为公开招标文件表述不清晰、存在歧视性、排他性或者其他违法内容的，可以自收到采购文件之日（发售截止日之后收到采购文件的，以发售截止日为准）或者采购文件公告期限届满之日（公告发布后的第6个工作日）起7个工作日内，以书面形式向采购人和采购代理机构提出质疑；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（2）采购代理机构必须以书面形式答复投标人要求澄清的问题，并将不包含问题来源的答复书面通知所有购买招标文件的投标人；除书面答复以外的其他澄清方式及澄清内容均无效。</w:t>
      </w:r>
    </w:p>
    <w:p>
      <w:pPr>
        <w:widowControl w:val="0"/>
        <w:adjustRightInd w:val="0"/>
        <w:snapToGrid w:val="0"/>
        <w:spacing w:line="360" w:lineRule="auto"/>
        <w:ind w:firstLine="537" w:firstLineChars="224"/>
        <w:rPr>
          <w:rFonts w:ascii="宋体" w:hAnsi="宋体" w:cs="宋体"/>
        </w:rPr>
      </w:pPr>
      <w:r>
        <w:rPr>
          <w:rFonts w:hint="eastAsia" w:ascii="宋体" w:hAnsi="宋体" w:cs="宋体"/>
        </w:rPr>
        <w:t>（3）招标文件澄清、答复、修改、补充的内容为招标文件的组成部分。当招标文件与招标文件的答复、澄清、修改、补充通知就同一内容的表述不一致时，以最后发出的书面文件为准。</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（4）招标文件的澄清、答复、修改或补充都应该通过本代理机构以法定形式发布，采购人非通过本机构，不得擅自澄清、答复、修改或补充招标文件。</w:t>
      </w:r>
    </w:p>
    <w:p>
      <w:pPr>
        <w:pStyle w:val="22"/>
        <w:widowControl w:val="0"/>
        <w:adjustRightInd w:val="0"/>
        <w:snapToGrid w:val="0"/>
        <w:spacing w:before="0" w:beforeAutospacing="0" w:after="0" w:afterAutospacing="0" w:line="360" w:lineRule="auto"/>
        <w:ind w:firstLine="540" w:firstLineChars="224"/>
        <w:rPr>
          <w:rFonts w:cs="宋体"/>
          <w:b/>
        </w:rPr>
      </w:pPr>
      <w:r>
        <w:rPr>
          <w:rFonts w:hint="eastAsia" w:cs="宋体"/>
          <w:b/>
        </w:rPr>
        <w:t>三、投标文件的编制</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1、投标文件的组成</w:t>
      </w:r>
    </w:p>
    <w:p>
      <w:pPr>
        <w:widowControl w:val="0"/>
        <w:adjustRightInd w:val="0"/>
        <w:snapToGrid w:val="0"/>
        <w:spacing w:line="360" w:lineRule="auto"/>
        <w:ind w:firstLine="537" w:firstLineChars="224"/>
        <w:rPr>
          <w:rFonts w:ascii="宋体" w:hAnsi="宋体" w:cs="宋体"/>
        </w:rPr>
      </w:pPr>
      <w:r>
        <w:rPr>
          <w:rFonts w:hint="eastAsia" w:ascii="宋体" w:hAnsi="宋体" w:cs="宋体"/>
        </w:rPr>
        <w:t>投标文件应分为技术标书和价格标书。价格标书和技术标书须分别制作密封，</w:t>
      </w:r>
      <w:r>
        <w:rPr>
          <w:rFonts w:hint="eastAsia" w:ascii="宋体" w:hAnsi="宋体" w:cs="宋体"/>
          <w:b/>
          <w:bCs/>
          <w:u w:val="single"/>
        </w:rPr>
        <w:t>技术标书（含资信与技术）内不得含投标报价，否则作无效标处理</w:t>
      </w:r>
      <w:r>
        <w:rPr>
          <w:rFonts w:hint="eastAsia" w:ascii="宋体" w:hAnsi="宋体" w:cs="宋体"/>
          <w:bCs/>
        </w:rPr>
        <w:t xml:space="preserve">。 </w:t>
      </w:r>
    </w:p>
    <w:p>
      <w:pPr>
        <w:pStyle w:val="22"/>
        <w:widowControl w:val="0"/>
        <w:adjustRightInd w:val="0"/>
        <w:snapToGrid w:val="0"/>
        <w:spacing w:before="0" w:beforeAutospacing="0" w:after="0" w:afterAutospacing="0" w:line="360" w:lineRule="auto"/>
        <w:ind w:firstLine="482" w:firstLineChars="200"/>
        <w:rPr>
          <w:rFonts w:cs="宋体"/>
          <w:b/>
        </w:rPr>
      </w:pPr>
      <w:r>
        <w:rPr>
          <w:rFonts w:hint="eastAsia" w:cs="宋体"/>
          <w:b/>
        </w:rPr>
        <w:t>价格标书的组成：</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（1）投标书。</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 xml:space="preserve">（2）开标一览表。 </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（3）投标报价明细表。</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（4）《中小微企业声明函》、残疾人福利性单位、监狱企业声明函（如有）。</w:t>
      </w:r>
    </w:p>
    <w:p>
      <w:pPr>
        <w:widowControl w:val="0"/>
        <w:adjustRightInd w:val="0"/>
        <w:snapToGrid w:val="0"/>
        <w:spacing w:line="400" w:lineRule="exact"/>
        <w:ind w:firstLine="537" w:firstLineChars="224"/>
        <w:rPr>
          <w:rFonts w:ascii="宋体" w:hAnsi="宋体" w:cs="宋体"/>
          <w:b/>
        </w:rPr>
      </w:pPr>
      <w:r>
        <w:rPr>
          <w:rFonts w:hint="eastAsia" w:ascii="宋体" w:hAnsi="宋体" w:cs="宋体"/>
        </w:rPr>
        <w:t>（5）其他投标人认为有必要提供的资料。</w:t>
      </w:r>
    </w:p>
    <w:p>
      <w:pPr>
        <w:widowControl w:val="0"/>
        <w:adjustRightInd w:val="0"/>
        <w:snapToGrid w:val="0"/>
        <w:spacing w:line="400" w:lineRule="exact"/>
        <w:ind w:firstLine="435"/>
        <w:rPr>
          <w:rFonts w:ascii="宋体" w:hAnsi="宋体" w:cs="宋体"/>
          <w:b/>
        </w:rPr>
      </w:pPr>
      <w:r>
        <w:rPr>
          <w:rFonts w:hint="eastAsia" w:ascii="宋体" w:hAnsi="宋体" w:cs="宋体"/>
          <w:b/>
        </w:rPr>
        <w:t>技术标书的组成（部分格式可参考附件）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（1）资格审查证明文件</w:t>
      </w:r>
      <w:r>
        <w:rPr>
          <w:rFonts w:hint="eastAsia" w:ascii="宋体" w:hAnsi="宋体" w:cs="宋体"/>
          <w:b/>
        </w:rPr>
        <w:t>（须按顺序放在投标文件第一部分，未提供齐全将导致资格审查不通过，投标文件无效）</w:t>
      </w:r>
      <w:r>
        <w:rPr>
          <w:rFonts w:hint="eastAsia" w:ascii="宋体" w:hAnsi="宋体" w:cs="宋体"/>
        </w:rPr>
        <w:t>：</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A．营业执照复印件；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B．法定代表人（负责人）授权委托书（法定代表人或负责人亲自参加的仅须提供身份证复印件）；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C．依法缴纳税收和社保费的证明；</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D．具有良好的商业信誉和健全的财务会计制度的书面声明；</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 xml:space="preserve">E．具有履行合同所必须的设备和专业技术能力的书面声明； </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 xml:space="preserve">F．参加政府采购活动前三年内（开标之日往前推算），在经营活动中没有重大违法记录的书面声明； </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G．资格要求中所需要的其他资质证书。</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（2）工期承诺、质量承诺；</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（3）施工技术方案；</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（4）施工质量保证措施；</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（5）施工进度计划及保证措施；</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（6）安全生产、文明施工、环境保护措施；</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（7）劳动力及材料供应；</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（8）施工机械设备选用和质量；</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（9）回访及保修承诺；</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w:t>
      </w:r>
      <w:r>
        <w:rPr>
          <w:rFonts w:hint="eastAsia" w:ascii="宋体" w:hAnsi="宋体" w:cs="宋体"/>
          <w:color w:val="000000"/>
          <w:szCs w:val="21"/>
        </w:rPr>
        <w:t>）项目实施人员一览表；</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w:t>
      </w:r>
      <w:r>
        <w:rPr>
          <w:rFonts w:hint="eastAsia" w:ascii="宋体" w:hAnsi="宋体" w:cs="宋体"/>
          <w:color w:val="000000"/>
          <w:szCs w:val="21"/>
        </w:rPr>
        <w:t>）无行贿犯罪记录承诺书；</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w:t>
      </w:r>
      <w:r>
        <w:rPr>
          <w:rFonts w:ascii="宋体" w:hAnsi="宋体" w:cs="宋体"/>
        </w:rPr>
        <w:t>12</w:t>
      </w:r>
      <w:r>
        <w:rPr>
          <w:rFonts w:hint="eastAsia" w:ascii="宋体" w:hAnsi="宋体" w:cs="宋体"/>
        </w:rPr>
        <w:t>）其他证明文件（如有）：</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A.投标人的信誉、荣誉证书；</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B.产品认证或检测报告；</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C.产品说明图册（如有，可单独提供，必须与技术标书正本密封在同一密封袋中并在图册上加盖投标人单位公章）</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D.投标人认为可以证明其能力或业绩的其他材料。</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w:t>
      </w:r>
      <w:r>
        <w:rPr>
          <w:rFonts w:ascii="宋体" w:hAnsi="宋体" w:cs="宋体"/>
        </w:rPr>
        <w:t>13</w:t>
      </w:r>
      <w:r>
        <w:rPr>
          <w:rFonts w:hint="eastAsia" w:ascii="宋体" w:hAnsi="宋体" w:cs="宋体"/>
        </w:rPr>
        <w:t>）同类业绩证明（如有，需提供合同复印件）；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（1</w:t>
      </w:r>
      <w:r>
        <w:rPr>
          <w:rFonts w:ascii="宋体" w:hAnsi="宋体" w:cs="宋体"/>
        </w:rPr>
        <w:t>4</w:t>
      </w:r>
      <w:r>
        <w:rPr>
          <w:rFonts w:hint="eastAsia" w:ascii="宋体" w:hAnsi="宋体" w:cs="宋体"/>
        </w:rPr>
        <w:t>）符合招标文件规定的其他证明文件及评分标准中涉及的其他材料。</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2、计量单位</w:t>
      </w:r>
    </w:p>
    <w:p>
      <w:pPr>
        <w:widowControl w:val="0"/>
        <w:adjustRightInd w:val="0"/>
        <w:snapToGrid w:val="0"/>
        <w:spacing w:line="360" w:lineRule="auto"/>
        <w:ind w:firstLine="537" w:firstLineChars="224"/>
        <w:rPr>
          <w:rFonts w:ascii="宋体" w:hAnsi="宋体" w:cs="宋体"/>
        </w:rPr>
      </w:pPr>
      <w:r>
        <w:rPr>
          <w:rFonts w:hint="eastAsia" w:ascii="宋体" w:hAnsi="宋体" w:cs="宋体"/>
        </w:rPr>
        <w:t>除在招标文件中另有规定外，计量单位应使用中华人民共和国法定计量单位（国际单位制和国家选定的其他计量单位）。</w:t>
      </w:r>
    </w:p>
    <w:p>
      <w:pPr>
        <w:widowControl w:val="0"/>
        <w:adjustRightInd w:val="0"/>
        <w:snapToGrid w:val="0"/>
        <w:spacing w:line="360" w:lineRule="auto"/>
        <w:ind w:firstLine="537" w:firstLineChars="224"/>
        <w:rPr>
          <w:rFonts w:ascii="宋体" w:hAnsi="宋体" w:cs="宋体"/>
        </w:rPr>
      </w:pPr>
      <w:r>
        <w:rPr>
          <w:rFonts w:hint="eastAsia" w:ascii="宋体" w:hAnsi="宋体" w:cs="宋体"/>
        </w:rPr>
        <w:t>3、投标人拟投的产品与</w:t>
      </w:r>
      <w:r>
        <w:rPr>
          <w:rFonts w:hint="eastAsia" w:ascii="宋体" w:hAnsi="宋体" w:cs="宋体"/>
          <w:u w:val="thick" w:color="FFFFFF"/>
        </w:rPr>
        <w:t>招标文件</w:t>
      </w:r>
      <w:r>
        <w:rPr>
          <w:rFonts w:hint="eastAsia" w:ascii="宋体" w:hAnsi="宋体" w:cs="宋体"/>
        </w:rPr>
        <w:t>中设置的技术参数不一致时，则必须在技术标中予以明确。否则将视为投标人完全响应</w:t>
      </w:r>
      <w:r>
        <w:rPr>
          <w:rFonts w:hint="eastAsia" w:ascii="宋体" w:hAnsi="宋体" w:cs="宋体"/>
          <w:u w:val="thick" w:color="FFFFFF"/>
        </w:rPr>
        <w:t>招标文件</w:t>
      </w:r>
      <w:r>
        <w:rPr>
          <w:rFonts w:hint="eastAsia" w:ascii="宋体" w:hAnsi="宋体" w:cs="宋体"/>
        </w:rPr>
        <w:t>的要求，并以</w:t>
      </w:r>
      <w:r>
        <w:rPr>
          <w:rFonts w:hint="eastAsia" w:ascii="宋体" w:hAnsi="宋体" w:cs="宋体"/>
          <w:u w:val="thick" w:color="FFFFFF"/>
        </w:rPr>
        <w:t>招标文件</w:t>
      </w:r>
      <w:r>
        <w:rPr>
          <w:rFonts w:hint="eastAsia" w:ascii="宋体" w:hAnsi="宋体" w:cs="宋体"/>
        </w:rPr>
        <w:t>作为验收条件。</w:t>
      </w:r>
    </w:p>
    <w:p>
      <w:pPr>
        <w:widowControl w:val="0"/>
        <w:adjustRightInd w:val="0"/>
        <w:snapToGrid w:val="0"/>
        <w:spacing w:line="360" w:lineRule="auto"/>
        <w:ind w:firstLine="537" w:firstLineChars="224"/>
        <w:rPr>
          <w:rFonts w:ascii="宋体" w:hAnsi="宋体" w:cs="宋体"/>
        </w:rPr>
      </w:pPr>
      <w:r>
        <w:rPr>
          <w:rFonts w:hint="eastAsia" w:ascii="宋体" w:hAnsi="宋体" w:cs="宋体"/>
        </w:rPr>
        <w:t>4、投标人拟提供的服务承诺与</w:t>
      </w:r>
      <w:r>
        <w:rPr>
          <w:rFonts w:hint="eastAsia" w:ascii="宋体" w:hAnsi="宋体" w:cs="宋体"/>
          <w:u w:val="thick" w:color="FFFFFF"/>
        </w:rPr>
        <w:t>招标文件</w:t>
      </w:r>
      <w:r>
        <w:rPr>
          <w:rFonts w:hint="eastAsia" w:ascii="宋体" w:hAnsi="宋体" w:cs="宋体"/>
        </w:rPr>
        <w:t>中的要求不一致时，则必须在技术标《服务条款响应表》中予以明确。否则将视为投标人完全响应</w:t>
      </w:r>
      <w:r>
        <w:rPr>
          <w:rFonts w:hint="eastAsia" w:ascii="宋体" w:hAnsi="宋体" w:cs="宋体"/>
          <w:u w:val="thick" w:color="FFFFFF"/>
        </w:rPr>
        <w:t>招标文件</w:t>
      </w:r>
      <w:r>
        <w:rPr>
          <w:rFonts w:hint="eastAsia" w:ascii="宋体" w:hAnsi="宋体" w:cs="宋体"/>
        </w:rPr>
        <w:t>的要求，并以</w:t>
      </w:r>
      <w:r>
        <w:rPr>
          <w:rFonts w:hint="eastAsia" w:ascii="宋体" w:hAnsi="宋体" w:cs="宋体"/>
          <w:u w:val="thick" w:color="FFFFFF"/>
        </w:rPr>
        <w:t>招标文件</w:t>
      </w:r>
      <w:r>
        <w:rPr>
          <w:rFonts w:hint="eastAsia" w:ascii="宋体" w:hAnsi="宋体" w:cs="宋体"/>
        </w:rPr>
        <w:t>作为合同条件。</w:t>
      </w:r>
    </w:p>
    <w:p>
      <w:pPr>
        <w:widowControl w:val="0"/>
        <w:adjustRightInd w:val="0"/>
        <w:snapToGrid w:val="0"/>
        <w:spacing w:line="360" w:lineRule="auto"/>
        <w:ind w:firstLine="537" w:firstLineChars="224"/>
        <w:rPr>
          <w:rFonts w:ascii="宋体" w:hAnsi="宋体" w:cs="宋体"/>
        </w:rPr>
      </w:pPr>
      <w:r>
        <w:rPr>
          <w:rFonts w:hint="eastAsia" w:ascii="宋体" w:hAnsi="宋体" w:cs="宋体"/>
        </w:rPr>
        <w:t>★5、投标报价</w:t>
      </w:r>
    </w:p>
    <w:p>
      <w:pPr>
        <w:widowControl w:val="0"/>
        <w:spacing w:line="360" w:lineRule="auto"/>
        <w:ind w:firstLine="480" w:firstLineChars="200"/>
        <w:rPr>
          <w:rFonts w:ascii="宋体" w:hAnsi="宋体" w:cs="宋体"/>
        </w:rPr>
      </w:pPr>
      <w:r>
        <w:rPr>
          <w:rFonts w:hint="eastAsia" w:ascii="宋体" w:hAnsi="宋体" w:cs="宋体"/>
        </w:rPr>
        <w:t>（1）投标人须充分考虑实际服务内容和需求，针对自身实际情况，核算所需的成本及合理的利润，自行报价。</w:t>
      </w:r>
    </w:p>
    <w:p>
      <w:pPr>
        <w:widowControl w:val="0"/>
        <w:spacing w:line="360" w:lineRule="auto"/>
        <w:ind w:firstLine="480" w:firstLineChars="200"/>
        <w:rPr>
          <w:rFonts w:ascii="宋体" w:hAnsi="宋体" w:cs="宋体"/>
        </w:rPr>
      </w:pPr>
      <w:r>
        <w:rPr>
          <w:rFonts w:hint="eastAsia" w:ascii="宋体" w:hAnsi="宋体" w:cs="宋体"/>
        </w:rPr>
        <w:t>（2）本次招标项目的报价内容为下浮率，即投标人在招标文件规定的基准价基础上，结合自身企业经营情况填报的让利幅度。下浮率以百分比（%）进行表述，下浮率百分比数值越大，则报价越低（如：下浮率10%的报价低于下浮率8%）。</w:t>
      </w:r>
    </w:p>
    <w:p>
      <w:pPr>
        <w:widowControl w:val="0"/>
        <w:adjustRightInd w:val="0"/>
        <w:snapToGrid w:val="0"/>
        <w:spacing w:line="360" w:lineRule="auto"/>
        <w:ind w:firstLine="540" w:firstLineChars="224"/>
        <w:rPr>
          <w:rFonts w:ascii="宋体" w:hAnsi="宋体" w:cs="宋体"/>
        </w:rPr>
      </w:pPr>
      <w:r>
        <w:rPr>
          <w:rFonts w:hint="eastAsia" w:ascii="宋体" w:hAnsi="宋体" w:cs="宋体"/>
          <w:b/>
        </w:rPr>
        <w:t>（7）扶持政策说明：</w:t>
      </w:r>
      <w:r>
        <w:rPr>
          <w:rFonts w:hint="eastAsia" w:ascii="宋体" w:hAnsi="宋体" w:cs="宋体"/>
        </w:rPr>
        <w:t>根据财政部、工业和信息化部制定的《政府采购促进中小企业发展暂行办法》和转发财政部工业和信息化部关于印发《政府采购促进中小企业发展暂行办法》的通知（浙财采监[2012]11 号），对小型或微型企业的投标报价给予 6%的扣除，并用扣除后的价格计算价格评分。 投标人需在价格标书中提供“中小企业声明函”，否则不予扣除。</w:t>
      </w:r>
    </w:p>
    <w:p>
      <w:pPr>
        <w:widowControl w:val="0"/>
        <w:adjustRightInd w:val="0"/>
        <w:snapToGrid w:val="0"/>
        <w:spacing w:line="360" w:lineRule="auto"/>
        <w:ind w:firstLine="537" w:firstLineChars="224"/>
        <w:rPr>
          <w:rFonts w:ascii="宋体" w:hAnsi="宋体" w:cs="宋体"/>
        </w:rPr>
      </w:pPr>
      <w:r>
        <w:rPr>
          <w:rFonts w:hint="eastAsia" w:ascii="宋体" w:hAnsi="宋体" w:cs="宋体"/>
        </w:rPr>
        <w:t>计算公式：小型和微型企业评审价格＝总投标报价×(1-6%)</w:t>
      </w:r>
    </w:p>
    <w:p>
      <w:pPr>
        <w:widowControl w:val="0"/>
        <w:adjustRightInd w:val="0"/>
        <w:snapToGrid w:val="0"/>
        <w:spacing w:line="360" w:lineRule="auto"/>
        <w:ind w:firstLine="537" w:firstLineChars="224"/>
        <w:rPr>
          <w:rFonts w:ascii="宋体" w:hAnsi="宋体" w:cs="宋体"/>
        </w:rPr>
      </w:pPr>
      <w:r>
        <w:rPr>
          <w:rFonts w:hint="eastAsia" w:ascii="宋体" w:hAnsi="宋体" w:cs="宋体"/>
        </w:rPr>
        <w:t xml:space="preserve">注：①中型企业不享受以上优惠；②小型和微型企业产品包括货物及其提供的服务与工程。 </w:t>
      </w:r>
    </w:p>
    <w:p>
      <w:pPr>
        <w:widowControl w:val="0"/>
        <w:adjustRightInd w:val="0"/>
        <w:snapToGrid w:val="0"/>
        <w:spacing w:line="360" w:lineRule="auto"/>
        <w:ind w:firstLine="537" w:firstLineChars="224"/>
        <w:rPr>
          <w:rFonts w:ascii="宋体" w:hAnsi="宋体" w:cs="宋体"/>
        </w:rPr>
      </w:pPr>
      <w:r>
        <w:rPr>
          <w:rFonts w:hint="eastAsia" w:ascii="宋体" w:hAnsi="宋体" w:cs="宋体"/>
        </w:rPr>
        <w:t>同时符合以下所有要求的投标人被认定为小型、微型企业：1.投标人按照《关于印发中小企业划型标准规定的通知》（工信部联企业〔2011〕300 号）的所 属行业规定为小型、微型企业【注：按《关于印发中小企业划型标准规定的通知》规定提供《中小企业声明函》及其相关的充分的证明材料】； 2.监狱企业参加投标【提供《监狱企业声明函》及其相关的充分的证明材料】，视为小型、微型 企业，享受小微企业政策扶持； 3.残疾人福利性单位参加投标【提供《残疾人福利性单位声明函》】，视为小型、微型企业，享受小微企业政策扶持。 此项由评标委员会集体核实后统一打分。</w:t>
      </w:r>
    </w:p>
    <w:p>
      <w:pPr>
        <w:widowControl w:val="0"/>
        <w:adjustRightInd w:val="0"/>
        <w:snapToGrid w:val="0"/>
        <w:spacing w:line="360" w:lineRule="auto"/>
        <w:ind w:firstLine="537" w:firstLineChars="224"/>
        <w:rPr>
          <w:rFonts w:ascii="宋体" w:hAnsi="宋体" w:cs="宋体"/>
        </w:rPr>
      </w:pPr>
      <w:r>
        <w:rPr>
          <w:rFonts w:hint="eastAsia" w:ascii="宋体" w:hAnsi="宋体" w:cs="宋体"/>
        </w:rPr>
        <w:t>6、履约保证金</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（1）按合同总金额的5%计收，中标人须在合同签订前5天内以转账或保函的形式交至采购人指定账户。</w:t>
      </w:r>
    </w:p>
    <w:p>
      <w:pPr>
        <w:widowControl w:val="0"/>
        <w:spacing w:line="360" w:lineRule="auto"/>
        <w:ind w:firstLine="537" w:firstLineChars="224"/>
        <w:jc w:val="both"/>
        <w:rPr>
          <w:rFonts w:ascii="宋体" w:hAnsi="宋体" w:cs="宋体"/>
        </w:rPr>
      </w:pPr>
      <w:r>
        <w:rPr>
          <w:rFonts w:hint="eastAsia" w:ascii="宋体" w:hAnsi="宋体" w:cs="宋体"/>
        </w:rPr>
        <w:t>（2）中标人将本项目转让给他人，或者在投标书中未说明，且未经采购人同意，将中标项目分包给他人的，采购人可依法没收其履约保证金。</w:t>
      </w:r>
    </w:p>
    <w:p>
      <w:pPr>
        <w:widowControl w:val="0"/>
        <w:spacing w:line="360" w:lineRule="auto"/>
        <w:ind w:firstLine="537" w:firstLineChars="224"/>
        <w:jc w:val="both"/>
        <w:rPr>
          <w:rFonts w:ascii="宋体" w:hAnsi="宋体" w:cs="宋体"/>
        </w:rPr>
      </w:pPr>
      <w:r>
        <w:rPr>
          <w:rFonts w:hint="eastAsia" w:ascii="宋体" w:hAnsi="宋体" w:cs="宋体"/>
        </w:rPr>
        <w:t>（3）中标人在履行采购合同期间，违反有关法律法规的规定及合同约定的条款，损害了采购人利益的，可依法没收其履约保证金。</w:t>
      </w:r>
    </w:p>
    <w:p>
      <w:pPr>
        <w:widowControl w:val="0"/>
        <w:spacing w:line="360" w:lineRule="auto"/>
        <w:ind w:firstLine="537" w:firstLineChars="224"/>
        <w:jc w:val="both"/>
        <w:rPr>
          <w:rFonts w:ascii="宋体" w:hAnsi="宋体" w:cs="宋体"/>
        </w:rPr>
      </w:pPr>
      <w:r>
        <w:rPr>
          <w:rFonts w:hint="eastAsia" w:ascii="宋体" w:hAnsi="宋体" w:cs="宋体"/>
        </w:rPr>
        <w:t>（4）因中标人原因，导致采购人解除合同的，可依法没收其履约保证金。造成采购人损失超过履约保证金的，超出部分由中标人继续承担赔偿责任。</w:t>
      </w:r>
    </w:p>
    <w:p>
      <w:pPr>
        <w:widowControl w:val="0"/>
        <w:adjustRightInd w:val="0"/>
        <w:snapToGrid w:val="0"/>
        <w:spacing w:line="360" w:lineRule="auto"/>
        <w:ind w:firstLine="537" w:firstLineChars="224"/>
        <w:rPr>
          <w:rFonts w:ascii="宋体" w:hAnsi="宋体" w:cs="宋体"/>
        </w:rPr>
      </w:pPr>
      <w:r>
        <w:rPr>
          <w:rFonts w:hint="eastAsia" w:ascii="宋体" w:hAnsi="宋体" w:cs="宋体"/>
        </w:rPr>
        <w:t>（5）履约保证金待合同正常终止后的十五个工作日内予以退还。</w:t>
      </w:r>
    </w:p>
    <w:p>
      <w:pPr>
        <w:widowControl w:val="0"/>
        <w:adjustRightInd w:val="0"/>
        <w:snapToGrid w:val="0"/>
        <w:spacing w:line="360" w:lineRule="auto"/>
        <w:ind w:firstLine="537" w:firstLineChars="224"/>
        <w:rPr>
          <w:rFonts w:ascii="宋体" w:hAnsi="宋体" w:cs="宋体"/>
        </w:rPr>
      </w:pPr>
      <w:r>
        <w:rPr>
          <w:rFonts w:hint="eastAsia" w:ascii="宋体" w:hAnsi="宋体" w:cs="宋体"/>
        </w:rPr>
        <w:t>7、投标有效期</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★（1）自投标截止日起90天投标文件应保持有效。</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（2）在特殊情况下，采购人可与投标人协商延长投标书的有效期，这种要求和答复均以书面形式进行。</w:t>
      </w:r>
    </w:p>
    <w:p>
      <w:pPr>
        <w:widowControl w:val="0"/>
        <w:adjustRightInd w:val="0"/>
        <w:snapToGrid w:val="0"/>
        <w:spacing w:line="360" w:lineRule="auto"/>
        <w:ind w:firstLine="537" w:firstLineChars="224"/>
        <w:rPr>
          <w:rFonts w:ascii="宋体" w:hAnsi="宋体" w:cs="宋体"/>
        </w:rPr>
      </w:pPr>
      <w:r>
        <w:rPr>
          <w:rFonts w:hint="eastAsia" w:ascii="宋体" w:hAnsi="宋体" w:cs="宋体"/>
        </w:rPr>
        <w:t xml:space="preserve">（3）投标人可拒绝接受延期要求。同意延长有效期的投标人不能修改投标文件。 </w:t>
      </w:r>
    </w:p>
    <w:p>
      <w:pPr>
        <w:widowControl w:val="0"/>
        <w:adjustRightInd w:val="0"/>
        <w:snapToGrid w:val="0"/>
        <w:spacing w:line="360" w:lineRule="auto"/>
        <w:ind w:firstLine="537" w:firstLineChars="224"/>
        <w:rPr>
          <w:rFonts w:ascii="宋体" w:hAnsi="宋体" w:cs="宋体"/>
        </w:rPr>
      </w:pPr>
      <w:r>
        <w:rPr>
          <w:rFonts w:hint="eastAsia" w:ascii="宋体" w:hAnsi="宋体" w:cs="宋体"/>
        </w:rPr>
        <w:t>（4）中标人的投标文件自开标之日起至合同履行完毕止均应保持有效。</w:t>
      </w:r>
    </w:p>
    <w:p>
      <w:pPr>
        <w:widowControl w:val="0"/>
        <w:adjustRightInd w:val="0"/>
        <w:snapToGrid w:val="0"/>
        <w:spacing w:line="360" w:lineRule="auto"/>
        <w:ind w:firstLine="540" w:firstLineChars="224"/>
        <w:rPr>
          <w:rFonts w:ascii="宋体" w:hAnsi="宋体" w:cs="宋体"/>
          <w:b/>
        </w:rPr>
      </w:pPr>
      <w:r>
        <w:rPr>
          <w:rFonts w:hint="eastAsia" w:ascii="宋体" w:hAnsi="宋体" w:cs="宋体"/>
          <w:b/>
        </w:rPr>
        <w:t>四、投标文件的密封和标记</w:t>
      </w:r>
    </w:p>
    <w:p>
      <w:pPr>
        <w:widowControl w:val="0"/>
        <w:adjustRightInd w:val="0"/>
        <w:snapToGrid w:val="0"/>
        <w:spacing w:line="360" w:lineRule="auto"/>
        <w:ind w:firstLine="540" w:firstLineChars="224"/>
        <w:rPr>
          <w:rFonts w:ascii="宋体" w:hAnsi="宋体" w:cs="宋体"/>
          <w:b/>
        </w:rPr>
      </w:pPr>
      <w:r>
        <w:rPr>
          <w:rFonts w:hint="eastAsia" w:ascii="宋体" w:hAnsi="宋体" w:cs="宋体"/>
          <w:b/>
        </w:rPr>
        <w:t>1、投标人递交的投标文件包括单独密封包装的技术标书正本1份副本4份，单独密封包装的价格标书正本1份副本4份（正本与副本允许合并密封）。密封包装上须标记“</w:t>
      </w:r>
      <w:r>
        <w:rPr>
          <w:rFonts w:hint="eastAsia" w:ascii="宋体" w:hAnsi="宋体" w:cs="宋体"/>
          <w:b/>
          <w:i/>
          <w:u w:val="single"/>
        </w:rPr>
        <w:t>投标文件名称（技术或价格）、项目名称、项目编号、标段序号（如有）、投标人名称（加盖公章）、法定代表人或授权代表签字（或盖章）</w:t>
      </w:r>
      <w:r>
        <w:rPr>
          <w:rFonts w:hint="eastAsia" w:ascii="宋体" w:hAnsi="宋体" w:cs="宋体"/>
          <w:b/>
        </w:rPr>
        <w:t>”</w:t>
      </w:r>
      <w:r>
        <w:rPr>
          <w:rFonts w:hint="eastAsia" w:ascii="宋体" w:hAnsi="宋体" w:cs="宋体"/>
          <w:b/>
          <w:i/>
          <w:u w:val="single"/>
        </w:rPr>
        <w:t>及</w:t>
      </w:r>
      <w:r>
        <w:rPr>
          <w:rFonts w:hint="eastAsia" w:ascii="宋体" w:hAnsi="宋体" w:cs="宋体"/>
          <w:b/>
        </w:rPr>
        <w:t>“</w:t>
      </w:r>
      <w:r>
        <w:rPr>
          <w:rFonts w:hint="eastAsia" w:ascii="宋体" w:hAnsi="宋体" w:cs="宋体"/>
          <w:b/>
          <w:u w:val="single"/>
        </w:rPr>
        <w:t>于XXXX年XX月XX日XX:XX时之前</w:t>
      </w:r>
      <w:r>
        <w:rPr>
          <w:rFonts w:hint="eastAsia" w:ascii="宋体" w:hAnsi="宋体" w:cs="宋体"/>
          <w:b/>
        </w:rPr>
        <w:t>（指招标文件中规定的开标日期及时间）不准启封”</w:t>
      </w:r>
      <w:r>
        <w:rPr>
          <w:rFonts w:hint="eastAsia" w:ascii="宋体" w:hAnsi="宋体" w:cs="宋体"/>
          <w:b/>
          <w:i/>
          <w:u w:val="single"/>
        </w:rPr>
        <w:t>字样</w:t>
      </w:r>
      <w:r>
        <w:rPr>
          <w:rFonts w:hint="eastAsia" w:ascii="宋体" w:hAnsi="宋体" w:cs="宋体"/>
          <w:b/>
        </w:rPr>
        <w:t>。</w:t>
      </w:r>
    </w:p>
    <w:p>
      <w:pPr>
        <w:widowControl w:val="0"/>
        <w:adjustRightInd w:val="0"/>
        <w:snapToGrid w:val="0"/>
        <w:spacing w:line="360" w:lineRule="auto"/>
        <w:ind w:firstLine="537" w:firstLineChars="224"/>
        <w:rPr>
          <w:rFonts w:ascii="宋体" w:hAnsi="宋体" w:cs="宋体"/>
        </w:rPr>
      </w:pPr>
      <w:r>
        <w:rPr>
          <w:rFonts w:hint="eastAsia" w:ascii="宋体" w:hAnsi="宋体" w:cs="宋体"/>
        </w:rPr>
        <w:t>2、投标文件的封面须加盖单位公章并注明“正本”、“副本”字样，正本需打印或用不褪色的墨水填写，投标文件的副本可复印。正本和副本如有不一致之处，以正本为准。</w:t>
      </w:r>
    </w:p>
    <w:p>
      <w:pPr>
        <w:widowControl w:val="0"/>
        <w:adjustRightInd w:val="0"/>
        <w:snapToGrid w:val="0"/>
        <w:spacing w:line="360" w:lineRule="auto"/>
        <w:ind w:firstLine="537" w:firstLineChars="224"/>
        <w:rPr>
          <w:rFonts w:ascii="宋体" w:hAnsi="宋体" w:cs="宋体"/>
        </w:rPr>
      </w:pPr>
      <w:r>
        <w:rPr>
          <w:rFonts w:hint="eastAsia" w:ascii="宋体" w:hAnsi="宋体" w:cs="宋体"/>
        </w:rPr>
        <w:t>3、未按规定密封或逾期送达的投标文件将被拒绝，由此造成投标文件被误投或提前拆封的风险由投标人承担。</w:t>
      </w:r>
    </w:p>
    <w:p>
      <w:pPr>
        <w:widowControl w:val="0"/>
        <w:adjustRightInd w:val="0"/>
        <w:snapToGrid w:val="0"/>
        <w:spacing w:line="360" w:lineRule="auto"/>
        <w:ind w:firstLine="537" w:firstLineChars="224"/>
        <w:rPr>
          <w:rFonts w:ascii="宋体" w:hAnsi="宋体" w:cs="宋体"/>
        </w:rPr>
      </w:pPr>
      <w:r>
        <w:rPr>
          <w:rFonts w:hint="eastAsia" w:ascii="宋体" w:hAnsi="宋体" w:cs="宋体"/>
        </w:rPr>
        <w:t>4、相关原件（如有）在投标文件递交截止时间前递交，逾期将不予接收（原件放置在档案袋中，可不用密封）。</w:t>
      </w:r>
    </w:p>
    <w:p>
      <w:pPr>
        <w:pStyle w:val="22"/>
        <w:widowControl w:val="0"/>
        <w:adjustRightInd w:val="0"/>
        <w:snapToGrid w:val="0"/>
        <w:spacing w:before="0" w:beforeAutospacing="0" w:after="0" w:afterAutospacing="0" w:line="360" w:lineRule="auto"/>
        <w:ind w:firstLine="540" w:firstLineChars="224"/>
        <w:rPr>
          <w:rFonts w:cs="宋体"/>
          <w:b/>
        </w:rPr>
      </w:pPr>
      <w:r>
        <w:rPr>
          <w:rFonts w:hint="eastAsia" w:cs="宋体"/>
          <w:b/>
        </w:rPr>
        <w:t>五、投标文件的签署和装订</w:t>
      </w:r>
    </w:p>
    <w:p>
      <w:pPr>
        <w:widowControl w:val="0"/>
        <w:adjustRightInd w:val="0"/>
        <w:snapToGrid w:val="0"/>
        <w:spacing w:line="360" w:lineRule="auto"/>
        <w:ind w:firstLine="537" w:firstLineChars="224"/>
        <w:rPr>
          <w:rFonts w:ascii="宋体" w:hAnsi="宋体" w:cs="宋体"/>
        </w:rPr>
      </w:pPr>
      <w:r>
        <w:rPr>
          <w:rFonts w:hint="eastAsia" w:ascii="宋体" w:hAnsi="宋体" w:cs="宋体"/>
        </w:rPr>
        <w:t>1、投标文件的任何一页都不应涂改、插字或删除。如出现上述情况，无论何种原因造成都应加盖单位公章或者法定代表人或授权代表签字或盖章。投标文件因字迹潦草或表达不清所引起的后果由投标人负责。</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2、投标人在投标截止时间之前，可以对已提交的投标文件进行修改或撤回，并书面通知采购人或者采购代理机构；投标截止时间后，投标人不得撤回、修改投标文件。修改后重新递交的投标文件应当按本招标文件的要求签署、盖章和密封后，作为投标文件的组成部分。</w:t>
      </w:r>
    </w:p>
    <w:p>
      <w:pPr>
        <w:pStyle w:val="22"/>
        <w:widowControl w:val="0"/>
        <w:adjustRightInd w:val="0"/>
        <w:snapToGrid w:val="0"/>
        <w:spacing w:before="0" w:beforeAutospacing="0" w:after="0" w:afterAutospacing="0" w:line="360" w:lineRule="auto"/>
        <w:ind w:firstLine="537" w:firstLineChars="224"/>
        <w:rPr>
          <w:rFonts w:cs="宋体"/>
          <w:b/>
        </w:rPr>
      </w:pPr>
      <w:r>
        <w:rPr>
          <w:rFonts w:hint="eastAsia" w:cs="宋体"/>
        </w:rPr>
        <w:t>3、</w:t>
      </w:r>
      <w:r>
        <w:rPr>
          <w:rFonts w:hint="eastAsia" w:cs="宋体"/>
          <w:b/>
        </w:rPr>
        <w:t>所有投标文件均推荐使用胶装订本，包括价格标书，技术标书。</w:t>
      </w:r>
    </w:p>
    <w:p>
      <w:pPr>
        <w:pStyle w:val="22"/>
        <w:widowControl w:val="0"/>
        <w:adjustRightInd w:val="0"/>
        <w:snapToGrid w:val="0"/>
        <w:spacing w:before="0" w:beforeAutospacing="0" w:after="0" w:afterAutospacing="0" w:line="360" w:lineRule="auto"/>
        <w:ind w:firstLine="540" w:firstLineChars="224"/>
        <w:rPr>
          <w:rFonts w:cs="宋体"/>
          <w:b/>
        </w:rPr>
      </w:pPr>
      <w:r>
        <w:rPr>
          <w:rFonts w:hint="eastAsia" w:cs="宋体"/>
          <w:b/>
        </w:rPr>
        <w:t>六、递交投标文件的地点和截止时间</w:t>
      </w:r>
    </w:p>
    <w:p>
      <w:pPr>
        <w:pStyle w:val="22"/>
        <w:widowControl w:val="0"/>
        <w:adjustRightInd w:val="0"/>
        <w:snapToGrid w:val="0"/>
        <w:spacing w:before="0" w:beforeAutospacing="0" w:after="0" w:afterAutospacing="0" w:line="360" w:lineRule="auto"/>
        <w:ind w:firstLine="537" w:firstLineChars="224"/>
        <w:jc w:val="both"/>
        <w:rPr>
          <w:rFonts w:cs="宋体"/>
        </w:rPr>
      </w:pPr>
      <w:r>
        <w:rPr>
          <w:rFonts w:hint="eastAsia" w:cs="宋体"/>
        </w:rPr>
        <w:t>1、开标地点即为投标文件的递交地点，代理机构在开标前30分钟接收投标文件。</w:t>
      </w:r>
    </w:p>
    <w:p>
      <w:pPr>
        <w:pStyle w:val="22"/>
        <w:widowControl w:val="0"/>
        <w:adjustRightInd w:val="0"/>
        <w:snapToGrid w:val="0"/>
        <w:spacing w:before="0" w:beforeAutospacing="0" w:after="0" w:afterAutospacing="0" w:line="360" w:lineRule="auto"/>
        <w:ind w:firstLine="537" w:firstLineChars="224"/>
        <w:jc w:val="both"/>
        <w:rPr>
          <w:rFonts w:cs="宋体"/>
        </w:rPr>
      </w:pPr>
      <w:r>
        <w:rPr>
          <w:rFonts w:hint="eastAsia" w:cs="宋体"/>
        </w:rPr>
        <w:t>2、开标时间即为投标截止时间，代理机构将拒绝在投标截止时间后递交的投标文件。</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3、电报、电话、传真形式的投标概不接受。</w:t>
      </w:r>
    </w:p>
    <w:p>
      <w:pPr>
        <w:pStyle w:val="22"/>
        <w:widowControl w:val="0"/>
        <w:adjustRightInd w:val="0"/>
        <w:snapToGrid w:val="0"/>
        <w:spacing w:before="0" w:beforeAutospacing="0" w:after="0" w:afterAutospacing="0" w:line="360" w:lineRule="auto"/>
        <w:ind w:firstLine="540" w:firstLineChars="224"/>
        <w:rPr>
          <w:rFonts w:cs="宋体"/>
          <w:b/>
        </w:rPr>
      </w:pPr>
      <w:r>
        <w:rPr>
          <w:rFonts w:hint="eastAsia" w:cs="宋体"/>
          <w:b/>
        </w:rPr>
        <w:t>七、投标无效的情形</w:t>
      </w:r>
    </w:p>
    <w:p>
      <w:pPr>
        <w:snapToGrid w:val="0"/>
        <w:spacing w:line="360" w:lineRule="auto"/>
        <w:ind w:firstLine="480" w:firstLineChars="200"/>
        <w:rPr>
          <w:rFonts w:ascii="宋体" w:hAnsi="宋体" w:cs="宋体"/>
        </w:rPr>
      </w:pPr>
      <w:r>
        <w:rPr>
          <w:rFonts w:hint="eastAsia" w:ascii="宋体" w:hAnsi="宋体" w:cs="宋体"/>
        </w:rPr>
        <w:t>实质上没有响应招标文件要求的投标将被视为无效投标。投标人不得通过修正或撤销不合要求的偏离从而使其投标成为实质上响应的投标，但经评标委员会认定属于投标人疏忽、笔误所造成的差错，应当允许其在评标结束之前进行修改或者补正（可以是加盖公章的复印件、传真件等）。</w:t>
      </w:r>
    </w:p>
    <w:p>
      <w:pPr>
        <w:pStyle w:val="3"/>
        <w:snapToGrid w:val="0"/>
        <w:spacing w:line="360" w:lineRule="auto"/>
        <w:ind w:leftChars="175"/>
        <w:rPr>
          <w:rFonts w:ascii="宋体" w:hAnsi="宋体" w:cs="宋体"/>
        </w:rPr>
      </w:pPr>
      <w:r>
        <w:rPr>
          <w:rFonts w:hint="eastAsia" w:ascii="宋体" w:hAnsi="宋体" w:cs="宋体"/>
        </w:rPr>
        <w:t>1、在符合性审查时，如发现下列情形之一的，投标文件将被视为无效：</w:t>
      </w:r>
    </w:p>
    <w:p>
      <w:pPr>
        <w:pStyle w:val="3"/>
        <w:snapToGrid w:val="0"/>
        <w:spacing w:line="360" w:lineRule="auto"/>
        <w:ind w:left="480" w:firstLine="470" w:firstLineChars="196"/>
        <w:rPr>
          <w:rFonts w:ascii="宋体" w:hAnsi="宋体" w:cs="宋体"/>
        </w:rPr>
      </w:pPr>
      <w:r>
        <w:rPr>
          <w:rFonts w:hint="eastAsia" w:ascii="宋体" w:hAnsi="宋体" w:cs="宋体"/>
        </w:rPr>
        <w:t>（1）资格审查文件不齐全的，或者不符合招标文件标明的资格要求的；</w:t>
      </w:r>
    </w:p>
    <w:p>
      <w:pPr>
        <w:pStyle w:val="3"/>
        <w:snapToGrid w:val="0"/>
        <w:spacing w:line="360" w:lineRule="auto"/>
        <w:ind w:left="480" w:firstLine="470" w:firstLineChars="196"/>
        <w:rPr>
          <w:rFonts w:ascii="宋体" w:hAnsi="宋体" w:cs="宋体"/>
        </w:rPr>
      </w:pPr>
      <w:r>
        <w:rPr>
          <w:rFonts w:hint="eastAsia" w:ascii="宋体" w:hAnsi="宋体" w:cs="宋体"/>
        </w:rPr>
        <w:t>（2）投标人被列入失信被执行人、重大税收违法案件当事人名单、政府采购严重违法失信行为记录名单或浙江政府采购网曝光台中尚在行政处罚期内的；</w:t>
      </w:r>
    </w:p>
    <w:p>
      <w:pPr>
        <w:pStyle w:val="3"/>
        <w:snapToGrid w:val="0"/>
        <w:spacing w:line="360" w:lineRule="auto"/>
        <w:ind w:left="480" w:firstLine="470" w:firstLineChars="196"/>
        <w:rPr>
          <w:rFonts w:ascii="宋体" w:hAnsi="宋体" w:cs="宋体"/>
        </w:rPr>
      </w:pPr>
      <w:r>
        <w:rPr>
          <w:rFonts w:hint="eastAsia" w:ascii="宋体" w:hAnsi="宋体" w:cs="宋体"/>
        </w:rPr>
        <w:t>（3）根据招标文件要求，投标文件中应签字盖章而未签字盖章的；</w:t>
      </w:r>
    </w:p>
    <w:p>
      <w:pPr>
        <w:pStyle w:val="3"/>
        <w:snapToGrid w:val="0"/>
        <w:spacing w:line="360" w:lineRule="auto"/>
        <w:ind w:left="480" w:firstLine="470" w:firstLineChars="196"/>
        <w:rPr>
          <w:rFonts w:ascii="宋体" w:hAnsi="宋体" w:cs="宋体"/>
        </w:rPr>
      </w:pPr>
      <w:r>
        <w:rPr>
          <w:rFonts w:hint="eastAsia" w:ascii="宋体" w:hAnsi="宋体" w:cs="宋体"/>
        </w:rPr>
        <w:t>（4）投标文件未按招标文件要求密封和标记的；</w:t>
      </w:r>
    </w:p>
    <w:p>
      <w:pPr>
        <w:pStyle w:val="3"/>
        <w:snapToGrid w:val="0"/>
        <w:spacing w:line="360" w:lineRule="auto"/>
        <w:ind w:left="480" w:firstLine="470" w:firstLineChars="196"/>
        <w:rPr>
          <w:rFonts w:ascii="宋体" w:hAnsi="宋体" w:cs="宋体"/>
        </w:rPr>
      </w:pPr>
      <w:r>
        <w:rPr>
          <w:rFonts w:hint="eastAsia" w:ascii="宋体" w:hAnsi="宋体" w:cs="宋体"/>
        </w:rPr>
        <w:t>（5）投标文件正副本数量不足的；</w:t>
      </w:r>
    </w:p>
    <w:p>
      <w:pPr>
        <w:pStyle w:val="3"/>
        <w:snapToGrid w:val="0"/>
        <w:spacing w:line="360" w:lineRule="auto"/>
        <w:ind w:left="480" w:firstLine="470" w:firstLineChars="196"/>
        <w:rPr>
          <w:rFonts w:ascii="宋体" w:hAnsi="宋体" w:cs="宋体"/>
        </w:rPr>
      </w:pPr>
      <w:r>
        <w:rPr>
          <w:rFonts w:hint="eastAsia" w:ascii="宋体" w:hAnsi="宋体" w:cs="宋体"/>
        </w:rPr>
        <w:t>（6）不符合法律、法规规定的其他要求的。</w:t>
      </w:r>
    </w:p>
    <w:p>
      <w:pPr>
        <w:pStyle w:val="3"/>
        <w:snapToGrid w:val="0"/>
        <w:spacing w:line="360" w:lineRule="auto"/>
        <w:ind w:leftChars="175"/>
        <w:rPr>
          <w:rFonts w:ascii="宋体" w:hAnsi="宋体" w:cs="宋体"/>
        </w:rPr>
      </w:pPr>
      <w:r>
        <w:rPr>
          <w:rFonts w:hint="eastAsia" w:ascii="宋体" w:hAnsi="宋体" w:cs="宋体"/>
        </w:rPr>
        <w:t>2、在技术评审时，如发现下列情形之一的，投标文件将被视为无效：</w:t>
      </w:r>
    </w:p>
    <w:p>
      <w:pPr>
        <w:pStyle w:val="3"/>
        <w:snapToGrid w:val="0"/>
        <w:spacing w:line="360" w:lineRule="auto"/>
        <w:ind w:left="480" w:firstLine="470" w:firstLineChars="196"/>
        <w:rPr>
          <w:rFonts w:ascii="宋体" w:hAnsi="宋体" w:cs="宋体"/>
        </w:rPr>
      </w:pPr>
      <w:r>
        <w:rPr>
          <w:rFonts w:hint="eastAsia" w:ascii="宋体" w:hAnsi="宋体" w:cs="宋体"/>
        </w:rPr>
        <w:t>（1）未提供或未如实提供投标货物的技术参数，或者投标文件标明的响应或偏离与事实不符或虚假投标的；</w:t>
      </w:r>
    </w:p>
    <w:p>
      <w:pPr>
        <w:pStyle w:val="3"/>
        <w:snapToGrid w:val="0"/>
        <w:spacing w:line="360" w:lineRule="auto"/>
        <w:ind w:left="480" w:firstLine="470" w:firstLineChars="196"/>
        <w:rPr>
          <w:rFonts w:ascii="宋体" w:hAnsi="宋体" w:cs="宋体"/>
        </w:rPr>
      </w:pPr>
      <w:r>
        <w:rPr>
          <w:rFonts w:hint="eastAsia" w:ascii="宋体" w:hAnsi="宋体" w:cs="宋体"/>
        </w:rPr>
        <w:t>（2）明显不符合招标文件要求的规格型号、质量标准，或者与招标文件中标“★”的技术指标、主要功能项目发生实质性偏离的；</w:t>
      </w:r>
    </w:p>
    <w:p>
      <w:pPr>
        <w:pStyle w:val="3"/>
        <w:snapToGrid w:val="0"/>
        <w:spacing w:line="360" w:lineRule="auto"/>
        <w:ind w:left="480" w:firstLine="470" w:firstLineChars="196"/>
        <w:rPr>
          <w:rFonts w:ascii="宋体" w:hAnsi="宋体" w:cs="宋体"/>
        </w:rPr>
      </w:pPr>
      <w:r>
        <w:rPr>
          <w:rFonts w:hint="eastAsia" w:ascii="宋体" w:hAnsi="宋体" w:cs="宋体"/>
        </w:rPr>
        <w:t>（3）允许偏离的技术、性能指标或者辅助功能项目发生负偏离与招标文件的要求存在差异并严重影响项目实施的，经评标委员会集体（少数服从多数原则）认定确属的；</w:t>
      </w:r>
    </w:p>
    <w:p>
      <w:pPr>
        <w:pStyle w:val="3"/>
        <w:snapToGrid w:val="0"/>
        <w:spacing w:line="360" w:lineRule="auto"/>
        <w:ind w:left="480" w:firstLine="470" w:firstLineChars="196"/>
        <w:rPr>
          <w:rFonts w:ascii="宋体" w:hAnsi="宋体" w:cs="宋体"/>
        </w:rPr>
      </w:pPr>
      <w:r>
        <w:rPr>
          <w:rFonts w:hint="eastAsia" w:ascii="宋体" w:hAnsi="宋体" w:cs="宋体"/>
        </w:rPr>
        <w:t>（4）投标技术方案不明确，存在一个或一个以上备选（替代）投标方案的；</w:t>
      </w:r>
    </w:p>
    <w:p>
      <w:pPr>
        <w:pStyle w:val="3"/>
        <w:snapToGrid w:val="0"/>
        <w:spacing w:line="360" w:lineRule="auto"/>
        <w:ind w:left="480" w:firstLine="470" w:firstLineChars="196"/>
        <w:rPr>
          <w:rFonts w:ascii="宋体" w:hAnsi="宋体" w:cs="宋体"/>
        </w:rPr>
      </w:pPr>
      <w:r>
        <w:rPr>
          <w:rFonts w:hint="eastAsia" w:ascii="宋体" w:hAnsi="宋体" w:cs="宋体"/>
        </w:rPr>
        <w:t>（5）投标文件的实质性内容未使用中文表述、意思表述不明确、前后矛盾或者使用计量单位不符合招标文件要求的（经评标委员会认定并允许其当场更正的笔误除外）；</w:t>
      </w:r>
    </w:p>
    <w:p>
      <w:pPr>
        <w:pStyle w:val="3"/>
        <w:snapToGrid w:val="0"/>
        <w:spacing w:line="360" w:lineRule="auto"/>
        <w:ind w:left="480" w:firstLine="470" w:firstLineChars="196"/>
        <w:rPr>
          <w:rFonts w:ascii="宋体" w:hAnsi="宋体" w:cs="宋体"/>
        </w:rPr>
      </w:pPr>
      <w:r>
        <w:rPr>
          <w:rFonts w:hint="eastAsia" w:ascii="宋体" w:hAnsi="宋体" w:cs="宋体"/>
        </w:rPr>
        <w:t>（6）未实质性响应招标文件中“★”条款的；</w:t>
      </w:r>
    </w:p>
    <w:p>
      <w:pPr>
        <w:pStyle w:val="3"/>
        <w:snapToGrid w:val="0"/>
        <w:spacing w:line="360" w:lineRule="auto"/>
        <w:ind w:left="480" w:firstLine="470" w:firstLineChars="196"/>
        <w:rPr>
          <w:rFonts w:ascii="宋体" w:hAnsi="宋体" w:cs="宋体"/>
        </w:rPr>
      </w:pPr>
      <w:r>
        <w:rPr>
          <w:rFonts w:hint="eastAsia" w:ascii="宋体" w:hAnsi="宋体" w:cs="宋体"/>
        </w:rPr>
        <w:t>（7）投标文件有采购人不能接受的附加条件的；</w:t>
      </w:r>
    </w:p>
    <w:p>
      <w:pPr>
        <w:pStyle w:val="3"/>
        <w:snapToGrid w:val="0"/>
        <w:spacing w:line="360" w:lineRule="auto"/>
        <w:ind w:left="480"/>
        <w:rPr>
          <w:rFonts w:ascii="宋体" w:hAnsi="宋体" w:cs="宋体"/>
        </w:rPr>
      </w:pPr>
      <w:r>
        <w:rPr>
          <w:rFonts w:hint="eastAsia" w:ascii="宋体" w:hAnsi="宋体" w:cs="宋体"/>
        </w:rPr>
        <w:t>（8）与其他参加本次投标供应商的投标文件（技术文件）的文字表述内容相同连续20行以上或者差错相同2处以上的；</w:t>
      </w:r>
    </w:p>
    <w:p>
      <w:pPr>
        <w:pStyle w:val="3"/>
        <w:snapToGrid w:val="0"/>
        <w:spacing w:line="360" w:lineRule="auto"/>
        <w:ind w:left="480" w:firstLine="470" w:firstLineChars="196"/>
        <w:rPr>
          <w:rFonts w:ascii="宋体" w:hAnsi="宋体" w:cs="宋体"/>
        </w:rPr>
      </w:pPr>
      <w:r>
        <w:rPr>
          <w:rFonts w:hint="eastAsia" w:ascii="宋体" w:hAnsi="宋体" w:cs="宋体"/>
        </w:rPr>
        <w:t>（9）投标文件的技术标书中含有本次投标报价内容的；</w:t>
      </w:r>
    </w:p>
    <w:p>
      <w:pPr>
        <w:pStyle w:val="3"/>
        <w:snapToGrid w:val="0"/>
        <w:spacing w:line="360" w:lineRule="auto"/>
        <w:ind w:left="480" w:firstLine="470" w:firstLineChars="196"/>
        <w:rPr>
          <w:rFonts w:ascii="宋体" w:hAnsi="宋体" w:cs="宋体"/>
        </w:rPr>
      </w:pPr>
      <w:r>
        <w:rPr>
          <w:rFonts w:hint="eastAsia" w:ascii="宋体" w:hAnsi="宋体" w:cs="宋体"/>
        </w:rPr>
        <w:t>（10）不符合法律、法规规定的其他要求的。</w:t>
      </w:r>
    </w:p>
    <w:p>
      <w:pPr>
        <w:pStyle w:val="3"/>
        <w:snapToGrid w:val="0"/>
        <w:spacing w:line="360" w:lineRule="auto"/>
        <w:ind w:leftChars="175"/>
        <w:rPr>
          <w:rFonts w:ascii="宋体" w:hAnsi="宋体" w:cs="宋体"/>
        </w:rPr>
      </w:pPr>
      <w:r>
        <w:rPr>
          <w:rFonts w:hint="eastAsia" w:ascii="宋体" w:hAnsi="宋体" w:cs="宋体"/>
        </w:rPr>
        <w:t>3、在价格评审时，如发现下列情形之一的，投标文件将被视为无效：</w:t>
      </w:r>
    </w:p>
    <w:p>
      <w:pPr>
        <w:pStyle w:val="3"/>
        <w:snapToGrid w:val="0"/>
        <w:spacing w:line="360" w:lineRule="auto"/>
        <w:ind w:left="480" w:firstLine="470" w:firstLineChars="196"/>
        <w:rPr>
          <w:rFonts w:ascii="宋体" w:hAnsi="宋体" w:cs="宋体"/>
        </w:rPr>
      </w:pPr>
      <w:r>
        <w:rPr>
          <w:rFonts w:hint="eastAsia" w:ascii="宋体" w:hAnsi="宋体" w:cs="宋体"/>
        </w:rPr>
        <w:t>（1）未按照招标文件标明报价口径报价的；</w:t>
      </w:r>
    </w:p>
    <w:p>
      <w:pPr>
        <w:pStyle w:val="3"/>
        <w:snapToGrid w:val="0"/>
        <w:spacing w:line="360" w:lineRule="auto"/>
        <w:ind w:left="480" w:firstLine="470" w:firstLineChars="196"/>
        <w:rPr>
          <w:rFonts w:ascii="宋体" w:hAnsi="宋体" w:cs="宋体"/>
        </w:rPr>
      </w:pPr>
      <w:r>
        <w:rPr>
          <w:rFonts w:hint="eastAsia" w:ascii="宋体" w:hAnsi="宋体" w:cs="宋体"/>
        </w:rPr>
        <w:t>（2）报价超出最高限价，或者超出采购预算金额，采购人不能支付的；</w:t>
      </w:r>
    </w:p>
    <w:p>
      <w:pPr>
        <w:pStyle w:val="3"/>
        <w:snapToGrid w:val="0"/>
        <w:spacing w:line="360" w:lineRule="auto"/>
        <w:ind w:left="480"/>
        <w:rPr>
          <w:rFonts w:ascii="宋体" w:hAnsi="宋体" w:cs="宋体"/>
        </w:rPr>
      </w:pPr>
      <w:r>
        <w:rPr>
          <w:rFonts w:hint="eastAsia" w:ascii="宋体" w:hAnsi="宋体" w:cs="宋体"/>
        </w:rPr>
        <w:t>（3）投标报价具有选择性，投标人在一套投标文件中对同一项目有二个或多个报价，且未声明哪个有效的；</w:t>
      </w:r>
    </w:p>
    <w:p>
      <w:pPr>
        <w:pStyle w:val="3"/>
        <w:snapToGrid w:val="0"/>
        <w:spacing w:line="360" w:lineRule="auto"/>
        <w:ind w:left="480"/>
        <w:rPr>
          <w:rFonts w:ascii="宋体" w:hAnsi="宋体" w:cs="宋体"/>
        </w:rPr>
      </w:pPr>
      <w:r>
        <w:rPr>
          <w:rFonts w:hint="eastAsia" w:ascii="宋体" w:hAnsi="宋体" w:cs="宋体"/>
        </w:rPr>
        <w:t>（4）投标报价明细表总额与开标一览表总价不一致，</w:t>
      </w:r>
      <w:r>
        <w:rPr>
          <w:rFonts w:hint="eastAsia" w:ascii="宋体" w:hAnsi="宋体" w:cs="宋体"/>
          <w:lang w:val="zh-CN"/>
        </w:rPr>
        <w:t>投标人拒绝修正的</w:t>
      </w:r>
      <w:r>
        <w:rPr>
          <w:rFonts w:hint="eastAsia" w:ascii="宋体" w:hAnsi="宋体" w:cs="宋体"/>
        </w:rPr>
        <w:t>；</w:t>
      </w:r>
    </w:p>
    <w:p>
      <w:pPr>
        <w:pStyle w:val="3"/>
        <w:snapToGrid w:val="0"/>
        <w:spacing w:line="360" w:lineRule="auto"/>
        <w:ind w:left="480"/>
        <w:rPr>
          <w:rFonts w:ascii="宋体" w:hAnsi="宋体" w:cs="宋体"/>
        </w:rPr>
      </w:pPr>
      <w:r>
        <w:rPr>
          <w:rFonts w:hint="eastAsia" w:ascii="宋体" w:hAnsi="宋体" w:cs="宋体"/>
        </w:rPr>
        <w:t xml:space="preserve">（5）不符合法律、法规规定的其他要求的。                                                                                                </w:t>
      </w:r>
    </w:p>
    <w:p>
      <w:pPr>
        <w:pStyle w:val="3"/>
        <w:snapToGrid w:val="0"/>
        <w:spacing w:line="360" w:lineRule="auto"/>
        <w:ind w:leftChars="175"/>
        <w:rPr>
          <w:rFonts w:ascii="宋体" w:hAnsi="宋体" w:cs="宋体"/>
        </w:rPr>
      </w:pPr>
      <w:r>
        <w:rPr>
          <w:rFonts w:hint="eastAsia" w:ascii="宋体" w:hAnsi="宋体" w:cs="宋体"/>
        </w:rPr>
        <w:t>4、被拒绝的投标文件为无效。</w:t>
      </w:r>
    </w:p>
    <w:p>
      <w:pPr>
        <w:pStyle w:val="22"/>
        <w:widowControl w:val="0"/>
        <w:adjustRightInd w:val="0"/>
        <w:snapToGrid w:val="0"/>
        <w:spacing w:before="0" w:beforeAutospacing="0" w:after="0" w:afterAutospacing="0" w:line="360" w:lineRule="auto"/>
        <w:ind w:firstLine="540" w:firstLineChars="224"/>
        <w:rPr>
          <w:rFonts w:cs="宋体"/>
          <w:b/>
        </w:rPr>
      </w:pPr>
      <w:r>
        <w:rPr>
          <w:rFonts w:hint="eastAsia" w:cs="宋体"/>
          <w:b/>
        </w:rPr>
        <w:t>八、评标组织</w:t>
      </w:r>
    </w:p>
    <w:p>
      <w:pPr>
        <w:pStyle w:val="22"/>
        <w:widowControl w:val="0"/>
        <w:snapToGrid w:val="0"/>
        <w:spacing w:before="0" w:beforeAutospacing="0" w:after="0" w:afterAutospacing="0" w:line="360" w:lineRule="auto"/>
        <w:ind w:firstLine="477" w:firstLineChars="199"/>
        <w:rPr>
          <w:rFonts w:cs="宋体"/>
        </w:rPr>
      </w:pPr>
      <w:r>
        <w:rPr>
          <w:rFonts w:hint="eastAsia" w:cs="宋体"/>
        </w:rPr>
        <w:t>1、采购人及代理机构将根据招标文件的要求，就技术服务承诺、报价等方面提交评标委员会进行评审。技术和价格相加得分数值最高的投标人，将取得中标资格。</w:t>
      </w:r>
    </w:p>
    <w:p>
      <w:pPr>
        <w:pStyle w:val="22"/>
        <w:widowControl w:val="0"/>
        <w:snapToGrid w:val="0"/>
        <w:spacing w:before="0" w:beforeAutospacing="0" w:after="0" w:afterAutospacing="0" w:line="360" w:lineRule="auto"/>
        <w:ind w:firstLine="477" w:firstLineChars="199"/>
        <w:rPr>
          <w:rFonts w:cs="宋体"/>
        </w:rPr>
      </w:pPr>
      <w:r>
        <w:rPr>
          <w:rFonts w:hint="eastAsia" w:cs="宋体"/>
        </w:rPr>
        <w:t>2、采购人和代理机构将根据本项目的特点依法组建评标委员会，评标委员会由采购人和有关技术、经济等方面五名或以上单数专家组成，其中技术、经济等方面的专家不少于成员总数的三分之二。专家统一在省级以上财政部门设立的政府采购评审专家库中随机抽取。</w:t>
      </w:r>
    </w:p>
    <w:p>
      <w:pPr>
        <w:pStyle w:val="22"/>
        <w:widowControl w:val="0"/>
        <w:adjustRightInd w:val="0"/>
        <w:snapToGrid w:val="0"/>
        <w:spacing w:before="0" w:beforeAutospacing="0" w:after="0" w:afterAutospacing="0" w:line="360" w:lineRule="auto"/>
        <w:ind w:firstLine="540" w:firstLineChars="224"/>
        <w:rPr>
          <w:rFonts w:cs="宋体"/>
          <w:b/>
        </w:rPr>
      </w:pPr>
      <w:r>
        <w:rPr>
          <w:rFonts w:hint="eastAsia" w:cs="宋体"/>
          <w:b/>
        </w:rPr>
        <w:t>九、确定中标人</w:t>
      </w:r>
    </w:p>
    <w:p>
      <w:pPr>
        <w:pStyle w:val="22"/>
        <w:widowControl w:val="0"/>
        <w:snapToGrid w:val="0"/>
        <w:spacing w:before="0" w:beforeAutospacing="0" w:after="0" w:afterAutospacing="0" w:line="360" w:lineRule="auto"/>
        <w:ind w:firstLine="477" w:firstLineChars="199"/>
        <w:rPr>
          <w:rFonts w:cs="宋体"/>
        </w:rPr>
      </w:pPr>
      <w:r>
        <w:rPr>
          <w:rFonts w:hint="eastAsia" w:cs="宋体"/>
        </w:rPr>
        <w:t>1、本项目由采购人（或采购人事先授权评标委员会）确定中标人。</w:t>
      </w:r>
    </w:p>
    <w:p>
      <w:pPr>
        <w:pStyle w:val="22"/>
        <w:widowControl w:val="0"/>
        <w:snapToGrid w:val="0"/>
        <w:spacing w:before="0" w:beforeAutospacing="0" w:after="0" w:afterAutospacing="0" w:line="360" w:lineRule="auto"/>
        <w:ind w:firstLine="477" w:firstLineChars="199"/>
        <w:rPr>
          <w:rFonts w:cs="宋体"/>
        </w:rPr>
      </w:pPr>
      <w:r>
        <w:rPr>
          <w:rFonts w:hint="eastAsia" w:cs="宋体"/>
        </w:rPr>
        <w:t>2、评标委员会将根据综合评分的情况，推荐得分高者为中标人。如出现总得分相同的情况时，则以价格低者为中标人；如出现总得分与报价得分均相同时，则以价格低者为中标人；如出现三者得分均相同，则采取抽签方式确定。</w:t>
      </w:r>
    </w:p>
    <w:p>
      <w:pPr>
        <w:pStyle w:val="22"/>
        <w:widowControl w:val="0"/>
        <w:snapToGrid w:val="0"/>
        <w:spacing w:before="0" w:beforeAutospacing="0" w:after="0" w:afterAutospacing="0" w:line="360" w:lineRule="auto"/>
        <w:ind w:firstLine="477" w:firstLineChars="199"/>
        <w:rPr>
          <w:rFonts w:cs="宋体"/>
        </w:rPr>
      </w:pPr>
      <w:r>
        <w:rPr>
          <w:rFonts w:hint="eastAsia" w:cs="宋体"/>
        </w:rPr>
        <w:t>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22"/>
        <w:widowControl w:val="0"/>
        <w:snapToGrid w:val="0"/>
        <w:spacing w:before="0" w:beforeAutospacing="0" w:after="0" w:afterAutospacing="0" w:line="360" w:lineRule="auto"/>
        <w:ind w:firstLine="477" w:firstLineChars="199"/>
        <w:rPr>
          <w:rFonts w:cs="宋体"/>
        </w:rPr>
      </w:pPr>
      <w:r>
        <w:rPr>
          <w:rFonts w:hint="eastAsia" w:cs="宋体"/>
        </w:rPr>
        <w:t>4、采购人依法确定中标人后2个工作日内，采购代理机构在相关网站上发布中标公告，同时以书面形式发出《中标通知书》。</w:t>
      </w:r>
    </w:p>
    <w:p>
      <w:pPr>
        <w:pStyle w:val="22"/>
        <w:widowControl w:val="0"/>
        <w:adjustRightInd w:val="0"/>
        <w:snapToGrid w:val="0"/>
        <w:spacing w:before="0" w:beforeAutospacing="0" w:after="0" w:afterAutospacing="0" w:line="360" w:lineRule="auto"/>
        <w:ind w:firstLine="540" w:firstLineChars="224"/>
        <w:rPr>
          <w:rFonts w:cs="宋体"/>
          <w:b/>
        </w:rPr>
      </w:pPr>
      <w:r>
        <w:rPr>
          <w:rFonts w:hint="eastAsia" w:cs="宋体"/>
          <w:b/>
        </w:rPr>
        <w:t>十、授予合同</w:t>
      </w:r>
    </w:p>
    <w:p>
      <w:pPr>
        <w:pStyle w:val="22"/>
        <w:widowControl w:val="0"/>
        <w:adjustRightInd w:val="0"/>
        <w:snapToGrid w:val="0"/>
        <w:spacing w:before="0" w:beforeAutospacing="0" w:after="0" w:afterAutospacing="0" w:line="360" w:lineRule="auto"/>
        <w:ind w:firstLine="537" w:firstLineChars="224"/>
        <w:rPr>
          <w:rFonts w:cs="宋体"/>
          <w:b/>
        </w:rPr>
      </w:pPr>
      <w:r>
        <w:rPr>
          <w:rFonts w:hint="eastAsia" w:cs="宋体"/>
        </w:rPr>
        <w:t>1、中标通知书</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（1）采购人依法确定中标人后2个工作日内，采购代理机构以书面形式发出《中标通知书》。</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（2）《中标通知书》一经发出即产生法律效力，采购人改变中标结果或中标人放弃中标资格的，应当依法承担法律责任。</w:t>
      </w:r>
    </w:p>
    <w:p>
      <w:pPr>
        <w:pStyle w:val="22"/>
        <w:widowControl w:val="0"/>
        <w:adjustRightInd w:val="0"/>
        <w:snapToGrid w:val="0"/>
        <w:spacing w:before="0" w:beforeAutospacing="0" w:after="0" w:afterAutospacing="0" w:line="360" w:lineRule="auto"/>
        <w:ind w:firstLine="537" w:firstLineChars="224"/>
        <w:rPr>
          <w:rFonts w:cs="宋体"/>
          <w:b/>
        </w:rPr>
      </w:pPr>
      <w:r>
        <w:rPr>
          <w:rFonts w:hint="eastAsia" w:cs="宋体"/>
        </w:rPr>
        <w:t>（3）《中标通知书》将作为签订合同的依据，中标人必须在中标后的7个工作</w:t>
      </w:r>
      <w:r>
        <w:rPr>
          <w:rFonts w:hint="eastAsia" w:cs="宋体"/>
          <w:u w:val="single"/>
        </w:rPr>
        <w:t>日</w:t>
      </w:r>
      <w:r>
        <w:rPr>
          <w:rFonts w:hint="eastAsia" w:cs="宋体"/>
        </w:rPr>
        <w:t>内到代理机构领取。</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2、签订合同</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（1）中标人自接到《中标通知书》后应在30日内，按指定的地点与采购人签订合同。同时，代理机构对合同内容进行审查，如发现与采购结果和投标承诺内容不一致的，应予以纠正。</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（2）招标文件、投标文件、投标人作出的承诺及其澄清文件、中标通知书等，均为合同的组成部分。</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3）中标人不遵守招标文件和投标文件及承诺、擅自修改报价；或在接到《中标通知书》后借故拖延、或放弃中标资格、或拒签合同而造成超过规定时间的，取消该投标人的中标资格。在此情况下，采购人和代理机构可将中标权授予排名第二名候选人，或重新组织招标，对受影响的投标人不承担任何责任。</w:t>
      </w:r>
      <w:bookmarkEnd w:id="7"/>
    </w:p>
    <w:p>
      <w:pPr>
        <w:pStyle w:val="22"/>
        <w:widowControl w:val="0"/>
        <w:adjustRightInd w:val="0"/>
        <w:snapToGrid w:val="0"/>
        <w:spacing w:before="0" w:beforeAutospacing="0" w:after="0" w:afterAutospacing="0" w:line="360" w:lineRule="auto"/>
        <w:ind w:firstLine="540" w:firstLineChars="224"/>
        <w:rPr>
          <w:rFonts w:cs="宋体"/>
        </w:rPr>
      </w:pPr>
      <w:r>
        <w:rPr>
          <w:rFonts w:hint="eastAsia" w:cs="宋体"/>
          <w:b/>
        </w:rPr>
        <w:t>十一、质疑和投诉</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1、投标人认为招标文件、招标过程和中标结果使自己的合法权益受到损害的，应当在知道或者应知其权益受到损害之日起七个工作日内，以书面形式向采购人、代理机构提出质疑。投标人对采购人的质疑答复不满意或者采购人未在规定时间内作出答复的，可以在答复期满后十五个工作日内向同级政府采购监管部门投诉。</w:t>
      </w:r>
    </w:p>
    <w:p>
      <w:pPr>
        <w:pStyle w:val="22"/>
        <w:widowControl w:val="0"/>
        <w:adjustRightInd w:val="0"/>
        <w:snapToGrid w:val="0"/>
        <w:spacing w:before="0" w:beforeAutospacing="0" w:after="0" w:afterAutospacing="0" w:line="360" w:lineRule="auto"/>
        <w:ind w:firstLine="537" w:firstLineChars="224"/>
        <w:rPr>
          <w:rFonts w:cs="宋体"/>
        </w:rPr>
      </w:pPr>
      <w:r>
        <w:rPr>
          <w:rFonts w:hint="eastAsia" w:cs="宋体"/>
        </w:rPr>
        <w:t>2、质疑、投诉应当采用书面形式，质疑书、投诉书均应明确阐述招标文件、招标过程和中标结果中使自己合法权益受到损害的实质性内容，提供相关事实、依据和证据及其来源或线索，便于有关单位调查、答复和处理。</w:t>
      </w:r>
    </w:p>
    <w:p>
      <w:pPr>
        <w:widowControl w:val="0"/>
        <w:tabs>
          <w:tab w:val="left" w:pos="1935"/>
          <w:tab w:val="center" w:pos="4500"/>
        </w:tabs>
        <w:adjustRightInd w:val="0"/>
        <w:snapToGrid w:val="0"/>
        <w:spacing w:line="360" w:lineRule="auto"/>
        <w:jc w:val="center"/>
        <w:rPr>
          <w:rFonts w:ascii="宋体" w:hAnsi="宋体" w:cs="宋体"/>
        </w:rPr>
      </w:pPr>
      <w:r>
        <w:rPr>
          <w:rFonts w:hint="eastAsia" w:ascii="宋体" w:hAnsi="宋体" w:cs="宋体"/>
          <w:spacing w:val="60"/>
        </w:rPr>
        <w:br w:type="page"/>
      </w:r>
      <w:r>
        <w:rPr>
          <w:rFonts w:hint="eastAsia" w:ascii="宋体" w:hAnsi="宋体" w:cs="宋体"/>
          <w:b/>
          <w:bCs/>
          <w:sz w:val="52"/>
          <w:szCs w:val="52"/>
        </w:rPr>
        <w:t>第四章  开 标、评 标 须 知</w:t>
      </w:r>
    </w:p>
    <w:p>
      <w:pPr>
        <w:widowControl w:val="0"/>
        <w:adjustRightInd w:val="0"/>
        <w:snapToGrid w:val="0"/>
        <w:spacing w:line="360" w:lineRule="auto"/>
        <w:ind w:firstLine="435"/>
        <w:jc w:val="both"/>
        <w:rPr>
          <w:rFonts w:ascii="宋体" w:hAnsi="宋体" w:cs="宋体"/>
          <w:b/>
          <w:bCs/>
        </w:rPr>
      </w:pPr>
      <w:r>
        <w:rPr>
          <w:rFonts w:hint="eastAsia" w:ascii="宋体" w:hAnsi="宋体" w:cs="宋体"/>
          <w:b/>
          <w:bCs/>
        </w:rPr>
        <w:t>一、开标准备</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1、代理机构将按招标文件规定的时间和地点公开开标。投标人须派法定代表人或经其授权委托的代表参加。投标人未参加开标的，视同认可开标结果。</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2、有下列情形之一的，将重新招标：</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（1）投标截止时间前按时递交投标文件的投标人少于3家的；</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（2）通过资格审查的投标人少于3家的；</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（3）经评标委员会评审后有效标少于3家且评标委员会认为不具有竞争性的；</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（4）经评标委员会评审后否决所有投标的。</w:t>
      </w:r>
    </w:p>
    <w:p>
      <w:pPr>
        <w:widowControl w:val="0"/>
        <w:adjustRightInd w:val="0"/>
        <w:snapToGrid w:val="0"/>
        <w:spacing w:line="360" w:lineRule="auto"/>
        <w:ind w:firstLine="435"/>
        <w:jc w:val="both"/>
        <w:rPr>
          <w:rFonts w:ascii="宋体" w:hAnsi="宋体" w:cs="宋体"/>
          <w:b/>
        </w:rPr>
      </w:pPr>
      <w:r>
        <w:rPr>
          <w:rFonts w:hint="eastAsia" w:ascii="宋体" w:hAnsi="宋体" w:cs="宋体"/>
          <w:b/>
        </w:rPr>
        <w:t>二、开标程序</w:t>
      </w:r>
    </w:p>
    <w:p>
      <w:pPr>
        <w:widowControl w:val="0"/>
        <w:adjustRightInd w:val="0"/>
        <w:snapToGrid w:val="0"/>
        <w:spacing w:line="360" w:lineRule="auto"/>
        <w:ind w:firstLine="435"/>
        <w:jc w:val="both"/>
        <w:rPr>
          <w:rFonts w:ascii="宋体" w:hAnsi="宋体" w:cs="宋体"/>
        </w:rPr>
      </w:pPr>
      <w:r>
        <w:rPr>
          <w:rFonts w:hint="eastAsia" w:ascii="宋体" w:hAnsi="宋体" w:cs="宋体"/>
        </w:rPr>
        <w:t>1、开标会由代理机构主持，主持人宣布开标会议开始。</w:t>
      </w:r>
    </w:p>
    <w:p>
      <w:pPr>
        <w:widowControl w:val="0"/>
        <w:adjustRightInd w:val="0"/>
        <w:snapToGrid w:val="0"/>
        <w:spacing w:line="360" w:lineRule="auto"/>
        <w:ind w:firstLine="435"/>
        <w:jc w:val="both"/>
        <w:rPr>
          <w:rFonts w:ascii="宋体" w:hAnsi="宋体" w:cs="宋体"/>
        </w:rPr>
      </w:pPr>
      <w:r>
        <w:rPr>
          <w:rFonts w:hint="eastAsia" w:ascii="宋体" w:hAnsi="宋体" w:cs="宋体"/>
        </w:rPr>
        <w:t>2、主持人介绍参加开标会的人员名单。</w:t>
      </w:r>
    </w:p>
    <w:p>
      <w:pPr>
        <w:widowControl w:val="0"/>
        <w:adjustRightInd w:val="0"/>
        <w:snapToGrid w:val="0"/>
        <w:spacing w:line="360" w:lineRule="auto"/>
        <w:ind w:firstLine="435"/>
        <w:jc w:val="both"/>
        <w:rPr>
          <w:rFonts w:ascii="宋体" w:hAnsi="宋体" w:cs="宋体"/>
        </w:rPr>
      </w:pPr>
      <w:r>
        <w:rPr>
          <w:rFonts w:hint="eastAsia" w:ascii="宋体" w:hAnsi="宋体" w:cs="宋体"/>
        </w:rPr>
        <w:t>3、主持人宣布评标期间的有关事项，告知应当回避的情形，提请有关人员回避。</w:t>
      </w:r>
    </w:p>
    <w:p>
      <w:pPr>
        <w:widowControl w:val="0"/>
        <w:adjustRightInd w:val="0"/>
        <w:snapToGrid w:val="0"/>
        <w:spacing w:line="360" w:lineRule="auto"/>
        <w:ind w:firstLine="435"/>
        <w:jc w:val="both"/>
        <w:rPr>
          <w:rFonts w:ascii="宋体" w:hAnsi="宋体" w:cs="宋体"/>
        </w:rPr>
      </w:pPr>
      <w:r>
        <w:rPr>
          <w:rFonts w:hint="eastAsia" w:ascii="宋体" w:hAnsi="宋体" w:cs="宋体"/>
        </w:rPr>
        <w:t>4、投标人或其当场推荐的代表，或者采购人委托的公证机构检查投标文件密封的完整性并签字确认。</w:t>
      </w:r>
    </w:p>
    <w:p>
      <w:pPr>
        <w:widowControl w:val="0"/>
        <w:adjustRightInd w:val="0"/>
        <w:snapToGrid w:val="0"/>
        <w:spacing w:line="360" w:lineRule="auto"/>
        <w:ind w:firstLine="435"/>
        <w:jc w:val="both"/>
        <w:rPr>
          <w:rFonts w:ascii="宋体" w:hAnsi="宋体" w:cs="宋体"/>
        </w:rPr>
      </w:pPr>
      <w:r>
        <w:rPr>
          <w:rFonts w:hint="eastAsia" w:ascii="宋体" w:hAnsi="宋体" w:cs="宋体"/>
        </w:rPr>
        <w:t>5、按各投标人提交投标文件时间的先后顺序打开技术标外包装。采购人和采购代理机构应当依法对投标人的资格进行审查。通过资格审查的送入评标室评审；未通过资格审查的投标文件，由采购人或者采购代理机构签字确认后存档不予退还。</w:t>
      </w:r>
    </w:p>
    <w:p>
      <w:pPr>
        <w:widowControl w:val="0"/>
        <w:adjustRightInd w:val="0"/>
        <w:snapToGrid w:val="0"/>
        <w:spacing w:line="360" w:lineRule="auto"/>
        <w:ind w:firstLine="435"/>
        <w:jc w:val="both"/>
        <w:rPr>
          <w:rFonts w:ascii="宋体" w:hAnsi="宋体" w:cs="宋体"/>
        </w:rPr>
      </w:pPr>
      <w:r>
        <w:rPr>
          <w:rFonts w:hint="eastAsia" w:ascii="宋体" w:hAnsi="宋体" w:cs="宋体"/>
        </w:rPr>
        <w:t>6、技术评分结束后，由主持人公布无效投标的投标人名单、投标无效的原因及其他有效投标的评分结果。</w:t>
      </w:r>
    </w:p>
    <w:p>
      <w:pPr>
        <w:widowControl w:val="0"/>
        <w:adjustRightInd w:val="0"/>
        <w:snapToGrid w:val="0"/>
        <w:spacing w:line="360" w:lineRule="auto"/>
        <w:ind w:firstLine="435"/>
        <w:jc w:val="both"/>
        <w:rPr>
          <w:rFonts w:ascii="宋体" w:hAnsi="宋体" w:cs="宋体"/>
        </w:rPr>
      </w:pPr>
      <w:r>
        <w:rPr>
          <w:rFonts w:hint="eastAsia" w:ascii="宋体" w:hAnsi="宋体" w:cs="宋体"/>
        </w:rPr>
        <w:t>7、由主持人宣读《开标一览表》中的投标人名称及在其投标文件中承诺的投标报价、投标内容（投标产品名称、规格型号或者服务项目名称），以及代理机构认为有必要宣读的其他内容。</w:t>
      </w:r>
    </w:p>
    <w:p>
      <w:pPr>
        <w:widowControl w:val="0"/>
        <w:adjustRightInd w:val="0"/>
        <w:snapToGrid w:val="0"/>
        <w:spacing w:line="360" w:lineRule="auto"/>
        <w:ind w:firstLine="435"/>
        <w:jc w:val="both"/>
        <w:rPr>
          <w:rFonts w:ascii="宋体" w:hAnsi="宋体" w:cs="宋体"/>
        </w:rPr>
      </w:pPr>
      <w:r>
        <w:rPr>
          <w:rFonts w:hint="eastAsia" w:ascii="宋体" w:hAnsi="宋体" w:cs="宋体"/>
        </w:rPr>
        <w:t>8、代理机构做开标记录，投标人代表对开标记录进行当场校核及勘误，并签字确认；同时由监标人当场签字确认。投标人代表未到场签字确认或者拒绝签字确认的，不影响评标过程。</w:t>
      </w:r>
    </w:p>
    <w:p>
      <w:pPr>
        <w:widowControl w:val="0"/>
        <w:adjustRightInd w:val="0"/>
        <w:snapToGrid w:val="0"/>
        <w:spacing w:line="360" w:lineRule="auto"/>
        <w:ind w:firstLine="435"/>
        <w:jc w:val="both"/>
        <w:rPr>
          <w:rFonts w:ascii="宋体" w:hAnsi="宋体" w:cs="宋体"/>
        </w:rPr>
      </w:pPr>
      <w:r>
        <w:rPr>
          <w:rFonts w:hint="eastAsia" w:ascii="宋体" w:hAnsi="宋体" w:cs="宋体"/>
        </w:rPr>
        <w:t>9、开标会议结束。</w:t>
      </w:r>
    </w:p>
    <w:p>
      <w:pPr>
        <w:widowControl w:val="0"/>
        <w:adjustRightInd w:val="0"/>
        <w:snapToGrid w:val="0"/>
        <w:spacing w:line="360" w:lineRule="auto"/>
        <w:ind w:firstLine="435"/>
        <w:jc w:val="both"/>
        <w:rPr>
          <w:rFonts w:ascii="宋体" w:hAnsi="宋体" w:cs="宋体"/>
          <w:b/>
          <w:bCs/>
        </w:rPr>
      </w:pPr>
      <w:r>
        <w:rPr>
          <w:rFonts w:hint="eastAsia" w:ascii="宋体" w:hAnsi="宋体" w:cs="宋体"/>
          <w:b/>
          <w:bCs/>
        </w:rPr>
        <w:t>三、评标</w:t>
      </w:r>
    </w:p>
    <w:p>
      <w:pPr>
        <w:widowControl w:val="0"/>
        <w:adjustRightInd w:val="0"/>
        <w:snapToGrid w:val="0"/>
        <w:spacing w:line="360" w:lineRule="auto"/>
        <w:ind w:firstLine="435"/>
        <w:jc w:val="both"/>
        <w:rPr>
          <w:rFonts w:ascii="宋体" w:hAnsi="宋体" w:cs="宋体"/>
        </w:rPr>
      </w:pPr>
      <w:r>
        <w:rPr>
          <w:rFonts w:hint="eastAsia" w:ascii="宋体" w:hAnsi="宋体" w:cs="宋体"/>
        </w:rPr>
        <w:t>（一）评标的方式</w:t>
      </w:r>
    </w:p>
    <w:p>
      <w:pPr>
        <w:widowControl w:val="0"/>
        <w:adjustRightInd w:val="0"/>
        <w:snapToGrid w:val="0"/>
        <w:spacing w:line="360" w:lineRule="auto"/>
        <w:ind w:firstLine="480" w:firstLineChars="200"/>
        <w:jc w:val="both"/>
        <w:rPr>
          <w:rFonts w:ascii="宋体" w:hAnsi="宋体" w:cs="宋体"/>
        </w:rPr>
      </w:pPr>
      <w:r>
        <w:rPr>
          <w:rFonts w:hint="eastAsia" w:ascii="宋体" w:hAnsi="宋体" w:cs="宋体"/>
        </w:rPr>
        <w:t>本项目采用不公开方式评标，评标的依据为招标文件和投标文件。投标人在投标截止以后提供的资料不得作为评标依据，但应评标委员会要求提供的证明、说明不在此列。投标人不得通过补充、修改或撤消投标文件中的部分内容使其成为实质响应的投标。</w:t>
      </w:r>
    </w:p>
    <w:p>
      <w:pPr>
        <w:widowControl w:val="0"/>
        <w:adjustRightInd w:val="0"/>
        <w:snapToGrid w:val="0"/>
        <w:spacing w:line="360" w:lineRule="auto"/>
        <w:ind w:firstLine="435"/>
        <w:jc w:val="both"/>
        <w:rPr>
          <w:rFonts w:ascii="宋体" w:hAnsi="宋体" w:cs="宋体"/>
        </w:rPr>
      </w:pPr>
      <w:r>
        <w:rPr>
          <w:rFonts w:hint="eastAsia" w:ascii="宋体" w:hAnsi="宋体" w:cs="宋体"/>
        </w:rPr>
        <w:t>（二）评标程序</w:t>
      </w:r>
    </w:p>
    <w:p>
      <w:pPr>
        <w:widowControl w:val="0"/>
        <w:adjustRightInd w:val="0"/>
        <w:snapToGrid w:val="0"/>
        <w:spacing w:line="360" w:lineRule="auto"/>
        <w:ind w:firstLine="435"/>
        <w:jc w:val="both"/>
        <w:rPr>
          <w:rFonts w:ascii="宋体" w:hAnsi="宋体" w:cs="宋体"/>
        </w:rPr>
      </w:pPr>
      <w:r>
        <w:rPr>
          <w:rFonts w:hint="eastAsia" w:ascii="宋体" w:hAnsi="宋体" w:cs="宋体"/>
        </w:rPr>
        <w:t>1、资格审查</w:t>
      </w:r>
    </w:p>
    <w:p>
      <w:pPr>
        <w:widowControl w:val="0"/>
        <w:adjustRightInd w:val="0"/>
        <w:snapToGrid w:val="0"/>
        <w:spacing w:line="360" w:lineRule="auto"/>
        <w:ind w:firstLine="435"/>
        <w:jc w:val="both"/>
        <w:rPr>
          <w:rFonts w:ascii="宋体" w:hAnsi="宋体" w:cs="宋体"/>
        </w:rPr>
      </w:pPr>
      <w:r>
        <w:rPr>
          <w:rFonts w:hint="eastAsia" w:ascii="宋体" w:hAnsi="宋体" w:cs="宋体"/>
        </w:rPr>
        <w:t>采购人代表和代理机构工作人员对投标人的资格文件的完整性、合法性等进行审查。</w:t>
      </w:r>
    </w:p>
    <w:p>
      <w:pPr>
        <w:widowControl w:val="0"/>
        <w:adjustRightInd w:val="0"/>
        <w:snapToGrid w:val="0"/>
        <w:spacing w:line="360" w:lineRule="auto"/>
        <w:ind w:firstLine="435"/>
        <w:jc w:val="both"/>
        <w:rPr>
          <w:rFonts w:ascii="宋体" w:hAnsi="宋体" w:cs="宋体"/>
        </w:rPr>
      </w:pPr>
      <w:r>
        <w:rPr>
          <w:rFonts w:hint="eastAsia" w:ascii="宋体" w:hAnsi="宋体" w:cs="宋体"/>
        </w:rPr>
        <w:t>2、实质性审查与比较</w:t>
      </w:r>
    </w:p>
    <w:p>
      <w:pPr>
        <w:widowControl w:val="0"/>
        <w:adjustRightInd w:val="0"/>
        <w:snapToGrid w:val="0"/>
        <w:spacing w:line="360" w:lineRule="auto"/>
        <w:ind w:firstLine="435"/>
        <w:jc w:val="both"/>
        <w:rPr>
          <w:rFonts w:ascii="宋体" w:hAnsi="宋体" w:cs="宋体"/>
        </w:rPr>
      </w:pPr>
      <w:r>
        <w:rPr>
          <w:rFonts w:hint="eastAsia" w:ascii="宋体" w:hAnsi="宋体" w:cs="宋体"/>
        </w:rPr>
        <w:t>（1）评标委员会审查投标文件的实质性内容是否符合招标文件的实质性要求。</w:t>
      </w:r>
    </w:p>
    <w:p>
      <w:pPr>
        <w:widowControl w:val="0"/>
        <w:adjustRightInd w:val="0"/>
        <w:snapToGrid w:val="0"/>
        <w:spacing w:line="360" w:lineRule="auto"/>
        <w:ind w:firstLine="435"/>
        <w:jc w:val="both"/>
        <w:rPr>
          <w:rFonts w:ascii="宋体" w:hAnsi="宋体" w:cs="宋体"/>
        </w:rPr>
      </w:pPr>
      <w:r>
        <w:rPr>
          <w:rFonts w:hint="eastAsia" w:ascii="宋体" w:hAnsi="宋体" w:cs="宋体"/>
        </w:rPr>
        <w:t>（2）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pPr>
        <w:widowControl w:val="0"/>
        <w:adjustRightInd w:val="0"/>
        <w:snapToGrid w:val="0"/>
        <w:spacing w:line="360" w:lineRule="auto"/>
        <w:ind w:firstLine="435"/>
        <w:jc w:val="both"/>
        <w:rPr>
          <w:rFonts w:ascii="宋体" w:hAnsi="宋体" w:cs="宋体"/>
        </w:rPr>
      </w:pPr>
      <w:r>
        <w:rPr>
          <w:rFonts w:hint="eastAsia" w:ascii="宋体" w:hAnsi="宋体" w:cs="宋体"/>
        </w:rPr>
        <w:t>（3）各投标人的技术得分为所有评标委员会的有效评分的算术平均数，由代理机构进行计算复核。</w:t>
      </w:r>
    </w:p>
    <w:p>
      <w:pPr>
        <w:widowControl w:val="0"/>
        <w:adjustRightInd w:val="0"/>
        <w:snapToGrid w:val="0"/>
        <w:spacing w:line="360" w:lineRule="auto"/>
        <w:ind w:firstLine="435"/>
        <w:jc w:val="both"/>
        <w:rPr>
          <w:rFonts w:ascii="宋体" w:hAnsi="宋体" w:cs="宋体"/>
        </w:rPr>
      </w:pPr>
      <w:r>
        <w:rPr>
          <w:rFonts w:hint="eastAsia" w:ascii="宋体" w:hAnsi="宋体" w:cs="宋体"/>
        </w:rPr>
        <w:t>（4）代理机构工作人员协助评标委员会根据本项目的评分标准计算各投标人的价格报价得分。</w:t>
      </w:r>
    </w:p>
    <w:p>
      <w:pPr>
        <w:widowControl w:val="0"/>
        <w:adjustRightInd w:val="0"/>
        <w:snapToGrid w:val="0"/>
        <w:spacing w:line="360" w:lineRule="auto"/>
        <w:ind w:firstLine="435"/>
        <w:jc w:val="both"/>
        <w:rPr>
          <w:rFonts w:ascii="宋体" w:hAnsi="宋体" w:cs="宋体"/>
        </w:rPr>
      </w:pPr>
      <w:r>
        <w:rPr>
          <w:rFonts w:hint="eastAsia" w:ascii="宋体" w:hAnsi="宋体" w:cs="宋体"/>
        </w:rPr>
        <w:t>（5）评标委员会完成评标后，由代理机构对各部分得分汇总，计算出本项目最终得分。评标委员会按评标原则推荐中标候选人同时起草评标报告。</w:t>
      </w:r>
    </w:p>
    <w:p>
      <w:pPr>
        <w:widowControl w:val="0"/>
        <w:adjustRightInd w:val="0"/>
        <w:snapToGrid w:val="0"/>
        <w:spacing w:line="360" w:lineRule="auto"/>
        <w:ind w:firstLine="435"/>
        <w:jc w:val="both"/>
        <w:rPr>
          <w:rFonts w:ascii="宋体" w:hAnsi="宋体" w:cs="宋体"/>
        </w:rPr>
      </w:pPr>
      <w:r>
        <w:rPr>
          <w:rFonts w:hint="eastAsia" w:ascii="宋体" w:hAnsi="宋体" w:cs="宋体"/>
        </w:rPr>
        <w:t>（三）澄清问题的形式</w:t>
      </w:r>
    </w:p>
    <w:p>
      <w:pPr>
        <w:widowControl w:val="0"/>
        <w:adjustRightInd w:val="0"/>
        <w:snapToGrid w:val="0"/>
        <w:spacing w:line="360" w:lineRule="auto"/>
        <w:ind w:firstLine="435"/>
        <w:jc w:val="both"/>
        <w:rPr>
          <w:rFonts w:ascii="宋体" w:hAnsi="宋体" w:cs="宋体"/>
        </w:rPr>
      </w:pPr>
      <w:r>
        <w:rPr>
          <w:rFonts w:hint="eastAsia" w:ascii="宋体" w:hAnsi="宋体" w:cs="宋体"/>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widowControl w:val="0"/>
        <w:adjustRightInd w:val="0"/>
        <w:snapToGrid w:val="0"/>
        <w:spacing w:line="360" w:lineRule="auto"/>
        <w:ind w:firstLine="435"/>
        <w:jc w:val="both"/>
        <w:rPr>
          <w:rFonts w:ascii="宋体" w:hAnsi="宋体" w:cs="宋体"/>
        </w:rPr>
      </w:pPr>
      <w:r>
        <w:rPr>
          <w:rFonts w:hint="eastAsia" w:ascii="宋体" w:hAnsi="宋体" w:cs="宋体"/>
        </w:rPr>
        <w:t>（四）错误修正</w:t>
      </w:r>
    </w:p>
    <w:p>
      <w:pPr>
        <w:widowControl w:val="0"/>
        <w:adjustRightInd w:val="0"/>
        <w:snapToGrid w:val="0"/>
        <w:spacing w:line="360" w:lineRule="auto"/>
        <w:ind w:firstLine="435"/>
        <w:jc w:val="both"/>
        <w:rPr>
          <w:rFonts w:ascii="宋体" w:hAnsi="宋体" w:cs="宋体"/>
        </w:rPr>
      </w:pPr>
      <w:r>
        <w:rPr>
          <w:rFonts w:hint="eastAsia" w:ascii="宋体" w:hAnsi="宋体" w:cs="宋体"/>
        </w:rPr>
        <w:t>投标文件如果出现计算或表达上的错误，修正错误的原则如下：</w:t>
      </w:r>
    </w:p>
    <w:p>
      <w:pPr>
        <w:widowControl w:val="0"/>
        <w:adjustRightInd w:val="0"/>
        <w:snapToGrid w:val="0"/>
        <w:spacing w:line="360" w:lineRule="auto"/>
        <w:ind w:firstLine="435"/>
        <w:jc w:val="both"/>
        <w:rPr>
          <w:rFonts w:ascii="宋体" w:hAnsi="宋体" w:cs="宋体"/>
        </w:rPr>
      </w:pPr>
      <w:r>
        <w:rPr>
          <w:rFonts w:hint="eastAsia" w:ascii="宋体" w:hAnsi="宋体" w:cs="宋体"/>
        </w:rPr>
        <w:t>1、投标文件中开标一览表（报价表）内容与投标文件中相应内容不一致的，以开标一览表（报价表）为准；</w:t>
      </w:r>
    </w:p>
    <w:p>
      <w:pPr>
        <w:widowControl w:val="0"/>
        <w:adjustRightInd w:val="0"/>
        <w:snapToGrid w:val="0"/>
        <w:spacing w:line="360" w:lineRule="auto"/>
        <w:ind w:firstLine="435"/>
        <w:jc w:val="both"/>
        <w:rPr>
          <w:rFonts w:ascii="宋体" w:hAnsi="宋体" w:cs="宋体"/>
        </w:rPr>
      </w:pPr>
      <w:r>
        <w:rPr>
          <w:rFonts w:hint="eastAsia" w:ascii="宋体" w:hAnsi="宋体" w:cs="宋体"/>
        </w:rPr>
        <w:t>2、大写金额和小写金额不一致的，以大写金额为准；</w:t>
      </w:r>
    </w:p>
    <w:p>
      <w:pPr>
        <w:widowControl w:val="0"/>
        <w:adjustRightInd w:val="0"/>
        <w:snapToGrid w:val="0"/>
        <w:spacing w:line="360" w:lineRule="auto"/>
        <w:ind w:firstLine="435"/>
        <w:jc w:val="both"/>
        <w:rPr>
          <w:rFonts w:ascii="宋体" w:hAnsi="宋体" w:cs="宋体"/>
        </w:rPr>
      </w:pPr>
      <w:r>
        <w:rPr>
          <w:rFonts w:hint="eastAsia" w:ascii="宋体" w:hAnsi="宋体" w:cs="宋体"/>
        </w:rPr>
        <w:t>3、单价金额小数点或者百分比有明显错位的，以开标一览表的总价为准，并修改单价；</w:t>
      </w:r>
    </w:p>
    <w:p>
      <w:pPr>
        <w:widowControl w:val="0"/>
        <w:adjustRightInd w:val="0"/>
        <w:snapToGrid w:val="0"/>
        <w:spacing w:line="360" w:lineRule="auto"/>
        <w:ind w:firstLine="435"/>
        <w:jc w:val="both"/>
        <w:rPr>
          <w:rFonts w:ascii="宋体" w:hAnsi="宋体" w:cs="宋体"/>
        </w:rPr>
      </w:pPr>
      <w:r>
        <w:rPr>
          <w:rFonts w:hint="eastAsia" w:ascii="宋体" w:hAnsi="宋体" w:cs="宋体"/>
        </w:rPr>
        <w:t>4、总价金额与按单价汇总金额不一致的，以单价金额计算结果为准。</w:t>
      </w:r>
    </w:p>
    <w:p>
      <w:pPr>
        <w:widowControl w:val="0"/>
        <w:adjustRightInd w:val="0"/>
        <w:snapToGrid w:val="0"/>
        <w:spacing w:line="360" w:lineRule="auto"/>
        <w:ind w:firstLine="435"/>
        <w:jc w:val="both"/>
        <w:rPr>
          <w:rFonts w:ascii="宋体" w:hAnsi="宋体" w:cs="宋体"/>
        </w:rPr>
      </w:pPr>
      <w:r>
        <w:rPr>
          <w:rFonts w:hint="eastAsia" w:ascii="宋体" w:hAnsi="宋体" w:cs="宋体"/>
        </w:rPr>
        <w:t>同时出现两种以上不一致的，按照顺序修正，投标人同意并签字确认后，调整后的投标报价对投标人具有约束作用。如果投标人不接受修正后的报价，则其投标将作为无效投标处理。</w:t>
      </w:r>
    </w:p>
    <w:p>
      <w:pPr>
        <w:widowControl w:val="0"/>
        <w:adjustRightInd w:val="0"/>
        <w:snapToGrid w:val="0"/>
        <w:spacing w:line="360" w:lineRule="auto"/>
        <w:ind w:firstLine="435"/>
        <w:jc w:val="both"/>
        <w:rPr>
          <w:rFonts w:ascii="宋体" w:hAnsi="宋体" w:cs="宋体"/>
          <w:b/>
          <w:bCs/>
        </w:rPr>
      </w:pPr>
      <w:r>
        <w:rPr>
          <w:rFonts w:hint="eastAsia" w:ascii="宋体" w:hAnsi="宋体" w:cs="宋体"/>
          <w:b/>
          <w:bCs/>
        </w:rPr>
        <w:t>四、</w:t>
      </w:r>
      <w:r>
        <w:rPr>
          <w:rFonts w:hint="eastAsia" w:ascii="宋体" w:hAnsi="宋体" w:cs="宋体"/>
          <w:b/>
        </w:rPr>
        <w:t>评标办法</w:t>
      </w:r>
    </w:p>
    <w:p>
      <w:pPr>
        <w:widowControl w:val="0"/>
        <w:adjustRightInd w:val="0"/>
        <w:snapToGrid w:val="0"/>
        <w:spacing w:line="360" w:lineRule="auto"/>
        <w:ind w:firstLine="480" w:firstLineChars="200"/>
        <w:jc w:val="both"/>
        <w:rPr>
          <w:rFonts w:ascii="宋体" w:hAnsi="宋体" w:cs="宋体"/>
        </w:rPr>
      </w:pPr>
      <w:r>
        <w:rPr>
          <w:rFonts w:hint="eastAsia" w:ascii="宋体" w:hAnsi="宋体" w:cs="宋体"/>
        </w:rPr>
        <w:t>1、评标采用综合评分办法。先开技术标，评定计算技术分后再开价格标。</w:t>
      </w:r>
      <w:r>
        <w:rPr>
          <w:rFonts w:hint="eastAsia" w:ascii="宋体" w:hAnsi="宋体" w:cs="宋体"/>
          <w:b/>
        </w:rPr>
        <w:t>技术和价格相加得分数值最高的投标人，将取得中标资格。</w:t>
      </w:r>
    </w:p>
    <w:p>
      <w:pPr>
        <w:widowControl w:val="0"/>
        <w:adjustRightInd w:val="0"/>
        <w:snapToGrid w:val="0"/>
        <w:spacing w:line="360" w:lineRule="auto"/>
        <w:ind w:firstLine="480" w:firstLineChars="200"/>
        <w:jc w:val="both"/>
        <w:rPr>
          <w:rFonts w:ascii="宋体" w:hAnsi="宋体" w:cs="宋体"/>
        </w:rPr>
      </w:pPr>
      <w:r>
        <w:rPr>
          <w:rFonts w:hint="eastAsia" w:ascii="宋体" w:hAnsi="宋体" w:cs="宋体"/>
        </w:rPr>
        <w:t>2、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pacing w:line="360" w:lineRule="auto"/>
        <w:ind w:firstLine="480" w:firstLineChars="200"/>
        <w:jc w:val="both"/>
        <w:rPr>
          <w:rFonts w:ascii="宋体" w:hAnsi="宋体" w:cs="宋体"/>
        </w:rPr>
      </w:pPr>
      <w:r>
        <w:rPr>
          <w:rFonts w:hint="eastAsia" w:ascii="宋体" w:hAnsi="宋体" w:cs="宋体"/>
        </w:rPr>
        <w:t>3、评标办法。具体评标内容及评分标准等详见《技术评分明细表》。</w:t>
      </w:r>
    </w:p>
    <w:p>
      <w:pPr>
        <w:spacing w:line="360" w:lineRule="auto"/>
        <w:ind w:firstLine="482" w:firstLineChars="200"/>
        <w:jc w:val="both"/>
        <w:rPr>
          <w:rFonts w:ascii="宋体" w:hAnsi="宋体" w:cs="宋体"/>
          <w:b/>
        </w:rPr>
      </w:pPr>
      <w:r>
        <w:rPr>
          <w:rFonts w:hint="eastAsia" w:ascii="宋体" w:hAnsi="宋体" w:cs="宋体"/>
          <w:b/>
        </w:rPr>
        <w:t>五、评标过程的监控</w:t>
      </w:r>
    </w:p>
    <w:p>
      <w:pPr>
        <w:spacing w:line="360" w:lineRule="auto"/>
        <w:ind w:firstLine="480" w:firstLineChars="200"/>
        <w:jc w:val="both"/>
        <w:rPr>
          <w:rFonts w:ascii="宋体" w:hAnsi="宋体" w:cs="宋体"/>
        </w:rPr>
      </w:pPr>
      <w:r>
        <w:rPr>
          <w:rFonts w:hint="eastAsia" w:ascii="宋体" w:hAnsi="宋体" w:cs="宋体"/>
        </w:rPr>
        <w:t>本项目评标过程实行全程录音、录像监控，投标人在评标过程中所进行的试图影响评标结果的不公正活动，可能导致其投标被拒绝。</w:t>
      </w:r>
    </w:p>
    <w:p>
      <w:pPr>
        <w:widowControl w:val="0"/>
        <w:adjustRightInd w:val="0"/>
        <w:snapToGrid w:val="0"/>
        <w:spacing w:line="360" w:lineRule="auto"/>
        <w:ind w:firstLine="482" w:firstLineChars="200"/>
        <w:jc w:val="both"/>
        <w:rPr>
          <w:rFonts w:ascii="宋体" w:hAnsi="宋体" w:cs="宋体"/>
          <w:b/>
        </w:rPr>
      </w:pPr>
      <w:r>
        <w:rPr>
          <w:rFonts w:hint="eastAsia" w:ascii="宋体" w:hAnsi="宋体" w:cs="宋体"/>
          <w:b/>
        </w:rPr>
        <w:t>六、评标计算</w:t>
      </w:r>
    </w:p>
    <w:p>
      <w:pPr>
        <w:widowControl w:val="0"/>
        <w:adjustRightInd w:val="0"/>
        <w:snapToGrid w:val="0"/>
        <w:spacing w:line="360" w:lineRule="auto"/>
        <w:ind w:firstLine="480" w:firstLineChars="200"/>
        <w:jc w:val="both"/>
        <w:rPr>
          <w:rFonts w:ascii="宋体" w:hAnsi="宋体" w:cs="宋体"/>
        </w:rPr>
      </w:pPr>
      <w:r>
        <w:rPr>
          <w:rFonts w:hint="eastAsia" w:ascii="宋体" w:hAnsi="宋体" w:cs="宋体"/>
        </w:rPr>
        <w:t>1、评标委员会应根据评标细则的规定和内容进行评分，其中：</w:t>
      </w:r>
    </w:p>
    <w:p>
      <w:pPr>
        <w:widowControl w:val="0"/>
        <w:adjustRightInd w:val="0"/>
        <w:snapToGrid w:val="0"/>
        <w:spacing w:line="360" w:lineRule="auto"/>
        <w:ind w:firstLine="480" w:firstLineChars="200"/>
        <w:jc w:val="both"/>
        <w:rPr>
          <w:rFonts w:ascii="宋体" w:hAnsi="宋体" w:cs="宋体"/>
        </w:rPr>
      </w:pPr>
      <w:r>
        <w:rPr>
          <w:rFonts w:hint="eastAsia" w:ascii="宋体" w:hAnsi="宋体" w:cs="宋体"/>
        </w:rPr>
        <w:t>（1）技术分：由评标委员会的评标委员会（五名或以上单数）负责，对投标文件的技术标书采用记名方式各自评分，此项评分计算方法为：技术得分=（评标委员会所有成员评分之和）÷（评标委员会组成人数），计算时保留小数点后2位。</w:t>
      </w:r>
    </w:p>
    <w:p>
      <w:pPr>
        <w:widowControl w:val="0"/>
        <w:adjustRightInd w:val="0"/>
        <w:snapToGrid w:val="0"/>
        <w:spacing w:line="360" w:lineRule="auto"/>
        <w:ind w:firstLine="480" w:firstLineChars="200"/>
        <w:jc w:val="both"/>
        <w:rPr>
          <w:rFonts w:ascii="宋体" w:hAnsi="宋体" w:cs="宋体"/>
        </w:rPr>
      </w:pPr>
      <w:r>
        <w:rPr>
          <w:rFonts w:hint="eastAsia" w:ascii="宋体" w:hAnsi="宋体" w:cs="宋体"/>
        </w:rPr>
        <w:t>（2）价格分：评分应在报价口径（报价内容详见本招标文件）一致的评标价基础上进行。评标价应在最终报价的基础上，按照招标文件约定的因素和方法进行计算。因投标人自身失误造成多算、少算或漏算，不得调整。评分由评标委员会对投标文件的报价进行仔细查阅、分析与计算，并由监标人进行检查复核。</w:t>
      </w:r>
    </w:p>
    <w:p>
      <w:pPr>
        <w:pStyle w:val="33"/>
        <w:widowControl w:val="0"/>
        <w:adjustRightInd w:val="0"/>
        <w:snapToGrid w:val="0"/>
        <w:spacing w:before="0" w:beforeAutospacing="0" w:after="0" w:afterAutospacing="0" w:line="360" w:lineRule="auto"/>
        <w:ind w:firstLine="470" w:firstLineChars="196"/>
        <w:rPr>
          <w:rFonts w:hint="default" w:cs="宋体"/>
        </w:rPr>
      </w:pPr>
      <w:r>
        <w:rPr>
          <w:rFonts w:cs="宋体"/>
        </w:rPr>
        <w:t>（3）价格评分、技术评分均采用四舍五入的办法保留到小数点后2位，投标人的综合得分为以上二部分得分的总和。</w:t>
      </w:r>
    </w:p>
    <w:p>
      <w:pPr>
        <w:pStyle w:val="33"/>
        <w:widowControl w:val="0"/>
        <w:adjustRightInd w:val="0"/>
        <w:snapToGrid w:val="0"/>
        <w:spacing w:before="0" w:beforeAutospacing="0" w:after="0" w:afterAutospacing="0" w:line="360" w:lineRule="auto"/>
        <w:ind w:firstLine="470" w:firstLineChars="196"/>
        <w:rPr>
          <w:rFonts w:hint="default" w:cs="宋体"/>
        </w:rPr>
      </w:pPr>
      <w:r>
        <w:rPr>
          <w:rFonts w:cs="宋体"/>
        </w:rPr>
        <w:t>2、技术标评审部分（满分70分）</w:t>
      </w:r>
    </w:p>
    <w:p>
      <w:pPr>
        <w:pStyle w:val="33"/>
        <w:widowControl w:val="0"/>
        <w:adjustRightInd w:val="0"/>
        <w:snapToGrid w:val="0"/>
        <w:spacing w:before="0" w:beforeAutospacing="0" w:after="0" w:afterAutospacing="0"/>
        <w:jc w:val="center"/>
        <w:rPr>
          <w:rFonts w:hint="default" w:cs="宋体"/>
          <w:b/>
          <w:sz w:val="36"/>
          <w:szCs w:val="36"/>
        </w:rPr>
      </w:pPr>
      <w:r>
        <w:rPr>
          <w:rFonts w:cs="宋体"/>
          <w:b/>
          <w:sz w:val="36"/>
          <w:szCs w:val="36"/>
        </w:rPr>
        <w:t>技术评分明细表</w:t>
      </w:r>
    </w:p>
    <w:tbl>
      <w:tblPr>
        <w:tblStyle w:val="36"/>
        <w:tblW w:w="10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7106"/>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09" w:type="dxa"/>
            <w:shd w:val="clear" w:color="auto" w:fill="C0C0C0"/>
          </w:tcPr>
          <w:p>
            <w:pPr>
              <w:jc w:val="center"/>
              <w:rPr>
                <w:rFonts w:ascii="宋体" w:hAnsi="宋体" w:cs="宋体"/>
                <w:color w:val="000000"/>
                <w:szCs w:val="21"/>
              </w:rPr>
            </w:pPr>
            <w:r>
              <w:rPr>
                <w:rFonts w:hint="eastAsia" w:ascii="宋体" w:hAnsi="宋体" w:cs="宋体"/>
                <w:color w:val="000000"/>
                <w:szCs w:val="21"/>
              </w:rPr>
              <w:t>指标项</w:t>
            </w:r>
          </w:p>
        </w:tc>
        <w:tc>
          <w:tcPr>
            <w:tcW w:w="7106" w:type="dxa"/>
            <w:shd w:val="clear" w:color="auto" w:fill="C0C0C0"/>
          </w:tcPr>
          <w:p>
            <w:pPr>
              <w:jc w:val="center"/>
              <w:rPr>
                <w:rFonts w:ascii="宋体" w:hAnsi="宋体" w:cs="宋体"/>
                <w:color w:val="000000"/>
                <w:szCs w:val="21"/>
              </w:rPr>
            </w:pPr>
            <w:r>
              <w:rPr>
                <w:rFonts w:hint="eastAsia" w:ascii="宋体" w:hAnsi="宋体" w:cs="宋体"/>
                <w:color w:val="000000"/>
                <w:szCs w:val="21"/>
              </w:rPr>
              <w:t>评分标准</w:t>
            </w:r>
          </w:p>
        </w:tc>
        <w:tc>
          <w:tcPr>
            <w:tcW w:w="736" w:type="dxa"/>
            <w:shd w:val="clear" w:color="auto" w:fill="C0C0C0"/>
          </w:tcPr>
          <w:p>
            <w:pPr>
              <w:jc w:val="center"/>
              <w:rPr>
                <w:rFonts w:ascii="宋体" w:hAnsi="宋体" w:cs="宋体"/>
                <w:b/>
                <w:color w:val="000000"/>
                <w:szCs w:val="21"/>
              </w:rPr>
            </w:pPr>
            <w:r>
              <w:rPr>
                <w:rFonts w:hint="eastAsia" w:ascii="宋体" w:hAnsi="宋体" w:cs="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工期</w:t>
            </w:r>
          </w:p>
          <w:p>
            <w:pPr>
              <w:snapToGrid w:val="0"/>
              <w:jc w:val="center"/>
              <w:rPr>
                <w:rFonts w:ascii="宋体" w:hAnsi="宋体" w:cs="宋体"/>
                <w:color w:val="000000"/>
                <w:szCs w:val="21"/>
              </w:rPr>
            </w:pPr>
            <w:r>
              <w:rPr>
                <w:rFonts w:hint="eastAsia" w:ascii="宋体" w:hAnsi="宋体" w:cs="宋体"/>
                <w:color w:val="000000"/>
                <w:szCs w:val="21"/>
              </w:rPr>
              <w:t>（√）</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工期承诺必须满足招标文件要求，否则作废标处理。</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质量</w:t>
            </w:r>
          </w:p>
          <w:p>
            <w:pPr>
              <w:snapToGrid w:val="0"/>
              <w:jc w:val="center"/>
              <w:rPr>
                <w:rFonts w:ascii="宋体" w:hAnsi="宋体" w:cs="宋体"/>
                <w:color w:val="000000"/>
                <w:szCs w:val="21"/>
              </w:rPr>
            </w:pPr>
            <w:r>
              <w:rPr>
                <w:rFonts w:hint="eastAsia" w:ascii="宋体" w:hAnsi="宋体" w:cs="宋体"/>
                <w:color w:val="000000"/>
                <w:szCs w:val="21"/>
              </w:rPr>
              <w:t>（√）</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质量承诺必须满足招标文件要求，否则作废标处理。</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209" w:type="dxa"/>
            <w:vMerge w:val="restart"/>
            <w:vAlign w:val="center"/>
          </w:tcPr>
          <w:p>
            <w:pPr>
              <w:snapToGrid w:val="0"/>
              <w:jc w:val="center"/>
              <w:rPr>
                <w:rFonts w:ascii="宋体" w:hAnsi="宋体" w:cs="宋体"/>
                <w:color w:val="000000"/>
                <w:szCs w:val="21"/>
              </w:rPr>
            </w:pPr>
            <w:r>
              <w:rPr>
                <w:rFonts w:hint="eastAsia" w:ascii="宋体" w:hAnsi="宋体" w:cs="宋体"/>
                <w:color w:val="000000"/>
                <w:szCs w:val="21"/>
              </w:rPr>
              <w:t>企业的基本情况</w:t>
            </w:r>
          </w:p>
          <w:p>
            <w:pPr>
              <w:snapToGrid w:val="0"/>
              <w:jc w:val="center"/>
              <w:rPr>
                <w:rFonts w:ascii="宋体" w:hAnsi="宋体" w:cs="宋体"/>
                <w:color w:val="000000"/>
                <w:szCs w:val="21"/>
              </w:rPr>
            </w:pPr>
            <w:r>
              <w:rPr>
                <w:rFonts w:hint="eastAsia" w:ascii="宋体" w:hAnsi="宋体" w:cs="宋体"/>
                <w:color w:val="000000"/>
                <w:szCs w:val="21"/>
              </w:rPr>
              <w:t>（0-</w:t>
            </w:r>
            <w:r>
              <w:rPr>
                <w:rFonts w:ascii="宋体" w:hAnsi="宋体" w:cs="宋体"/>
                <w:color w:val="000000"/>
                <w:szCs w:val="21"/>
              </w:rPr>
              <w:t>10</w:t>
            </w:r>
            <w:r>
              <w:rPr>
                <w:rFonts w:hint="eastAsia" w:ascii="宋体" w:hAnsi="宋体" w:cs="宋体"/>
                <w:color w:val="000000"/>
                <w:szCs w:val="21"/>
              </w:rPr>
              <w:t>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lang w:val="zh-CN"/>
              </w:rPr>
              <w:t>根据投标人</w:t>
            </w:r>
            <w:r>
              <w:rPr>
                <w:rFonts w:hint="eastAsia" w:ascii="宋体" w:hAnsi="宋体" w:cs="宋体"/>
                <w:color w:val="000000"/>
                <w:szCs w:val="21"/>
              </w:rPr>
              <w:t>整体</w:t>
            </w:r>
            <w:r>
              <w:rPr>
                <w:rFonts w:hint="eastAsia" w:ascii="宋体" w:hAnsi="宋体" w:cs="宋体"/>
                <w:color w:val="000000"/>
                <w:szCs w:val="21"/>
                <w:lang w:val="zh-CN"/>
              </w:rPr>
              <w:t>经营情况等得0-</w:t>
            </w:r>
            <w:r>
              <w:rPr>
                <w:rFonts w:ascii="宋体" w:hAnsi="宋体" w:cs="宋体"/>
                <w:color w:val="000000"/>
                <w:szCs w:val="21"/>
              </w:rPr>
              <w:t>6</w:t>
            </w:r>
            <w:r>
              <w:rPr>
                <w:rFonts w:hint="eastAsia" w:ascii="宋体" w:hAnsi="宋体" w:cs="宋体"/>
                <w:color w:val="000000"/>
                <w:szCs w:val="21"/>
                <w:lang w:val="zh-CN"/>
              </w:rPr>
              <w:t>分，由专家</w:t>
            </w:r>
            <w:r>
              <w:rPr>
                <w:rFonts w:hint="eastAsia" w:ascii="宋体" w:hAnsi="宋体" w:cs="宋体"/>
                <w:color w:val="000000"/>
                <w:szCs w:val="21"/>
              </w:rPr>
              <w:t>横向比较</w:t>
            </w:r>
            <w:r>
              <w:rPr>
                <w:rFonts w:hint="eastAsia" w:ascii="宋体" w:hAnsi="宋体" w:cs="宋体"/>
                <w:color w:val="000000"/>
                <w:szCs w:val="21"/>
                <w:lang w:val="zh-CN"/>
              </w:rPr>
              <w:t>酌情打分。</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209" w:type="dxa"/>
            <w:vMerge w:val="continue"/>
            <w:vAlign w:val="center"/>
          </w:tcPr>
          <w:p>
            <w:pPr>
              <w:snapToGrid w:val="0"/>
              <w:jc w:val="center"/>
              <w:rPr>
                <w:rFonts w:ascii="宋体" w:hAnsi="宋体" w:cs="宋体"/>
                <w:color w:val="000000"/>
                <w:szCs w:val="21"/>
              </w:rPr>
            </w:pPr>
          </w:p>
        </w:tc>
        <w:tc>
          <w:tcPr>
            <w:tcW w:w="7106" w:type="dxa"/>
            <w:vAlign w:val="center"/>
          </w:tcPr>
          <w:p>
            <w:pPr>
              <w:snapToGrid w:val="0"/>
              <w:rPr>
                <w:rFonts w:ascii="宋体" w:hAnsi="宋体" w:cs="宋体"/>
                <w:color w:val="000000"/>
                <w:szCs w:val="21"/>
                <w:lang w:val="zh-CN"/>
              </w:rPr>
            </w:pPr>
            <w:r>
              <w:rPr>
                <w:rFonts w:hint="eastAsia" w:ascii="宋体" w:hAnsi="宋体" w:cs="宋体"/>
                <w:color w:val="000000"/>
                <w:szCs w:val="21"/>
              </w:rPr>
              <w:t>法人代表或企业技术负责人、项目负责人均到达开标现场签到的得4分，其中有一个不到就不得分。</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施工技术方案</w:t>
            </w:r>
          </w:p>
          <w:p>
            <w:pPr>
              <w:snapToGrid w:val="0"/>
              <w:jc w:val="center"/>
              <w:rPr>
                <w:rFonts w:ascii="宋体" w:hAnsi="宋体" w:cs="宋体"/>
                <w:color w:val="000000"/>
                <w:szCs w:val="21"/>
              </w:rPr>
            </w:pPr>
            <w:r>
              <w:rPr>
                <w:rFonts w:hint="eastAsia" w:ascii="宋体" w:hAnsi="宋体" w:cs="宋体"/>
                <w:color w:val="000000"/>
                <w:szCs w:val="21"/>
              </w:rPr>
              <w:t>（0-9分）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施工技术方案是否科学、合理、可行；</w:t>
            </w:r>
            <w:r>
              <w:rPr>
                <w:rFonts w:hint="eastAsia" w:ascii="宋体" w:hAnsi="宋体" w:cs="宋体"/>
                <w:color w:val="000000"/>
                <w:szCs w:val="21"/>
                <w:lang w:val="zh-CN"/>
              </w:rPr>
              <w:t>由专家</w:t>
            </w:r>
            <w:r>
              <w:rPr>
                <w:rFonts w:hint="eastAsia" w:ascii="宋体" w:hAnsi="宋体" w:cs="宋体"/>
                <w:color w:val="000000"/>
                <w:szCs w:val="21"/>
              </w:rPr>
              <w:t>横向比较</w:t>
            </w:r>
            <w:r>
              <w:rPr>
                <w:rFonts w:hint="eastAsia" w:ascii="宋体" w:hAnsi="宋体" w:cs="宋体"/>
                <w:color w:val="000000"/>
                <w:szCs w:val="21"/>
                <w:lang w:val="zh-CN"/>
              </w:rPr>
              <w:t>酌情打分</w:t>
            </w:r>
            <w:r>
              <w:rPr>
                <w:rFonts w:hint="eastAsia" w:ascii="宋体" w:hAnsi="宋体" w:cs="宋体"/>
                <w:color w:val="000000"/>
                <w:szCs w:val="21"/>
              </w:rPr>
              <w:t>。</w:t>
            </w:r>
            <w:r>
              <w:rPr>
                <w:rFonts w:hint="eastAsia" w:ascii="宋体" w:hAnsi="宋体" w:cs="宋体"/>
                <w:bCs/>
              </w:rPr>
              <w:t>针对项目现状，对场最特定的理解，选配合理的相关设备，根据整体设备的合理性综合打分，现解明确完整，整体设备配置合理的最高得</w:t>
            </w:r>
            <w:r>
              <w:rPr>
                <w:rFonts w:hint="eastAsia" w:cs="宋体"/>
                <w:bCs/>
              </w:rPr>
              <w:t>9</w:t>
            </w:r>
            <w:r>
              <w:rPr>
                <w:rFonts w:hint="eastAsia" w:ascii="宋体" w:hAnsi="宋体" w:cs="宋体"/>
                <w:bCs/>
              </w:rPr>
              <w:t>分，有缺漏项或不合理的每项扣1-2分，扣完为止。</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施工质量保证措施（0-9分）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施工质量保证措施是否合理；</w:t>
            </w:r>
            <w:r>
              <w:rPr>
                <w:rFonts w:hint="eastAsia" w:ascii="宋体" w:hAnsi="宋体" w:cs="宋体"/>
                <w:color w:val="000000"/>
                <w:szCs w:val="21"/>
                <w:lang w:val="zh-CN"/>
              </w:rPr>
              <w:t>由专家</w:t>
            </w:r>
            <w:r>
              <w:rPr>
                <w:rFonts w:hint="eastAsia" w:ascii="宋体" w:hAnsi="宋体" w:cs="宋体"/>
                <w:color w:val="000000"/>
                <w:szCs w:val="21"/>
              </w:rPr>
              <w:t>横向比较</w:t>
            </w:r>
            <w:r>
              <w:rPr>
                <w:rFonts w:hint="eastAsia" w:ascii="宋体" w:hAnsi="宋体" w:cs="宋体"/>
                <w:color w:val="000000"/>
                <w:szCs w:val="21"/>
                <w:lang w:val="zh-CN"/>
              </w:rPr>
              <w:t>酌情打分</w:t>
            </w:r>
            <w:r>
              <w:rPr>
                <w:rFonts w:hint="eastAsia" w:ascii="宋体" w:hAnsi="宋体" w:cs="宋体"/>
                <w:color w:val="000000"/>
                <w:szCs w:val="21"/>
              </w:rPr>
              <w:t>。</w:t>
            </w:r>
            <w:r>
              <w:rPr>
                <w:rFonts w:hint="eastAsia" w:ascii="宋体" w:hAnsi="宋体" w:cs="宋体"/>
                <w:bCs/>
              </w:rPr>
              <w:t>针对项目现状，对场最特定的理解，选配合理的相关设备，根据整体设备的合理性综合打分，现解明确完整，整体设备配置合理的最高得</w:t>
            </w:r>
            <w:r>
              <w:rPr>
                <w:rFonts w:hint="eastAsia" w:cs="宋体"/>
                <w:bCs/>
              </w:rPr>
              <w:t>9</w:t>
            </w:r>
            <w:r>
              <w:rPr>
                <w:rFonts w:hint="eastAsia" w:ascii="宋体" w:hAnsi="宋体" w:cs="宋体"/>
                <w:bCs/>
              </w:rPr>
              <w:t>分，有缺漏项或不合理的每项扣1-2分，扣完为止。</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施工进度计划及保证措施（0-9分）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施工进度计划及保证措施是否合理；</w:t>
            </w:r>
            <w:r>
              <w:rPr>
                <w:rFonts w:hint="eastAsia" w:ascii="宋体" w:hAnsi="宋体" w:cs="宋体"/>
                <w:color w:val="000000"/>
                <w:szCs w:val="21"/>
                <w:lang w:val="zh-CN"/>
              </w:rPr>
              <w:t>由专家</w:t>
            </w:r>
            <w:r>
              <w:rPr>
                <w:rFonts w:hint="eastAsia" w:ascii="宋体" w:hAnsi="宋体" w:cs="宋体"/>
                <w:color w:val="000000"/>
                <w:szCs w:val="21"/>
              </w:rPr>
              <w:t>横向比较</w:t>
            </w:r>
            <w:r>
              <w:rPr>
                <w:rFonts w:hint="eastAsia" w:ascii="宋体" w:hAnsi="宋体" w:cs="宋体"/>
                <w:color w:val="000000"/>
                <w:szCs w:val="21"/>
                <w:lang w:val="zh-CN"/>
              </w:rPr>
              <w:t>酌情打分</w:t>
            </w:r>
            <w:r>
              <w:rPr>
                <w:rFonts w:hint="eastAsia" w:ascii="宋体" w:hAnsi="宋体" w:cs="宋体"/>
                <w:color w:val="000000"/>
                <w:szCs w:val="21"/>
              </w:rPr>
              <w:t>。</w:t>
            </w:r>
            <w:r>
              <w:rPr>
                <w:rFonts w:hint="eastAsia" w:ascii="宋体" w:hAnsi="宋体" w:cs="宋体"/>
                <w:bCs/>
              </w:rPr>
              <w:t>针对项目现状，对场最特定的理解，选配合理的相关设备，根据整体设备的合理性综合打分，现解明确完整，整体设备配置合理的最高得</w:t>
            </w:r>
            <w:r>
              <w:rPr>
                <w:rFonts w:hint="eastAsia" w:cs="宋体"/>
                <w:bCs/>
              </w:rPr>
              <w:t>9</w:t>
            </w:r>
            <w:r>
              <w:rPr>
                <w:rFonts w:hint="eastAsia" w:ascii="宋体" w:hAnsi="宋体" w:cs="宋体"/>
                <w:bCs/>
              </w:rPr>
              <w:t>分，有缺漏项或不合理的每项扣1-2分，扣完为止。</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安全生产、文明施工环境保护措施</w:t>
            </w:r>
          </w:p>
          <w:p>
            <w:pPr>
              <w:snapToGrid w:val="0"/>
              <w:jc w:val="center"/>
              <w:rPr>
                <w:rFonts w:ascii="宋体" w:hAnsi="宋体" w:cs="宋体"/>
                <w:color w:val="000000"/>
                <w:szCs w:val="21"/>
              </w:rPr>
            </w:pPr>
            <w:r>
              <w:rPr>
                <w:rFonts w:hint="eastAsia" w:ascii="宋体" w:hAnsi="宋体" w:cs="宋体"/>
                <w:color w:val="000000"/>
                <w:szCs w:val="21"/>
              </w:rPr>
              <w:t>（0-8分）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确保安全生产、文明施工、环境保护的技术组织措施，</w:t>
            </w:r>
            <w:r>
              <w:rPr>
                <w:rFonts w:hint="eastAsia" w:ascii="宋体" w:hAnsi="宋体" w:cs="宋体"/>
                <w:color w:val="000000"/>
                <w:szCs w:val="21"/>
                <w:lang w:val="zh-CN"/>
              </w:rPr>
              <w:t>由专家</w:t>
            </w:r>
            <w:r>
              <w:rPr>
                <w:rFonts w:hint="eastAsia" w:ascii="宋体" w:hAnsi="宋体" w:cs="宋体"/>
                <w:color w:val="000000"/>
                <w:szCs w:val="21"/>
              </w:rPr>
              <w:t>横向比较</w:t>
            </w:r>
            <w:r>
              <w:rPr>
                <w:rFonts w:hint="eastAsia" w:ascii="宋体" w:hAnsi="宋体" w:cs="宋体"/>
                <w:color w:val="000000"/>
                <w:szCs w:val="21"/>
                <w:lang w:val="zh-CN"/>
              </w:rPr>
              <w:t>酌情打分。</w:t>
            </w:r>
            <w:r>
              <w:rPr>
                <w:rFonts w:hint="eastAsia" w:ascii="宋体" w:hAnsi="宋体" w:cs="宋体"/>
                <w:bCs/>
              </w:rPr>
              <w:t>针对项目现状，对场最特定的理解，选配合理的相关设备，根据整体设备的合理性综合打分，现解明确完整，整体设备配置合理的最高得</w:t>
            </w:r>
            <w:r>
              <w:rPr>
                <w:rFonts w:hint="eastAsia" w:cs="宋体"/>
                <w:bCs/>
              </w:rPr>
              <w:t>8</w:t>
            </w:r>
            <w:r>
              <w:rPr>
                <w:rFonts w:hint="eastAsia" w:ascii="宋体" w:hAnsi="宋体" w:cs="宋体"/>
                <w:bCs/>
              </w:rPr>
              <w:t>分，有缺漏项或不合理的每项扣1-2分，扣完为止。</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本地化服务（0-</w:t>
            </w:r>
            <w:r>
              <w:rPr>
                <w:rFonts w:ascii="宋体" w:hAnsi="宋体" w:cs="宋体"/>
                <w:color w:val="000000"/>
                <w:szCs w:val="21"/>
              </w:rPr>
              <w:t>2</w:t>
            </w:r>
            <w:r>
              <w:rPr>
                <w:rFonts w:hint="eastAsia" w:ascii="宋体" w:hAnsi="宋体" w:cs="宋体"/>
                <w:color w:val="000000"/>
                <w:szCs w:val="21"/>
              </w:rPr>
              <w:t>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投标人在金华市本级有服务点的得</w:t>
            </w:r>
            <w:r>
              <w:rPr>
                <w:rFonts w:ascii="宋体" w:hAnsi="宋体" w:cs="宋体"/>
                <w:color w:val="000000"/>
                <w:szCs w:val="21"/>
              </w:rPr>
              <w:t>2</w:t>
            </w:r>
            <w:r>
              <w:rPr>
                <w:rFonts w:hint="eastAsia" w:ascii="宋体" w:hAnsi="宋体" w:cs="宋体"/>
                <w:color w:val="000000"/>
                <w:szCs w:val="21"/>
              </w:rPr>
              <w:t>分，在浙江省有服务点的得</w:t>
            </w:r>
            <w:r>
              <w:rPr>
                <w:rFonts w:ascii="宋体" w:hAnsi="宋体" w:cs="宋体"/>
                <w:color w:val="000000"/>
                <w:szCs w:val="21"/>
              </w:rPr>
              <w:t>1</w:t>
            </w:r>
            <w:r>
              <w:rPr>
                <w:rFonts w:hint="eastAsia" w:ascii="宋体" w:hAnsi="宋体" w:cs="宋体"/>
                <w:color w:val="000000"/>
                <w:szCs w:val="21"/>
              </w:rPr>
              <w:t>分。（提供证明材料）</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项目负责人及工程技术管理人员（0-8分）</w:t>
            </w:r>
          </w:p>
        </w:tc>
        <w:tc>
          <w:tcPr>
            <w:tcW w:w="7106" w:type="dxa"/>
            <w:vAlign w:val="center"/>
          </w:tcPr>
          <w:p>
            <w:pPr>
              <w:widowControl w:val="0"/>
              <w:numPr>
                <w:ilvl w:val="0"/>
                <w:numId w:val="3"/>
              </w:numPr>
              <w:snapToGrid w:val="0"/>
              <w:jc w:val="both"/>
              <w:rPr>
                <w:rFonts w:ascii="宋体" w:hAnsi="宋体" w:cs="宋体"/>
                <w:color w:val="000000"/>
                <w:szCs w:val="21"/>
              </w:rPr>
            </w:pPr>
            <w:r>
              <w:rPr>
                <w:rFonts w:hint="eastAsia" w:ascii="宋体" w:hAnsi="宋体" w:cs="宋体"/>
                <w:color w:val="000000"/>
                <w:szCs w:val="21"/>
              </w:rPr>
              <w:t>拟派</w:t>
            </w:r>
            <w:r>
              <w:rPr>
                <w:rFonts w:ascii="宋体" w:hAnsi="宋体" w:cs="宋体"/>
                <w:color w:val="000000"/>
                <w:szCs w:val="21"/>
              </w:rPr>
              <w:t>项目技术负责人</w:t>
            </w:r>
            <w:r>
              <w:rPr>
                <w:rFonts w:hint="eastAsia" w:ascii="宋体" w:hAnsi="宋体" w:cs="宋体"/>
                <w:color w:val="000000"/>
                <w:szCs w:val="21"/>
              </w:rPr>
              <w:t>具有</w:t>
            </w:r>
            <w:r>
              <w:rPr>
                <w:rFonts w:ascii="宋体" w:hAnsi="宋体" w:cs="宋体"/>
                <w:color w:val="000000"/>
                <w:szCs w:val="21"/>
              </w:rPr>
              <w:t>水利专业高级及以上职称的</w:t>
            </w:r>
            <w:r>
              <w:rPr>
                <w:rFonts w:hint="eastAsia" w:ascii="宋体" w:hAnsi="宋体" w:cs="宋体"/>
                <w:color w:val="000000"/>
                <w:szCs w:val="21"/>
              </w:rPr>
              <w:t>加4分；</w:t>
            </w:r>
          </w:p>
          <w:p>
            <w:pPr>
              <w:pStyle w:val="2"/>
              <w:widowControl w:val="0"/>
              <w:numPr>
                <w:ilvl w:val="0"/>
                <w:numId w:val="3"/>
              </w:numPr>
              <w:autoSpaceDE w:val="0"/>
              <w:autoSpaceDN w:val="0"/>
              <w:adjustRightInd w:val="0"/>
              <w:ind w:leftChars="0" w:firstLineChars="0"/>
              <w:rPr>
                <w:rFonts w:hAnsi="宋体" w:cs="宋体"/>
                <w:color w:val="000000"/>
                <w:sz w:val="21"/>
                <w:szCs w:val="21"/>
              </w:rPr>
            </w:pPr>
            <w:r>
              <w:rPr>
                <w:rFonts w:hAnsi="宋体" w:cs="宋体"/>
                <w:color w:val="000000"/>
                <w:sz w:val="21"/>
                <w:szCs w:val="21"/>
              </w:rPr>
              <w:t>项目组成员中具有水利专业中级职称的每个</w:t>
            </w:r>
            <w:r>
              <w:rPr>
                <w:rFonts w:hint="eastAsia" w:hAnsi="宋体" w:cs="宋体"/>
                <w:color w:val="000000"/>
                <w:sz w:val="21"/>
                <w:szCs w:val="21"/>
              </w:rPr>
              <w:t>加1分，最高</w:t>
            </w:r>
            <w:r>
              <w:rPr>
                <w:rFonts w:hAnsi="宋体" w:cs="宋体"/>
                <w:color w:val="000000"/>
                <w:sz w:val="21"/>
                <w:szCs w:val="21"/>
              </w:rPr>
              <w:t>加</w:t>
            </w:r>
            <w:r>
              <w:rPr>
                <w:rFonts w:hint="eastAsia" w:hAnsi="宋体" w:cs="宋体"/>
                <w:color w:val="000000"/>
                <w:sz w:val="21"/>
                <w:szCs w:val="21"/>
              </w:rPr>
              <w:t>4分</w:t>
            </w:r>
            <w:r>
              <w:rPr>
                <w:rFonts w:hAnsi="宋体" w:cs="宋体"/>
                <w:color w:val="000000"/>
                <w:sz w:val="21"/>
                <w:szCs w:val="21"/>
              </w:rPr>
              <w:t>。</w:t>
            </w:r>
            <w:r>
              <w:rPr>
                <w:rFonts w:hint="eastAsia" w:hAnsi="宋体" w:cs="宋体"/>
                <w:color w:val="000000"/>
                <w:sz w:val="21"/>
                <w:szCs w:val="21"/>
              </w:rPr>
              <w:t>（不</w:t>
            </w:r>
            <w:r>
              <w:rPr>
                <w:rFonts w:hAnsi="宋体" w:cs="宋体"/>
                <w:color w:val="000000"/>
                <w:sz w:val="21"/>
                <w:szCs w:val="21"/>
              </w:rPr>
              <w:t>重复计分</w:t>
            </w:r>
            <w:r>
              <w:rPr>
                <w:rFonts w:hint="eastAsia" w:hAnsi="宋体" w:cs="宋体"/>
                <w:color w:val="000000"/>
                <w:sz w:val="21"/>
                <w:szCs w:val="21"/>
              </w:rPr>
              <w:t>、</w:t>
            </w:r>
            <w:r>
              <w:rPr>
                <w:rFonts w:hAnsi="宋体" w:cs="宋体"/>
                <w:color w:val="000000"/>
                <w:sz w:val="21"/>
                <w:szCs w:val="21"/>
              </w:rPr>
              <w:t>职称重叠、</w:t>
            </w:r>
            <w:r>
              <w:rPr>
                <w:rFonts w:hint="eastAsia" w:hAnsi="宋体" w:cs="宋体"/>
                <w:color w:val="000000"/>
                <w:sz w:val="21"/>
                <w:szCs w:val="21"/>
              </w:rPr>
              <w:t>重复</w:t>
            </w:r>
            <w:r>
              <w:rPr>
                <w:rFonts w:hAnsi="宋体" w:cs="宋体"/>
                <w:color w:val="000000"/>
                <w:sz w:val="21"/>
                <w:szCs w:val="21"/>
              </w:rPr>
              <w:t>的仅</w:t>
            </w:r>
            <w:r>
              <w:rPr>
                <w:rFonts w:hint="eastAsia" w:hAnsi="宋体" w:cs="宋体"/>
                <w:color w:val="000000"/>
                <w:sz w:val="21"/>
                <w:szCs w:val="21"/>
              </w:rPr>
              <w:t>按</w:t>
            </w:r>
            <w:r>
              <w:rPr>
                <w:rFonts w:hAnsi="宋体" w:cs="宋体"/>
                <w:color w:val="000000"/>
                <w:sz w:val="21"/>
                <w:szCs w:val="21"/>
              </w:rPr>
              <w:t>最高级别打分</w:t>
            </w:r>
            <w:r>
              <w:rPr>
                <w:rFonts w:hint="eastAsia" w:hAnsi="宋体" w:cs="宋体"/>
                <w:color w:val="000000"/>
                <w:sz w:val="21"/>
                <w:szCs w:val="21"/>
              </w:rPr>
              <w:t>）。</w:t>
            </w:r>
          </w:p>
          <w:p>
            <w:pPr>
              <w:pStyle w:val="2"/>
              <w:ind w:left="0" w:leftChars="0" w:firstLine="0" w:firstLineChars="0"/>
              <w:rPr>
                <w:rFonts w:hAnsi="宋体" w:cs="宋体"/>
                <w:b/>
                <w:color w:val="000000"/>
                <w:sz w:val="21"/>
                <w:szCs w:val="21"/>
              </w:rPr>
            </w:pPr>
            <w:r>
              <w:rPr>
                <w:rFonts w:hint="eastAsia" w:hAnsi="宋体" w:cs="宋体"/>
                <w:b/>
                <w:color w:val="000000"/>
                <w:sz w:val="21"/>
                <w:szCs w:val="21"/>
              </w:rPr>
              <w:t>注</w:t>
            </w:r>
            <w:r>
              <w:rPr>
                <w:rFonts w:hAnsi="宋体" w:cs="宋体"/>
                <w:b/>
                <w:color w:val="000000"/>
                <w:sz w:val="21"/>
                <w:szCs w:val="21"/>
              </w:rPr>
              <w:t>：</w:t>
            </w:r>
            <w:r>
              <w:rPr>
                <w:rFonts w:hint="eastAsia" w:hAnsi="宋体" w:cs="宋体"/>
                <w:b/>
                <w:color w:val="000000"/>
                <w:sz w:val="21"/>
                <w:szCs w:val="21"/>
              </w:rPr>
              <w:t>需提供以上人员近一个季度的社保证明，</w:t>
            </w:r>
            <w:r>
              <w:rPr>
                <w:rFonts w:hAnsi="宋体" w:cs="宋体"/>
                <w:b/>
                <w:color w:val="000000"/>
                <w:sz w:val="21"/>
                <w:szCs w:val="21"/>
              </w:rPr>
              <w:t>职称证书不能体现专业的</w:t>
            </w:r>
            <w:r>
              <w:rPr>
                <w:rFonts w:hint="eastAsia" w:hAnsi="宋体" w:cs="宋体"/>
                <w:b/>
                <w:color w:val="000000"/>
                <w:sz w:val="21"/>
                <w:szCs w:val="21"/>
              </w:rPr>
              <w:t>，</w:t>
            </w:r>
            <w:r>
              <w:rPr>
                <w:rFonts w:hAnsi="宋体" w:cs="宋体"/>
                <w:b/>
                <w:color w:val="000000"/>
                <w:sz w:val="21"/>
                <w:szCs w:val="21"/>
              </w:rPr>
              <w:t>需要</w:t>
            </w:r>
            <w:r>
              <w:rPr>
                <w:rFonts w:hint="eastAsia" w:hAnsi="宋体" w:cs="宋体"/>
                <w:b/>
                <w:color w:val="000000"/>
                <w:sz w:val="21"/>
                <w:szCs w:val="21"/>
              </w:rPr>
              <w:t>提供</w:t>
            </w:r>
            <w:r>
              <w:rPr>
                <w:rFonts w:hAnsi="宋体" w:cs="宋体"/>
                <w:b/>
                <w:color w:val="000000"/>
                <w:sz w:val="21"/>
                <w:szCs w:val="21"/>
              </w:rPr>
              <w:t>相关专业毕业证书。</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服务质量承诺（0-7分）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投标人在质量保证期间维修服务承诺</w:t>
            </w:r>
            <w:r>
              <w:rPr>
                <w:rFonts w:hint="eastAsia" w:ascii="宋体" w:hAnsi="宋体" w:cs="宋体"/>
                <w:color w:val="000000"/>
                <w:szCs w:val="21"/>
                <w:lang w:val="zh-CN"/>
              </w:rPr>
              <w:t>由专家</w:t>
            </w:r>
            <w:r>
              <w:rPr>
                <w:rFonts w:hint="eastAsia" w:ascii="宋体" w:hAnsi="宋体" w:cs="宋体"/>
                <w:color w:val="000000"/>
                <w:szCs w:val="21"/>
              </w:rPr>
              <w:t>横向比较</w:t>
            </w:r>
            <w:r>
              <w:rPr>
                <w:rFonts w:hint="eastAsia" w:ascii="宋体" w:hAnsi="宋体" w:cs="宋体"/>
                <w:color w:val="000000"/>
                <w:szCs w:val="21"/>
                <w:lang w:val="zh-CN"/>
              </w:rPr>
              <w:t>酌情打分</w:t>
            </w:r>
            <w:r>
              <w:rPr>
                <w:rFonts w:hint="eastAsia" w:ascii="宋体" w:hAnsi="宋体" w:cs="宋体"/>
                <w:color w:val="000000"/>
                <w:szCs w:val="21"/>
              </w:rPr>
              <w:t>。</w:t>
            </w:r>
            <w:r>
              <w:rPr>
                <w:rFonts w:hint="eastAsia" w:ascii="宋体" w:hAnsi="宋体" w:cs="宋体"/>
                <w:bCs/>
              </w:rPr>
              <w:t>评价其科学性、先进性、可行性和扩展性等，方案科学有效的最高得</w:t>
            </w:r>
            <w:r>
              <w:rPr>
                <w:rFonts w:ascii="宋体" w:hAnsi="宋体" w:cs="宋体"/>
                <w:bCs/>
              </w:rPr>
              <w:t>7</w:t>
            </w:r>
            <w:r>
              <w:rPr>
                <w:rFonts w:hint="eastAsia" w:ascii="宋体" w:hAnsi="宋体" w:cs="宋体"/>
                <w:bCs/>
              </w:rPr>
              <w:t>分，有缺漏项或不合理的每项扣1-2分，扣完为止。</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209" w:type="dxa"/>
            <w:vMerge w:val="restart"/>
            <w:vAlign w:val="center"/>
          </w:tcPr>
          <w:p>
            <w:pPr>
              <w:snapToGrid w:val="0"/>
              <w:jc w:val="center"/>
              <w:rPr>
                <w:rFonts w:ascii="宋体" w:hAnsi="宋体" w:cs="宋体"/>
                <w:color w:val="000000"/>
                <w:szCs w:val="21"/>
              </w:rPr>
            </w:pPr>
            <w:r>
              <w:rPr>
                <w:rFonts w:hint="eastAsia" w:ascii="宋体" w:hAnsi="宋体" w:cs="宋体"/>
                <w:color w:val="000000"/>
                <w:szCs w:val="21"/>
              </w:rPr>
              <w:t>业绩                                                                                                                                                                                                                        （0-</w:t>
            </w:r>
            <w:r>
              <w:rPr>
                <w:rFonts w:ascii="宋体" w:hAnsi="宋体" w:cs="宋体"/>
                <w:color w:val="000000"/>
                <w:szCs w:val="21"/>
              </w:rPr>
              <w:t>6</w:t>
            </w:r>
            <w:r>
              <w:rPr>
                <w:rFonts w:hint="eastAsia" w:ascii="宋体" w:hAnsi="宋体" w:cs="宋体"/>
                <w:color w:val="000000"/>
                <w:szCs w:val="21"/>
              </w:rPr>
              <w:t>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201</w:t>
            </w:r>
            <w:r>
              <w:rPr>
                <w:rFonts w:ascii="宋体" w:hAnsi="宋体" w:cs="宋体"/>
                <w:color w:val="000000"/>
                <w:szCs w:val="21"/>
              </w:rPr>
              <w:t>7</w:t>
            </w:r>
            <w:r>
              <w:rPr>
                <w:rFonts w:hint="eastAsia" w:ascii="宋体" w:hAnsi="宋体" w:cs="宋体"/>
                <w:color w:val="000000"/>
                <w:szCs w:val="21"/>
              </w:rPr>
              <w:t>年1月1日至今，企业具有同类项目施工业绩的每个加1分，最多加</w:t>
            </w:r>
            <w:r>
              <w:rPr>
                <w:rFonts w:ascii="宋体" w:hAnsi="宋体" w:cs="宋体"/>
                <w:color w:val="000000"/>
                <w:szCs w:val="21"/>
              </w:rPr>
              <w:t>3</w:t>
            </w:r>
            <w:r>
              <w:rPr>
                <w:rFonts w:hint="eastAsia" w:ascii="宋体" w:hAnsi="宋体" w:cs="宋体"/>
                <w:color w:val="000000"/>
                <w:szCs w:val="21"/>
              </w:rPr>
              <w:t>分。（合同原件带上备查）</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209" w:type="dxa"/>
            <w:vMerge w:val="continue"/>
            <w:vAlign w:val="center"/>
          </w:tcPr>
          <w:p>
            <w:pPr>
              <w:snapToGrid w:val="0"/>
              <w:jc w:val="center"/>
              <w:rPr>
                <w:rFonts w:ascii="宋体" w:hAnsi="宋体" w:cs="宋体"/>
                <w:color w:val="000000"/>
                <w:szCs w:val="21"/>
              </w:rPr>
            </w:pP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201</w:t>
            </w:r>
            <w:r>
              <w:rPr>
                <w:rFonts w:ascii="宋体" w:hAnsi="宋体" w:cs="宋体"/>
                <w:color w:val="000000"/>
                <w:szCs w:val="21"/>
              </w:rPr>
              <w:t>7</w:t>
            </w:r>
            <w:r>
              <w:rPr>
                <w:rFonts w:hint="eastAsia" w:ascii="宋体" w:hAnsi="宋体" w:cs="宋体"/>
                <w:color w:val="000000"/>
                <w:szCs w:val="21"/>
              </w:rPr>
              <w:t>年1月1日至今，项目负责人具有同类项目施工业绩的每个加1分，最多加</w:t>
            </w:r>
            <w:r>
              <w:rPr>
                <w:rFonts w:ascii="宋体" w:hAnsi="宋体" w:cs="宋体"/>
                <w:color w:val="000000"/>
                <w:szCs w:val="21"/>
              </w:rPr>
              <w:t>3</w:t>
            </w:r>
            <w:r>
              <w:rPr>
                <w:rFonts w:hint="eastAsia" w:ascii="宋体" w:hAnsi="宋体" w:cs="宋体"/>
                <w:color w:val="000000"/>
                <w:szCs w:val="21"/>
              </w:rPr>
              <w:t>分。（合同原件带上备查）（同一个项目的业绩与项目负责人业绩不重复计分即此项不得分）。</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209" w:type="dxa"/>
            <w:vAlign w:val="center"/>
          </w:tcPr>
          <w:p>
            <w:pPr>
              <w:snapToGrid w:val="0"/>
              <w:jc w:val="center"/>
              <w:rPr>
                <w:rFonts w:ascii="宋体" w:hAnsi="宋体" w:cs="宋体"/>
                <w:color w:val="000000"/>
                <w:szCs w:val="21"/>
              </w:rPr>
            </w:pPr>
            <w:r>
              <w:rPr>
                <w:rFonts w:hint="eastAsia" w:ascii="宋体" w:hAnsi="宋体" w:cs="宋体"/>
                <w:color w:val="000000"/>
                <w:szCs w:val="21"/>
              </w:rPr>
              <w:t>政策分（0-2分）</w:t>
            </w:r>
          </w:p>
        </w:tc>
        <w:tc>
          <w:tcPr>
            <w:tcW w:w="7106" w:type="dxa"/>
            <w:vAlign w:val="center"/>
          </w:tcPr>
          <w:p>
            <w:pPr>
              <w:snapToGrid w:val="0"/>
              <w:rPr>
                <w:rFonts w:ascii="宋体" w:hAnsi="宋体" w:cs="宋体"/>
                <w:color w:val="000000"/>
                <w:szCs w:val="21"/>
              </w:rPr>
            </w:pPr>
            <w:r>
              <w:rPr>
                <w:rFonts w:hint="eastAsia" w:ascii="宋体" w:hAnsi="宋体" w:cs="宋体"/>
                <w:color w:val="000000"/>
                <w:szCs w:val="21"/>
              </w:rPr>
              <w:t>投标人符合《政府采购货物和服务招标投标管理办法》第五条规定，属“节约能源、保护环境、扶持不发达地区和少数民族地区等”政府采购政策扶持对象的，提供相关证明材料和政策依据，根据其重要性每符合一项得0.5-1分，最高可得2分。未提供相关证明材料的不得分。</w:t>
            </w:r>
          </w:p>
        </w:tc>
        <w:tc>
          <w:tcPr>
            <w:tcW w:w="736"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209" w:type="dxa"/>
            <w:vAlign w:val="center"/>
          </w:tcPr>
          <w:p>
            <w:pPr>
              <w:snapToGrid w:val="0"/>
              <w:spacing w:line="400" w:lineRule="exact"/>
              <w:jc w:val="center"/>
              <w:rPr>
                <w:rFonts w:ascii="宋体" w:hAnsi="宋体" w:cs="宋体"/>
                <w:color w:val="000000"/>
                <w:szCs w:val="21"/>
              </w:rPr>
            </w:pPr>
            <w:r>
              <w:rPr>
                <w:rFonts w:hint="eastAsia" w:ascii="宋体" w:hAnsi="宋体" w:cs="宋体"/>
                <w:color w:val="000000"/>
                <w:szCs w:val="21"/>
              </w:rPr>
              <w:t>合计</w:t>
            </w:r>
          </w:p>
          <w:p>
            <w:pPr>
              <w:snapToGrid w:val="0"/>
              <w:spacing w:line="400" w:lineRule="exact"/>
              <w:jc w:val="center"/>
              <w:rPr>
                <w:rFonts w:ascii="宋体" w:hAnsi="宋体" w:cs="宋体"/>
                <w:color w:val="000000"/>
                <w:szCs w:val="21"/>
              </w:rPr>
            </w:pPr>
            <w:r>
              <w:rPr>
                <w:rFonts w:hint="eastAsia" w:ascii="宋体" w:hAnsi="宋体" w:cs="宋体"/>
                <w:color w:val="000000"/>
                <w:szCs w:val="21"/>
              </w:rPr>
              <w:t>（70分）</w:t>
            </w:r>
          </w:p>
        </w:tc>
        <w:tc>
          <w:tcPr>
            <w:tcW w:w="7106" w:type="dxa"/>
          </w:tcPr>
          <w:p>
            <w:pPr>
              <w:snapToGrid w:val="0"/>
              <w:spacing w:line="400" w:lineRule="exact"/>
              <w:rPr>
                <w:rFonts w:ascii="宋体" w:hAnsi="宋体" w:cs="宋体"/>
                <w:color w:val="000000"/>
                <w:szCs w:val="21"/>
              </w:rPr>
            </w:pPr>
            <w:r>
              <w:rPr>
                <w:rFonts w:hint="eastAsia" w:ascii="宋体" w:hAnsi="宋体" w:cs="宋体"/>
                <w:color w:val="000000"/>
                <w:szCs w:val="21"/>
              </w:rPr>
              <w:t xml:space="preserve">            </w:t>
            </w:r>
          </w:p>
        </w:tc>
        <w:tc>
          <w:tcPr>
            <w:tcW w:w="736" w:type="dxa"/>
            <w:vAlign w:val="center"/>
          </w:tcPr>
          <w:p>
            <w:pPr>
              <w:jc w:val="center"/>
              <w:rPr>
                <w:rFonts w:ascii="宋体" w:hAnsi="宋体" w:cs="宋体"/>
                <w:color w:val="000000"/>
                <w:szCs w:val="21"/>
              </w:rPr>
            </w:pPr>
          </w:p>
        </w:tc>
      </w:tr>
    </w:tbl>
    <w:p>
      <w:pPr>
        <w:widowControl w:val="0"/>
        <w:adjustRightInd w:val="0"/>
        <w:snapToGrid w:val="0"/>
        <w:spacing w:line="360" w:lineRule="auto"/>
        <w:ind w:firstLine="360" w:firstLineChars="150"/>
        <w:rPr>
          <w:rFonts w:ascii="宋体" w:hAnsi="宋体" w:cs="宋体"/>
        </w:rPr>
      </w:pPr>
      <w:r>
        <w:rPr>
          <w:rFonts w:hint="eastAsia" w:ascii="宋体" w:hAnsi="宋体" w:cs="宋体"/>
        </w:rPr>
        <w:t>3、价格标评审部分（满分</w:t>
      </w:r>
      <w:r>
        <w:rPr>
          <w:rFonts w:ascii="宋体" w:hAnsi="宋体" w:cs="宋体"/>
        </w:rPr>
        <w:t>3</w:t>
      </w:r>
      <w:r>
        <w:rPr>
          <w:rFonts w:hint="eastAsia" w:ascii="宋体" w:hAnsi="宋体" w:cs="宋体"/>
        </w:rPr>
        <w:t>0分）</w:t>
      </w:r>
    </w:p>
    <w:p>
      <w:pPr>
        <w:pStyle w:val="3"/>
        <w:spacing w:line="360" w:lineRule="auto"/>
        <w:ind w:left="480"/>
        <w:rPr>
          <w:rFonts w:ascii="宋体" w:hAnsi="宋体" w:cs="宋体"/>
        </w:rPr>
      </w:pPr>
      <w:r>
        <w:rPr>
          <w:rFonts w:hint="eastAsia" w:ascii="宋体" w:hAnsi="宋体" w:cs="宋体"/>
        </w:rPr>
        <w:t>公开唱标的投标报价，将作为计算各投标人价格得分的唯一依据。价格分采用低价优先法计算，以满足招标文件要求且进行了政策性价格扣除后，以评审</w:t>
      </w:r>
      <w:r>
        <w:rPr>
          <w:rFonts w:hint="eastAsia" w:ascii="宋体" w:hAnsi="宋体" w:cs="宋体"/>
          <w:lang w:val="zh-CN"/>
        </w:rPr>
        <w:t>下浮率</w:t>
      </w:r>
      <w:r>
        <w:rPr>
          <w:rFonts w:hint="eastAsia" w:ascii="宋体" w:hAnsi="宋体" w:cs="宋体"/>
        </w:rPr>
        <w:t>的最高者定为评审基准价，其价格分为满分。其余各投标人价格得分的计算公式为：</w:t>
      </w:r>
      <w:r>
        <w:rPr>
          <w:rFonts w:hint="eastAsia" w:ascii="宋体" w:hAnsi="宋体" w:cs="宋体"/>
          <w:lang w:val="zh-CN"/>
        </w:rPr>
        <w:t>投标报价得分</w:t>
      </w:r>
      <w:r>
        <w:rPr>
          <w:rFonts w:hint="eastAsia" w:ascii="宋体" w:hAnsi="宋体" w:cs="宋体"/>
        </w:rPr>
        <w:t>=</w:t>
      </w:r>
      <w:r>
        <w:rPr>
          <w:rFonts w:hint="eastAsia" w:ascii="宋体" w:hAnsi="宋体" w:cs="宋体"/>
          <w:lang w:val="zh-CN"/>
        </w:rPr>
        <w:t>（1-评标基准价下浮率）/（1-投标报价下浮率）×</w:t>
      </w:r>
      <w:r>
        <w:rPr>
          <w:rFonts w:ascii="宋体" w:hAnsi="宋体" w:cs="宋体"/>
        </w:rPr>
        <w:t>3</w:t>
      </w:r>
      <w:r>
        <w:rPr>
          <w:rFonts w:hint="eastAsia" w:ascii="宋体" w:hAnsi="宋体" w:cs="宋体"/>
        </w:rPr>
        <w:t>0</w:t>
      </w:r>
      <w:r>
        <w:rPr>
          <w:rFonts w:hint="eastAsia" w:ascii="宋体" w:hAnsi="宋体" w:cs="宋体"/>
          <w:lang w:val="zh-CN"/>
        </w:rPr>
        <w:t>%×100</w:t>
      </w:r>
      <w:r>
        <w:rPr>
          <w:rFonts w:hint="eastAsia" w:ascii="宋体" w:hAnsi="宋体" w:cs="宋体"/>
        </w:rPr>
        <w:t>。</w:t>
      </w:r>
    </w:p>
    <w:p>
      <w:pPr>
        <w:widowControl w:val="0"/>
        <w:adjustRightInd w:val="0"/>
        <w:snapToGrid w:val="0"/>
        <w:spacing w:line="360" w:lineRule="auto"/>
        <w:ind w:firstLine="360" w:firstLineChars="150"/>
        <w:rPr>
          <w:rFonts w:ascii="宋体" w:hAnsi="宋体" w:cs="宋体"/>
        </w:rPr>
      </w:pPr>
      <w:r>
        <w:rPr>
          <w:rFonts w:hint="eastAsia" w:ascii="宋体" w:hAnsi="宋体" w:cs="宋体"/>
        </w:rPr>
        <w:t>小型和微型企业评审价格＝总投标报价×(1-6%)</w:t>
      </w:r>
    </w:p>
    <w:p>
      <w:pPr>
        <w:widowControl w:val="0"/>
        <w:adjustRightInd w:val="0"/>
        <w:snapToGrid w:val="0"/>
        <w:spacing w:line="360" w:lineRule="auto"/>
        <w:ind w:firstLine="360" w:firstLineChars="150"/>
        <w:rPr>
          <w:rFonts w:ascii="宋体" w:hAnsi="宋体" w:cs="宋体"/>
        </w:rPr>
      </w:pPr>
      <w:r>
        <w:rPr>
          <w:rFonts w:hint="eastAsia" w:ascii="宋体" w:hAnsi="宋体" w:cs="宋体"/>
        </w:rPr>
        <w:t>4、总分计算方法（满分为100分）</w:t>
      </w:r>
    </w:p>
    <w:p>
      <w:pPr>
        <w:widowControl w:val="0"/>
        <w:adjustRightInd w:val="0"/>
        <w:snapToGrid w:val="0"/>
        <w:spacing w:line="360" w:lineRule="auto"/>
        <w:ind w:firstLine="360" w:firstLineChars="150"/>
        <w:rPr>
          <w:rFonts w:ascii="宋体" w:hAnsi="宋体" w:cs="宋体"/>
        </w:rPr>
      </w:pPr>
      <w:r>
        <w:rPr>
          <w:rFonts w:hint="eastAsia" w:ascii="宋体" w:hAnsi="宋体" w:cs="宋体"/>
        </w:rPr>
        <w:t>计算公式：投标人的最终得分= 技术得分+价格得分（所有分值四舍五入，保留到小数点后2位。）</w:t>
      </w:r>
    </w:p>
    <w:p>
      <w:pPr>
        <w:widowControl w:val="0"/>
        <w:adjustRightInd w:val="0"/>
        <w:snapToGrid w:val="0"/>
        <w:spacing w:line="360" w:lineRule="auto"/>
        <w:ind w:firstLine="435"/>
        <w:jc w:val="both"/>
        <w:rPr>
          <w:rFonts w:ascii="宋体" w:hAnsi="宋体" w:cs="宋体"/>
          <w:b/>
        </w:rPr>
      </w:pPr>
      <w:r>
        <w:rPr>
          <w:rFonts w:hint="eastAsia" w:ascii="宋体" w:hAnsi="宋体" w:cs="宋体"/>
          <w:b/>
        </w:rPr>
        <w:t>七、定标原则</w:t>
      </w:r>
    </w:p>
    <w:p>
      <w:pPr>
        <w:widowControl w:val="0"/>
        <w:adjustRightInd w:val="0"/>
        <w:snapToGrid w:val="0"/>
        <w:spacing w:line="360" w:lineRule="auto"/>
        <w:ind w:firstLine="435"/>
        <w:jc w:val="both"/>
        <w:rPr>
          <w:rFonts w:ascii="宋体" w:hAnsi="宋体" w:cs="宋体"/>
        </w:rPr>
      </w:pPr>
      <w:r>
        <w:rPr>
          <w:rFonts w:hint="eastAsia" w:ascii="宋体" w:hAnsi="宋体" w:cs="宋体"/>
        </w:rPr>
        <w:t>（1）按照招标文件规定“综合评分法，得分最高者中标”的原则定标，法律法规或国家政策另有规定的从其规定。</w:t>
      </w:r>
    </w:p>
    <w:p>
      <w:pPr>
        <w:widowControl w:val="0"/>
        <w:adjustRightInd w:val="0"/>
        <w:snapToGrid w:val="0"/>
        <w:spacing w:line="360" w:lineRule="auto"/>
        <w:ind w:firstLine="435"/>
        <w:jc w:val="both"/>
        <w:rPr>
          <w:rFonts w:ascii="宋体" w:hAnsi="宋体" w:cs="宋体"/>
        </w:rPr>
      </w:pPr>
      <w:r>
        <w:rPr>
          <w:rFonts w:hint="eastAsia" w:ascii="宋体" w:hAnsi="宋体" w:cs="宋体"/>
        </w:rPr>
        <w:t>（2）经中标结果公告结束无异议的中标候选人即成为中标人。</w:t>
      </w:r>
    </w:p>
    <w:p>
      <w:pPr>
        <w:widowControl w:val="0"/>
        <w:adjustRightInd w:val="0"/>
        <w:snapToGrid w:val="0"/>
        <w:spacing w:line="360" w:lineRule="auto"/>
        <w:ind w:firstLine="435"/>
        <w:jc w:val="both"/>
        <w:rPr>
          <w:rFonts w:ascii="宋体" w:hAnsi="宋体" w:cs="宋体"/>
          <w:b/>
        </w:rPr>
      </w:pPr>
      <w:r>
        <w:rPr>
          <w:rFonts w:hint="eastAsia" w:ascii="宋体" w:hAnsi="宋体" w:cs="宋体"/>
          <w:b/>
        </w:rPr>
        <w:t>八、保密及其它注意事项</w:t>
      </w:r>
    </w:p>
    <w:p>
      <w:pPr>
        <w:widowControl w:val="0"/>
        <w:adjustRightInd w:val="0"/>
        <w:snapToGrid w:val="0"/>
        <w:spacing w:line="360" w:lineRule="auto"/>
        <w:ind w:firstLine="435"/>
        <w:jc w:val="both"/>
        <w:rPr>
          <w:rFonts w:ascii="宋体" w:hAnsi="宋体" w:cs="宋体"/>
        </w:rPr>
      </w:pPr>
      <w:r>
        <w:rPr>
          <w:rFonts w:hint="eastAsia" w:ascii="宋体" w:hAnsi="宋体" w:cs="宋体"/>
        </w:rPr>
        <w:t>（1）评标是招标过程中的重要环节，评标工作在评标委员会会成员内独立进行。评标委员会将遵照评标原则，公正、公平、客观地对待所有投标人。</w:t>
      </w:r>
    </w:p>
    <w:p>
      <w:pPr>
        <w:widowControl w:val="0"/>
        <w:adjustRightInd w:val="0"/>
        <w:snapToGrid w:val="0"/>
        <w:spacing w:line="360" w:lineRule="auto"/>
        <w:ind w:firstLine="435"/>
        <w:jc w:val="both"/>
        <w:rPr>
          <w:rFonts w:ascii="宋体" w:hAnsi="宋体" w:cs="宋体"/>
        </w:rPr>
      </w:pPr>
      <w:r>
        <w:rPr>
          <w:rFonts w:hint="eastAsia" w:ascii="宋体" w:hAnsi="宋体" w:cs="宋体"/>
        </w:rPr>
        <w:t>（2）在开标、评标期间，投标人不得向评标委员会询问评标情况，不得进行旨在影响评标结果的活动。</w:t>
      </w:r>
    </w:p>
    <w:p>
      <w:pPr>
        <w:widowControl w:val="0"/>
        <w:adjustRightInd w:val="0"/>
        <w:snapToGrid w:val="0"/>
        <w:spacing w:line="360" w:lineRule="auto"/>
        <w:ind w:firstLine="435"/>
        <w:rPr>
          <w:rFonts w:ascii="宋体" w:hAnsi="宋体" w:cs="宋体"/>
        </w:rPr>
      </w:pPr>
      <w:r>
        <w:rPr>
          <w:rFonts w:hint="eastAsia" w:ascii="宋体" w:hAnsi="宋体" w:cs="宋体"/>
        </w:rPr>
        <w:t>（3）为保证定标的公正性，在评标过程中，评标委员会不得与投标人私下交换意见。在招标工作结束后与评标工作有接触的任何人，不得将评标情况外泄。</w:t>
      </w:r>
    </w:p>
    <w:p>
      <w:pPr>
        <w:widowControl w:val="0"/>
        <w:adjustRightInd w:val="0"/>
        <w:snapToGrid w:val="0"/>
        <w:spacing w:line="360" w:lineRule="auto"/>
        <w:ind w:firstLine="435"/>
        <w:rPr>
          <w:rFonts w:ascii="宋体" w:hAnsi="宋体" w:cs="宋体"/>
        </w:rPr>
      </w:pPr>
      <w:r>
        <w:rPr>
          <w:rFonts w:hint="eastAsia" w:ascii="宋体" w:hAnsi="宋体" w:cs="宋体"/>
        </w:rPr>
        <w:t>（4）采购人、代理机构及评标委员会不向落标方解释落标原因，不退还投标文件。</w:t>
      </w:r>
    </w:p>
    <w:p>
      <w:pPr>
        <w:widowControl w:val="0"/>
        <w:adjustRightInd w:val="0"/>
        <w:snapToGrid w:val="0"/>
        <w:spacing w:line="360" w:lineRule="auto"/>
        <w:ind w:firstLine="435"/>
        <w:rPr>
          <w:rFonts w:ascii="宋体" w:hAnsi="宋体" w:cs="宋体"/>
        </w:rPr>
        <w:sectPr>
          <w:headerReference r:id="rId4" w:type="first"/>
          <w:footerReference r:id="rId5" w:type="default"/>
          <w:headerReference r:id="rId3" w:type="even"/>
          <w:footerReference r:id="rId6" w:type="even"/>
          <w:pgSz w:w="11906" w:h="16838"/>
          <w:pgMar w:top="1258" w:right="1286" w:bottom="1361" w:left="1620" w:header="709" w:footer="971" w:gutter="0"/>
          <w:cols w:space="720" w:num="1"/>
          <w:docGrid w:linePitch="360" w:charSpace="0"/>
        </w:sectPr>
      </w:pPr>
    </w:p>
    <w:p>
      <w:pPr>
        <w:widowControl w:val="0"/>
        <w:tabs>
          <w:tab w:val="left" w:pos="1935"/>
          <w:tab w:val="center" w:pos="4500"/>
        </w:tabs>
        <w:adjustRightInd w:val="0"/>
        <w:snapToGrid w:val="0"/>
        <w:spacing w:line="360" w:lineRule="auto"/>
        <w:jc w:val="center"/>
        <w:rPr>
          <w:color w:val="000000"/>
        </w:rPr>
      </w:pPr>
      <w:r>
        <w:rPr>
          <w:rFonts w:hint="eastAsia" w:ascii="宋体" w:hAnsi="宋体" w:cs="宋体"/>
          <w:b/>
          <w:bCs/>
          <w:sz w:val="52"/>
          <w:szCs w:val="52"/>
        </w:rPr>
        <w:t>第五章  招标项目技术规范和要求</w:t>
      </w:r>
    </w:p>
    <w:p>
      <w:pPr>
        <w:spacing w:line="360" w:lineRule="auto"/>
        <w:ind w:firstLine="480" w:firstLineChars="200"/>
        <w:rPr>
          <w:rFonts w:ascii="宋体" w:hAnsi="宋体" w:cs="宋体"/>
          <w:b/>
          <w:color w:val="000000"/>
          <w:szCs w:val="21"/>
        </w:rPr>
      </w:pPr>
      <w:r>
        <w:rPr>
          <w:rFonts w:hint="eastAsia" w:ascii="宋体" w:hAnsi="宋体" w:cs="宋体"/>
          <w:color w:val="000000"/>
          <w:szCs w:val="21"/>
        </w:rPr>
        <w:t>本次招标内容为</w:t>
      </w:r>
      <w:r>
        <w:rPr>
          <w:rFonts w:hint="eastAsia" w:ascii="宋体" w:hAnsi="宋体" w:cs="宋体"/>
          <w:b/>
          <w:bCs/>
          <w:color w:val="000000"/>
          <w:szCs w:val="21"/>
        </w:rPr>
        <w:t xml:space="preserve"> 2020年金华市直水利工程维修养护（工程维护类）项目</w:t>
      </w:r>
      <w:r>
        <w:rPr>
          <w:rFonts w:hint="eastAsia" w:ascii="宋体" w:hAnsi="宋体" w:cs="宋体"/>
          <w:color w:val="000000"/>
          <w:szCs w:val="21"/>
        </w:rPr>
        <w:t>；投标人可自行对施工场地等实际情况进行踏勘（招标人不另行组织）。</w:t>
      </w:r>
    </w:p>
    <w:p>
      <w:pPr>
        <w:widowControl w:val="0"/>
        <w:numPr>
          <w:ilvl w:val="0"/>
          <w:numId w:val="4"/>
        </w:numPr>
        <w:spacing w:line="360" w:lineRule="auto"/>
        <w:ind w:firstLine="482" w:firstLineChars="200"/>
        <w:jc w:val="both"/>
        <w:rPr>
          <w:rFonts w:ascii="宋体" w:hAnsi="宋体" w:cs="宋体"/>
          <w:color w:val="000000"/>
          <w:szCs w:val="21"/>
        </w:rPr>
      </w:pPr>
      <w:r>
        <w:rPr>
          <w:rFonts w:hint="eastAsia" w:ascii="宋体" w:hAnsi="宋体" w:cs="宋体"/>
          <w:b/>
          <w:color w:val="000000"/>
          <w:szCs w:val="21"/>
        </w:rPr>
        <w:t>项目名称：</w:t>
      </w:r>
      <w:r>
        <w:rPr>
          <w:rFonts w:hint="eastAsia" w:ascii="宋体" w:hAnsi="宋体" w:cs="宋体"/>
          <w:b/>
          <w:bCs/>
          <w:color w:val="000000"/>
          <w:szCs w:val="21"/>
        </w:rPr>
        <w:t xml:space="preserve"> 2020年金华市直水利工程维修养护（工程维护类）项目</w:t>
      </w:r>
    </w:p>
    <w:p>
      <w:pPr>
        <w:spacing w:line="360" w:lineRule="auto"/>
        <w:ind w:firstLine="482" w:firstLineChars="200"/>
        <w:rPr>
          <w:rFonts w:ascii="宋体" w:hAnsi="宋体" w:cs="宋体"/>
          <w:b/>
          <w:color w:val="000000"/>
          <w:szCs w:val="21"/>
        </w:rPr>
      </w:pPr>
      <w:r>
        <w:rPr>
          <w:rFonts w:hint="eastAsia" w:ascii="宋体" w:hAnsi="宋体" w:cs="宋体"/>
          <w:b/>
          <w:color w:val="000000"/>
          <w:szCs w:val="21"/>
        </w:rPr>
        <w:t>二、工期及服务期：</w:t>
      </w:r>
    </w:p>
    <w:p>
      <w:pPr>
        <w:spacing w:line="360" w:lineRule="auto"/>
        <w:ind w:firstLine="482" w:firstLineChars="200"/>
        <w:rPr>
          <w:rFonts w:ascii="宋体" w:hAnsi="宋体" w:cs="宋体"/>
          <w:color w:val="000000"/>
          <w:szCs w:val="21"/>
        </w:rPr>
      </w:pPr>
      <w:r>
        <w:rPr>
          <w:rFonts w:hint="eastAsia" w:ascii="宋体" w:hAnsi="宋体" w:cs="宋体"/>
          <w:b/>
          <w:color w:val="000000"/>
          <w:szCs w:val="21"/>
        </w:rPr>
        <w:t>工期：</w:t>
      </w:r>
      <w:r>
        <w:rPr>
          <w:rFonts w:hint="eastAsia" w:ascii="宋体" w:hAnsi="宋体" w:cs="宋体"/>
          <w:color w:val="000000"/>
          <w:szCs w:val="21"/>
        </w:rPr>
        <w:t>自合同签订之日起至20</w:t>
      </w:r>
      <w:r>
        <w:rPr>
          <w:rFonts w:ascii="宋体" w:hAnsi="宋体" w:cs="宋体"/>
          <w:color w:val="000000"/>
          <w:szCs w:val="21"/>
        </w:rPr>
        <w:t>20</w:t>
      </w:r>
      <w:r>
        <w:rPr>
          <w:rFonts w:hint="eastAsia" w:ascii="宋体" w:hAnsi="宋体" w:cs="宋体"/>
          <w:color w:val="000000"/>
          <w:szCs w:val="21"/>
        </w:rPr>
        <w:t>年10月底。</w:t>
      </w:r>
    </w:p>
    <w:p>
      <w:pPr>
        <w:pStyle w:val="2"/>
        <w:ind w:left="480" w:firstLine="0" w:firstLineChars="0"/>
      </w:pPr>
      <w:r>
        <w:rPr>
          <w:rFonts w:hint="eastAsia" w:ascii="宋体" w:hAnsi="宋体" w:cs="宋体"/>
          <w:b/>
          <w:color w:val="000000"/>
          <w:szCs w:val="21"/>
        </w:rPr>
        <w:t>服务期：</w:t>
      </w:r>
      <w:r>
        <w:rPr>
          <w:rFonts w:hint="eastAsia" w:ascii="宋体" w:hAnsi="宋体" w:cs="宋体"/>
          <w:color w:val="000000"/>
          <w:szCs w:val="21"/>
        </w:rPr>
        <w:t>2020年1月1日至20</w:t>
      </w:r>
      <w:r>
        <w:rPr>
          <w:rFonts w:ascii="宋体" w:hAnsi="宋体" w:cs="宋体"/>
          <w:color w:val="000000"/>
          <w:szCs w:val="21"/>
        </w:rPr>
        <w:t>20</w:t>
      </w:r>
      <w:r>
        <w:rPr>
          <w:rFonts w:hint="eastAsia" w:ascii="宋体" w:hAnsi="宋体" w:cs="宋体"/>
          <w:color w:val="000000"/>
          <w:szCs w:val="21"/>
        </w:rPr>
        <w:t>年12月15日。</w:t>
      </w:r>
      <w:r>
        <w:rPr>
          <w:rFonts w:hint="eastAsia" w:ascii="宋体" w:hAnsi="宋体" w:cs="宋体"/>
        </w:rPr>
        <w:t>（具体实施时间以招标人根据实际情况提出的要求为准）。</w:t>
      </w:r>
    </w:p>
    <w:p>
      <w:pPr>
        <w:spacing w:line="360" w:lineRule="auto"/>
        <w:ind w:firstLine="482" w:firstLineChars="200"/>
        <w:rPr>
          <w:rFonts w:ascii="宋体" w:hAnsi="宋体" w:cs="宋体"/>
          <w:b/>
          <w:bCs/>
          <w:color w:val="000000"/>
          <w:szCs w:val="21"/>
        </w:rPr>
      </w:pPr>
      <w:r>
        <w:rPr>
          <w:rFonts w:hint="eastAsia" w:ascii="宋体" w:hAnsi="宋体" w:cs="宋体"/>
          <w:b/>
          <w:bCs/>
          <w:color w:val="000000"/>
          <w:szCs w:val="21"/>
        </w:rPr>
        <w:t>三、质量标准及验收：</w:t>
      </w:r>
    </w:p>
    <w:p>
      <w:pPr>
        <w:spacing w:line="360" w:lineRule="auto"/>
        <w:ind w:firstLine="480" w:firstLineChars="200"/>
        <w:rPr>
          <w:rFonts w:ascii="宋体" w:hAnsi="宋体" w:cs="宋体"/>
          <w:bCs/>
          <w:color w:val="000000"/>
          <w:szCs w:val="21"/>
        </w:rPr>
      </w:pPr>
      <w:r>
        <w:rPr>
          <w:rFonts w:hint="eastAsia" w:ascii="宋体" w:hAnsi="宋体" w:cs="宋体"/>
          <w:bCs/>
          <w:color w:val="000000"/>
          <w:szCs w:val="21"/>
        </w:rPr>
        <w:t>1、质量标准：不低于国家相关验收标准。</w:t>
      </w:r>
    </w:p>
    <w:p>
      <w:pPr>
        <w:spacing w:line="360" w:lineRule="auto"/>
        <w:ind w:firstLine="480" w:firstLineChars="200"/>
        <w:rPr>
          <w:rFonts w:ascii="宋体" w:hAnsi="宋体" w:cs="宋体"/>
          <w:bCs/>
          <w:color w:val="000000"/>
          <w:szCs w:val="21"/>
        </w:rPr>
      </w:pPr>
      <w:r>
        <w:rPr>
          <w:rFonts w:hint="eastAsia" w:ascii="宋体" w:hAnsi="宋体" w:cs="宋体"/>
          <w:bCs/>
          <w:color w:val="000000"/>
          <w:szCs w:val="21"/>
        </w:rPr>
        <w:t>2、由招标人组织进行验收。</w:t>
      </w:r>
    </w:p>
    <w:p>
      <w:pPr>
        <w:spacing w:line="360" w:lineRule="auto"/>
        <w:ind w:firstLine="480" w:firstLineChars="200"/>
        <w:rPr>
          <w:rFonts w:eastAsia="仿宋_GB2312"/>
          <w:color w:val="000000"/>
        </w:rPr>
      </w:pPr>
      <w:r>
        <w:rPr>
          <w:rFonts w:hint="eastAsia" w:ascii="宋体" w:hAnsi="宋体" w:cs="宋体"/>
          <w:bCs/>
          <w:color w:val="000000"/>
          <w:szCs w:val="21"/>
        </w:rPr>
        <w:t>3、质保期1年。</w:t>
      </w:r>
    </w:p>
    <w:p>
      <w:pPr>
        <w:spacing w:line="360" w:lineRule="auto"/>
        <w:ind w:firstLine="482" w:firstLineChars="200"/>
        <w:rPr>
          <w:rFonts w:ascii="宋体" w:hAnsi="宋体" w:cs="宋体"/>
          <w:b/>
          <w:bCs/>
          <w:color w:val="000000"/>
          <w:szCs w:val="21"/>
        </w:rPr>
      </w:pPr>
      <w:r>
        <w:rPr>
          <w:rFonts w:hint="eastAsia" w:ascii="宋体" w:hAnsi="宋体" w:cs="宋体"/>
          <w:b/>
          <w:bCs/>
          <w:color w:val="000000"/>
          <w:szCs w:val="21"/>
        </w:rPr>
        <w:t xml:space="preserve"> 四、内容和要求概况</w:t>
      </w:r>
    </w:p>
    <w:tbl>
      <w:tblPr>
        <w:tblStyle w:val="36"/>
        <w:tblW w:w="9583" w:type="dxa"/>
        <w:tblInd w:w="23" w:type="dxa"/>
        <w:shd w:val="clear" w:color="auto" w:fill="FFFFFF" w:themeFill="background1"/>
        <w:tblLayout w:type="autofit"/>
        <w:tblCellMar>
          <w:top w:w="0" w:type="dxa"/>
          <w:left w:w="108" w:type="dxa"/>
          <w:bottom w:w="0" w:type="dxa"/>
          <w:right w:w="108" w:type="dxa"/>
        </w:tblCellMar>
      </w:tblPr>
      <w:tblGrid>
        <w:gridCol w:w="856"/>
        <w:gridCol w:w="6175"/>
        <w:gridCol w:w="2552"/>
      </w:tblGrid>
      <w:tr>
        <w:tblPrEx>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序号</w:t>
            </w:r>
          </w:p>
        </w:tc>
        <w:tc>
          <w:tcPr>
            <w:tcW w:w="6175"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项目名称</w:t>
            </w:r>
          </w:p>
        </w:tc>
        <w:tc>
          <w:tcPr>
            <w:tcW w:w="2552"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金额（元）</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一</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沙畈水库</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坝面清理</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30800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大坝及廊道排水沟清理</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19800</w:t>
            </w:r>
          </w:p>
        </w:tc>
      </w:tr>
      <w:tr>
        <w:tblPrEx>
          <w:shd w:val="clear" w:color="auto" w:fill="FFFFFF" w:themeFill="background1"/>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管理房（含屋面）定期清理及维护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19800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nil"/>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6175" w:type="dxa"/>
            <w:tcBorders>
              <w:top w:val="nil"/>
              <w:left w:val="nil"/>
              <w:bottom w:val="nil"/>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坝区绿化养护</w:t>
            </w:r>
          </w:p>
        </w:tc>
        <w:tc>
          <w:tcPr>
            <w:tcW w:w="2552" w:type="dxa"/>
            <w:tcBorders>
              <w:top w:val="nil"/>
              <w:left w:val="nil"/>
              <w:bottom w:val="nil"/>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71680</w:t>
            </w:r>
          </w:p>
        </w:tc>
      </w:tr>
      <w:tr>
        <w:tblPrEx>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5</w:t>
            </w:r>
          </w:p>
        </w:tc>
        <w:tc>
          <w:tcPr>
            <w:tcW w:w="6175" w:type="dxa"/>
            <w:tcBorders>
              <w:top w:val="single" w:color="auto" w:sz="4" w:space="0"/>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森林防火及消防设施维修</w:t>
            </w:r>
          </w:p>
        </w:tc>
        <w:tc>
          <w:tcPr>
            <w:tcW w:w="2552"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38000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6</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库面保洁</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198223</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7</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大坝溢洪道溢流面缺陷修补</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72000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8</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大坝下游左岸巡查台阶及排水沟维修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48827</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9</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大坝下游右岸坝脚巡查道路维修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79345</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10</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坝顶及管理区花岗岩、栏杆维修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20000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廊道照明灯维修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25000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大坝泄洪闸启闭机房维修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10000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管理区引水进水口、塌方处人工清理</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10000</w:t>
            </w:r>
          </w:p>
        </w:tc>
      </w:tr>
      <w:tr>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堤防灌区维修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31330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15</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进库流量站水位井进水口改造</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10000</w:t>
            </w:r>
          </w:p>
        </w:tc>
      </w:tr>
      <w:tr>
        <w:tblPrEx>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16</w:t>
            </w:r>
          </w:p>
        </w:tc>
        <w:tc>
          <w:tcPr>
            <w:tcW w:w="61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临时工程</w:t>
            </w:r>
          </w:p>
        </w:tc>
        <w:tc>
          <w:tcPr>
            <w:tcW w:w="25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18765</w:t>
            </w:r>
          </w:p>
        </w:tc>
      </w:tr>
      <w:tr>
        <w:tblPrEx>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17</w:t>
            </w:r>
          </w:p>
        </w:tc>
        <w:tc>
          <w:tcPr>
            <w:tcW w:w="61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大坝安全监测系统检测鉴定</w:t>
            </w:r>
          </w:p>
        </w:tc>
        <w:tc>
          <w:tcPr>
            <w:tcW w:w="25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100000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18</w:t>
            </w:r>
          </w:p>
        </w:tc>
        <w:tc>
          <w:tcPr>
            <w:tcW w:w="6175" w:type="dxa"/>
            <w:tcBorders>
              <w:top w:val="single" w:color="auto" w:sz="4" w:space="0"/>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闸门及启闭机维修养护</w:t>
            </w:r>
          </w:p>
        </w:tc>
        <w:tc>
          <w:tcPr>
            <w:tcW w:w="2552"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24000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19</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洪水测报系统维修养护及水雨情系统升级</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174000</w:t>
            </w:r>
          </w:p>
        </w:tc>
      </w:tr>
      <w:tr>
        <w:tblPrEx>
          <w:tblCellMar>
            <w:top w:w="0" w:type="dxa"/>
            <w:left w:w="108" w:type="dxa"/>
            <w:bottom w:w="0" w:type="dxa"/>
            <w:right w:w="108" w:type="dxa"/>
          </w:tblCellMar>
        </w:tblPrEx>
        <w:trPr>
          <w:trHeight w:val="358"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小计</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1001570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二</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金兰水库</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主体工程维修养护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160200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坝区绿化养护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121675</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森林防火及消防设施维修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8300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库面保洁</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411000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5</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标志、标识牌维修养护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10000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6</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主管理房、附属管理房维修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40000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7</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闸门维修养护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18000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8</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启闭机维修养护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18000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小计</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787175</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三</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安地水库</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主体工程维修养护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29700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消防隔离带人工费</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33000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森林防火消防设施维护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8000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5</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右坝头山体巡查道路</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50113</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6</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管理用房维修养护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726252</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7</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坝下道路照明系统</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86000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8</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临时工程</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30221</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9</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绿化养护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201034</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10</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库面保洁</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321471</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安全文明施工费</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20752</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工程保险费</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5188</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闸门维修养护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22500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启闭机维修养护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23500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15</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启闭机齿轮油更换</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30000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16</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启闭机外表油漆刷新</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12000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17</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柴油发电机维修养护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4000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18</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水雨情遥测系统改造升级（卫星+GPRS）</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497700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61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小计</w:t>
            </w:r>
          </w:p>
        </w:tc>
        <w:tc>
          <w:tcPr>
            <w:tcW w:w="25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2101431</w:t>
            </w:r>
          </w:p>
        </w:tc>
      </w:tr>
      <w:tr>
        <w:tblPrEx>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四</w:t>
            </w:r>
          </w:p>
        </w:tc>
        <w:tc>
          <w:tcPr>
            <w:tcW w:w="6175" w:type="dxa"/>
            <w:tcBorders>
              <w:top w:val="single" w:color="auto" w:sz="4" w:space="0"/>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ascii="宋体" w:hAnsi="宋体" w:cs="宋体"/>
              </w:rPr>
              <w:t>安地渠道</w:t>
            </w:r>
          </w:p>
        </w:tc>
        <w:tc>
          <w:tcPr>
            <w:tcW w:w="2552" w:type="dxa"/>
            <w:tcBorders>
              <w:top w:val="single" w:color="auto" w:sz="4" w:space="0"/>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经常性项目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汪家垅水库</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62534</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铁堰水闸</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71793</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国湖提水泵站</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62574</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安地水库灌区</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干渠工程</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389169</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支渠工程</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126974</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渠系建筑物项目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40926</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保洁项目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209378</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4.5</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高压配电设备巡查维护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8000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年度性项目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安地水库灌区</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巡查道路修复</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230540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防渗修复项目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83235</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各生产管理站修复项目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38850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安全防护设施项目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33700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临时（零星）项目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11590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其他费用</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9749</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小计</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1379012</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五</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金兰灌区</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经常性项目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邵村垅水库</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53491</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金兰水库灌区</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干渠工程</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2.1.1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土方养护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175710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2.1.2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杂草清理</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72460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2.1.3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清淤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701816</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支渠工程</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2.2.1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清淤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79059</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渠系建筑物项目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33424</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保洁项目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161832</w:t>
            </w:r>
          </w:p>
        </w:tc>
      </w:tr>
      <w:tr>
        <w:tblPrEx>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5</w:t>
            </w:r>
          </w:p>
        </w:tc>
        <w:tc>
          <w:tcPr>
            <w:tcW w:w="61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绿化维护</w:t>
            </w:r>
          </w:p>
        </w:tc>
        <w:tc>
          <w:tcPr>
            <w:tcW w:w="25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20169</w:t>
            </w:r>
          </w:p>
        </w:tc>
      </w:tr>
      <w:tr>
        <w:tblPrEx>
          <w:tblCellMar>
            <w:top w:w="0" w:type="dxa"/>
            <w:left w:w="108" w:type="dxa"/>
            <w:bottom w:w="0" w:type="dxa"/>
            <w:right w:w="108" w:type="dxa"/>
          </w:tblCellMar>
        </w:tblPrEx>
        <w:trPr>
          <w:trHeight w:val="402" w:hRule="atLeast"/>
        </w:trPr>
        <w:tc>
          <w:tcPr>
            <w:tcW w:w="85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single" w:color="auto" w:sz="4" w:space="0"/>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年度性项目</w:t>
            </w:r>
          </w:p>
        </w:tc>
        <w:tc>
          <w:tcPr>
            <w:tcW w:w="2552" w:type="dxa"/>
            <w:tcBorders>
              <w:top w:val="single" w:color="auto" w:sz="4" w:space="0"/>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金兰水库灌区</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1.1</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巡查道路修复</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179374</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1.2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防渗修复项目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35691</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2</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渠系建筑物</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10800</w:t>
            </w:r>
          </w:p>
        </w:tc>
      </w:tr>
      <w:tr>
        <w:tblPrEx>
          <w:shd w:val="clear" w:color="auto" w:fill="FFFFFF" w:themeFill="background1"/>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自动控制设施维护</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3000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安全防护设施及标化完善项目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38500</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-3</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临时（零星）项目</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8021</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-4</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其他费用</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6747</w:t>
            </w:r>
          </w:p>
        </w:tc>
      </w:tr>
      <w:tr>
        <w:tblPrEx>
          <w:tblCellMar>
            <w:top w:w="0" w:type="dxa"/>
            <w:left w:w="108" w:type="dxa"/>
            <w:bottom w:w="0" w:type="dxa"/>
            <w:right w:w="108" w:type="dxa"/>
          </w:tblCellMar>
        </w:tblPrEx>
        <w:trPr>
          <w:trHeight w:val="402" w:hRule="atLeast"/>
        </w:trPr>
        <w:tc>
          <w:tcPr>
            <w:tcW w:w="856" w:type="dxa"/>
            <w:tcBorders>
              <w:top w:val="nil"/>
              <w:left w:val="single" w:color="auto" w:sz="4" w:space="0"/>
              <w:bottom w:val="single" w:color="auto" w:sz="4" w:space="0"/>
              <w:right w:val="single" w:color="auto" w:sz="4" w:space="0"/>
            </w:tcBorders>
            <w:shd w:val="clear" w:color="auto" w:fill="FFFFFF" w:themeFill="background1"/>
            <w:noWrap/>
            <w:vAlign w:val="center"/>
          </w:tcPr>
          <w:p>
            <w:pPr>
              <w:jc w:val="center"/>
              <w:rPr>
                <w:rFonts w:ascii="宋体" w:hAnsi="宋体" w:cs="宋体"/>
                <w:color w:val="000000"/>
                <w:sz w:val="22"/>
                <w:szCs w:val="22"/>
              </w:rPr>
            </w:pPr>
            <w:r>
              <w:rPr>
                <w:rFonts w:hint="eastAsia" w:ascii="宋体" w:hAnsi="宋体" w:cs="宋体"/>
                <w:color w:val="000000"/>
                <w:sz w:val="22"/>
                <w:szCs w:val="22"/>
              </w:rPr>
              <w:t>　</w:t>
            </w:r>
          </w:p>
        </w:tc>
        <w:tc>
          <w:tcPr>
            <w:tcW w:w="6175" w:type="dxa"/>
            <w:tcBorders>
              <w:top w:val="nil"/>
              <w:left w:val="nil"/>
              <w:bottom w:val="single" w:color="auto" w:sz="4" w:space="0"/>
              <w:right w:val="single" w:color="auto" w:sz="4" w:space="0"/>
            </w:tcBorders>
            <w:shd w:val="clear" w:color="auto" w:fill="FFFFFF" w:themeFill="background1"/>
            <w:noWrap/>
            <w:vAlign w:val="center"/>
          </w:tcPr>
          <w:p>
            <w:pPr>
              <w:rPr>
                <w:rFonts w:ascii="宋体" w:hAnsi="宋体" w:cs="宋体"/>
                <w:color w:val="000000"/>
                <w:sz w:val="22"/>
                <w:szCs w:val="22"/>
              </w:rPr>
            </w:pPr>
            <w:r>
              <w:rPr>
                <w:rFonts w:hint="eastAsia" w:ascii="宋体" w:hAnsi="宋体" w:cs="宋体"/>
                <w:color w:val="000000"/>
                <w:sz w:val="22"/>
                <w:szCs w:val="22"/>
              </w:rPr>
              <w:t>小计</w:t>
            </w:r>
          </w:p>
        </w:tc>
        <w:tc>
          <w:tcPr>
            <w:tcW w:w="2552" w:type="dxa"/>
            <w:tcBorders>
              <w:top w:val="nil"/>
              <w:left w:val="nil"/>
              <w:bottom w:val="single" w:color="auto" w:sz="4" w:space="0"/>
              <w:right w:val="single" w:color="auto" w:sz="4" w:space="0"/>
            </w:tcBorders>
            <w:shd w:val="clear" w:color="auto" w:fill="FFFFFF" w:themeFill="background1"/>
            <w:noWrap/>
            <w:vAlign w:val="center"/>
          </w:tcPr>
          <w:p>
            <w:pPr>
              <w:jc w:val="right"/>
              <w:rPr>
                <w:rFonts w:ascii="宋体" w:hAnsi="宋体" w:cs="宋体"/>
                <w:color w:val="000000"/>
                <w:sz w:val="22"/>
                <w:szCs w:val="22"/>
              </w:rPr>
            </w:pPr>
            <w:r>
              <w:rPr>
                <w:rFonts w:hint="eastAsia" w:ascii="宋体" w:hAnsi="宋体" w:cs="宋体"/>
                <w:color w:val="000000"/>
                <w:sz w:val="22"/>
                <w:szCs w:val="22"/>
              </w:rPr>
              <w:t>1580094</w:t>
            </w:r>
          </w:p>
        </w:tc>
      </w:tr>
    </w:tbl>
    <w:p>
      <w:pPr>
        <w:pStyle w:val="2"/>
        <w:ind w:left="480" w:firstLine="480"/>
      </w:pPr>
    </w:p>
    <w:p>
      <w:pPr>
        <w:pStyle w:val="2"/>
        <w:ind w:left="480" w:firstLine="442"/>
        <w:rPr>
          <w:b/>
          <w:bCs/>
          <w:color w:val="auto"/>
          <w:highlight w:val="none"/>
        </w:rPr>
      </w:pPr>
      <w:r>
        <w:rPr>
          <w:rFonts w:hint="eastAsia" w:ascii="宋体" w:hAnsi="宋体" w:cs="宋体"/>
          <w:b/>
          <w:bCs/>
          <w:color w:val="auto"/>
          <w:sz w:val="22"/>
          <w:szCs w:val="22"/>
          <w:highlight w:val="none"/>
        </w:rPr>
        <w:t>沙畈水库实施明细</w:t>
      </w:r>
    </w:p>
    <w:tbl>
      <w:tblPr>
        <w:tblStyle w:val="36"/>
        <w:tblW w:w="9639" w:type="dxa"/>
        <w:tblInd w:w="-5" w:type="dxa"/>
        <w:tblLayout w:type="fixed"/>
        <w:tblCellMar>
          <w:top w:w="0" w:type="dxa"/>
          <w:left w:w="108" w:type="dxa"/>
          <w:bottom w:w="0" w:type="dxa"/>
          <w:right w:w="108" w:type="dxa"/>
        </w:tblCellMar>
      </w:tblPr>
      <w:tblGrid>
        <w:gridCol w:w="1129"/>
        <w:gridCol w:w="3504"/>
        <w:gridCol w:w="1245"/>
        <w:gridCol w:w="1210"/>
        <w:gridCol w:w="1417"/>
        <w:gridCol w:w="1134"/>
      </w:tblGrid>
      <w:tr>
        <w:tblPrEx>
          <w:tblCellMar>
            <w:top w:w="0" w:type="dxa"/>
            <w:left w:w="108" w:type="dxa"/>
            <w:bottom w:w="0" w:type="dxa"/>
            <w:right w:w="108" w:type="dxa"/>
          </w:tblCellMar>
        </w:tblPrEx>
        <w:trPr>
          <w:trHeight w:val="300"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序号</w:t>
            </w:r>
          </w:p>
        </w:tc>
        <w:tc>
          <w:tcPr>
            <w:tcW w:w="3504"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项目名称</w:t>
            </w:r>
          </w:p>
        </w:tc>
        <w:tc>
          <w:tcPr>
            <w:tcW w:w="1245"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单位</w:t>
            </w:r>
          </w:p>
        </w:tc>
        <w:tc>
          <w:tcPr>
            <w:tcW w:w="121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工程量</w:t>
            </w:r>
          </w:p>
        </w:tc>
        <w:tc>
          <w:tcPr>
            <w:tcW w:w="1417" w:type="dxa"/>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单价（元）</w:t>
            </w:r>
          </w:p>
        </w:tc>
        <w:tc>
          <w:tcPr>
            <w:tcW w:w="1134" w:type="dxa"/>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合价（元）</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Ⅰ</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工程部分</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一</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经常性维修养护项目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4</w:t>
            </w:r>
            <w:r>
              <w:rPr>
                <w:rFonts w:ascii="宋体" w:hAnsi="宋体" w:cs="宋体"/>
                <w:b/>
                <w:bCs/>
                <w:sz w:val="21"/>
                <w:szCs w:val="21"/>
              </w:rPr>
              <w:t>52303</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主体工程维修养护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70400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坝面清理及维修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30800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坝面清理（大坝坝顶及背水面杂草、青苔清理，破损修补）</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140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220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30800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大坝及廊道排水沟清理（每月1次）</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19800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大坝及廊道排水设施定期清理</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90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220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19800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1.3</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管理房（含屋面）定期清理及维护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90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220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19800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闸门维修养护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12000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泄洪闸弧形钢闸门维修养护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扇</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输水隧洞进水口平板钢闸门维修养护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扇</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3</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启闭机维修养护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12000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泄洪闸启闭机维修养护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输水隧洞进水口闸门启闭机维修养护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5</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坝区绿化养护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71680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坝区重点区域绿化养护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4000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6.67</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26680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管理区及坝区一般区域绿化养护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15000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45000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7</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洪水测报系统维修养护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ascii="宋体" w:hAnsi="宋体" w:cs="宋体"/>
                <w:sz w:val="21"/>
                <w:szCs w:val="21"/>
              </w:rPr>
              <w:t>50</w:t>
            </w:r>
            <w:r>
              <w:rPr>
                <w:rFonts w:hint="eastAsia" w:ascii="宋体" w:hAnsi="宋体" w:cs="宋体"/>
                <w:sz w:val="21"/>
                <w:szCs w:val="21"/>
              </w:rPr>
              <w:t>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7.3</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专业检测及维护（委托第三方）</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50000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10</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森林防火及消防设施维修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38000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消防器材更换</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森林防火（防火道路清理、铣山）</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150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220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33000</w:t>
            </w:r>
          </w:p>
        </w:tc>
      </w:tr>
      <w:tr>
        <w:tblPrEx>
          <w:tblCellMar>
            <w:top w:w="0" w:type="dxa"/>
            <w:left w:w="108" w:type="dxa"/>
            <w:bottom w:w="0" w:type="dxa"/>
            <w:right w:w="108" w:type="dxa"/>
          </w:tblCellMar>
        </w:tblPrEx>
        <w:trPr>
          <w:trHeight w:val="300"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11</w:t>
            </w:r>
          </w:p>
        </w:tc>
        <w:tc>
          <w:tcPr>
            <w:tcW w:w="35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库面保洁（含人工、车船及垃圾处理）</w:t>
            </w:r>
          </w:p>
        </w:tc>
        <w:tc>
          <w:tcPr>
            <w:tcW w:w="124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198223</w:t>
            </w:r>
          </w:p>
        </w:tc>
      </w:tr>
      <w:tr>
        <w:tblPrEx>
          <w:tblCellMar>
            <w:top w:w="0" w:type="dxa"/>
            <w:left w:w="108" w:type="dxa"/>
            <w:bottom w:w="0" w:type="dxa"/>
            <w:right w:w="108" w:type="dxa"/>
          </w:tblCellMar>
        </w:tblPrEx>
        <w:trPr>
          <w:trHeight w:val="300"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11.1</w:t>
            </w:r>
          </w:p>
        </w:tc>
        <w:tc>
          <w:tcPr>
            <w:tcW w:w="35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库面垃圾清理</w:t>
            </w:r>
          </w:p>
        </w:tc>
        <w:tc>
          <w:tcPr>
            <w:tcW w:w="124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1601860</w:t>
            </w:r>
          </w:p>
        </w:tc>
        <w:tc>
          <w:tcPr>
            <w:tcW w:w="141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0.12</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192223</w:t>
            </w:r>
          </w:p>
        </w:tc>
      </w:tr>
      <w:tr>
        <w:tblPrEx>
          <w:tblCellMar>
            <w:top w:w="0" w:type="dxa"/>
            <w:left w:w="108" w:type="dxa"/>
            <w:bottom w:w="0" w:type="dxa"/>
            <w:right w:w="108" w:type="dxa"/>
          </w:tblCellMar>
        </w:tblPrEx>
        <w:trPr>
          <w:trHeight w:val="300"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11.2</w:t>
            </w:r>
          </w:p>
        </w:tc>
        <w:tc>
          <w:tcPr>
            <w:tcW w:w="35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泄洪渠、引水渠等水面及周边保洁</w:t>
            </w:r>
          </w:p>
        </w:tc>
        <w:tc>
          <w:tcPr>
            <w:tcW w:w="124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100000</w:t>
            </w:r>
          </w:p>
        </w:tc>
        <w:tc>
          <w:tcPr>
            <w:tcW w:w="1417"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0.06</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6000</w:t>
            </w:r>
          </w:p>
        </w:tc>
      </w:tr>
      <w:tr>
        <w:tblPrEx>
          <w:tblCellMar>
            <w:top w:w="0" w:type="dxa"/>
            <w:left w:w="108" w:type="dxa"/>
            <w:bottom w:w="0" w:type="dxa"/>
            <w:right w:w="108" w:type="dxa"/>
          </w:tblCellMar>
        </w:tblPrEx>
        <w:trPr>
          <w:trHeight w:val="300"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二</w:t>
            </w:r>
          </w:p>
        </w:tc>
        <w:tc>
          <w:tcPr>
            <w:tcW w:w="3504" w:type="dxa"/>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年度性维修养护项目</w:t>
            </w:r>
          </w:p>
        </w:tc>
        <w:tc>
          <w:tcPr>
            <w:tcW w:w="1245"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5</w:t>
            </w:r>
            <w:r>
              <w:rPr>
                <w:rFonts w:ascii="宋体" w:hAnsi="宋体" w:cs="宋体"/>
                <w:b/>
                <w:bCs/>
                <w:sz w:val="21"/>
                <w:szCs w:val="21"/>
              </w:rPr>
              <w:t>49267</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主体工程维修养护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3</w:t>
            </w:r>
            <w:r>
              <w:rPr>
                <w:rFonts w:ascii="宋体" w:hAnsi="宋体" w:cs="宋体"/>
                <w:b/>
                <w:bCs/>
                <w:sz w:val="21"/>
                <w:szCs w:val="21"/>
              </w:rPr>
              <w:t>4</w:t>
            </w:r>
            <w:r>
              <w:rPr>
                <w:rFonts w:hint="eastAsia" w:ascii="宋体" w:hAnsi="宋体" w:cs="宋体"/>
                <w:b/>
                <w:bCs/>
                <w:sz w:val="21"/>
                <w:szCs w:val="21"/>
              </w:rPr>
              <w:t>5172</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大坝溢洪道溢流面缺陷修补</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72000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1.1.1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缺陷处凿毛、冲洗、环氧砂浆修补（悬挂安全绳施工）</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160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180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28800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1.1.2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赛柏斯涂层加固（三层）（悬挂安全绳施工）</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240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180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43200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大坝下游左岸巡查台阶及排水沟维修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48827</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1.2.1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大坝下游左岸巡查台阶及排水沟C20砼重建（考虑人工二次搬运200m）</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m³</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25</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903.39</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22585</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1.2.2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绕坝渗漏观测道路维修（考虑人工二次搬运200m）</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m³</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874.74</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26242</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1.3</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大坝下游右坝脚巡查道路维修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79345</w:t>
            </w:r>
          </w:p>
        </w:tc>
      </w:tr>
      <w:tr>
        <w:tblPrEx>
          <w:tblCellMar>
            <w:top w:w="0" w:type="dxa"/>
            <w:left w:w="108" w:type="dxa"/>
            <w:bottom w:w="0" w:type="dxa"/>
            <w:right w:w="108" w:type="dxa"/>
          </w:tblCellMar>
        </w:tblPrEx>
        <w:trPr>
          <w:trHeight w:val="375"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1.3.1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原砼路面伸缩缝处理（包括冲洗、沥青修补及粘贴25cm宽抗裂布</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160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3200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1.3.2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路面涂刷粘层沥青</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600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21.69</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13014</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1.3.3</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沥青路面AC-10细粒式沥青铺装（厚3cm）</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600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43.24</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25944</w:t>
            </w:r>
          </w:p>
        </w:tc>
      </w:tr>
      <w:tr>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1.3.4</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沥青路面AC-16中粒式沥青铺装（厚4cm）</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600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50.54</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30324</w:t>
            </w:r>
          </w:p>
        </w:tc>
      </w:tr>
      <w:tr>
        <w:tblPrEx>
          <w:tblCellMar>
            <w:top w:w="0" w:type="dxa"/>
            <w:left w:w="108" w:type="dxa"/>
            <w:bottom w:w="0" w:type="dxa"/>
            <w:right w:w="108" w:type="dxa"/>
          </w:tblCellMar>
        </w:tblPrEx>
        <w:trPr>
          <w:trHeight w:val="554"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1.3.5</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7cm厚M10浆砌花岗岩平石（花岗岩厚4cm，砂浆厚3cm）</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m²</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160</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232.42</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37187</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1.4</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坝顶及管理区花岗岩、栏杆维修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20000</w:t>
            </w:r>
          </w:p>
        </w:tc>
      </w:tr>
      <w:tr>
        <w:tblPrEx>
          <w:tblCellMar>
            <w:top w:w="0" w:type="dxa"/>
            <w:left w:w="108" w:type="dxa"/>
            <w:bottom w:w="0" w:type="dxa"/>
            <w:right w:w="108" w:type="dxa"/>
          </w:tblCellMar>
        </w:tblPrEx>
        <w:trPr>
          <w:trHeight w:val="39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1.4.1</w:t>
            </w:r>
          </w:p>
        </w:tc>
        <w:tc>
          <w:tcPr>
            <w:tcW w:w="3504" w:type="dxa"/>
            <w:tcBorders>
              <w:top w:val="nil"/>
              <w:left w:val="nil"/>
              <w:bottom w:val="single" w:color="auto" w:sz="4" w:space="0"/>
              <w:right w:val="single" w:color="auto" w:sz="4" w:space="0"/>
            </w:tcBorders>
            <w:shd w:val="clear" w:color="000000" w:fill="FFFFFF"/>
            <w:vAlign w:val="center"/>
          </w:tcPr>
          <w:p>
            <w:pPr>
              <w:rPr>
                <w:rFonts w:ascii="宋体" w:hAnsi="宋体" w:cs="宋体"/>
                <w:sz w:val="21"/>
                <w:szCs w:val="21"/>
              </w:rPr>
            </w:pPr>
            <w:r>
              <w:rPr>
                <w:rFonts w:hint="eastAsia" w:ascii="宋体" w:hAnsi="宋体" w:cs="宋体"/>
                <w:sz w:val="21"/>
                <w:szCs w:val="21"/>
              </w:rPr>
              <w:t>花岗岩栏杆维修（栏杆拆除、更换断裂梁柱及重新安装）</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w:t>
            </w:r>
          </w:p>
        </w:tc>
      </w:tr>
      <w:tr>
        <w:tblPrEx>
          <w:tblCellMar>
            <w:top w:w="0" w:type="dxa"/>
            <w:left w:w="108" w:type="dxa"/>
            <w:bottom w:w="0" w:type="dxa"/>
            <w:right w:w="108" w:type="dxa"/>
          </w:tblCellMar>
        </w:tblPrEx>
        <w:trPr>
          <w:trHeight w:val="375"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1.4.2</w:t>
            </w:r>
          </w:p>
        </w:tc>
        <w:tc>
          <w:tcPr>
            <w:tcW w:w="3504" w:type="dxa"/>
            <w:tcBorders>
              <w:top w:val="nil"/>
              <w:left w:val="nil"/>
              <w:bottom w:val="single" w:color="auto" w:sz="4" w:space="0"/>
              <w:right w:val="single" w:color="auto" w:sz="4" w:space="0"/>
            </w:tcBorders>
            <w:shd w:val="clear" w:color="000000" w:fill="FFFFFF"/>
            <w:vAlign w:val="center"/>
          </w:tcPr>
          <w:p>
            <w:pPr>
              <w:rPr>
                <w:rFonts w:ascii="宋体" w:hAnsi="宋体" w:cs="宋体"/>
                <w:sz w:val="21"/>
                <w:szCs w:val="21"/>
              </w:rPr>
            </w:pPr>
            <w:r>
              <w:rPr>
                <w:rFonts w:hint="eastAsia" w:ascii="宋体" w:hAnsi="宋体" w:cs="宋体"/>
                <w:sz w:val="21"/>
                <w:szCs w:val="21"/>
              </w:rPr>
              <w:t>脱落、松动花岗岩面板重新安装（含拆除、凿毛、冲洗及安装）</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w:t>
            </w:r>
          </w:p>
        </w:tc>
      </w:tr>
      <w:tr>
        <w:tblPrEx>
          <w:tblCellMar>
            <w:top w:w="0" w:type="dxa"/>
            <w:left w:w="108" w:type="dxa"/>
            <w:bottom w:w="0" w:type="dxa"/>
            <w:right w:w="108" w:type="dxa"/>
          </w:tblCellMar>
        </w:tblPrEx>
        <w:trPr>
          <w:trHeight w:val="6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1.5</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廊道内照明灯维修（换灯座和灯泡，防潮LED灯）</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25000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25000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1.6</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大坝观测设施维修养护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w:t>
            </w:r>
            <w:r>
              <w:rPr>
                <w:rFonts w:ascii="宋体" w:hAnsi="宋体" w:cs="宋体"/>
                <w:b/>
                <w:bCs/>
                <w:sz w:val="21"/>
                <w:szCs w:val="21"/>
              </w:rPr>
              <w:t>0</w:t>
            </w:r>
            <w:r>
              <w:rPr>
                <w:rFonts w:hint="eastAsia" w:ascii="宋体" w:hAnsi="宋体" w:cs="宋体"/>
                <w:b/>
                <w:bCs/>
                <w:sz w:val="21"/>
                <w:szCs w:val="21"/>
              </w:rPr>
              <w:t>0000</w:t>
            </w:r>
          </w:p>
        </w:tc>
      </w:tr>
      <w:tr>
        <w:tblPrEx>
          <w:tblCellMar>
            <w:top w:w="0" w:type="dxa"/>
            <w:left w:w="108" w:type="dxa"/>
            <w:bottom w:w="0" w:type="dxa"/>
            <w:right w:w="108" w:type="dxa"/>
          </w:tblCellMar>
        </w:tblPrEx>
        <w:trPr>
          <w:trHeight w:val="225"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1.6.1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大坝安全监测系统检测鉴定</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2</w:t>
            </w:r>
          </w:p>
        </w:tc>
        <w:tc>
          <w:tcPr>
            <w:tcW w:w="3504" w:type="dxa"/>
            <w:tcBorders>
              <w:top w:val="nil"/>
              <w:left w:val="nil"/>
              <w:bottom w:val="single" w:color="auto" w:sz="4" w:space="0"/>
              <w:right w:val="single" w:color="auto" w:sz="4" w:space="0"/>
            </w:tcBorders>
            <w:shd w:val="clear" w:color="000000" w:fill="FFFFFF"/>
            <w:vAlign w:val="center"/>
          </w:tcPr>
          <w:p>
            <w:pPr>
              <w:rPr>
                <w:rFonts w:ascii="宋体" w:hAnsi="宋体" w:cs="宋体"/>
                <w:b/>
                <w:bCs/>
                <w:sz w:val="21"/>
                <w:szCs w:val="21"/>
              </w:rPr>
            </w:pPr>
            <w:r>
              <w:rPr>
                <w:rFonts w:hint="eastAsia" w:ascii="宋体" w:hAnsi="宋体" w:cs="宋体"/>
                <w:b/>
                <w:bCs/>
                <w:sz w:val="21"/>
                <w:szCs w:val="21"/>
              </w:rPr>
              <w:t>大坝泄洪闸启闭机房维修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2.1</w:t>
            </w:r>
          </w:p>
        </w:tc>
        <w:tc>
          <w:tcPr>
            <w:tcW w:w="3504" w:type="dxa"/>
            <w:tcBorders>
              <w:top w:val="nil"/>
              <w:left w:val="nil"/>
              <w:bottom w:val="single" w:color="auto" w:sz="4" w:space="0"/>
              <w:right w:val="single" w:color="auto" w:sz="4" w:space="0"/>
            </w:tcBorders>
            <w:shd w:val="clear" w:color="000000" w:fill="FFFFFF"/>
            <w:vAlign w:val="center"/>
          </w:tcPr>
          <w:p>
            <w:pPr>
              <w:rPr>
                <w:rFonts w:ascii="宋体" w:hAnsi="宋体" w:cs="宋体"/>
                <w:sz w:val="21"/>
                <w:szCs w:val="21"/>
              </w:rPr>
            </w:pPr>
            <w:r>
              <w:rPr>
                <w:rFonts w:hint="eastAsia" w:ascii="宋体" w:hAnsi="宋体" w:cs="宋体"/>
                <w:sz w:val="21"/>
                <w:szCs w:val="21"/>
              </w:rPr>
              <w:t>屋顶、窗户边渗水处理</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5000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2.2</w:t>
            </w:r>
          </w:p>
        </w:tc>
        <w:tc>
          <w:tcPr>
            <w:tcW w:w="3504" w:type="dxa"/>
            <w:tcBorders>
              <w:top w:val="nil"/>
              <w:left w:val="nil"/>
              <w:bottom w:val="single" w:color="auto" w:sz="4" w:space="0"/>
              <w:right w:val="single" w:color="auto" w:sz="4" w:space="0"/>
            </w:tcBorders>
            <w:shd w:val="clear" w:color="000000" w:fill="FFFFFF"/>
            <w:vAlign w:val="center"/>
          </w:tcPr>
          <w:p>
            <w:pPr>
              <w:rPr>
                <w:rFonts w:ascii="宋体" w:hAnsi="宋体" w:cs="宋体"/>
                <w:sz w:val="21"/>
                <w:szCs w:val="21"/>
              </w:rPr>
            </w:pPr>
            <w:r>
              <w:rPr>
                <w:rFonts w:hint="eastAsia" w:ascii="宋体" w:hAnsi="宋体" w:cs="宋体"/>
                <w:sz w:val="21"/>
                <w:szCs w:val="21"/>
              </w:rPr>
              <w:t>更换左侧仿古铜安全门（1.8*2.4m，含门框）</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5000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3</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管理区引水进水口、塌方处人工清理（每次洪水后）</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10000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4</w:t>
            </w:r>
          </w:p>
        </w:tc>
        <w:tc>
          <w:tcPr>
            <w:tcW w:w="3504" w:type="dxa"/>
            <w:tcBorders>
              <w:top w:val="nil"/>
              <w:left w:val="nil"/>
              <w:bottom w:val="single" w:color="auto" w:sz="4" w:space="0"/>
              <w:right w:val="single" w:color="auto" w:sz="4" w:space="0"/>
            </w:tcBorders>
            <w:shd w:val="clear" w:color="000000" w:fill="FFFFFF"/>
            <w:vAlign w:val="center"/>
          </w:tcPr>
          <w:p>
            <w:pPr>
              <w:rPr>
                <w:rFonts w:ascii="宋体" w:hAnsi="宋体" w:cs="宋体"/>
                <w:b/>
                <w:bCs/>
                <w:sz w:val="21"/>
                <w:szCs w:val="21"/>
              </w:rPr>
            </w:pPr>
            <w:r>
              <w:rPr>
                <w:rFonts w:hint="eastAsia" w:ascii="宋体" w:hAnsi="宋体" w:cs="宋体"/>
                <w:b/>
                <w:bCs/>
                <w:sz w:val="21"/>
                <w:szCs w:val="21"/>
              </w:rPr>
              <w:t>进库流量站改造</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4.1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进库流量站水位井进水口改造</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5</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水雨情系统升级（小源口及门阵雨量站）</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124000</w:t>
            </w:r>
          </w:p>
        </w:tc>
      </w:tr>
      <w:tr>
        <w:tblPrEx>
          <w:tblCellMar>
            <w:top w:w="0" w:type="dxa"/>
            <w:left w:w="108" w:type="dxa"/>
            <w:bottom w:w="0" w:type="dxa"/>
            <w:right w:w="108" w:type="dxa"/>
          </w:tblCellMar>
        </w:tblPrEx>
        <w:trPr>
          <w:trHeight w:val="465"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5.1</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b/>
                <w:bCs/>
                <w:sz w:val="21"/>
                <w:szCs w:val="21"/>
              </w:rPr>
            </w:pPr>
            <w:r>
              <w:rPr>
                <w:rFonts w:hint="eastAsia" w:ascii="宋体" w:hAnsi="宋体" w:cs="宋体"/>
                <w:b/>
                <w:bCs/>
                <w:sz w:val="21"/>
                <w:szCs w:val="21"/>
              </w:rPr>
              <w:t>遥测雨量站</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73000</w:t>
            </w:r>
          </w:p>
        </w:tc>
      </w:tr>
      <w:tr>
        <w:tblPrEx>
          <w:tblCellMar>
            <w:top w:w="0" w:type="dxa"/>
            <w:left w:w="108" w:type="dxa"/>
            <w:bottom w:w="0" w:type="dxa"/>
            <w:right w:w="108" w:type="dxa"/>
          </w:tblCellMar>
        </w:tblPrEx>
        <w:trPr>
          <w:trHeight w:val="315"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5.1.1</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遥测终端机（卫星加GPRS）（含GPRS运行费二年）</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12000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24000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5.1.2</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一体化机箱机箱（全不锈钢喷塑）</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3500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7000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5.1.3</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北斗卫星小站（含卫星运行费一年）</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17000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34000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5.1.4</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20W太阳能板</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5.1.5</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全不锈钢雨量计</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3000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5.1.6</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12V65AH免维护电池</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800</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1600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5.1.7</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水泥墩</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2000</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2000</w:t>
            </w:r>
          </w:p>
        </w:tc>
      </w:tr>
      <w:tr>
        <w:tblPrEx>
          <w:tblCellMar>
            <w:top w:w="0" w:type="dxa"/>
            <w:left w:w="108" w:type="dxa"/>
            <w:bottom w:w="0" w:type="dxa"/>
            <w:right w:w="108" w:type="dxa"/>
          </w:tblCellMar>
        </w:tblPrEx>
        <w:trPr>
          <w:trHeight w:val="48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5.2</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b/>
                <w:bCs/>
                <w:sz w:val="21"/>
                <w:szCs w:val="21"/>
              </w:rPr>
            </w:pPr>
            <w:r>
              <w:rPr>
                <w:rFonts w:hint="eastAsia" w:ascii="宋体" w:hAnsi="宋体" w:cs="宋体"/>
                <w:b/>
                <w:bCs/>
                <w:sz w:val="21"/>
                <w:szCs w:val="21"/>
              </w:rPr>
              <w:t>中心站</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36000</w:t>
            </w:r>
          </w:p>
        </w:tc>
      </w:tr>
      <w:tr>
        <w:tblPrEx>
          <w:tblCellMar>
            <w:top w:w="0" w:type="dxa"/>
            <w:left w:w="108" w:type="dxa"/>
            <w:bottom w:w="0" w:type="dxa"/>
            <w:right w:w="108" w:type="dxa"/>
          </w:tblCellMar>
        </w:tblPrEx>
        <w:trPr>
          <w:trHeight w:val="525"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5.2.1</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采集软件并接收新、老站点数据</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9000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9000</w:t>
            </w:r>
          </w:p>
        </w:tc>
      </w:tr>
      <w:tr>
        <w:tblPrEx>
          <w:tblCellMar>
            <w:top w:w="0" w:type="dxa"/>
            <w:left w:w="108" w:type="dxa"/>
            <w:bottom w:w="0" w:type="dxa"/>
            <w:right w:w="108" w:type="dxa"/>
          </w:tblCellMar>
        </w:tblPrEx>
        <w:trPr>
          <w:trHeight w:val="45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5.2.2</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北斗卫星小站（中心站接收卫星数据）</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17000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17000</w:t>
            </w:r>
          </w:p>
        </w:tc>
      </w:tr>
      <w:tr>
        <w:tblPrEx>
          <w:tblCellMar>
            <w:top w:w="0" w:type="dxa"/>
            <w:left w:w="108" w:type="dxa"/>
            <w:bottom w:w="0" w:type="dxa"/>
            <w:right w:w="108" w:type="dxa"/>
          </w:tblCellMar>
        </w:tblPrEx>
        <w:trPr>
          <w:trHeight w:val="39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5.2.3</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sz w:val="21"/>
                <w:szCs w:val="21"/>
              </w:rPr>
            </w:pPr>
            <w:r>
              <w:rPr>
                <w:rFonts w:hint="eastAsia" w:ascii="宋体" w:hAnsi="宋体" w:cs="宋体"/>
                <w:sz w:val="21"/>
                <w:szCs w:val="21"/>
              </w:rPr>
              <w:t>DELL服务器（后面配有2个接收数据串口）</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10000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10000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sz w:val="21"/>
                <w:szCs w:val="21"/>
              </w:rPr>
            </w:pPr>
            <w:r>
              <w:rPr>
                <w:rFonts w:hint="eastAsia" w:ascii="宋体" w:hAnsi="宋体" w:cs="宋体"/>
                <w:b/>
                <w:bCs/>
                <w:sz w:val="21"/>
                <w:szCs w:val="21"/>
              </w:rPr>
              <w:t>5.3</w:t>
            </w:r>
          </w:p>
        </w:tc>
        <w:tc>
          <w:tcPr>
            <w:tcW w:w="3504" w:type="dxa"/>
            <w:tcBorders>
              <w:top w:val="nil"/>
              <w:left w:val="nil"/>
              <w:bottom w:val="single" w:color="auto" w:sz="4" w:space="0"/>
              <w:right w:val="single" w:color="auto" w:sz="4" w:space="0"/>
            </w:tcBorders>
            <w:shd w:val="clear" w:color="000000" w:fill="FFFFFF"/>
            <w:vAlign w:val="center"/>
          </w:tcPr>
          <w:p>
            <w:pPr>
              <w:jc w:val="both"/>
              <w:rPr>
                <w:rFonts w:ascii="宋体" w:hAnsi="宋体" w:cs="宋体"/>
                <w:b/>
                <w:bCs/>
                <w:sz w:val="21"/>
                <w:szCs w:val="21"/>
              </w:rPr>
            </w:pPr>
            <w:r>
              <w:rPr>
                <w:rFonts w:hint="eastAsia" w:ascii="宋体" w:hAnsi="宋体" w:cs="宋体"/>
                <w:b/>
                <w:bCs/>
                <w:sz w:val="21"/>
                <w:szCs w:val="21"/>
              </w:rPr>
              <w:t>安装调试费等</w:t>
            </w:r>
          </w:p>
        </w:tc>
        <w:tc>
          <w:tcPr>
            <w:tcW w:w="1245" w:type="dxa"/>
            <w:tcBorders>
              <w:top w:val="nil"/>
              <w:left w:val="nil"/>
              <w:bottom w:val="single" w:color="auto" w:sz="4" w:space="0"/>
              <w:right w:val="single" w:color="auto" w:sz="4" w:space="0"/>
            </w:tcBorders>
            <w:shd w:val="clear" w:color="000000" w:fill="FFFFFF"/>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21"/>
                <w:szCs w:val="21"/>
              </w:rPr>
            </w:pPr>
            <w:r>
              <w:rPr>
                <w:rFonts w:hint="eastAsia" w:ascii="宋体" w:hAnsi="宋体" w:cs="宋体"/>
                <w:sz w:val="21"/>
                <w:szCs w:val="21"/>
              </w:rPr>
              <w:t>15000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15000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6</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其它</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31330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堤防工程维修养护</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18493</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6.1.1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堤身表面M7.5浆砌卵石修补</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m³</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w:t>
            </w:r>
          </w:p>
        </w:tc>
        <w:tc>
          <w:tcPr>
            <w:tcW w:w="1417" w:type="dxa"/>
            <w:tcBorders>
              <w:top w:val="nil"/>
              <w:left w:val="nil"/>
              <w:bottom w:val="nil"/>
              <w:right w:val="nil"/>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469.50</w:t>
            </w:r>
          </w:p>
        </w:tc>
        <w:tc>
          <w:tcPr>
            <w:tcW w:w="113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2348</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6.1.2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护脚挡墙C20砼修补</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m³</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w:t>
            </w:r>
          </w:p>
        </w:tc>
        <w:tc>
          <w:tcPr>
            <w:tcW w:w="1417" w:type="dxa"/>
            <w:tcBorders>
              <w:top w:val="single" w:color="000000" w:sz="4" w:space="0"/>
              <w:left w:val="nil"/>
              <w:bottom w:val="nil"/>
              <w:right w:val="nil"/>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734.48</w:t>
            </w:r>
          </w:p>
        </w:tc>
        <w:tc>
          <w:tcPr>
            <w:tcW w:w="113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7345</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6.1.3</w:t>
            </w:r>
          </w:p>
        </w:tc>
        <w:tc>
          <w:tcPr>
            <w:tcW w:w="3504" w:type="dxa"/>
            <w:tcBorders>
              <w:top w:val="nil"/>
              <w:left w:val="nil"/>
              <w:bottom w:val="single" w:color="auto" w:sz="4" w:space="0"/>
              <w:right w:val="single" w:color="auto" w:sz="4" w:space="0"/>
            </w:tcBorders>
            <w:shd w:val="clear" w:color="000000" w:fill="FFFFFF"/>
            <w:vAlign w:val="center"/>
          </w:tcPr>
          <w:p>
            <w:pPr>
              <w:rPr>
                <w:rFonts w:ascii="宋体" w:hAnsi="宋体" w:cs="宋体"/>
                <w:sz w:val="21"/>
                <w:szCs w:val="21"/>
              </w:rPr>
            </w:pPr>
            <w:r>
              <w:rPr>
                <w:rFonts w:hint="eastAsia" w:ascii="宋体" w:hAnsi="宋体" w:cs="宋体"/>
                <w:sz w:val="21"/>
                <w:szCs w:val="21"/>
              </w:rPr>
              <w:t>栏杆维修、苗木补种</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工日</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sz w:val="21"/>
                <w:szCs w:val="21"/>
              </w:rPr>
            </w:pPr>
            <w:r>
              <w:rPr>
                <w:sz w:val="21"/>
                <w:szCs w:val="21"/>
              </w:rPr>
              <w:t>40</w:t>
            </w:r>
          </w:p>
        </w:tc>
        <w:tc>
          <w:tcPr>
            <w:tcW w:w="1417" w:type="dxa"/>
            <w:tcBorders>
              <w:top w:val="single" w:color="auto" w:sz="4" w:space="0"/>
              <w:left w:val="nil"/>
              <w:bottom w:val="single" w:color="auto" w:sz="4" w:space="0"/>
              <w:right w:val="single" w:color="auto" w:sz="4" w:space="0"/>
            </w:tcBorders>
            <w:shd w:val="clear" w:color="000000" w:fill="FFFFFF"/>
            <w:vAlign w:val="center"/>
          </w:tcPr>
          <w:p>
            <w:pPr>
              <w:jc w:val="center"/>
              <w:rPr>
                <w:sz w:val="21"/>
                <w:szCs w:val="21"/>
              </w:rPr>
            </w:pPr>
            <w:r>
              <w:rPr>
                <w:sz w:val="21"/>
                <w:szCs w:val="21"/>
              </w:rPr>
              <w:t>220</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8800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渠道工程维修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12837</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6.2.1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破损渠道面板人工清理、凿除、修补</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m³</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5</w:t>
            </w:r>
          </w:p>
        </w:tc>
        <w:tc>
          <w:tcPr>
            <w:tcW w:w="1417" w:type="dxa"/>
            <w:tcBorders>
              <w:top w:val="nil"/>
              <w:left w:val="nil"/>
              <w:bottom w:val="nil"/>
              <w:right w:val="nil"/>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743.84</w:t>
            </w:r>
          </w:p>
        </w:tc>
        <w:tc>
          <w:tcPr>
            <w:tcW w:w="113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3719</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6.2.2</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进水闸闸门维修</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1417" w:type="dxa"/>
            <w:tcBorders>
              <w:top w:val="single" w:color="000000" w:sz="4" w:space="0"/>
              <w:left w:val="nil"/>
              <w:bottom w:val="nil"/>
              <w:right w:val="nil"/>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1000.00</w:t>
            </w:r>
          </w:p>
        </w:tc>
        <w:tc>
          <w:tcPr>
            <w:tcW w:w="113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1000</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6.2.3</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渠道人工清淤（每次洪水过后）</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m³</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200</w:t>
            </w:r>
          </w:p>
        </w:tc>
        <w:tc>
          <w:tcPr>
            <w:tcW w:w="1417" w:type="dxa"/>
            <w:tcBorders>
              <w:top w:val="single" w:color="000000" w:sz="4" w:space="0"/>
              <w:left w:val="nil"/>
              <w:bottom w:val="nil"/>
              <w:right w:val="nil"/>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40.59</w:t>
            </w:r>
          </w:p>
        </w:tc>
        <w:tc>
          <w:tcPr>
            <w:tcW w:w="113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8118</w:t>
            </w:r>
          </w:p>
        </w:tc>
      </w:tr>
      <w:tr>
        <w:tblPrEx>
          <w:tblCellMar>
            <w:top w:w="0" w:type="dxa"/>
            <w:left w:w="108" w:type="dxa"/>
            <w:bottom w:w="0" w:type="dxa"/>
            <w:right w:w="108" w:type="dxa"/>
          </w:tblCellMar>
        </w:tblPrEx>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三</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b/>
                <w:bCs/>
                <w:sz w:val="21"/>
                <w:szCs w:val="21"/>
              </w:rPr>
            </w:pPr>
            <w:r>
              <w:rPr>
                <w:rFonts w:hint="eastAsia" w:ascii="宋体" w:hAnsi="宋体" w:cs="宋体"/>
                <w:b/>
                <w:bCs/>
                <w:sz w:val="21"/>
                <w:szCs w:val="21"/>
              </w:rPr>
              <w:t>临时工程（含零星维修工程等）</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1"/>
                <w:szCs w:val="21"/>
              </w:rPr>
            </w:pPr>
            <w:r>
              <w:rPr>
                <w:rFonts w:hint="eastAsia" w:ascii="宋体" w:hAnsi="宋体" w:cs="宋体"/>
                <w:b/>
                <w:bCs/>
                <w:sz w:val="21"/>
                <w:szCs w:val="21"/>
              </w:rPr>
              <w:t>18765</w:t>
            </w:r>
          </w:p>
        </w:tc>
      </w:tr>
      <w:tr>
        <w:trPr>
          <w:trHeight w:val="300" w:hRule="atLeast"/>
        </w:trPr>
        <w:tc>
          <w:tcPr>
            <w:tcW w:w="112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w:t>
            </w:r>
          </w:p>
        </w:tc>
        <w:tc>
          <w:tcPr>
            <w:tcW w:w="3504" w:type="dxa"/>
            <w:tcBorders>
              <w:top w:val="nil"/>
              <w:left w:val="nil"/>
              <w:bottom w:val="single" w:color="auto" w:sz="4" w:space="0"/>
              <w:right w:val="single" w:color="auto" w:sz="4" w:space="0"/>
            </w:tcBorders>
            <w:shd w:val="clear" w:color="000000" w:fill="FFFFFF"/>
            <w:noWrap/>
            <w:vAlign w:val="center"/>
          </w:tcPr>
          <w:p>
            <w:pPr>
              <w:rPr>
                <w:rFonts w:ascii="宋体" w:hAnsi="宋体" w:cs="宋体"/>
                <w:sz w:val="21"/>
                <w:szCs w:val="21"/>
              </w:rPr>
            </w:pPr>
            <w:r>
              <w:rPr>
                <w:rFonts w:hint="eastAsia" w:ascii="宋体" w:hAnsi="宋体" w:cs="宋体"/>
                <w:sz w:val="21"/>
                <w:szCs w:val="21"/>
              </w:rPr>
              <w:t>临时工程（含各类零星维修工程等）</w:t>
            </w:r>
          </w:p>
        </w:tc>
        <w:tc>
          <w:tcPr>
            <w:tcW w:w="1245" w:type="dxa"/>
            <w:tcBorders>
              <w:top w:val="nil"/>
              <w:left w:val="nil"/>
              <w:bottom w:val="single" w:color="auto" w:sz="4" w:space="0"/>
              <w:right w:val="single" w:color="auto" w:sz="4" w:space="0"/>
            </w:tcBorders>
            <w:shd w:val="clear" w:color="000000" w:fill="FFFFFF"/>
            <w:noWrap/>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c>
          <w:tcPr>
            <w:tcW w:w="1210"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　</w:t>
            </w:r>
          </w:p>
        </w:tc>
        <w:tc>
          <w:tcPr>
            <w:tcW w:w="1417"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3%</w:t>
            </w:r>
          </w:p>
        </w:tc>
        <w:tc>
          <w:tcPr>
            <w:tcW w:w="1134"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1"/>
                <w:szCs w:val="21"/>
              </w:rPr>
            </w:pPr>
            <w:r>
              <w:rPr>
                <w:rFonts w:hint="eastAsia" w:ascii="宋体" w:hAnsi="宋体" w:cs="宋体"/>
                <w:sz w:val="21"/>
                <w:szCs w:val="21"/>
              </w:rPr>
              <w:t>18765</w:t>
            </w:r>
          </w:p>
        </w:tc>
      </w:tr>
    </w:tbl>
    <w:p>
      <w:pPr>
        <w:pStyle w:val="2"/>
        <w:ind w:left="480" w:firstLine="480"/>
      </w:pPr>
    </w:p>
    <w:p>
      <w:pPr>
        <w:pStyle w:val="2"/>
        <w:ind w:left="480" w:firstLine="442"/>
        <w:rPr>
          <w:rFonts w:ascii="宋体" w:hAnsi="宋体" w:cs="宋体"/>
          <w:b/>
          <w:bCs/>
          <w:color w:val="auto"/>
          <w:sz w:val="22"/>
          <w:szCs w:val="22"/>
          <w:highlight w:val="none"/>
        </w:rPr>
      </w:pPr>
      <w:r>
        <w:rPr>
          <w:rFonts w:hint="eastAsia" w:ascii="宋体" w:hAnsi="宋体" w:cs="宋体"/>
          <w:b/>
          <w:bCs/>
          <w:color w:val="auto"/>
          <w:sz w:val="22"/>
          <w:szCs w:val="22"/>
          <w:highlight w:val="none"/>
        </w:rPr>
        <w:t>金兰水库实施明细</w:t>
      </w:r>
    </w:p>
    <w:tbl>
      <w:tblPr>
        <w:tblStyle w:val="36"/>
        <w:tblW w:w="9634" w:type="dxa"/>
        <w:jc w:val="center"/>
        <w:tblLayout w:type="autofit"/>
        <w:tblCellMar>
          <w:top w:w="0" w:type="dxa"/>
          <w:left w:w="108" w:type="dxa"/>
          <w:bottom w:w="0" w:type="dxa"/>
          <w:right w:w="108" w:type="dxa"/>
        </w:tblCellMar>
      </w:tblPr>
      <w:tblGrid>
        <w:gridCol w:w="709"/>
        <w:gridCol w:w="3118"/>
        <w:gridCol w:w="1418"/>
        <w:gridCol w:w="1559"/>
        <w:gridCol w:w="1559"/>
        <w:gridCol w:w="1271"/>
      </w:tblGrid>
      <w:tr>
        <w:tblPrEx>
          <w:tblCellMar>
            <w:top w:w="0" w:type="dxa"/>
            <w:left w:w="108" w:type="dxa"/>
            <w:bottom w:w="0" w:type="dxa"/>
            <w:right w:w="108" w:type="dxa"/>
          </w:tblCellMar>
        </w:tblPrEx>
        <w:trPr>
          <w:trHeight w:val="390" w:hRule="atLeast"/>
          <w:tblHeader/>
          <w:jc w:val="center"/>
        </w:trPr>
        <w:tc>
          <w:tcPr>
            <w:tcW w:w="70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序号</w:t>
            </w:r>
          </w:p>
        </w:tc>
        <w:tc>
          <w:tcPr>
            <w:tcW w:w="3118"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项目名称</w:t>
            </w:r>
          </w:p>
        </w:tc>
        <w:tc>
          <w:tcPr>
            <w:tcW w:w="1418"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单位</w:t>
            </w:r>
          </w:p>
        </w:tc>
        <w:tc>
          <w:tcPr>
            <w:tcW w:w="1559"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工程量</w:t>
            </w:r>
          </w:p>
        </w:tc>
        <w:tc>
          <w:tcPr>
            <w:tcW w:w="1559"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单价（元）</w:t>
            </w:r>
          </w:p>
        </w:tc>
        <w:tc>
          <w:tcPr>
            <w:tcW w:w="1271" w:type="dxa"/>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合价（元）</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一</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招标项目一（工程维护）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主体工程维修养护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xml:space="preserve">160200 </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大坝迎水面、坝顶杂草清理人工费（人工拔除）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1.2</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大坝背水面杂草清理人工费（人工拔除）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70400</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大坝迎水面、背水面杂草清理材料</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15000</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1.4</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坝体排水沟垃圾及淤积物清理</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大坝坝顶及背水坡绿化养护（含苗木修剪及补种）</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90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19800</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2</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闸门维修养护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xml:space="preserve">18000 </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泄洪闸弧形钢闸门维修养护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扇</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10000</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输水隧洞进口闸门维修养护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扇</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2.3</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放空洞进口闸门维修养护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扇</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6000</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3</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启闭机维修养护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 xml:space="preserve">18000 </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泄洪闸启闭机维修养护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扇</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10000</w:t>
            </w:r>
          </w:p>
        </w:tc>
      </w:tr>
      <w:tr>
        <w:tblPrEx>
          <w:tblCellMar>
            <w:top w:w="0" w:type="dxa"/>
            <w:left w:w="108" w:type="dxa"/>
            <w:bottom w:w="0" w:type="dxa"/>
            <w:right w:w="108" w:type="dxa"/>
          </w:tblCellMar>
        </w:tblPrEx>
        <w:trPr>
          <w:trHeight w:val="39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输水隧洞闸门启闭机维修养护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扇</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放空洞闸门（事故检修门及工作门）启闭机维修养护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扇</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坝区（坝脚下游及两坝端）绿化养护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121675</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坝区重点区域（坝脚下游5m范围）绿化养护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m</w:t>
            </w:r>
            <w:r>
              <w:rPr>
                <w:rFonts w:hint="eastAsia" w:ascii="宋体" w:hAnsi="宋体" w:cs="宋体"/>
                <w:color w:val="000000" w:themeColor="text1"/>
                <w:vertAlign w:val="superscript"/>
                <w14:textFill>
                  <w14:solidFill>
                    <w14:schemeClr w14:val="tx1"/>
                  </w14:solidFill>
                </w14:textFill>
              </w:rPr>
              <w:t>2</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2500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6.67</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16675</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4.2　</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坝区一般区域绿化养护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m</w:t>
            </w:r>
            <w:r>
              <w:rPr>
                <w:rFonts w:hint="eastAsia" w:ascii="宋体" w:hAnsi="宋体" w:cs="宋体"/>
                <w:color w:val="000000" w:themeColor="text1"/>
                <w:vertAlign w:val="superscript"/>
                <w14:textFill>
                  <w14:solidFill>
                    <w14:schemeClr w14:val="tx1"/>
                  </w14:solidFill>
                </w14:textFill>
              </w:rPr>
              <w:t>2</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35000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105000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6</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森林防火及消防设施维修</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8300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消防器材更换</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8300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8300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7</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库面保洁</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411000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金兰水库库面保洁</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m²</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3150000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0.12</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378000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7.2</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泄洪渠、灌溉渠道水面保洁</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m²</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200000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0.06</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12000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7.3</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库区周边垃圾清理</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m²</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350000</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0.06</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21000</w:t>
            </w:r>
          </w:p>
        </w:tc>
      </w:tr>
      <w:tr>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8</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标志、标识牌维修养护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10000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附属设施维修养护</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40000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11.1</w:t>
            </w: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主管理房维修</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p>
        </w:tc>
        <w:tc>
          <w:tcPr>
            <w:tcW w:w="1559" w:type="dxa"/>
            <w:tcBorders>
              <w:top w:val="nil"/>
              <w:left w:val="nil"/>
              <w:bottom w:val="single" w:color="auto" w:sz="4" w:space="0"/>
              <w:right w:val="single" w:color="auto" w:sz="4" w:space="0"/>
            </w:tcBorders>
            <w:shd w:val="clear" w:color="000000" w:fill="FFFFFF"/>
            <w:noWrap/>
            <w:vAlign w:val="center"/>
          </w:tcPr>
          <w:p>
            <w:pPr>
              <w:rPr>
                <w:rFonts w:ascii="宋体" w:hAnsi="宋体" w:cs="宋体"/>
                <w:color w:val="000000" w:themeColor="text1"/>
                <w14:textFill>
                  <w14:solidFill>
                    <w14:schemeClr w14:val="tx1"/>
                  </w14:solidFill>
                </w14:textFill>
              </w:rPr>
            </w:pP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20000</w:t>
            </w:r>
          </w:p>
        </w:tc>
      </w:tr>
      <w:tr>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p>
        </w:tc>
        <w:tc>
          <w:tcPr>
            <w:tcW w:w="3118" w:type="dxa"/>
            <w:tcBorders>
              <w:top w:val="nil"/>
              <w:left w:val="nil"/>
              <w:bottom w:val="single" w:color="auto" w:sz="4" w:space="0"/>
              <w:right w:val="single" w:color="auto" w:sz="4" w:space="0"/>
            </w:tcBorders>
            <w:shd w:val="clear" w:color="000000" w:fill="FFFFFF"/>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水电设施、墙面及屋顶维修</w:t>
            </w:r>
          </w:p>
        </w:tc>
        <w:tc>
          <w:tcPr>
            <w:tcW w:w="1418"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p>
        </w:tc>
        <w:tc>
          <w:tcPr>
            <w:tcW w:w="1559"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20000</w:t>
            </w:r>
          </w:p>
        </w:tc>
        <w:tc>
          <w:tcPr>
            <w:tcW w:w="1271" w:type="dxa"/>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20000</w:t>
            </w:r>
          </w:p>
        </w:tc>
      </w:tr>
    </w:tbl>
    <w:p>
      <w:pPr>
        <w:pStyle w:val="2"/>
        <w:ind w:left="480" w:firstLine="442"/>
        <w:rPr>
          <w:rFonts w:ascii="宋体" w:hAnsi="宋体" w:cs="宋体"/>
          <w:b/>
          <w:bCs/>
          <w:color w:val="FF0000"/>
          <w:sz w:val="22"/>
          <w:szCs w:val="22"/>
          <w:highlight w:val="yellow"/>
        </w:rPr>
      </w:pPr>
    </w:p>
    <w:p>
      <w:pPr>
        <w:pStyle w:val="2"/>
        <w:ind w:left="480" w:firstLine="442"/>
        <w:rPr>
          <w:rFonts w:ascii="宋体" w:hAnsi="宋体" w:cs="宋体"/>
          <w:b/>
          <w:bCs/>
          <w:color w:val="FF0000"/>
          <w:sz w:val="22"/>
          <w:szCs w:val="22"/>
          <w:highlight w:val="yellow"/>
        </w:rPr>
      </w:pPr>
    </w:p>
    <w:p>
      <w:pPr>
        <w:pStyle w:val="2"/>
        <w:ind w:left="480" w:firstLine="442"/>
        <w:rPr>
          <w:rFonts w:ascii="宋体" w:hAnsi="宋体" w:cs="宋体"/>
          <w:b/>
          <w:bCs/>
          <w:color w:val="FF0000"/>
          <w:sz w:val="22"/>
          <w:szCs w:val="22"/>
          <w:highlight w:val="yellow"/>
        </w:rPr>
      </w:pPr>
    </w:p>
    <w:p>
      <w:pPr>
        <w:pStyle w:val="2"/>
        <w:ind w:left="480" w:firstLine="442"/>
        <w:rPr>
          <w:rFonts w:ascii="宋体" w:hAnsi="宋体" w:cs="宋体"/>
          <w:b/>
          <w:bCs/>
          <w:color w:val="FF0000"/>
          <w:sz w:val="22"/>
          <w:szCs w:val="22"/>
          <w:highlight w:val="yellow"/>
        </w:rPr>
      </w:pPr>
    </w:p>
    <w:p>
      <w:pPr>
        <w:pStyle w:val="2"/>
        <w:ind w:left="480" w:firstLine="442"/>
        <w:rPr>
          <w:rFonts w:ascii="宋体" w:hAnsi="宋体" w:cs="宋体"/>
          <w:b/>
          <w:bCs/>
          <w:color w:val="auto"/>
          <w:sz w:val="22"/>
          <w:szCs w:val="22"/>
          <w:highlight w:val="none"/>
        </w:rPr>
      </w:pPr>
      <w:r>
        <w:rPr>
          <w:rFonts w:hint="eastAsia" w:ascii="宋体" w:hAnsi="宋体" w:cs="宋体"/>
          <w:b/>
          <w:bCs/>
          <w:color w:val="auto"/>
          <w:sz w:val="22"/>
          <w:szCs w:val="22"/>
          <w:highlight w:val="none"/>
        </w:rPr>
        <w:t>安地水库实施明细</w:t>
      </w:r>
    </w:p>
    <w:tbl>
      <w:tblPr>
        <w:tblStyle w:val="36"/>
        <w:tblW w:w="5274"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684"/>
        <w:gridCol w:w="781"/>
        <w:gridCol w:w="1096"/>
        <w:gridCol w:w="1096"/>
        <w:gridCol w:w="125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blHeader/>
        </w:trPr>
        <w:tc>
          <w:tcPr>
            <w:tcW w:w="429" w:type="pct"/>
            <w:shd w:val="clear" w:color="auto" w:fill="auto"/>
            <w:noWrap/>
            <w:vAlign w:val="center"/>
          </w:tcPr>
          <w:p>
            <w:pPr>
              <w:jc w:val="center"/>
              <w:rPr>
                <w:b/>
                <w:bCs/>
                <w:sz w:val="21"/>
                <w:szCs w:val="21"/>
                <w:highlight w:val="none"/>
              </w:rPr>
            </w:pPr>
            <w:r>
              <w:rPr>
                <w:b/>
                <w:bCs/>
                <w:sz w:val="21"/>
                <w:szCs w:val="21"/>
                <w:highlight w:val="none"/>
              </w:rPr>
              <w:t>序号</w:t>
            </w:r>
          </w:p>
        </w:tc>
        <w:tc>
          <w:tcPr>
            <w:tcW w:w="1857" w:type="pct"/>
            <w:shd w:val="clear" w:color="auto" w:fill="auto"/>
            <w:noWrap/>
            <w:vAlign w:val="center"/>
          </w:tcPr>
          <w:p>
            <w:pPr>
              <w:jc w:val="center"/>
              <w:rPr>
                <w:b/>
                <w:bCs/>
                <w:sz w:val="21"/>
                <w:szCs w:val="21"/>
                <w:highlight w:val="none"/>
              </w:rPr>
            </w:pPr>
            <w:r>
              <w:rPr>
                <w:b/>
                <w:bCs/>
                <w:sz w:val="21"/>
                <w:szCs w:val="21"/>
                <w:highlight w:val="none"/>
              </w:rPr>
              <w:t>项目名称</w:t>
            </w:r>
          </w:p>
        </w:tc>
        <w:tc>
          <w:tcPr>
            <w:tcW w:w="394" w:type="pct"/>
            <w:shd w:val="clear" w:color="auto" w:fill="auto"/>
            <w:noWrap/>
            <w:vAlign w:val="center"/>
          </w:tcPr>
          <w:p>
            <w:pPr>
              <w:jc w:val="center"/>
              <w:rPr>
                <w:b/>
                <w:bCs/>
                <w:sz w:val="21"/>
                <w:szCs w:val="21"/>
                <w:highlight w:val="none"/>
              </w:rPr>
            </w:pPr>
            <w:r>
              <w:rPr>
                <w:b/>
                <w:bCs/>
                <w:sz w:val="21"/>
                <w:szCs w:val="21"/>
                <w:highlight w:val="none"/>
              </w:rPr>
              <w:t>单位</w:t>
            </w:r>
          </w:p>
        </w:tc>
        <w:tc>
          <w:tcPr>
            <w:tcW w:w="551" w:type="pct"/>
            <w:shd w:val="clear" w:color="auto" w:fill="auto"/>
            <w:noWrap/>
            <w:vAlign w:val="center"/>
          </w:tcPr>
          <w:p>
            <w:pPr>
              <w:jc w:val="center"/>
              <w:rPr>
                <w:b/>
                <w:bCs/>
                <w:sz w:val="21"/>
                <w:szCs w:val="21"/>
                <w:highlight w:val="none"/>
              </w:rPr>
            </w:pPr>
            <w:r>
              <w:rPr>
                <w:b/>
                <w:bCs/>
                <w:sz w:val="21"/>
                <w:szCs w:val="21"/>
                <w:highlight w:val="none"/>
              </w:rPr>
              <w:t>数量</w:t>
            </w:r>
          </w:p>
        </w:tc>
        <w:tc>
          <w:tcPr>
            <w:tcW w:w="551" w:type="pct"/>
            <w:shd w:val="clear" w:color="auto" w:fill="auto"/>
            <w:noWrap/>
            <w:vAlign w:val="center"/>
          </w:tcPr>
          <w:p>
            <w:pPr>
              <w:jc w:val="center"/>
              <w:rPr>
                <w:b/>
                <w:bCs/>
                <w:sz w:val="21"/>
                <w:szCs w:val="21"/>
                <w:highlight w:val="none"/>
              </w:rPr>
            </w:pPr>
            <w:r>
              <w:rPr>
                <w:b/>
                <w:bCs/>
                <w:sz w:val="21"/>
                <w:szCs w:val="21"/>
                <w:highlight w:val="none"/>
              </w:rPr>
              <w:t>单价</w:t>
            </w:r>
            <w:r>
              <w:rPr>
                <w:rFonts w:hint="eastAsia"/>
                <w:b/>
                <w:bCs/>
                <w:sz w:val="21"/>
                <w:szCs w:val="21"/>
                <w:highlight w:val="none"/>
              </w:rPr>
              <w:t>（元）</w:t>
            </w:r>
          </w:p>
        </w:tc>
        <w:tc>
          <w:tcPr>
            <w:tcW w:w="629" w:type="pct"/>
            <w:shd w:val="clear" w:color="auto" w:fill="auto"/>
            <w:noWrap/>
            <w:vAlign w:val="center"/>
          </w:tcPr>
          <w:p>
            <w:pPr>
              <w:jc w:val="center"/>
              <w:rPr>
                <w:b/>
                <w:bCs/>
                <w:sz w:val="21"/>
                <w:szCs w:val="21"/>
                <w:highlight w:val="none"/>
              </w:rPr>
            </w:pPr>
            <w:r>
              <w:rPr>
                <w:b/>
                <w:bCs/>
                <w:sz w:val="21"/>
                <w:szCs w:val="21"/>
                <w:highlight w:val="none"/>
              </w:rPr>
              <w:t>合价</w:t>
            </w:r>
            <w:r>
              <w:rPr>
                <w:rFonts w:hint="eastAsia"/>
                <w:b/>
                <w:bCs/>
                <w:sz w:val="21"/>
                <w:szCs w:val="21"/>
                <w:highlight w:val="none"/>
              </w:rPr>
              <w:t>（元）</w:t>
            </w:r>
          </w:p>
        </w:tc>
        <w:tc>
          <w:tcPr>
            <w:tcW w:w="586" w:type="pct"/>
            <w:shd w:val="clear" w:color="auto" w:fill="auto"/>
            <w:noWrap/>
            <w:vAlign w:val="center"/>
          </w:tcPr>
          <w:p>
            <w:pPr>
              <w:jc w:val="center"/>
              <w:rPr>
                <w:b/>
                <w:bCs/>
                <w:sz w:val="21"/>
                <w:szCs w:val="21"/>
                <w:highlight w:val="none"/>
              </w:rPr>
            </w:pPr>
            <w:r>
              <w:rPr>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w:t>
            </w:r>
          </w:p>
        </w:tc>
        <w:tc>
          <w:tcPr>
            <w:tcW w:w="1857" w:type="pct"/>
            <w:shd w:val="clear" w:color="auto" w:fill="auto"/>
            <w:noWrap/>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主体工程维修养护</w:t>
            </w:r>
          </w:p>
        </w:tc>
        <w:tc>
          <w:tcPr>
            <w:tcW w:w="394" w:type="pct"/>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shd w:val="clear" w:color="auto" w:fill="auto"/>
            <w:noWrap/>
            <w:vAlign w:val="center"/>
          </w:tcPr>
          <w:p>
            <w:pPr>
              <w:jc w:val="center"/>
              <w:rPr>
                <w:b/>
                <w:bCs/>
                <w:color w:val="000000" w:themeColor="text1"/>
                <w:sz w:val="22"/>
                <w:szCs w:val="22"/>
                <w:highlight w:val="none"/>
                <w14:textFill>
                  <w14:solidFill>
                    <w14:schemeClr w14:val="tx1"/>
                  </w14:solidFill>
                </w14:textFill>
              </w:rPr>
            </w:pPr>
          </w:p>
        </w:tc>
        <w:tc>
          <w:tcPr>
            <w:tcW w:w="586" w:type="pct"/>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.1</w:t>
            </w:r>
          </w:p>
        </w:tc>
        <w:tc>
          <w:tcPr>
            <w:tcW w:w="1857" w:type="pct"/>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大坝排水沟、引张线观测沟清理</w:t>
            </w:r>
          </w:p>
        </w:tc>
        <w:tc>
          <w:tcPr>
            <w:tcW w:w="394"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w:t>
            </w:r>
          </w:p>
        </w:tc>
        <w:tc>
          <w:tcPr>
            <w:tcW w:w="551"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p>
        </w:tc>
        <w:tc>
          <w:tcPr>
            <w:tcW w:w="551"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220</w:t>
            </w:r>
          </w:p>
        </w:tc>
        <w:tc>
          <w:tcPr>
            <w:tcW w:w="629" w:type="pct"/>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8800</w:t>
            </w:r>
          </w:p>
        </w:tc>
        <w:tc>
          <w:tcPr>
            <w:tcW w:w="586" w:type="pct"/>
            <w:vMerge w:val="restart"/>
            <w:shd w:val="clear" w:color="auto" w:fill="auto"/>
            <w:noWrap/>
            <w:vAlign w:val="center"/>
          </w:tcPr>
          <w:p>
            <w:pPr>
              <w:jc w:val="center"/>
              <w:rPr>
                <w:bCs/>
                <w:color w:val="auto"/>
                <w:sz w:val="22"/>
                <w:szCs w:val="22"/>
                <w:highlight w:val="none"/>
              </w:rPr>
            </w:pPr>
            <w:r>
              <w:rPr>
                <w:rFonts w:hint="eastAsia"/>
                <w:bCs/>
                <w:color w:val="auto"/>
                <w:sz w:val="22"/>
                <w:szCs w:val="22"/>
                <w:highlight w:val="none"/>
              </w:rPr>
              <w:t>以水管单位安排的实际完成工数为结算依据。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2</w:t>
            </w:r>
          </w:p>
        </w:tc>
        <w:tc>
          <w:tcPr>
            <w:tcW w:w="1857" w:type="pct"/>
            <w:shd w:val="clear" w:color="auto" w:fill="auto"/>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防汛专用通道排水沟清理</w:t>
            </w:r>
          </w:p>
        </w:tc>
        <w:tc>
          <w:tcPr>
            <w:tcW w:w="394"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w:t>
            </w:r>
          </w:p>
        </w:tc>
        <w:tc>
          <w:tcPr>
            <w:tcW w:w="551"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w:t>
            </w:r>
          </w:p>
        </w:tc>
        <w:tc>
          <w:tcPr>
            <w:tcW w:w="551" w:type="pct"/>
            <w:shd w:val="clear" w:color="auto" w:fill="auto"/>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220</w:t>
            </w:r>
          </w:p>
        </w:tc>
        <w:tc>
          <w:tcPr>
            <w:tcW w:w="629" w:type="pct"/>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12100</w:t>
            </w:r>
          </w:p>
        </w:tc>
        <w:tc>
          <w:tcPr>
            <w:tcW w:w="586" w:type="pct"/>
            <w:vMerge w:val="continue"/>
            <w:shd w:val="clear" w:color="auto" w:fill="auto"/>
            <w:noWrap/>
            <w:vAlign w:val="center"/>
          </w:tcPr>
          <w:p>
            <w:pPr>
              <w:jc w:val="center"/>
              <w:rPr>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3</w:t>
            </w:r>
          </w:p>
        </w:tc>
        <w:tc>
          <w:tcPr>
            <w:tcW w:w="1857" w:type="pct"/>
            <w:shd w:val="clear" w:color="auto" w:fill="auto"/>
            <w:vAlign w:val="center"/>
          </w:tcPr>
          <w:p>
            <w:pPr>
              <w:rPr>
                <w:color w:val="000000" w:themeColor="text1"/>
                <w:spacing w:val="-6"/>
                <w:sz w:val="21"/>
                <w:szCs w:val="21"/>
                <w:highlight w:val="none"/>
                <w14:textFill>
                  <w14:solidFill>
                    <w14:schemeClr w14:val="tx1"/>
                  </w14:solidFill>
                </w14:textFill>
              </w:rPr>
            </w:pPr>
            <w:r>
              <w:rPr>
                <w:color w:val="000000" w:themeColor="text1"/>
                <w:spacing w:val="-6"/>
                <w:sz w:val="21"/>
                <w:szCs w:val="21"/>
                <w:highlight w:val="none"/>
                <w14:textFill>
                  <w14:solidFill>
                    <w14:schemeClr w14:val="tx1"/>
                  </w14:solidFill>
                </w14:textFill>
              </w:rPr>
              <w:t>大坝等水工建筑物及管理房清理</w:t>
            </w:r>
          </w:p>
        </w:tc>
        <w:tc>
          <w:tcPr>
            <w:tcW w:w="394"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w:t>
            </w:r>
          </w:p>
        </w:tc>
        <w:tc>
          <w:tcPr>
            <w:tcW w:w="551" w:type="pct"/>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p>
        </w:tc>
        <w:tc>
          <w:tcPr>
            <w:tcW w:w="551" w:type="pct"/>
            <w:shd w:val="clear" w:color="auto" w:fill="auto"/>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220</w:t>
            </w:r>
          </w:p>
        </w:tc>
        <w:tc>
          <w:tcPr>
            <w:tcW w:w="629" w:type="pct"/>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8800</w:t>
            </w:r>
          </w:p>
        </w:tc>
        <w:tc>
          <w:tcPr>
            <w:tcW w:w="586" w:type="pct"/>
            <w:vMerge w:val="continue"/>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29" w:type="pct"/>
            <w:tcBorders>
              <w:bottom w:val="single" w:color="auto" w:sz="2" w:space="0"/>
            </w:tcBorders>
            <w:shd w:val="clear" w:color="auto" w:fill="auto"/>
            <w:noWrap/>
            <w:vAlign w:val="center"/>
          </w:tcPr>
          <w:p>
            <w:pPr>
              <w:jc w:val="center"/>
              <w:rPr>
                <w:b/>
                <w:bCs/>
                <w:color w:val="000000" w:themeColor="text1"/>
                <w:sz w:val="21"/>
                <w:szCs w:val="21"/>
                <w:highlight w:val="none"/>
                <w14:textFill>
                  <w14:solidFill>
                    <w14:schemeClr w14:val="tx1"/>
                  </w14:solidFill>
                </w14:textFill>
              </w:rPr>
            </w:pPr>
          </w:p>
        </w:tc>
        <w:tc>
          <w:tcPr>
            <w:tcW w:w="1857" w:type="pct"/>
            <w:tcBorders>
              <w:bottom w:val="single" w:color="auto" w:sz="2" w:space="0"/>
            </w:tcBorders>
            <w:shd w:val="clear" w:color="auto" w:fill="auto"/>
            <w:noWrap/>
            <w:vAlign w:val="center"/>
          </w:tcPr>
          <w:p>
            <w:pP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小计</w:t>
            </w:r>
          </w:p>
        </w:tc>
        <w:tc>
          <w:tcPr>
            <w:tcW w:w="394" w:type="pct"/>
            <w:tcBorders>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bottom w:val="single" w:color="auto" w:sz="2" w:space="0"/>
            </w:tcBorders>
            <w:shd w:val="clear" w:color="auto" w:fill="auto"/>
            <w:noWrap/>
            <w:vAlign w:val="center"/>
          </w:tcPr>
          <w:p>
            <w:pPr>
              <w:jc w:val="center"/>
              <w:rPr>
                <w:b/>
                <w:bCs/>
                <w:sz w:val="22"/>
                <w:szCs w:val="22"/>
                <w:highlight w:val="none"/>
              </w:rPr>
            </w:pPr>
            <w:r>
              <w:rPr>
                <w:b/>
                <w:bCs/>
                <w:sz w:val="22"/>
                <w:szCs w:val="22"/>
                <w:highlight w:val="none"/>
              </w:rPr>
              <w:t>29700</w:t>
            </w:r>
          </w:p>
        </w:tc>
        <w:tc>
          <w:tcPr>
            <w:tcW w:w="586" w:type="pct"/>
            <w:tcBorders>
              <w:bottom w:val="single" w:color="auto" w:sz="2" w:space="0"/>
            </w:tcBorders>
            <w:shd w:val="clear" w:color="auto" w:fill="auto"/>
            <w:noWrap/>
            <w:vAlign w:val="center"/>
          </w:tcPr>
          <w:p>
            <w:pPr>
              <w:jc w:val="center"/>
              <w:rPr>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9" w:type="pct"/>
            <w:tcBorders>
              <w:top w:val="single" w:color="auto" w:sz="2" w:space="0"/>
              <w:bottom w:val="single" w:color="auto" w:sz="2" w:space="0"/>
            </w:tcBorders>
            <w:shd w:val="clear" w:color="auto" w:fill="auto"/>
            <w:noWrap/>
            <w:vAlign w:val="center"/>
          </w:tcPr>
          <w:p>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2</w:t>
            </w:r>
          </w:p>
        </w:tc>
        <w:tc>
          <w:tcPr>
            <w:tcW w:w="1857" w:type="pct"/>
            <w:tcBorders>
              <w:top w:val="single" w:color="auto" w:sz="2" w:space="0"/>
              <w:bottom w:val="single" w:color="auto" w:sz="2" w:space="0"/>
            </w:tcBorders>
            <w:shd w:val="clear" w:color="auto" w:fill="auto"/>
            <w:noWrap/>
            <w:vAlign w:val="center"/>
          </w:tcPr>
          <w:p>
            <w:pP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消防隔离带人工费</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150</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220</w:t>
            </w:r>
          </w:p>
        </w:tc>
        <w:tc>
          <w:tcPr>
            <w:tcW w:w="629" w:type="pct"/>
            <w:tcBorders>
              <w:top w:val="single" w:color="auto" w:sz="2" w:space="0"/>
              <w:bottom w:val="single" w:color="auto" w:sz="2" w:space="0"/>
            </w:tcBorders>
            <w:shd w:val="clear" w:color="auto" w:fill="auto"/>
            <w:noWrap/>
            <w:vAlign w:val="center"/>
          </w:tcPr>
          <w:p>
            <w:pPr>
              <w:jc w:val="center"/>
              <w:rPr>
                <w:b/>
                <w:color w:val="000000" w:themeColor="text1"/>
                <w:sz w:val="22"/>
                <w:szCs w:val="22"/>
                <w:highlight w:val="none"/>
                <w14:textFill>
                  <w14:solidFill>
                    <w14:schemeClr w14:val="tx1"/>
                  </w14:solidFill>
                </w14:textFill>
              </w:rPr>
            </w:pPr>
            <w:r>
              <w:rPr>
                <w:b/>
                <w:color w:val="000000" w:themeColor="text1"/>
                <w:sz w:val="22"/>
                <w:szCs w:val="22"/>
                <w:highlight w:val="none"/>
                <w14:textFill>
                  <w14:solidFill>
                    <w14:schemeClr w14:val="tx1"/>
                  </w14:solidFill>
                </w14:textFill>
              </w:rPr>
              <w:t>33000</w:t>
            </w:r>
          </w:p>
        </w:tc>
        <w:tc>
          <w:tcPr>
            <w:tcW w:w="586" w:type="pct"/>
            <w:tcBorders>
              <w:top w:val="single" w:color="auto" w:sz="2" w:space="0"/>
              <w:bottom w:val="single" w:color="auto" w:sz="2" w:space="0"/>
            </w:tcBorders>
            <w:shd w:val="clear" w:color="auto" w:fill="auto"/>
            <w:noWrap/>
            <w:vAlign w:val="center"/>
          </w:tcPr>
          <w:p>
            <w:pPr>
              <w:jc w:val="center"/>
              <w:rPr>
                <w:bCs/>
                <w:color w:val="auto"/>
                <w:sz w:val="22"/>
                <w:szCs w:val="22"/>
                <w:highlight w:val="none"/>
              </w:rPr>
            </w:pPr>
            <w:r>
              <w:rPr>
                <w:rFonts w:hint="eastAsia"/>
                <w:bCs/>
                <w:color w:val="auto"/>
                <w:sz w:val="22"/>
                <w:szCs w:val="22"/>
                <w:highlight w:val="none"/>
              </w:rPr>
              <w:t>以水管单位安排的实际完成工数为结算依据。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29" w:type="pct"/>
            <w:tcBorders>
              <w:top w:val="single" w:color="auto" w:sz="2" w:space="0"/>
              <w:bottom w:val="single" w:color="auto" w:sz="2" w:space="0"/>
            </w:tcBorders>
            <w:shd w:val="clear" w:color="auto" w:fill="auto"/>
            <w:noWrap/>
            <w:vAlign w:val="center"/>
          </w:tcPr>
          <w:p>
            <w:pPr>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3</w:t>
            </w:r>
          </w:p>
        </w:tc>
        <w:tc>
          <w:tcPr>
            <w:tcW w:w="1857" w:type="pct"/>
            <w:tcBorders>
              <w:top w:val="single" w:color="auto" w:sz="2" w:space="0"/>
              <w:bottom w:val="single" w:color="auto" w:sz="2" w:space="0"/>
            </w:tcBorders>
            <w:shd w:val="clear" w:color="auto" w:fill="auto"/>
            <w:noWrap/>
            <w:vAlign w:val="center"/>
          </w:tcPr>
          <w:p>
            <w:pP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森林防火消防设施维护</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8000</w:t>
            </w:r>
          </w:p>
        </w:tc>
        <w:tc>
          <w:tcPr>
            <w:tcW w:w="629" w:type="pct"/>
            <w:tcBorders>
              <w:top w:val="single" w:color="auto" w:sz="2" w:space="0"/>
              <w:bottom w:val="single" w:color="auto" w:sz="2" w:space="0"/>
            </w:tcBorders>
            <w:shd w:val="clear" w:color="auto" w:fill="auto"/>
            <w:noWrap/>
            <w:vAlign w:val="center"/>
          </w:tcPr>
          <w:p>
            <w:pPr>
              <w:jc w:val="center"/>
              <w:rPr>
                <w:b/>
                <w:color w:val="000000" w:themeColor="text1"/>
                <w:sz w:val="22"/>
                <w:szCs w:val="22"/>
                <w:highlight w:val="none"/>
                <w14:textFill>
                  <w14:solidFill>
                    <w14:schemeClr w14:val="tx1"/>
                  </w14:solidFill>
                </w14:textFill>
              </w:rPr>
            </w:pPr>
            <w:r>
              <w:rPr>
                <w:b/>
                <w:color w:val="000000" w:themeColor="text1"/>
                <w:sz w:val="22"/>
                <w:szCs w:val="22"/>
                <w:highlight w:val="none"/>
                <w14:textFill>
                  <w14:solidFill>
                    <w14:schemeClr w14:val="tx1"/>
                  </w14:solidFill>
                </w14:textFill>
              </w:rPr>
              <w:t>8000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9" w:type="pct"/>
            <w:tcBorders>
              <w:top w:val="single" w:color="auto" w:sz="2" w:space="0"/>
              <w:bottom w:val="single" w:color="auto" w:sz="2" w:space="0"/>
            </w:tcBorders>
            <w:shd w:val="clear" w:color="auto" w:fill="auto"/>
            <w:noWrap/>
            <w:vAlign w:val="center"/>
          </w:tcPr>
          <w:p>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4</w:t>
            </w:r>
          </w:p>
        </w:tc>
        <w:tc>
          <w:tcPr>
            <w:tcW w:w="1857" w:type="pct"/>
            <w:tcBorders>
              <w:top w:val="single" w:color="auto" w:sz="2" w:space="0"/>
              <w:bottom w:val="single" w:color="auto" w:sz="2" w:space="0"/>
            </w:tcBorders>
            <w:shd w:val="clear" w:color="auto" w:fill="auto"/>
            <w:noWrap/>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右坝头山体巡查道路</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4.1</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山体表面清理、整平</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220</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8</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1760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4.2</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土方开挖（人工）</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80</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33.86</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2709</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4.3</w:t>
            </w:r>
          </w:p>
        </w:tc>
        <w:tc>
          <w:tcPr>
            <w:tcW w:w="1857" w:type="pct"/>
            <w:tcBorders>
              <w:top w:val="single" w:color="auto" w:sz="2" w:space="0"/>
              <w:bottom w:val="single" w:color="auto" w:sz="2" w:space="0"/>
            </w:tcBorders>
            <w:shd w:val="clear" w:color="auto" w:fill="auto"/>
            <w:noWrap/>
            <w:vAlign w:val="center"/>
          </w:tcPr>
          <w:p>
            <w:pPr>
              <w:rPr>
                <w:color w:val="000000" w:themeColor="text1"/>
                <w:spacing w:val="-10"/>
                <w:sz w:val="21"/>
                <w:szCs w:val="21"/>
                <w:highlight w:val="none"/>
                <w14:textFill>
                  <w14:solidFill>
                    <w14:schemeClr w14:val="tx1"/>
                  </w14:solidFill>
                </w14:textFill>
              </w:rPr>
            </w:pPr>
            <w:r>
              <w:rPr>
                <w:color w:val="000000" w:themeColor="text1"/>
                <w:spacing w:val="-10"/>
                <w:sz w:val="21"/>
                <w:szCs w:val="21"/>
                <w:highlight w:val="none"/>
                <w14:textFill>
                  <w14:solidFill>
                    <w14:schemeClr w14:val="tx1"/>
                  </w14:solidFill>
                </w14:textFill>
              </w:rPr>
              <w:t>碎石垫层（20cm厚，人工抬运100m）</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268.26</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5902</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4.4</w:t>
            </w:r>
          </w:p>
        </w:tc>
        <w:tc>
          <w:tcPr>
            <w:tcW w:w="1857" w:type="pct"/>
            <w:tcBorders>
              <w:top w:val="single" w:color="auto" w:sz="2" w:space="0"/>
              <w:bottom w:val="single" w:color="auto" w:sz="2" w:space="0"/>
            </w:tcBorders>
            <w:shd w:val="clear" w:color="auto" w:fill="auto"/>
            <w:noWrap/>
            <w:vAlign w:val="center"/>
          </w:tcPr>
          <w:p>
            <w:pPr>
              <w:rPr>
                <w:color w:val="000000" w:themeColor="text1"/>
                <w:spacing w:val="-10"/>
                <w:sz w:val="21"/>
                <w:szCs w:val="21"/>
                <w:highlight w:val="none"/>
                <w14:textFill>
                  <w14:solidFill>
                    <w14:schemeClr w14:val="tx1"/>
                  </w14:solidFill>
                </w14:textFill>
              </w:rPr>
            </w:pPr>
            <w:r>
              <w:rPr>
                <w:color w:val="000000" w:themeColor="text1"/>
                <w:spacing w:val="-10"/>
                <w:sz w:val="21"/>
                <w:szCs w:val="21"/>
                <w:highlight w:val="none"/>
                <w14:textFill>
                  <w14:solidFill>
                    <w14:schemeClr w14:val="tx1"/>
                  </w14:solidFill>
                </w14:textFill>
              </w:rPr>
              <w:t>M7.5浆砌块石基础（人工抬运100m）</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50</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456.6</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22830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4.5</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C20砼踏步（人工抬运100m）</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768.74</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16912</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1857" w:type="pct"/>
            <w:tcBorders>
              <w:top w:val="single" w:color="auto" w:sz="2" w:space="0"/>
              <w:bottom w:val="single" w:color="auto" w:sz="2" w:space="0"/>
            </w:tcBorders>
            <w:shd w:val="clear" w:color="auto" w:fill="auto"/>
            <w:noWrap/>
            <w:vAlign w:val="bottom"/>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小计</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b/>
                <w:bCs/>
                <w:sz w:val="22"/>
                <w:szCs w:val="22"/>
                <w:highlight w:val="none"/>
              </w:rPr>
            </w:pPr>
            <w:r>
              <w:rPr>
                <w:b/>
                <w:bCs/>
                <w:sz w:val="22"/>
                <w:szCs w:val="22"/>
                <w:highlight w:val="none"/>
              </w:rPr>
              <w:t>50113</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29" w:type="pct"/>
            <w:tcBorders>
              <w:top w:val="single" w:color="auto" w:sz="2" w:space="0"/>
              <w:bottom w:val="single" w:color="auto" w:sz="2" w:space="0"/>
            </w:tcBorders>
            <w:shd w:val="clear" w:color="auto" w:fill="auto"/>
            <w:noWrap/>
            <w:vAlign w:val="center"/>
          </w:tcPr>
          <w:p>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5</w:t>
            </w:r>
          </w:p>
        </w:tc>
        <w:tc>
          <w:tcPr>
            <w:tcW w:w="1857" w:type="pct"/>
            <w:tcBorders>
              <w:top w:val="single" w:color="auto" w:sz="2" w:space="0"/>
              <w:bottom w:val="single" w:color="auto" w:sz="2" w:space="0"/>
            </w:tcBorders>
            <w:shd w:val="clear" w:color="auto" w:fill="auto"/>
            <w:noWrap/>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管理用房维修养护</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86" w:type="pct"/>
            <w:tcBorders>
              <w:top w:val="single" w:color="auto" w:sz="2" w:space="0"/>
              <w:bottom w:val="single" w:color="auto" w:sz="2" w:space="0"/>
            </w:tcBorders>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29" w:type="pct"/>
            <w:tcBorders>
              <w:top w:val="single" w:color="auto" w:sz="2" w:space="0"/>
              <w:bottom w:val="single" w:color="auto" w:sz="2" w:space="0"/>
            </w:tcBorders>
            <w:shd w:val="clear" w:color="auto" w:fill="auto"/>
            <w:noWrap/>
            <w:vAlign w:val="center"/>
          </w:tcPr>
          <w:p>
            <w:pPr>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5.</w:t>
            </w:r>
            <w:r>
              <w:rPr>
                <w:bCs/>
                <w:color w:val="000000" w:themeColor="text1"/>
                <w:sz w:val="21"/>
                <w:szCs w:val="21"/>
                <w:highlight w:val="none"/>
                <w14:textFill>
                  <w14:solidFill>
                    <w14:schemeClr w14:val="tx1"/>
                  </w14:solidFill>
                </w14:textFill>
              </w:rPr>
              <w:t>1</w:t>
            </w:r>
          </w:p>
        </w:tc>
        <w:tc>
          <w:tcPr>
            <w:tcW w:w="1857" w:type="pct"/>
            <w:tcBorders>
              <w:top w:val="single" w:color="auto" w:sz="2" w:space="0"/>
              <w:bottom w:val="single" w:color="auto" w:sz="2" w:space="0"/>
            </w:tcBorders>
            <w:shd w:val="clear" w:color="auto" w:fill="auto"/>
            <w:noWrap/>
            <w:vAlign w:val="center"/>
          </w:tcPr>
          <w:p>
            <w:pP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办公区</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86" w:type="pct"/>
            <w:tcBorders>
              <w:top w:val="single" w:color="auto" w:sz="2" w:space="0"/>
              <w:bottom w:val="single" w:color="auto" w:sz="2" w:space="0"/>
            </w:tcBorders>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9" w:type="pct"/>
            <w:tcBorders>
              <w:top w:val="single" w:color="auto" w:sz="2" w:space="0"/>
              <w:bottom w:val="single" w:color="auto" w:sz="2" w:space="0"/>
            </w:tcBorders>
            <w:shd w:val="clear" w:color="auto" w:fill="auto"/>
            <w:noWrap/>
            <w:vAlign w:val="center"/>
          </w:tcPr>
          <w:p>
            <w:pPr>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5.</w:t>
            </w:r>
            <w:r>
              <w:rPr>
                <w:bCs/>
                <w:color w:val="000000" w:themeColor="text1"/>
                <w:sz w:val="21"/>
                <w:szCs w:val="21"/>
                <w:highlight w:val="none"/>
                <w14:textFill>
                  <w14:solidFill>
                    <w14:schemeClr w14:val="tx1"/>
                  </w14:solidFill>
                </w14:textFill>
              </w:rPr>
              <w:t>1.1</w:t>
            </w:r>
          </w:p>
        </w:tc>
        <w:tc>
          <w:tcPr>
            <w:tcW w:w="1857" w:type="pct"/>
            <w:tcBorders>
              <w:top w:val="single" w:color="auto" w:sz="2" w:space="0"/>
              <w:bottom w:val="single" w:color="auto" w:sz="2" w:space="0"/>
            </w:tcBorders>
            <w:shd w:val="clear" w:color="auto" w:fill="auto"/>
            <w:noWrap/>
            <w:vAlign w:val="center"/>
          </w:tcPr>
          <w:p>
            <w:pP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内墙工程</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86" w:type="pct"/>
            <w:tcBorders>
              <w:top w:val="single" w:color="auto" w:sz="2" w:space="0"/>
              <w:bottom w:val="single" w:color="auto" w:sz="2" w:space="0"/>
            </w:tcBorders>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1.1.1</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内墙清理</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200</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5000</w:t>
            </w:r>
          </w:p>
        </w:tc>
        <w:tc>
          <w:tcPr>
            <w:tcW w:w="586" w:type="pct"/>
            <w:tcBorders>
              <w:top w:val="single" w:color="auto" w:sz="2" w:space="0"/>
              <w:bottom w:val="single" w:color="auto" w:sz="2" w:space="0"/>
            </w:tcBorders>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1.1.2</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内墙腻子、涂料</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200</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85</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17000</w:t>
            </w:r>
          </w:p>
        </w:tc>
        <w:tc>
          <w:tcPr>
            <w:tcW w:w="586" w:type="pct"/>
            <w:tcBorders>
              <w:top w:val="single" w:color="auto" w:sz="2" w:space="0"/>
              <w:bottom w:val="single" w:color="auto" w:sz="2" w:space="0"/>
            </w:tcBorders>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29" w:type="pct"/>
            <w:tcBorders>
              <w:top w:val="single" w:color="auto" w:sz="2" w:space="0"/>
              <w:bottom w:val="single" w:color="auto" w:sz="2" w:space="0"/>
            </w:tcBorders>
            <w:shd w:val="clear" w:color="auto" w:fill="auto"/>
            <w:noWrap/>
            <w:vAlign w:val="center"/>
          </w:tcPr>
          <w:p>
            <w:pPr>
              <w:jc w:val="center"/>
              <w:rPr>
                <w:bCs/>
                <w:color w:val="000000" w:themeColor="text1"/>
                <w:sz w:val="21"/>
                <w:szCs w:val="21"/>
                <w:highlight w:val="none"/>
                <w14:textFill>
                  <w14:solidFill>
                    <w14:schemeClr w14:val="tx1"/>
                  </w14:solidFill>
                </w14:textFill>
              </w:rPr>
            </w:pP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小计</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bCs/>
                <w:color w:val="000000" w:themeColor="text1"/>
                <w:sz w:val="22"/>
                <w:szCs w:val="22"/>
                <w:highlight w:val="none"/>
                <w14:textFill>
                  <w14:solidFill>
                    <w14:schemeClr w14:val="tx1"/>
                  </w14:solidFill>
                </w14:textFill>
              </w:rPr>
            </w:pPr>
            <w:r>
              <w:rPr>
                <w:bCs/>
                <w:color w:val="000000" w:themeColor="text1"/>
                <w:sz w:val="22"/>
                <w:szCs w:val="22"/>
                <w:highlight w:val="none"/>
                <w14:textFill>
                  <w14:solidFill>
                    <w14:schemeClr w14:val="tx1"/>
                  </w14:solidFill>
                </w14:textFill>
              </w:rPr>
              <w:t>22000</w:t>
            </w:r>
          </w:p>
        </w:tc>
        <w:tc>
          <w:tcPr>
            <w:tcW w:w="586" w:type="pct"/>
            <w:tcBorders>
              <w:top w:val="single" w:color="auto" w:sz="2" w:space="0"/>
              <w:bottom w:val="single" w:color="auto" w:sz="2" w:space="0"/>
            </w:tcBorders>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9" w:type="pct"/>
            <w:tcBorders>
              <w:top w:val="single" w:color="auto" w:sz="2" w:space="0"/>
              <w:bottom w:val="single" w:color="auto" w:sz="2" w:space="0"/>
            </w:tcBorders>
            <w:shd w:val="clear" w:color="auto" w:fill="auto"/>
            <w:noWrap/>
            <w:vAlign w:val="center"/>
          </w:tcPr>
          <w:p>
            <w:pPr>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5.</w:t>
            </w:r>
            <w:r>
              <w:rPr>
                <w:bCs/>
                <w:color w:val="000000" w:themeColor="text1"/>
                <w:sz w:val="21"/>
                <w:szCs w:val="21"/>
                <w:highlight w:val="none"/>
                <w14:textFill>
                  <w14:solidFill>
                    <w14:schemeClr w14:val="tx1"/>
                  </w14:solidFill>
                </w14:textFill>
              </w:rPr>
              <w:t>1.2</w:t>
            </w:r>
          </w:p>
        </w:tc>
        <w:tc>
          <w:tcPr>
            <w:tcW w:w="1857" w:type="pct"/>
            <w:tcBorders>
              <w:top w:val="single" w:color="auto" w:sz="2" w:space="0"/>
              <w:bottom w:val="single" w:color="auto" w:sz="2" w:space="0"/>
            </w:tcBorders>
            <w:shd w:val="clear" w:color="auto" w:fill="auto"/>
            <w:noWrap/>
            <w:vAlign w:val="center"/>
          </w:tcPr>
          <w:p>
            <w:pPr>
              <w:rPr>
                <w:bCs/>
                <w:color w:val="000000" w:themeColor="text1"/>
                <w:sz w:val="22"/>
                <w:szCs w:val="22"/>
                <w:highlight w:val="none"/>
                <w14:textFill>
                  <w14:solidFill>
                    <w14:schemeClr w14:val="tx1"/>
                  </w14:solidFill>
                </w14:textFill>
              </w:rPr>
            </w:pPr>
            <w:r>
              <w:rPr>
                <w:bCs/>
                <w:color w:val="000000" w:themeColor="text1"/>
                <w:sz w:val="22"/>
                <w:szCs w:val="22"/>
                <w:highlight w:val="none"/>
                <w14:textFill>
                  <w14:solidFill>
                    <w14:schemeClr w14:val="tx1"/>
                  </w14:solidFill>
                </w14:textFill>
              </w:rPr>
              <w:t>卫生间工程</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1.2.1</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百叶窗</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18</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2700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1.2.2</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镜前灯</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盏</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4</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1400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1.2.3</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拖把池</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套</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4000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1.2.4</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吊顶</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42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8400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1.2.5</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水龙头更换</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套</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4</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3600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1.2.6</w:t>
            </w:r>
          </w:p>
        </w:tc>
        <w:tc>
          <w:tcPr>
            <w:tcW w:w="1857" w:type="pct"/>
            <w:tcBorders>
              <w:top w:val="single" w:color="auto" w:sz="2" w:space="0"/>
              <w:bottom w:val="single" w:color="auto" w:sz="2" w:space="0"/>
            </w:tcBorders>
            <w:shd w:val="clear" w:color="auto" w:fill="auto"/>
            <w:noWrap/>
            <w:vAlign w:val="center"/>
          </w:tcPr>
          <w:p>
            <w:pP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卫生间防水防潮隔断</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30</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420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12600</w:t>
            </w:r>
          </w:p>
        </w:tc>
        <w:tc>
          <w:tcPr>
            <w:tcW w:w="586"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小计</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bCs/>
                <w:color w:val="000000" w:themeColor="text1"/>
                <w:sz w:val="22"/>
                <w:szCs w:val="22"/>
                <w:highlight w:val="none"/>
                <w14:textFill>
                  <w14:solidFill>
                    <w14:schemeClr w14:val="tx1"/>
                  </w14:solidFill>
                </w14:textFill>
              </w:rPr>
            </w:pPr>
            <w:r>
              <w:rPr>
                <w:bCs/>
                <w:color w:val="000000" w:themeColor="text1"/>
                <w:sz w:val="22"/>
                <w:szCs w:val="22"/>
                <w:highlight w:val="none"/>
                <w14:textFill>
                  <w14:solidFill>
                    <w14:schemeClr w14:val="tx1"/>
                  </w14:solidFill>
                </w14:textFill>
              </w:rPr>
              <w:t>32700</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29" w:type="pct"/>
            <w:tcBorders>
              <w:top w:val="single" w:color="auto" w:sz="2" w:space="0"/>
              <w:bottom w:val="single" w:color="auto" w:sz="2" w:space="0"/>
            </w:tcBorders>
            <w:shd w:val="clear" w:color="auto" w:fill="auto"/>
            <w:noWrap/>
            <w:vAlign w:val="center"/>
          </w:tcPr>
          <w:p>
            <w:pPr>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5.</w:t>
            </w:r>
            <w:r>
              <w:rPr>
                <w:bCs/>
                <w:color w:val="000000" w:themeColor="text1"/>
                <w:sz w:val="21"/>
                <w:szCs w:val="21"/>
                <w:highlight w:val="none"/>
                <w14:textFill>
                  <w14:solidFill>
                    <w14:schemeClr w14:val="tx1"/>
                  </w14:solidFill>
                </w14:textFill>
              </w:rPr>
              <w:t>2</w:t>
            </w:r>
          </w:p>
        </w:tc>
        <w:tc>
          <w:tcPr>
            <w:tcW w:w="1857" w:type="pct"/>
            <w:tcBorders>
              <w:top w:val="single" w:color="auto" w:sz="2" w:space="0"/>
              <w:bottom w:val="single" w:color="auto" w:sz="2" w:space="0"/>
            </w:tcBorders>
            <w:shd w:val="clear" w:color="auto" w:fill="auto"/>
            <w:noWrap/>
            <w:vAlign w:val="center"/>
          </w:tcPr>
          <w:p>
            <w:pP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宿舍区</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bCs/>
                <w:color w:val="000000" w:themeColor="text1"/>
                <w:sz w:val="22"/>
                <w:szCs w:val="22"/>
                <w:highlight w:val="none"/>
                <w14:textFill>
                  <w14:solidFill>
                    <w14:schemeClr w14:val="tx1"/>
                  </w14:solidFill>
                </w14:textFill>
              </w:rPr>
            </w:pP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2.1</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坡屋面改造</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689</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480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330720</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2.2</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外墙清理</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1069</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28</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29932</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2.3</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外墙涂料（真石漆）</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1069</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105</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112245</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4</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门窗拆除</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283</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9905</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5</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栏杆清理、涂料</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157</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14130</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6</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断桥隔热铝合金中空玻璃推拉窗</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141</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750.00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105750</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3"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7</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甲级入户钢制防盗门</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扇</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36</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36000</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8</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楼外侧排水沟</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20000</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20000</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9</w:t>
            </w: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楼梯、地面水泥砂浆修补（含清理）</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234</w:t>
            </w: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w:t>
            </w:r>
          </w:p>
        </w:tc>
        <w:tc>
          <w:tcPr>
            <w:tcW w:w="629" w:type="pct"/>
            <w:tcBorders>
              <w:top w:val="single" w:color="auto" w:sz="2" w:space="0"/>
              <w:bottom w:val="single" w:color="auto" w:sz="2" w:space="0"/>
            </w:tcBorders>
            <w:shd w:val="clear" w:color="auto" w:fill="auto"/>
            <w:noWrap/>
            <w:vAlign w:val="center"/>
          </w:tcPr>
          <w:p>
            <w:pPr>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12870</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小计</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bCs/>
                <w:color w:val="000000" w:themeColor="text1"/>
                <w:sz w:val="22"/>
                <w:szCs w:val="22"/>
                <w:highlight w:val="none"/>
                <w14:textFill>
                  <w14:solidFill>
                    <w14:schemeClr w14:val="tx1"/>
                  </w14:solidFill>
                </w14:textFill>
              </w:rPr>
            </w:pPr>
            <w:r>
              <w:rPr>
                <w:bCs/>
                <w:color w:val="000000" w:themeColor="text1"/>
                <w:sz w:val="22"/>
                <w:szCs w:val="22"/>
                <w:highlight w:val="none"/>
                <w14:textFill>
                  <w14:solidFill>
                    <w14:schemeClr w14:val="tx1"/>
                  </w14:solidFill>
                </w14:textFill>
              </w:rPr>
              <w:t>671552</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29"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1857" w:type="pct"/>
            <w:tcBorders>
              <w:top w:val="single" w:color="auto" w:sz="2" w:space="0"/>
              <w:bottom w:val="single" w:color="auto" w:sz="2" w:space="0"/>
            </w:tcBorders>
            <w:shd w:val="clear" w:color="auto" w:fill="auto"/>
            <w:noWrap/>
            <w:vAlign w:val="center"/>
          </w:tcPr>
          <w:p>
            <w:pP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合计</w:t>
            </w:r>
          </w:p>
        </w:tc>
        <w:tc>
          <w:tcPr>
            <w:tcW w:w="394"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551" w:type="pct"/>
            <w:tcBorders>
              <w:top w:val="single" w:color="auto" w:sz="2" w:space="0"/>
              <w:bottom w:val="single" w:color="auto" w:sz="2" w:space="0"/>
            </w:tcBorders>
            <w:shd w:val="clear" w:color="auto" w:fill="auto"/>
            <w:noWrap/>
            <w:vAlign w:val="center"/>
          </w:tcPr>
          <w:p>
            <w:pPr>
              <w:jc w:val="center"/>
              <w:rPr>
                <w:color w:val="000000" w:themeColor="text1"/>
                <w:sz w:val="21"/>
                <w:szCs w:val="21"/>
                <w:highlight w:val="none"/>
                <w14:textFill>
                  <w14:solidFill>
                    <w14:schemeClr w14:val="tx1"/>
                  </w14:solidFill>
                </w14:textFill>
              </w:rPr>
            </w:pPr>
          </w:p>
        </w:tc>
        <w:tc>
          <w:tcPr>
            <w:tcW w:w="629" w:type="pct"/>
            <w:tcBorders>
              <w:top w:val="single" w:color="auto" w:sz="2" w:space="0"/>
              <w:bottom w:val="single" w:color="auto" w:sz="2" w:space="0"/>
            </w:tcBorders>
            <w:shd w:val="clear" w:color="auto" w:fill="auto"/>
            <w:noWrap/>
            <w:vAlign w:val="center"/>
          </w:tcPr>
          <w:p>
            <w:pPr>
              <w:jc w:val="center"/>
              <w:rPr>
                <w:b/>
                <w:bCs/>
                <w:sz w:val="22"/>
                <w:szCs w:val="22"/>
                <w:highlight w:val="none"/>
              </w:rPr>
            </w:pPr>
            <w:r>
              <w:rPr>
                <w:b/>
                <w:bCs/>
                <w:sz w:val="22"/>
                <w:szCs w:val="22"/>
                <w:highlight w:val="none"/>
              </w:rPr>
              <w:t>726252</w:t>
            </w:r>
          </w:p>
        </w:tc>
        <w:tc>
          <w:tcPr>
            <w:tcW w:w="586" w:type="pct"/>
            <w:tcBorders>
              <w:top w:val="single" w:color="auto" w:sz="2" w:space="0"/>
              <w:bottom w:val="single" w:color="auto" w:sz="2" w:space="0"/>
            </w:tcBorders>
            <w:shd w:val="clear" w:color="auto" w:fill="auto"/>
            <w:noWrap/>
            <w:vAlign w:val="center"/>
          </w:tcPr>
          <w:p>
            <w:pPr>
              <w:jc w:val="center"/>
              <w:rPr>
                <w:b/>
                <w:bCs/>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29" w:type="pct"/>
            <w:tcBorders>
              <w:top w:val="single" w:color="auto" w:sz="2" w:space="0"/>
              <w:bottom w:val="single" w:color="auto" w:sz="2" w:space="0"/>
            </w:tcBorders>
            <w:shd w:val="clear" w:color="auto" w:fill="auto"/>
            <w:noWrap/>
            <w:vAlign w:val="center"/>
          </w:tcPr>
          <w:p>
            <w:pPr>
              <w:jc w:val="center"/>
              <w:rPr>
                <w:b/>
                <w:bCs/>
                <w:sz w:val="21"/>
                <w:szCs w:val="21"/>
                <w:highlight w:val="none"/>
              </w:rPr>
            </w:pPr>
            <w:r>
              <w:rPr>
                <w:rFonts w:hint="eastAsia"/>
                <w:b/>
                <w:bCs/>
                <w:sz w:val="21"/>
                <w:szCs w:val="21"/>
                <w:highlight w:val="none"/>
              </w:rPr>
              <w:t>6</w:t>
            </w:r>
          </w:p>
        </w:tc>
        <w:tc>
          <w:tcPr>
            <w:tcW w:w="1857" w:type="pct"/>
            <w:tcBorders>
              <w:top w:val="single" w:color="auto" w:sz="2" w:space="0"/>
              <w:bottom w:val="single" w:color="auto" w:sz="2" w:space="0"/>
            </w:tcBorders>
            <w:shd w:val="clear" w:color="auto" w:fill="auto"/>
            <w:noWrap/>
            <w:vAlign w:val="center"/>
          </w:tcPr>
          <w:p>
            <w:pPr>
              <w:rPr>
                <w:b/>
                <w:bCs/>
                <w:sz w:val="21"/>
                <w:szCs w:val="21"/>
                <w:highlight w:val="none"/>
              </w:rPr>
            </w:pPr>
            <w:r>
              <w:rPr>
                <w:b/>
                <w:bCs/>
                <w:sz w:val="21"/>
                <w:szCs w:val="21"/>
                <w:highlight w:val="none"/>
              </w:rPr>
              <w:t>坝下道路照明系统</w:t>
            </w:r>
            <w:r>
              <w:rPr>
                <w:sz w:val="21"/>
                <w:szCs w:val="21"/>
                <w:highlight w:val="none"/>
              </w:rPr>
              <w:t>（间隔25m安装）</w:t>
            </w:r>
          </w:p>
        </w:tc>
        <w:tc>
          <w:tcPr>
            <w:tcW w:w="394" w:type="pct"/>
            <w:tcBorders>
              <w:top w:val="single" w:color="auto" w:sz="2" w:space="0"/>
              <w:bottom w:val="single" w:color="auto" w:sz="2" w:space="0"/>
            </w:tcBorders>
            <w:shd w:val="clear" w:color="auto" w:fill="auto"/>
            <w:noWrap/>
            <w:vAlign w:val="center"/>
          </w:tcPr>
          <w:p>
            <w:pPr>
              <w:jc w:val="center"/>
              <w:rPr>
                <w:sz w:val="21"/>
                <w:szCs w:val="21"/>
                <w:highlight w:val="none"/>
              </w:rPr>
            </w:pPr>
            <w:r>
              <w:rPr>
                <w:rFonts w:hint="eastAsia"/>
                <w:sz w:val="21"/>
                <w:szCs w:val="21"/>
                <w:highlight w:val="none"/>
              </w:rPr>
              <w:t>套</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43</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2000</w:t>
            </w:r>
          </w:p>
        </w:tc>
        <w:tc>
          <w:tcPr>
            <w:tcW w:w="629" w:type="pct"/>
            <w:tcBorders>
              <w:top w:val="single" w:color="auto" w:sz="2" w:space="0"/>
              <w:bottom w:val="single" w:color="auto" w:sz="2" w:space="0"/>
            </w:tcBorders>
            <w:shd w:val="clear" w:color="auto" w:fill="auto"/>
            <w:noWrap/>
            <w:vAlign w:val="center"/>
          </w:tcPr>
          <w:p>
            <w:pPr>
              <w:jc w:val="center"/>
              <w:rPr>
                <w:b/>
                <w:sz w:val="22"/>
                <w:szCs w:val="22"/>
                <w:highlight w:val="none"/>
              </w:rPr>
            </w:pPr>
            <w:r>
              <w:rPr>
                <w:b/>
                <w:sz w:val="22"/>
                <w:szCs w:val="22"/>
                <w:highlight w:val="none"/>
              </w:rPr>
              <w:t>86000</w:t>
            </w:r>
          </w:p>
        </w:tc>
        <w:tc>
          <w:tcPr>
            <w:tcW w:w="586" w:type="pct"/>
            <w:tcBorders>
              <w:top w:val="single" w:color="auto" w:sz="2" w:space="0"/>
              <w:bottom w:val="single" w:color="auto" w:sz="2" w:space="0"/>
            </w:tcBorders>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29" w:type="pct"/>
            <w:tcBorders>
              <w:top w:val="single" w:color="auto" w:sz="2" w:space="0"/>
              <w:bottom w:val="single" w:color="auto" w:sz="2" w:space="0"/>
            </w:tcBorders>
            <w:shd w:val="clear" w:color="auto" w:fill="auto"/>
            <w:noWrap/>
            <w:vAlign w:val="center"/>
          </w:tcPr>
          <w:p>
            <w:pPr>
              <w:jc w:val="center"/>
              <w:rPr>
                <w:b/>
                <w:sz w:val="21"/>
                <w:szCs w:val="21"/>
                <w:highlight w:val="none"/>
              </w:rPr>
            </w:pPr>
            <w:r>
              <w:rPr>
                <w:rFonts w:hint="eastAsia"/>
                <w:b/>
                <w:sz w:val="21"/>
                <w:szCs w:val="21"/>
                <w:highlight w:val="none"/>
              </w:rPr>
              <w:t>7</w:t>
            </w:r>
          </w:p>
        </w:tc>
        <w:tc>
          <w:tcPr>
            <w:tcW w:w="1857" w:type="pct"/>
            <w:tcBorders>
              <w:top w:val="single" w:color="auto" w:sz="2" w:space="0"/>
              <w:bottom w:val="single" w:color="auto" w:sz="2" w:space="0"/>
            </w:tcBorders>
            <w:shd w:val="clear" w:color="auto" w:fill="auto"/>
            <w:noWrap/>
            <w:vAlign w:val="center"/>
          </w:tcPr>
          <w:p>
            <w:pPr>
              <w:rPr>
                <w:sz w:val="21"/>
                <w:szCs w:val="21"/>
                <w:highlight w:val="none"/>
              </w:rPr>
            </w:pPr>
            <w:r>
              <w:rPr>
                <w:b/>
                <w:sz w:val="21"/>
                <w:szCs w:val="21"/>
                <w:highlight w:val="none"/>
              </w:rPr>
              <w:t>临时工程</w:t>
            </w:r>
            <w:r>
              <w:rPr>
                <w:sz w:val="21"/>
                <w:szCs w:val="21"/>
                <w:highlight w:val="none"/>
              </w:rPr>
              <w:t>（含零星工程）</w:t>
            </w:r>
          </w:p>
        </w:tc>
        <w:tc>
          <w:tcPr>
            <w:tcW w:w="394"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项</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1007365</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3%</w:t>
            </w:r>
          </w:p>
        </w:tc>
        <w:tc>
          <w:tcPr>
            <w:tcW w:w="629" w:type="pct"/>
            <w:tcBorders>
              <w:top w:val="single" w:color="auto" w:sz="2" w:space="0"/>
              <w:bottom w:val="single" w:color="auto" w:sz="2" w:space="0"/>
            </w:tcBorders>
            <w:shd w:val="clear" w:color="auto" w:fill="auto"/>
            <w:noWrap/>
            <w:vAlign w:val="center"/>
          </w:tcPr>
          <w:p>
            <w:pPr>
              <w:jc w:val="center"/>
              <w:rPr>
                <w:b/>
                <w:sz w:val="22"/>
                <w:szCs w:val="22"/>
                <w:highlight w:val="none"/>
              </w:rPr>
            </w:pPr>
            <w:r>
              <w:rPr>
                <w:b/>
                <w:sz w:val="22"/>
                <w:szCs w:val="22"/>
                <w:highlight w:val="none"/>
              </w:rPr>
              <w:t>30221</w:t>
            </w:r>
          </w:p>
        </w:tc>
        <w:tc>
          <w:tcPr>
            <w:tcW w:w="586" w:type="pct"/>
            <w:tcBorders>
              <w:top w:val="single" w:color="auto" w:sz="2" w:space="0"/>
              <w:bottom w:val="single" w:color="auto" w:sz="2" w:space="0"/>
            </w:tcBorders>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tcBorders>
              <w:top w:val="single" w:color="auto" w:sz="2" w:space="0"/>
              <w:bottom w:val="single" w:color="auto" w:sz="2" w:space="0"/>
            </w:tcBorders>
            <w:shd w:val="clear" w:color="auto" w:fill="auto"/>
            <w:noWrap/>
            <w:vAlign w:val="center"/>
          </w:tcPr>
          <w:p>
            <w:pPr>
              <w:jc w:val="center"/>
              <w:rPr>
                <w:b/>
                <w:sz w:val="21"/>
                <w:szCs w:val="21"/>
                <w:highlight w:val="none"/>
              </w:rPr>
            </w:pPr>
            <w:r>
              <w:rPr>
                <w:rFonts w:hint="eastAsia"/>
                <w:b/>
                <w:sz w:val="21"/>
                <w:szCs w:val="21"/>
                <w:highlight w:val="none"/>
              </w:rPr>
              <w:t>8</w:t>
            </w:r>
          </w:p>
        </w:tc>
        <w:tc>
          <w:tcPr>
            <w:tcW w:w="1857" w:type="pct"/>
            <w:tcBorders>
              <w:top w:val="single" w:color="auto" w:sz="2" w:space="0"/>
              <w:bottom w:val="single" w:color="auto" w:sz="2" w:space="0"/>
            </w:tcBorders>
            <w:shd w:val="clear" w:color="auto" w:fill="auto"/>
            <w:noWrap/>
            <w:vAlign w:val="center"/>
          </w:tcPr>
          <w:p>
            <w:pPr>
              <w:rPr>
                <w:b/>
                <w:bCs/>
                <w:sz w:val="21"/>
                <w:szCs w:val="21"/>
                <w:highlight w:val="none"/>
              </w:rPr>
            </w:pPr>
            <w:r>
              <w:rPr>
                <w:b/>
                <w:bCs/>
                <w:sz w:val="21"/>
                <w:szCs w:val="21"/>
                <w:highlight w:val="none"/>
              </w:rPr>
              <w:t>绿化养护</w:t>
            </w:r>
          </w:p>
        </w:tc>
        <w:tc>
          <w:tcPr>
            <w:tcW w:w="394" w:type="pct"/>
            <w:tcBorders>
              <w:top w:val="single" w:color="auto" w:sz="2" w:space="0"/>
              <w:bottom w:val="single" w:color="auto" w:sz="2" w:space="0"/>
            </w:tcBorders>
            <w:shd w:val="clear" w:color="auto" w:fill="auto"/>
            <w:noWrap/>
            <w:vAlign w:val="center"/>
          </w:tcPr>
          <w:p>
            <w:pPr>
              <w:jc w:val="center"/>
              <w:rPr>
                <w:sz w:val="21"/>
                <w:szCs w:val="21"/>
                <w:highlight w:val="none"/>
              </w:rPr>
            </w:pP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p>
        </w:tc>
        <w:tc>
          <w:tcPr>
            <w:tcW w:w="629" w:type="pct"/>
            <w:tcBorders>
              <w:top w:val="single" w:color="auto" w:sz="2" w:space="0"/>
              <w:bottom w:val="single" w:color="auto" w:sz="2" w:space="0"/>
            </w:tcBorders>
            <w:shd w:val="clear" w:color="auto" w:fill="auto"/>
            <w:noWrap/>
            <w:vAlign w:val="center"/>
          </w:tcPr>
          <w:p>
            <w:pPr>
              <w:jc w:val="center"/>
              <w:rPr>
                <w:b/>
                <w:sz w:val="22"/>
                <w:szCs w:val="22"/>
                <w:highlight w:val="none"/>
              </w:rPr>
            </w:pPr>
            <w:r>
              <w:rPr>
                <w:b/>
                <w:sz w:val="22"/>
                <w:szCs w:val="22"/>
                <w:highlight w:val="none"/>
              </w:rPr>
              <w:t>201034</w:t>
            </w:r>
          </w:p>
        </w:tc>
        <w:tc>
          <w:tcPr>
            <w:tcW w:w="586" w:type="pct"/>
            <w:tcBorders>
              <w:top w:val="single" w:color="auto" w:sz="2" w:space="0"/>
            </w:tcBorders>
            <w:shd w:val="clear" w:color="auto" w:fill="auto"/>
            <w:noWrap/>
            <w:vAlign w:val="center"/>
          </w:tcPr>
          <w:p>
            <w:pPr>
              <w:jc w:val="center"/>
              <w:rPr>
                <w:b/>
                <w:bCs/>
                <w:color w:val="auto"/>
                <w:sz w:val="22"/>
                <w:szCs w:val="22"/>
                <w:highlight w:val="none"/>
              </w:rPr>
            </w:pPr>
            <w:r>
              <w:rPr>
                <w:rFonts w:hint="eastAsia"/>
                <w:bCs/>
                <w:color w:val="auto"/>
                <w:sz w:val="22"/>
                <w:szCs w:val="22"/>
                <w:highlight w:val="none"/>
              </w:rPr>
              <w:t>具体实施范围见附图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429" w:type="pct"/>
            <w:tcBorders>
              <w:top w:val="single" w:color="auto" w:sz="2" w:space="0"/>
              <w:bottom w:val="single" w:color="auto" w:sz="2" w:space="0"/>
            </w:tcBorders>
            <w:shd w:val="clear" w:color="auto" w:fill="auto"/>
            <w:noWrap/>
            <w:vAlign w:val="center"/>
          </w:tcPr>
          <w:p>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9</w:t>
            </w:r>
          </w:p>
        </w:tc>
        <w:tc>
          <w:tcPr>
            <w:tcW w:w="1857" w:type="pct"/>
            <w:tcBorders>
              <w:top w:val="single" w:color="auto" w:sz="2" w:space="0"/>
              <w:bottom w:val="single" w:color="auto" w:sz="2" w:space="0"/>
            </w:tcBorders>
            <w:shd w:val="clear" w:color="auto" w:fill="auto"/>
            <w:noWrap/>
            <w:vAlign w:val="center"/>
          </w:tcPr>
          <w:p>
            <w:pPr>
              <w:rPr>
                <w:sz w:val="21"/>
                <w:szCs w:val="21"/>
                <w:highlight w:val="none"/>
              </w:rPr>
            </w:pPr>
            <w:r>
              <w:rPr>
                <w:b/>
                <w:sz w:val="21"/>
                <w:szCs w:val="21"/>
                <w:highlight w:val="none"/>
              </w:rPr>
              <w:t>库面保洁</w:t>
            </w:r>
          </w:p>
        </w:tc>
        <w:tc>
          <w:tcPr>
            <w:tcW w:w="394" w:type="pct"/>
            <w:tcBorders>
              <w:top w:val="single" w:color="auto" w:sz="2" w:space="0"/>
              <w:bottom w:val="single" w:color="auto" w:sz="2" w:space="0"/>
            </w:tcBorders>
            <w:shd w:val="clear" w:color="auto" w:fill="auto"/>
            <w:noWrap/>
            <w:vAlign w:val="center"/>
          </w:tcPr>
          <w:p>
            <w:pPr>
              <w:jc w:val="center"/>
              <w:rPr>
                <w:sz w:val="21"/>
                <w:szCs w:val="21"/>
                <w:highlight w:val="none"/>
              </w:rPr>
            </w:pP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p>
        </w:tc>
        <w:tc>
          <w:tcPr>
            <w:tcW w:w="629" w:type="pct"/>
            <w:tcBorders>
              <w:top w:val="single" w:color="auto" w:sz="2" w:space="0"/>
              <w:bottom w:val="single" w:color="auto" w:sz="2" w:space="0"/>
            </w:tcBorders>
            <w:shd w:val="clear" w:color="auto" w:fill="auto"/>
            <w:noWrap/>
            <w:vAlign w:val="center"/>
          </w:tcPr>
          <w:p>
            <w:pPr>
              <w:jc w:val="center"/>
              <w:rPr>
                <w:b/>
                <w:sz w:val="22"/>
                <w:szCs w:val="22"/>
                <w:highlight w:val="none"/>
              </w:rPr>
            </w:pPr>
            <w:r>
              <w:rPr>
                <w:b/>
                <w:sz w:val="22"/>
                <w:szCs w:val="22"/>
                <w:highlight w:val="none"/>
              </w:rPr>
              <w:t>321471</w:t>
            </w:r>
          </w:p>
        </w:tc>
        <w:tc>
          <w:tcPr>
            <w:tcW w:w="586" w:type="pct"/>
            <w:tcBorders>
              <w:bottom w:val="single" w:color="auto" w:sz="2"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具体实施范围见考核办法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29" w:type="pct"/>
            <w:tcBorders>
              <w:top w:val="single" w:color="auto" w:sz="2" w:space="0"/>
              <w:bottom w:val="single" w:color="auto" w:sz="2" w:space="0"/>
            </w:tcBorders>
            <w:shd w:val="clear" w:color="auto" w:fill="auto"/>
            <w:noWrap/>
            <w:vAlign w:val="center"/>
          </w:tcPr>
          <w:p>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10</w:t>
            </w:r>
          </w:p>
        </w:tc>
        <w:tc>
          <w:tcPr>
            <w:tcW w:w="1857" w:type="pct"/>
            <w:tcBorders>
              <w:top w:val="single" w:color="auto" w:sz="2" w:space="0"/>
              <w:bottom w:val="single" w:color="auto" w:sz="2" w:space="0"/>
            </w:tcBorders>
            <w:shd w:val="clear" w:color="auto" w:fill="auto"/>
            <w:noWrap/>
            <w:vAlign w:val="center"/>
          </w:tcPr>
          <w:p>
            <w:pPr>
              <w:rPr>
                <w:b/>
                <w:sz w:val="21"/>
                <w:szCs w:val="21"/>
                <w:highlight w:val="none"/>
              </w:rPr>
            </w:pPr>
            <w:r>
              <w:rPr>
                <w:b/>
                <w:sz w:val="21"/>
                <w:szCs w:val="21"/>
                <w:highlight w:val="none"/>
              </w:rPr>
              <w:t>安全文明施工费</w:t>
            </w:r>
          </w:p>
        </w:tc>
        <w:tc>
          <w:tcPr>
            <w:tcW w:w="394"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项</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1037586</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2%</w:t>
            </w:r>
          </w:p>
        </w:tc>
        <w:tc>
          <w:tcPr>
            <w:tcW w:w="629" w:type="pct"/>
            <w:tcBorders>
              <w:top w:val="single" w:color="auto" w:sz="2" w:space="0"/>
              <w:bottom w:val="single" w:color="auto" w:sz="2" w:space="0"/>
            </w:tcBorders>
            <w:shd w:val="clear" w:color="auto" w:fill="auto"/>
            <w:noWrap/>
            <w:vAlign w:val="center"/>
          </w:tcPr>
          <w:p>
            <w:pPr>
              <w:jc w:val="center"/>
              <w:rPr>
                <w:b/>
                <w:sz w:val="22"/>
                <w:szCs w:val="22"/>
                <w:highlight w:val="none"/>
              </w:rPr>
            </w:pPr>
            <w:r>
              <w:rPr>
                <w:b/>
                <w:sz w:val="22"/>
                <w:szCs w:val="22"/>
                <w:highlight w:val="none"/>
              </w:rPr>
              <w:t>20752</w:t>
            </w:r>
          </w:p>
        </w:tc>
        <w:tc>
          <w:tcPr>
            <w:tcW w:w="586" w:type="pct"/>
            <w:tcBorders>
              <w:top w:val="single" w:color="auto" w:sz="2" w:space="0"/>
              <w:bottom w:val="single" w:color="auto" w:sz="2" w:space="0"/>
            </w:tcBorders>
            <w:shd w:val="clear" w:color="auto" w:fill="auto"/>
            <w:noWrap/>
            <w:vAlign w:val="center"/>
          </w:tcPr>
          <w:p>
            <w:pPr>
              <w:jc w:val="center"/>
              <w:rPr>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9" w:type="pct"/>
            <w:tcBorders>
              <w:top w:val="single" w:color="auto" w:sz="2" w:space="0"/>
              <w:bottom w:val="single" w:color="auto" w:sz="2" w:space="0"/>
            </w:tcBorders>
            <w:shd w:val="clear" w:color="auto" w:fill="auto"/>
            <w:noWrap/>
            <w:vAlign w:val="center"/>
          </w:tcPr>
          <w:p>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11</w:t>
            </w:r>
          </w:p>
        </w:tc>
        <w:tc>
          <w:tcPr>
            <w:tcW w:w="1857" w:type="pct"/>
            <w:tcBorders>
              <w:top w:val="single" w:color="auto" w:sz="2" w:space="0"/>
              <w:bottom w:val="single" w:color="auto" w:sz="2" w:space="0"/>
            </w:tcBorders>
            <w:shd w:val="clear" w:color="auto" w:fill="auto"/>
            <w:noWrap/>
            <w:vAlign w:val="center"/>
          </w:tcPr>
          <w:p>
            <w:pPr>
              <w:rPr>
                <w:b/>
                <w:sz w:val="21"/>
                <w:szCs w:val="21"/>
                <w:highlight w:val="none"/>
              </w:rPr>
            </w:pPr>
            <w:r>
              <w:rPr>
                <w:b/>
                <w:sz w:val="21"/>
                <w:szCs w:val="21"/>
                <w:highlight w:val="none"/>
              </w:rPr>
              <w:t>工程保险费</w:t>
            </w:r>
          </w:p>
        </w:tc>
        <w:tc>
          <w:tcPr>
            <w:tcW w:w="394"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项</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1037586</w:t>
            </w:r>
          </w:p>
        </w:tc>
        <w:tc>
          <w:tcPr>
            <w:tcW w:w="551" w:type="pct"/>
            <w:tcBorders>
              <w:top w:val="single" w:color="auto" w:sz="2" w:space="0"/>
              <w:bottom w:val="single" w:color="auto" w:sz="2" w:space="0"/>
            </w:tcBorders>
            <w:shd w:val="clear" w:color="auto" w:fill="auto"/>
            <w:noWrap/>
            <w:vAlign w:val="center"/>
          </w:tcPr>
          <w:p>
            <w:pPr>
              <w:jc w:val="center"/>
              <w:rPr>
                <w:sz w:val="21"/>
                <w:szCs w:val="21"/>
                <w:highlight w:val="none"/>
              </w:rPr>
            </w:pPr>
            <w:r>
              <w:rPr>
                <w:sz w:val="21"/>
                <w:szCs w:val="21"/>
                <w:highlight w:val="none"/>
              </w:rPr>
              <w:t>0.5%</w:t>
            </w:r>
          </w:p>
        </w:tc>
        <w:tc>
          <w:tcPr>
            <w:tcW w:w="629" w:type="pct"/>
            <w:tcBorders>
              <w:top w:val="single" w:color="auto" w:sz="2" w:space="0"/>
              <w:bottom w:val="single" w:color="auto" w:sz="2" w:space="0"/>
            </w:tcBorders>
            <w:shd w:val="clear" w:color="auto" w:fill="auto"/>
            <w:noWrap/>
            <w:vAlign w:val="center"/>
          </w:tcPr>
          <w:p>
            <w:pPr>
              <w:jc w:val="center"/>
              <w:rPr>
                <w:b/>
                <w:sz w:val="22"/>
                <w:szCs w:val="22"/>
                <w:highlight w:val="none"/>
              </w:rPr>
            </w:pPr>
            <w:r>
              <w:rPr>
                <w:b/>
                <w:sz w:val="22"/>
                <w:szCs w:val="22"/>
                <w:highlight w:val="none"/>
              </w:rPr>
              <w:t>5188</w:t>
            </w:r>
          </w:p>
        </w:tc>
        <w:tc>
          <w:tcPr>
            <w:tcW w:w="586" w:type="pct"/>
            <w:tcBorders>
              <w:top w:val="single" w:color="auto" w:sz="2" w:space="0"/>
              <w:bottom w:val="single" w:color="auto" w:sz="2" w:space="0"/>
            </w:tcBorders>
            <w:shd w:val="clear" w:color="auto" w:fill="auto"/>
            <w:noWrap/>
            <w:vAlign w:val="center"/>
          </w:tcPr>
          <w:p>
            <w:pPr>
              <w:jc w:val="center"/>
              <w:rPr>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bCs/>
                <w:sz w:val="21"/>
                <w:szCs w:val="21"/>
                <w:highlight w:val="none"/>
              </w:rPr>
            </w:pPr>
            <w:r>
              <w:rPr>
                <w:rFonts w:hint="eastAsia"/>
                <w:b/>
                <w:bCs/>
                <w:sz w:val="21"/>
                <w:szCs w:val="21"/>
                <w:highlight w:val="none"/>
              </w:rPr>
              <w:t>12</w:t>
            </w:r>
          </w:p>
        </w:tc>
        <w:tc>
          <w:tcPr>
            <w:tcW w:w="1857" w:type="pct"/>
            <w:shd w:val="clear" w:color="auto" w:fill="auto"/>
            <w:vAlign w:val="center"/>
          </w:tcPr>
          <w:p>
            <w:pPr>
              <w:rPr>
                <w:b/>
                <w:bCs/>
                <w:sz w:val="21"/>
                <w:szCs w:val="21"/>
                <w:highlight w:val="none"/>
              </w:rPr>
            </w:pPr>
            <w:r>
              <w:rPr>
                <w:b/>
                <w:bCs/>
                <w:sz w:val="21"/>
                <w:szCs w:val="21"/>
                <w:highlight w:val="none"/>
              </w:rPr>
              <w:t>闸门维修养护</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sz w:val="22"/>
                <w:szCs w:val="22"/>
                <w:highlight w:val="none"/>
              </w:rPr>
            </w:pP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12.</w:t>
            </w:r>
            <w:r>
              <w:rPr>
                <w:sz w:val="21"/>
                <w:szCs w:val="21"/>
                <w:highlight w:val="none"/>
              </w:rPr>
              <w:t>1</w:t>
            </w:r>
          </w:p>
        </w:tc>
        <w:tc>
          <w:tcPr>
            <w:tcW w:w="1857" w:type="pct"/>
            <w:shd w:val="clear" w:color="auto" w:fill="auto"/>
            <w:vAlign w:val="center"/>
          </w:tcPr>
          <w:p>
            <w:pPr>
              <w:rPr>
                <w:spacing w:val="-6"/>
                <w:sz w:val="21"/>
                <w:szCs w:val="21"/>
                <w:highlight w:val="none"/>
              </w:rPr>
            </w:pPr>
            <w:r>
              <w:rPr>
                <w:spacing w:val="-6"/>
                <w:sz w:val="21"/>
                <w:szCs w:val="21"/>
                <w:highlight w:val="none"/>
              </w:rPr>
              <w:t>泄洪闸弧形钢闸门维修养护</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vAlign w:val="center"/>
          </w:tcPr>
          <w:p>
            <w:pPr>
              <w:jc w:val="center"/>
              <w:rPr>
                <w:sz w:val="21"/>
                <w:szCs w:val="21"/>
                <w:highlight w:val="none"/>
              </w:rPr>
            </w:pPr>
            <w:r>
              <w:rPr>
                <w:sz w:val="21"/>
                <w:szCs w:val="21"/>
                <w:highlight w:val="none"/>
              </w:rPr>
              <w:t>2500</w:t>
            </w:r>
          </w:p>
        </w:tc>
        <w:tc>
          <w:tcPr>
            <w:tcW w:w="629" w:type="pct"/>
            <w:shd w:val="clear" w:color="auto" w:fill="auto"/>
            <w:noWrap/>
            <w:vAlign w:val="center"/>
          </w:tcPr>
          <w:p>
            <w:pPr>
              <w:jc w:val="center"/>
              <w:rPr>
                <w:sz w:val="22"/>
                <w:szCs w:val="22"/>
                <w:highlight w:val="none"/>
              </w:rPr>
            </w:pPr>
            <w:r>
              <w:rPr>
                <w:sz w:val="22"/>
                <w:szCs w:val="22"/>
                <w:highlight w:val="none"/>
              </w:rPr>
              <w:t>7500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12.2</w:t>
            </w:r>
          </w:p>
        </w:tc>
        <w:tc>
          <w:tcPr>
            <w:tcW w:w="1857" w:type="pct"/>
            <w:shd w:val="clear" w:color="auto" w:fill="auto"/>
            <w:vAlign w:val="center"/>
          </w:tcPr>
          <w:p>
            <w:pPr>
              <w:rPr>
                <w:sz w:val="21"/>
                <w:szCs w:val="21"/>
                <w:highlight w:val="none"/>
              </w:rPr>
            </w:pPr>
            <w:r>
              <w:rPr>
                <w:sz w:val="21"/>
                <w:szCs w:val="21"/>
                <w:highlight w:val="none"/>
              </w:rPr>
              <w:t>泄洪闸弧形钢闸门清洗及护栏油漆修补</w:t>
            </w:r>
          </w:p>
        </w:tc>
        <w:tc>
          <w:tcPr>
            <w:tcW w:w="394" w:type="pct"/>
            <w:shd w:val="clear" w:color="auto" w:fill="auto"/>
            <w:noWrap/>
            <w:vAlign w:val="center"/>
          </w:tcPr>
          <w:p>
            <w:pPr>
              <w:jc w:val="center"/>
              <w:rPr>
                <w:sz w:val="21"/>
                <w:szCs w:val="21"/>
                <w:highlight w:val="none"/>
              </w:rPr>
            </w:pPr>
            <w:r>
              <w:rPr>
                <w:sz w:val="21"/>
                <w:szCs w:val="21"/>
                <w:highlight w:val="none"/>
              </w:rPr>
              <w:t>项</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vAlign w:val="center"/>
          </w:tcPr>
          <w:p>
            <w:pPr>
              <w:jc w:val="center"/>
              <w:rPr>
                <w:sz w:val="21"/>
                <w:szCs w:val="21"/>
                <w:highlight w:val="none"/>
              </w:rPr>
            </w:pPr>
            <w:r>
              <w:rPr>
                <w:sz w:val="21"/>
                <w:szCs w:val="21"/>
                <w:highlight w:val="none"/>
              </w:rPr>
              <w:t>15000</w:t>
            </w:r>
          </w:p>
        </w:tc>
        <w:tc>
          <w:tcPr>
            <w:tcW w:w="629" w:type="pct"/>
            <w:shd w:val="clear" w:color="auto" w:fill="auto"/>
            <w:noWrap/>
            <w:vAlign w:val="center"/>
          </w:tcPr>
          <w:p>
            <w:pPr>
              <w:jc w:val="center"/>
              <w:rPr>
                <w:sz w:val="22"/>
                <w:szCs w:val="22"/>
                <w:highlight w:val="none"/>
              </w:rPr>
            </w:pPr>
            <w:r>
              <w:rPr>
                <w:sz w:val="22"/>
                <w:szCs w:val="22"/>
                <w:highlight w:val="none"/>
              </w:rPr>
              <w:t>15000</w:t>
            </w:r>
          </w:p>
        </w:tc>
        <w:tc>
          <w:tcPr>
            <w:tcW w:w="586" w:type="pct"/>
            <w:shd w:val="clear" w:color="auto" w:fill="auto"/>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p>
        </w:tc>
        <w:tc>
          <w:tcPr>
            <w:tcW w:w="1857" w:type="pct"/>
            <w:shd w:val="clear" w:color="auto" w:fill="auto"/>
            <w:vAlign w:val="center"/>
          </w:tcPr>
          <w:p>
            <w:pPr>
              <w:rPr>
                <w:b/>
                <w:sz w:val="21"/>
                <w:szCs w:val="21"/>
                <w:highlight w:val="none"/>
              </w:rPr>
            </w:pPr>
            <w:r>
              <w:rPr>
                <w:b/>
                <w:sz w:val="21"/>
                <w:szCs w:val="21"/>
                <w:highlight w:val="none"/>
              </w:rPr>
              <w:t>小计</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vAlign w:val="center"/>
          </w:tcPr>
          <w:p>
            <w:pPr>
              <w:jc w:val="center"/>
              <w:rPr>
                <w:sz w:val="21"/>
                <w:szCs w:val="21"/>
                <w:highlight w:val="none"/>
              </w:rPr>
            </w:pPr>
          </w:p>
        </w:tc>
        <w:tc>
          <w:tcPr>
            <w:tcW w:w="629" w:type="pct"/>
            <w:shd w:val="clear" w:color="auto" w:fill="auto"/>
            <w:noWrap/>
            <w:vAlign w:val="center"/>
          </w:tcPr>
          <w:p>
            <w:pPr>
              <w:jc w:val="center"/>
              <w:rPr>
                <w:b/>
                <w:bCs/>
                <w:sz w:val="22"/>
                <w:szCs w:val="22"/>
                <w:highlight w:val="none"/>
              </w:rPr>
            </w:pPr>
            <w:r>
              <w:rPr>
                <w:b/>
                <w:bCs/>
                <w:sz w:val="22"/>
                <w:szCs w:val="22"/>
                <w:highlight w:val="none"/>
              </w:rPr>
              <w:t>22500</w:t>
            </w:r>
          </w:p>
        </w:tc>
        <w:tc>
          <w:tcPr>
            <w:tcW w:w="586" w:type="pct"/>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bCs/>
                <w:sz w:val="21"/>
                <w:szCs w:val="21"/>
                <w:highlight w:val="none"/>
              </w:rPr>
            </w:pPr>
            <w:r>
              <w:rPr>
                <w:rFonts w:hint="eastAsia"/>
                <w:b/>
                <w:bCs/>
                <w:sz w:val="21"/>
                <w:szCs w:val="21"/>
                <w:highlight w:val="none"/>
              </w:rPr>
              <w:t>13</w:t>
            </w:r>
          </w:p>
        </w:tc>
        <w:tc>
          <w:tcPr>
            <w:tcW w:w="1857" w:type="pct"/>
            <w:shd w:val="clear" w:color="auto" w:fill="auto"/>
            <w:vAlign w:val="center"/>
          </w:tcPr>
          <w:p>
            <w:pPr>
              <w:rPr>
                <w:b/>
                <w:bCs/>
                <w:sz w:val="21"/>
                <w:szCs w:val="21"/>
                <w:highlight w:val="none"/>
              </w:rPr>
            </w:pPr>
            <w:r>
              <w:rPr>
                <w:b/>
                <w:bCs/>
                <w:sz w:val="21"/>
                <w:szCs w:val="21"/>
                <w:highlight w:val="none"/>
              </w:rPr>
              <w:t>启闭机维修养护</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vAlign w:val="center"/>
          </w:tcPr>
          <w:p>
            <w:pPr>
              <w:jc w:val="center"/>
              <w:rPr>
                <w:sz w:val="21"/>
                <w:szCs w:val="21"/>
                <w:highlight w:val="none"/>
              </w:rPr>
            </w:pPr>
          </w:p>
        </w:tc>
        <w:tc>
          <w:tcPr>
            <w:tcW w:w="629" w:type="pct"/>
            <w:shd w:val="clear" w:color="auto" w:fill="auto"/>
            <w:noWrap/>
            <w:vAlign w:val="center"/>
          </w:tcPr>
          <w:p>
            <w:pPr>
              <w:jc w:val="center"/>
              <w:rPr>
                <w:sz w:val="22"/>
                <w:szCs w:val="22"/>
                <w:highlight w:val="none"/>
              </w:rPr>
            </w:pP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13.</w:t>
            </w:r>
            <w:r>
              <w:rPr>
                <w:sz w:val="21"/>
                <w:szCs w:val="21"/>
                <w:highlight w:val="none"/>
              </w:rPr>
              <w:t>1</w:t>
            </w:r>
          </w:p>
        </w:tc>
        <w:tc>
          <w:tcPr>
            <w:tcW w:w="1857" w:type="pct"/>
            <w:shd w:val="clear" w:color="auto" w:fill="auto"/>
            <w:vAlign w:val="center"/>
          </w:tcPr>
          <w:p>
            <w:pPr>
              <w:rPr>
                <w:sz w:val="21"/>
                <w:szCs w:val="21"/>
                <w:highlight w:val="none"/>
              </w:rPr>
            </w:pPr>
            <w:r>
              <w:rPr>
                <w:sz w:val="21"/>
                <w:szCs w:val="21"/>
                <w:highlight w:val="none"/>
              </w:rPr>
              <w:t>泄洪闸启闭机维修养护</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vAlign w:val="center"/>
          </w:tcPr>
          <w:p>
            <w:pPr>
              <w:jc w:val="center"/>
              <w:rPr>
                <w:sz w:val="21"/>
                <w:szCs w:val="21"/>
                <w:highlight w:val="none"/>
              </w:rPr>
            </w:pPr>
            <w:r>
              <w:rPr>
                <w:sz w:val="21"/>
                <w:szCs w:val="21"/>
                <w:highlight w:val="none"/>
              </w:rPr>
              <w:t>2500</w:t>
            </w:r>
          </w:p>
        </w:tc>
        <w:tc>
          <w:tcPr>
            <w:tcW w:w="629" w:type="pct"/>
            <w:shd w:val="clear" w:color="auto" w:fill="auto"/>
            <w:noWrap/>
            <w:vAlign w:val="center"/>
          </w:tcPr>
          <w:p>
            <w:pPr>
              <w:jc w:val="center"/>
              <w:rPr>
                <w:sz w:val="22"/>
                <w:szCs w:val="22"/>
                <w:highlight w:val="none"/>
              </w:rPr>
            </w:pPr>
            <w:r>
              <w:rPr>
                <w:sz w:val="22"/>
                <w:szCs w:val="22"/>
                <w:highlight w:val="none"/>
              </w:rPr>
              <w:t>7500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13.</w:t>
            </w:r>
            <w:r>
              <w:rPr>
                <w:sz w:val="21"/>
                <w:szCs w:val="21"/>
                <w:highlight w:val="none"/>
              </w:rPr>
              <w:t>2</w:t>
            </w:r>
          </w:p>
        </w:tc>
        <w:tc>
          <w:tcPr>
            <w:tcW w:w="1857" w:type="pct"/>
            <w:shd w:val="clear" w:color="auto" w:fill="auto"/>
            <w:vAlign w:val="center"/>
          </w:tcPr>
          <w:p>
            <w:pPr>
              <w:rPr>
                <w:spacing w:val="-6"/>
                <w:sz w:val="21"/>
                <w:szCs w:val="21"/>
                <w:highlight w:val="none"/>
              </w:rPr>
            </w:pPr>
            <w:r>
              <w:rPr>
                <w:spacing w:val="-6"/>
                <w:sz w:val="21"/>
                <w:szCs w:val="21"/>
                <w:highlight w:val="none"/>
              </w:rPr>
              <w:t>灌溉放空洞启闭机维修养护</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vAlign w:val="center"/>
          </w:tcPr>
          <w:p>
            <w:pPr>
              <w:jc w:val="center"/>
              <w:rPr>
                <w:sz w:val="21"/>
                <w:szCs w:val="21"/>
                <w:highlight w:val="none"/>
              </w:rPr>
            </w:pPr>
            <w:r>
              <w:rPr>
                <w:sz w:val="21"/>
                <w:szCs w:val="21"/>
                <w:highlight w:val="none"/>
              </w:rPr>
              <w:t>2500</w:t>
            </w:r>
          </w:p>
        </w:tc>
        <w:tc>
          <w:tcPr>
            <w:tcW w:w="629" w:type="pct"/>
            <w:shd w:val="clear" w:color="auto" w:fill="auto"/>
            <w:noWrap/>
            <w:vAlign w:val="center"/>
          </w:tcPr>
          <w:p>
            <w:pPr>
              <w:jc w:val="center"/>
              <w:rPr>
                <w:sz w:val="22"/>
                <w:szCs w:val="22"/>
                <w:highlight w:val="none"/>
              </w:rPr>
            </w:pPr>
            <w:r>
              <w:rPr>
                <w:sz w:val="22"/>
                <w:szCs w:val="22"/>
                <w:highlight w:val="none"/>
              </w:rPr>
              <w:t>2500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13.</w:t>
            </w:r>
            <w:r>
              <w:rPr>
                <w:sz w:val="21"/>
                <w:szCs w:val="21"/>
                <w:highlight w:val="none"/>
              </w:rPr>
              <w:t>3</w:t>
            </w:r>
          </w:p>
        </w:tc>
        <w:tc>
          <w:tcPr>
            <w:tcW w:w="1857" w:type="pct"/>
            <w:shd w:val="clear" w:color="auto" w:fill="auto"/>
            <w:vAlign w:val="center"/>
          </w:tcPr>
          <w:p>
            <w:pPr>
              <w:rPr>
                <w:sz w:val="21"/>
                <w:szCs w:val="21"/>
                <w:highlight w:val="none"/>
              </w:rPr>
            </w:pPr>
            <w:r>
              <w:rPr>
                <w:spacing w:val="-6"/>
                <w:sz w:val="21"/>
                <w:szCs w:val="21"/>
                <w:highlight w:val="none"/>
              </w:rPr>
              <w:t>灌溉放空闸室蝶阀维修养护</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vAlign w:val="center"/>
          </w:tcPr>
          <w:p>
            <w:pPr>
              <w:jc w:val="center"/>
              <w:rPr>
                <w:sz w:val="21"/>
                <w:szCs w:val="21"/>
                <w:highlight w:val="none"/>
              </w:rPr>
            </w:pPr>
            <w:r>
              <w:rPr>
                <w:sz w:val="21"/>
                <w:szCs w:val="21"/>
                <w:highlight w:val="none"/>
              </w:rPr>
              <w:t>1000</w:t>
            </w:r>
          </w:p>
        </w:tc>
        <w:tc>
          <w:tcPr>
            <w:tcW w:w="629" w:type="pct"/>
            <w:shd w:val="clear" w:color="auto" w:fill="auto"/>
            <w:noWrap/>
            <w:vAlign w:val="center"/>
          </w:tcPr>
          <w:p>
            <w:pPr>
              <w:jc w:val="center"/>
              <w:rPr>
                <w:sz w:val="22"/>
                <w:szCs w:val="22"/>
                <w:highlight w:val="none"/>
              </w:rPr>
            </w:pPr>
            <w:r>
              <w:rPr>
                <w:sz w:val="22"/>
                <w:szCs w:val="22"/>
                <w:highlight w:val="none"/>
              </w:rPr>
              <w:t>1000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13.</w:t>
            </w:r>
            <w:r>
              <w:rPr>
                <w:sz w:val="21"/>
                <w:szCs w:val="21"/>
                <w:highlight w:val="none"/>
              </w:rPr>
              <w:t>4</w:t>
            </w:r>
          </w:p>
        </w:tc>
        <w:tc>
          <w:tcPr>
            <w:tcW w:w="1857" w:type="pct"/>
            <w:shd w:val="clear" w:color="auto" w:fill="auto"/>
            <w:vAlign w:val="center"/>
          </w:tcPr>
          <w:p>
            <w:pPr>
              <w:rPr>
                <w:spacing w:val="-6"/>
                <w:sz w:val="21"/>
                <w:szCs w:val="21"/>
                <w:highlight w:val="none"/>
              </w:rPr>
            </w:pPr>
            <w:r>
              <w:rPr>
                <w:spacing w:val="-6"/>
                <w:sz w:val="21"/>
                <w:szCs w:val="21"/>
                <w:highlight w:val="none"/>
              </w:rPr>
              <w:t>灌溉发电洞启闭机维修养护</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vAlign w:val="center"/>
          </w:tcPr>
          <w:p>
            <w:pPr>
              <w:jc w:val="center"/>
              <w:rPr>
                <w:sz w:val="21"/>
                <w:szCs w:val="21"/>
                <w:highlight w:val="none"/>
              </w:rPr>
            </w:pPr>
            <w:r>
              <w:rPr>
                <w:sz w:val="21"/>
                <w:szCs w:val="21"/>
                <w:highlight w:val="none"/>
              </w:rPr>
              <w:t>2500</w:t>
            </w:r>
          </w:p>
        </w:tc>
        <w:tc>
          <w:tcPr>
            <w:tcW w:w="629" w:type="pct"/>
            <w:shd w:val="clear" w:color="auto" w:fill="auto"/>
            <w:noWrap/>
            <w:vAlign w:val="center"/>
          </w:tcPr>
          <w:p>
            <w:pPr>
              <w:jc w:val="center"/>
              <w:rPr>
                <w:sz w:val="22"/>
                <w:szCs w:val="22"/>
                <w:highlight w:val="none"/>
              </w:rPr>
            </w:pPr>
            <w:r>
              <w:rPr>
                <w:sz w:val="22"/>
                <w:szCs w:val="22"/>
                <w:highlight w:val="none"/>
              </w:rPr>
              <w:t>2500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13.</w:t>
            </w:r>
            <w:r>
              <w:rPr>
                <w:sz w:val="21"/>
                <w:szCs w:val="21"/>
                <w:highlight w:val="none"/>
              </w:rPr>
              <w:t>5</w:t>
            </w:r>
          </w:p>
        </w:tc>
        <w:tc>
          <w:tcPr>
            <w:tcW w:w="1857" w:type="pct"/>
            <w:shd w:val="clear" w:color="auto" w:fill="auto"/>
            <w:vAlign w:val="center"/>
          </w:tcPr>
          <w:p>
            <w:pPr>
              <w:rPr>
                <w:sz w:val="21"/>
                <w:szCs w:val="21"/>
                <w:highlight w:val="none"/>
              </w:rPr>
            </w:pPr>
            <w:r>
              <w:rPr>
                <w:sz w:val="21"/>
                <w:szCs w:val="21"/>
                <w:highlight w:val="none"/>
              </w:rPr>
              <w:t>供水隧洞启闭机维修养护</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4</w:t>
            </w:r>
          </w:p>
        </w:tc>
        <w:tc>
          <w:tcPr>
            <w:tcW w:w="551" w:type="pct"/>
            <w:shd w:val="clear" w:color="auto" w:fill="auto"/>
            <w:vAlign w:val="center"/>
          </w:tcPr>
          <w:p>
            <w:pPr>
              <w:jc w:val="center"/>
              <w:rPr>
                <w:sz w:val="21"/>
                <w:szCs w:val="21"/>
                <w:highlight w:val="none"/>
              </w:rPr>
            </w:pPr>
            <w:r>
              <w:rPr>
                <w:sz w:val="21"/>
                <w:szCs w:val="21"/>
                <w:highlight w:val="none"/>
              </w:rPr>
              <w:t>2500</w:t>
            </w:r>
          </w:p>
        </w:tc>
        <w:tc>
          <w:tcPr>
            <w:tcW w:w="629" w:type="pct"/>
            <w:shd w:val="clear" w:color="auto" w:fill="auto"/>
            <w:noWrap/>
            <w:vAlign w:val="center"/>
          </w:tcPr>
          <w:p>
            <w:pPr>
              <w:jc w:val="center"/>
              <w:rPr>
                <w:sz w:val="22"/>
                <w:szCs w:val="22"/>
                <w:highlight w:val="none"/>
              </w:rPr>
            </w:pPr>
            <w:r>
              <w:rPr>
                <w:sz w:val="22"/>
                <w:szCs w:val="22"/>
                <w:highlight w:val="none"/>
              </w:rPr>
              <w:t>10000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p>
        </w:tc>
        <w:tc>
          <w:tcPr>
            <w:tcW w:w="1857" w:type="pct"/>
            <w:shd w:val="clear" w:color="auto" w:fill="auto"/>
            <w:vAlign w:val="center"/>
          </w:tcPr>
          <w:p>
            <w:pPr>
              <w:rPr>
                <w:b/>
                <w:sz w:val="21"/>
                <w:szCs w:val="21"/>
                <w:highlight w:val="none"/>
              </w:rPr>
            </w:pPr>
            <w:r>
              <w:rPr>
                <w:b/>
                <w:sz w:val="21"/>
                <w:szCs w:val="21"/>
                <w:highlight w:val="none"/>
              </w:rPr>
              <w:t>小计</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vAlign w:val="center"/>
          </w:tcPr>
          <w:p>
            <w:pPr>
              <w:jc w:val="center"/>
              <w:rPr>
                <w:sz w:val="21"/>
                <w:szCs w:val="21"/>
                <w:highlight w:val="none"/>
              </w:rPr>
            </w:pPr>
          </w:p>
        </w:tc>
        <w:tc>
          <w:tcPr>
            <w:tcW w:w="629" w:type="pct"/>
            <w:shd w:val="clear" w:color="auto" w:fill="auto"/>
            <w:noWrap/>
            <w:vAlign w:val="center"/>
          </w:tcPr>
          <w:p>
            <w:pPr>
              <w:jc w:val="center"/>
              <w:rPr>
                <w:b/>
                <w:bCs/>
                <w:sz w:val="22"/>
                <w:szCs w:val="22"/>
                <w:highlight w:val="none"/>
              </w:rPr>
            </w:pPr>
            <w:r>
              <w:rPr>
                <w:b/>
                <w:bCs/>
                <w:sz w:val="22"/>
                <w:szCs w:val="22"/>
                <w:highlight w:val="none"/>
              </w:rPr>
              <w:t>23500</w:t>
            </w:r>
          </w:p>
        </w:tc>
        <w:tc>
          <w:tcPr>
            <w:tcW w:w="586" w:type="pct"/>
            <w:shd w:val="clear" w:color="auto" w:fill="auto"/>
            <w:noWrap/>
            <w:vAlign w:val="center"/>
          </w:tcPr>
          <w:p>
            <w:pPr>
              <w:jc w:val="center"/>
              <w:rPr>
                <w:b/>
                <w:bCs/>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sz w:val="21"/>
                <w:szCs w:val="21"/>
                <w:highlight w:val="none"/>
              </w:rPr>
            </w:pPr>
            <w:r>
              <w:rPr>
                <w:rFonts w:hint="eastAsia"/>
                <w:b/>
                <w:sz w:val="21"/>
                <w:szCs w:val="21"/>
                <w:highlight w:val="none"/>
              </w:rPr>
              <w:t>14</w:t>
            </w:r>
          </w:p>
        </w:tc>
        <w:tc>
          <w:tcPr>
            <w:tcW w:w="1857" w:type="pct"/>
            <w:shd w:val="clear" w:color="auto" w:fill="auto"/>
            <w:vAlign w:val="center"/>
          </w:tcPr>
          <w:p>
            <w:pPr>
              <w:rPr>
                <w:b/>
                <w:sz w:val="22"/>
                <w:szCs w:val="22"/>
                <w:highlight w:val="none"/>
              </w:rPr>
            </w:pPr>
            <w:r>
              <w:rPr>
                <w:b/>
                <w:spacing w:val="-6"/>
                <w:sz w:val="22"/>
                <w:szCs w:val="22"/>
                <w:highlight w:val="none"/>
              </w:rPr>
              <w:t>泄洪闸启闭机齿轮油更换</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vAlign w:val="center"/>
          </w:tcPr>
          <w:p>
            <w:pPr>
              <w:jc w:val="center"/>
              <w:rPr>
                <w:sz w:val="21"/>
                <w:szCs w:val="21"/>
                <w:highlight w:val="none"/>
              </w:rPr>
            </w:pPr>
            <w:r>
              <w:rPr>
                <w:sz w:val="21"/>
                <w:szCs w:val="21"/>
                <w:highlight w:val="none"/>
              </w:rPr>
              <w:t>10000</w:t>
            </w:r>
          </w:p>
        </w:tc>
        <w:tc>
          <w:tcPr>
            <w:tcW w:w="629" w:type="pct"/>
            <w:shd w:val="clear" w:color="auto" w:fill="auto"/>
            <w:noWrap/>
            <w:vAlign w:val="center"/>
          </w:tcPr>
          <w:p>
            <w:pPr>
              <w:jc w:val="center"/>
              <w:rPr>
                <w:b/>
                <w:sz w:val="22"/>
                <w:szCs w:val="22"/>
                <w:highlight w:val="none"/>
              </w:rPr>
            </w:pPr>
            <w:r>
              <w:rPr>
                <w:b/>
                <w:sz w:val="22"/>
                <w:szCs w:val="22"/>
                <w:highlight w:val="none"/>
              </w:rPr>
              <w:t>30000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9" w:type="pct"/>
            <w:shd w:val="clear" w:color="auto" w:fill="auto"/>
            <w:noWrap/>
            <w:vAlign w:val="center"/>
          </w:tcPr>
          <w:p>
            <w:pPr>
              <w:jc w:val="center"/>
              <w:rPr>
                <w:b/>
                <w:sz w:val="21"/>
                <w:szCs w:val="21"/>
                <w:highlight w:val="none"/>
              </w:rPr>
            </w:pPr>
            <w:r>
              <w:rPr>
                <w:rFonts w:hint="eastAsia"/>
                <w:b/>
                <w:sz w:val="21"/>
                <w:szCs w:val="21"/>
                <w:highlight w:val="none"/>
              </w:rPr>
              <w:t>15</w:t>
            </w:r>
          </w:p>
        </w:tc>
        <w:tc>
          <w:tcPr>
            <w:tcW w:w="1857" w:type="pct"/>
            <w:shd w:val="clear" w:color="auto" w:fill="auto"/>
            <w:vAlign w:val="center"/>
          </w:tcPr>
          <w:p>
            <w:pPr>
              <w:rPr>
                <w:b/>
                <w:spacing w:val="-6"/>
                <w:sz w:val="22"/>
                <w:szCs w:val="22"/>
                <w:highlight w:val="none"/>
              </w:rPr>
            </w:pPr>
            <w:r>
              <w:rPr>
                <w:b/>
                <w:spacing w:val="-6"/>
                <w:sz w:val="22"/>
                <w:szCs w:val="22"/>
                <w:highlight w:val="none"/>
              </w:rPr>
              <w:t>泄洪闸启闭外表油漆刷新</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vAlign w:val="center"/>
          </w:tcPr>
          <w:p>
            <w:pPr>
              <w:jc w:val="center"/>
              <w:rPr>
                <w:sz w:val="21"/>
                <w:szCs w:val="21"/>
                <w:highlight w:val="none"/>
              </w:rPr>
            </w:pPr>
            <w:r>
              <w:rPr>
                <w:sz w:val="21"/>
                <w:szCs w:val="21"/>
                <w:highlight w:val="none"/>
              </w:rPr>
              <w:t>4000</w:t>
            </w:r>
          </w:p>
        </w:tc>
        <w:tc>
          <w:tcPr>
            <w:tcW w:w="629" w:type="pct"/>
            <w:shd w:val="clear" w:color="auto" w:fill="auto"/>
            <w:noWrap/>
            <w:vAlign w:val="center"/>
          </w:tcPr>
          <w:p>
            <w:pPr>
              <w:jc w:val="center"/>
              <w:rPr>
                <w:b/>
                <w:sz w:val="22"/>
                <w:szCs w:val="22"/>
                <w:highlight w:val="none"/>
              </w:rPr>
            </w:pPr>
            <w:r>
              <w:rPr>
                <w:b/>
                <w:sz w:val="22"/>
                <w:szCs w:val="22"/>
                <w:highlight w:val="none"/>
              </w:rPr>
              <w:t>12000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sz w:val="21"/>
                <w:szCs w:val="21"/>
                <w:highlight w:val="none"/>
              </w:rPr>
            </w:pPr>
            <w:r>
              <w:rPr>
                <w:rFonts w:hint="eastAsia"/>
                <w:b/>
                <w:sz w:val="21"/>
                <w:szCs w:val="21"/>
                <w:highlight w:val="none"/>
              </w:rPr>
              <w:t>16</w:t>
            </w:r>
          </w:p>
        </w:tc>
        <w:tc>
          <w:tcPr>
            <w:tcW w:w="1857" w:type="pct"/>
            <w:shd w:val="clear" w:color="auto" w:fill="auto"/>
            <w:vAlign w:val="center"/>
          </w:tcPr>
          <w:p>
            <w:pPr>
              <w:rPr>
                <w:b/>
                <w:sz w:val="21"/>
                <w:szCs w:val="21"/>
                <w:highlight w:val="none"/>
              </w:rPr>
            </w:pPr>
            <w:r>
              <w:rPr>
                <w:b/>
                <w:sz w:val="21"/>
                <w:szCs w:val="21"/>
                <w:highlight w:val="none"/>
              </w:rPr>
              <w:t>柴油发电机维修养护</w:t>
            </w:r>
          </w:p>
        </w:tc>
        <w:tc>
          <w:tcPr>
            <w:tcW w:w="394" w:type="pct"/>
            <w:shd w:val="clear" w:color="auto" w:fill="auto"/>
            <w:noWrap/>
            <w:vAlign w:val="center"/>
          </w:tcPr>
          <w:p>
            <w:pPr>
              <w:jc w:val="center"/>
              <w:rPr>
                <w:sz w:val="21"/>
                <w:szCs w:val="21"/>
                <w:highlight w:val="none"/>
              </w:rPr>
            </w:pPr>
            <w:r>
              <w:rPr>
                <w:sz w:val="21"/>
                <w:szCs w:val="21"/>
                <w:highlight w:val="none"/>
              </w:rPr>
              <w:t>KW</w:t>
            </w:r>
          </w:p>
        </w:tc>
        <w:tc>
          <w:tcPr>
            <w:tcW w:w="551" w:type="pct"/>
            <w:shd w:val="clear" w:color="auto" w:fill="auto"/>
            <w:noWrap/>
            <w:vAlign w:val="center"/>
          </w:tcPr>
          <w:p>
            <w:pPr>
              <w:jc w:val="center"/>
              <w:rPr>
                <w:sz w:val="21"/>
                <w:szCs w:val="21"/>
                <w:highlight w:val="none"/>
              </w:rPr>
            </w:pPr>
            <w:r>
              <w:rPr>
                <w:sz w:val="21"/>
                <w:szCs w:val="21"/>
                <w:highlight w:val="none"/>
              </w:rPr>
              <w:t>80</w:t>
            </w:r>
          </w:p>
        </w:tc>
        <w:tc>
          <w:tcPr>
            <w:tcW w:w="551" w:type="pct"/>
            <w:shd w:val="clear" w:color="auto" w:fill="auto"/>
            <w:vAlign w:val="center"/>
          </w:tcPr>
          <w:p>
            <w:pPr>
              <w:jc w:val="center"/>
              <w:rPr>
                <w:sz w:val="21"/>
                <w:szCs w:val="21"/>
                <w:highlight w:val="none"/>
              </w:rPr>
            </w:pPr>
            <w:r>
              <w:rPr>
                <w:sz w:val="21"/>
                <w:szCs w:val="21"/>
                <w:highlight w:val="none"/>
              </w:rPr>
              <w:t>50</w:t>
            </w:r>
          </w:p>
        </w:tc>
        <w:tc>
          <w:tcPr>
            <w:tcW w:w="629" w:type="pct"/>
            <w:shd w:val="clear" w:color="auto" w:fill="auto"/>
            <w:noWrap/>
            <w:vAlign w:val="center"/>
          </w:tcPr>
          <w:p>
            <w:pPr>
              <w:jc w:val="center"/>
              <w:rPr>
                <w:b/>
                <w:sz w:val="22"/>
                <w:szCs w:val="22"/>
                <w:highlight w:val="none"/>
              </w:rPr>
            </w:pPr>
            <w:r>
              <w:rPr>
                <w:b/>
                <w:sz w:val="22"/>
                <w:szCs w:val="22"/>
                <w:highlight w:val="none"/>
              </w:rPr>
              <w:t>4000</w:t>
            </w:r>
          </w:p>
        </w:tc>
        <w:tc>
          <w:tcPr>
            <w:tcW w:w="586" w:type="pct"/>
            <w:shd w:val="clear" w:color="auto" w:fill="auto"/>
            <w:noWrap/>
            <w:vAlign w:val="center"/>
          </w:tcPr>
          <w:p>
            <w:pPr>
              <w:jc w:val="center"/>
              <w:rPr>
                <w:color w:val="FF000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bCs/>
                <w:sz w:val="21"/>
                <w:szCs w:val="21"/>
                <w:highlight w:val="none"/>
              </w:rPr>
            </w:pPr>
            <w:r>
              <w:rPr>
                <w:rFonts w:hint="eastAsia"/>
                <w:b/>
                <w:bCs/>
                <w:sz w:val="21"/>
                <w:szCs w:val="21"/>
                <w:highlight w:val="none"/>
              </w:rPr>
              <w:t>17</w:t>
            </w:r>
          </w:p>
        </w:tc>
        <w:tc>
          <w:tcPr>
            <w:tcW w:w="1857" w:type="pct"/>
            <w:shd w:val="clear" w:color="auto" w:fill="auto"/>
            <w:noWrap/>
            <w:vAlign w:val="center"/>
          </w:tcPr>
          <w:p>
            <w:pPr>
              <w:rPr>
                <w:b/>
                <w:bCs/>
                <w:sz w:val="22"/>
                <w:szCs w:val="22"/>
                <w:highlight w:val="none"/>
              </w:rPr>
            </w:pPr>
            <w:r>
              <w:rPr>
                <w:b/>
                <w:bCs/>
                <w:sz w:val="22"/>
                <w:szCs w:val="22"/>
                <w:highlight w:val="none"/>
              </w:rPr>
              <w:t>洪水测报系统维修养护</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b/>
                <w:bCs/>
                <w:sz w:val="22"/>
                <w:szCs w:val="22"/>
                <w:highlight w:val="none"/>
              </w:rPr>
            </w:pP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bCs/>
                <w:sz w:val="21"/>
                <w:szCs w:val="21"/>
                <w:highlight w:val="none"/>
              </w:rPr>
            </w:pPr>
          </w:p>
        </w:tc>
        <w:tc>
          <w:tcPr>
            <w:tcW w:w="1857" w:type="pct"/>
            <w:shd w:val="clear" w:color="auto" w:fill="auto"/>
            <w:noWrap/>
            <w:vAlign w:val="center"/>
          </w:tcPr>
          <w:p>
            <w:pPr>
              <w:rPr>
                <w:b/>
                <w:bCs/>
                <w:spacing w:val="-6"/>
                <w:sz w:val="22"/>
                <w:szCs w:val="22"/>
                <w:highlight w:val="none"/>
              </w:rPr>
            </w:pPr>
            <w:r>
              <w:rPr>
                <w:b/>
                <w:bCs/>
                <w:spacing w:val="-6"/>
                <w:sz w:val="22"/>
                <w:szCs w:val="22"/>
                <w:highlight w:val="none"/>
              </w:rPr>
              <w:t>水雨情遥测系统更新改造</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b/>
                <w:bCs/>
                <w:sz w:val="22"/>
                <w:szCs w:val="22"/>
                <w:highlight w:val="none"/>
              </w:rPr>
            </w:pP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Cs/>
                <w:sz w:val="21"/>
                <w:szCs w:val="21"/>
                <w:highlight w:val="none"/>
              </w:rPr>
            </w:pPr>
            <w:r>
              <w:rPr>
                <w:rFonts w:hint="eastAsia"/>
                <w:bCs/>
                <w:sz w:val="21"/>
                <w:szCs w:val="21"/>
                <w:highlight w:val="none"/>
              </w:rPr>
              <w:t>17.</w:t>
            </w:r>
            <w:r>
              <w:rPr>
                <w:bCs/>
                <w:sz w:val="21"/>
                <w:szCs w:val="21"/>
                <w:highlight w:val="none"/>
              </w:rPr>
              <w:t>1</w:t>
            </w:r>
          </w:p>
        </w:tc>
        <w:tc>
          <w:tcPr>
            <w:tcW w:w="1857" w:type="pct"/>
            <w:shd w:val="clear" w:color="auto" w:fill="auto"/>
            <w:noWrap/>
            <w:vAlign w:val="center"/>
          </w:tcPr>
          <w:p>
            <w:pPr>
              <w:rPr>
                <w:bCs/>
                <w:spacing w:val="-24"/>
                <w:sz w:val="22"/>
                <w:szCs w:val="22"/>
                <w:highlight w:val="none"/>
              </w:rPr>
            </w:pPr>
            <w:r>
              <w:rPr>
                <w:bCs/>
                <w:spacing w:val="-24"/>
                <w:sz w:val="22"/>
                <w:szCs w:val="22"/>
                <w:highlight w:val="none"/>
              </w:rPr>
              <w:t>遥测水位、雨量站（龙潭、郑宅、大坝）</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b/>
                <w:bCs/>
                <w:sz w:val="22"/>
                <w:szCs w:val="22"/>
                <w:highlight w:val="none"/>
              </w:rPr>
            </w:pP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1.1</w:t>
            </w:r>
          </w:p>
        </w:tc>
        <w:tc>
          <w:tcPr>
            <w:tcW w:w="1857" w:type="pct"/>
            <w:shd w:val="clear" w:color="auto" w:fill="auto"/>
            <w:noWrap/>
            <w:vAlign w:val="center"/>
          </w:tcPr>
          <w:p>
            <w:pPr>
              <w:rPr>
                <w:sz w:val="22"/>
                <w:szCs w:val="22"/>
                <w:highlight w:val="none"/>
              </w:rPr>
            </w:pPr>
            <w:r>
              <w:rPr>
                <w:sz w:val="22"/>
                <w:szCs w:val="22"/>
                <w:highlight w:val="none"/>
              </w:rPr>
              <w:t>智能遥测终端机（卫星加GPRS）</w:t>
            </w:r>
          </w:p>
        </w:tc>
        <w:tc>
          <w:tcPr>
            <w:tcW w:w="394" w:type="pct"/>
            <w:shd w:val="clear" w:color="auto" w:fill="auto"/>
            <w:noWrap/>
            <w:vAlign w:val="center"/>
          </w:tcPr>
          <w:p>
            <w:pPr>
              <w:jc w:val="center"/>
              <w:rPr>
                <w:sz w:val="21"/>
                <w:szCs w:val="21"/>
                <w:highlight w:val="none"/>
              </w:rPr>
            </w:pPr>
            <w:r>
              <w:rPr>
                <w:sz w:val="21"/>
                <w:szCs w:val="21"/>
                <w:highlight w:val="none"/>
              </w:rPr>
              <w:t>台</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13440</w:t>
            </w:r>
          </w:p>
        </w:tc>
        <w:tc>
          <w:tcPr>
            <w:tcW w:w="629" w:type="pct"/>
            <w:shd w:val="clear" w:color="auto" w:fill="auto"/>
            <w:noWrap/>
            <w:vAlign w:val="center"/>
          </w:tcPr>
          <w:p>
            <w:pPr>
              <w:jc w:val="center"/>
              <w:rPr>
                <w:sz w:val="22"/>
                <w:szCs w:val="22"/>
                <w:highlight w:val="none"/>
              </w:rPr>
            </w:pPr>
            <w:r>
              <w:rPr>
                <w:sz w:val="22"/>
                <w:szCs w:val="22"/>
                <w:highlight w:val="none"/>
              </w:rPr>
              <w:t>40320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1.2</w:t>
            </w:r>
          </w:p>
        </w:tc>
        <w:tc>
          <w:tcPr>
            <w:tcW w:w="1857" w:type="pct"/>
            <w:shd w:val="clear" w:color="auto" w:fill="auto"/>
            <w:noWrap/>
            <w:vAlign w:val="center"/>
          </w:tcPr>
          <w:p>
            <w:pPr>
              <w:rPr>
                <w:sz w:val="22"/>
                <w:szCs w:val="22"/>
                <w:highlight w:val="none"/>
              </w:rPr>
            </w:pPr>
            <w:r>
              <w:rPr>
                <w:sz w:val="22"/>
                <w:szCs w:val="22"/>
                <w:highlight w:val="none"/>
              </w:rPr>
              <w:t>一体化机箱（全不锈钢喷塑）</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4000</w:t>
            </w:r>
          </w:p>
        </w:tc>
        <w:tc>
          <w:tcPr>
            <w:tcW w:w="629" w:type="pct"/>
            <w:shd w:val="clear" w:color="auto" w:fill="auto"/>
            <w:noWrap/>
            <w:vAlign w:val="center"/>
          </w:tcPr>
          <w:p>
            <w:pPr>
              <w:jc w:val="center"/>
              <w:rPr>
                <w:sz w:val="22"/>
                <w:szCs w:val="22"/>
                <w:highlight w:val="none"/>
              </w:rPr>
            </w:pPr>
            <w:r>
              <w:rPr>
                <w:sz w:val="22"/>
                <w:szCs w:val="22"/>
                <w:highlight w:val="none"/>
              </w:rPr>
              <w:t>12000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1.3</w:t>
            </w:r>
          </w:p>
        </w:tc>
        <w:tc>
          <w:tcPr>
            <w:tcW w:w="1857" w:type="pct"/>
            <w:shd w:val="clear" w:color="auto" w:fill="auto"/>
            <w:noWrap/>
            <w:vAlign w:val="center"/>
          </w:tcPr>
          <w:p>
            <w:pPr>
              <w:rPr>
                <w:spacing w:val="-20"/>
                <w:sz w:val="22"/>
                <w:szCs w:val="22"/>
                <w:highlight w:val="none"/>
              </w:rPr>
            </w:pPr>
            <w:r>
              <w:rPr>
                <w:spacing w:val="-20"/>
                <w:sz w:val="22"/>
                <w:szCs w:val="22"/>
                <w:highlight w:val="none"/>
              </w:rPr>
              <w:t>北斗卫星小站（含卫星通讯运行费一年）</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19100</w:t>
            </w:r>
          </w:p>
        </w:tc>
        <w:tc>
          <w:tcPr>
            <w:tcW w:w="629" w:type="pct"/>
            <w:shd w:val="clear" w:color="auto" w:fill="auto"/>
            <w:noWrap/>
            <w:vAlign w:val="center"/>
          </w:tcPr>
          <w:p>
            <w:pPr>
              <w:jc w:val="center"/>
              <w:rPr>
                <w:sz w:val="22"/>
                <w:szCs w:val="22"/>
                <w:highlight w:val="none"/>
              </w:rPr>
            </w:pPr>
            <w:r>
              <w:rPr>
                <w:sz w:val="22"/>
                <w:szCs w:val="22"/>
                <w:highlight w:val="none"/>
              </w:rPr>
              <w:t>57300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1.4</w:t>
            </w:r>
          </w:p>
        </w:tc>
        <w:tc>
          <w:tcPr>
            <w:tcW w:w="1857" w:type="pct"/>
            <w:shd w:val="clear" w:color="auto" w:fill="auto"/>
            <w:noWrap/>
            <w:vAlign w:val="center"/>
          </w:tcPr>
          <w:p>
            <w:pPr>
              <w:rPr>
                <w:sz w:val="22"/>
                <w:szCs w:val="22"/>
                <w:highlight w:val="none"/>
              </w:rPr>
            </w:pPr>
            <w:r>
              <w:rPr>
                <w:sz w:val="22"/>
                <w:szCs w:val="22"/>
                <w:highlight w:val="none"/>
              </w:rPr>
              <w:t>20W太阳能及支架</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1100</w:t>
            </w:r>
          </w:p>
        </w:tc>
        <w:tc>
          <w:tcPr>
            <w:tcW w:w="629" w:type="pct"/>
            <w:shd w:val="clear" w:color="auto" w:fill="auto"/>
            <w:noWrap/>
            <w:vAlign w:val="center"/>
          </w:tcPr>
          <w:p>
            <w:pPr>
              <w:jc w:val="center"/>
              <w:rPr>
                <w:sz w:val="22"/>
                <w:szCs w:val="22"/>
                <w:highlight w:val="none"/>
              </w:rPr>
            </w:pPr>
            <w:r>
              <w:rPr>
                <w:sz w:val="22"/>
                <w:szCs w:val="22"/>
                <w:highlight w:val="none"/>
              </w:rPr>
              <w:t>3300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1.5</w:t>
            </w:r>
          </w:p>
        </w:tc>
        <w:tc>
          <w:tcPr>
            <w:tcW w:w="1857" w:type="pct"/>
            <w:shd w:val="clear" w:color="auto" w:fill="auto"/>
            <w:noWrap/>
            <w:vAlign w:val="center"/>
          </w:tcPr>
          <w:p>
            <w:pPr>
              <w:rPr>
                <w:sz w:val="22"/>
                <w:szCs w:val="22"/>
                <w:highlight w:val="none"/>
              </w:rPr>
            </w:pPr>
            <w:r>
              <w:rPr>
                <w:sz w:val="22"/>
                <w:szCs w:val="22"/>
                <w:highlight w:val="none"/>
              </w:rPr>
              <w:t>WFH-2浮子式水位计</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3360</w:t>
            </w:r>
          </w:p>
        </w:tc>
        <w:tc>
          <w:tcPr>
            <w:tcW w:w="629" w:type="pct"/>
            <w:shd w:val="clear" w:color="auto" w:fill="auto"/>
            <w:noWrap/>
            <w:vAlign w:val="center"/>
          </w:tcPr>
          <w:p>
            <w:pPr>
              <w:jc w:val="center"/>
              <w:rPr>
                <w:sz w:val="22"/>
                <w:szCs w:val="22"/>
                <w:highlight w:val="none"/>
              </w:rPr>
            </w:pPr>
            <w:r>
              <w:rPr>
                <w:sz w:val="22"/>
                <w:szCs w:val="22"/>
                <w:highlight w:val="none"/>
              </w:rPr>
              <w:t>10080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1.6</w:t>
            </w:r>
          </w:p>
        </w:tc>
        <w:tc>
          <w:tcPr>
            <w:tcW w:w="1857" w:type="pct"/>
            <w:shd w:val="clear" w:color="auto" w:fill="auto"/>
            <w:noWrap/>
            <w:vAlign w:val="center"/>
          </w:tcPr>
          <w:p>
            <w:pPr>
              <w:rPr>
                <w:sz w:val="22"/>
                <w:szCs w:val="22"/>
                <w:highlight w:val="none"/>
              </w:rPr>
            </w:pPr>
            <w:r>
              <w:rPr>
                <w:sz w:val="22"/>
                <w:szCs w:val="22"/>
                <w:highlight w:val="none"/>
              </w:rPr>
              <w:t>全不锈钢雨量计</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3360</w:t>
            </w:r>
          </w:p>
        </w:tc>
        <w:tc>
          <w:tcPr>
            <w:tcW w:w="629" w:type="pct"/>
            <w:shd w:val="clear" w:color="auto" w:fill="auto"/>
            <w:noWrap/>
            <w:vAlign w:val="center"/>
          </w:tcPr>
          <w:p>
            <w:pPr>
              <w:jc w:val="center"/>
              <w:rPr>
                <w:sz w:val="22"/>
                <w:szCs w:val="22"/>
                <w:highlight w:val="none"/>
              </w:rPr>
            </w:pPr>
            <w:r>
              <w:rPr>
                <w:sz w:val="22"/>
                <w:szCs w:val="22"/>
                <w:highlight w:val="none"/>
              </w:rPr>
              <w:t>10080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1.7</w:t>
            </w:r>
          </w:p>
        </w:tc>
        <w:tc>
          <w:tcPr>
            <w:tcW w:w="1857" w:type="pct"/>
            <w:shd w:val="clear" w:color="auto" w:fill="auto"/>
            <w:noWrap/>
            <w:vAlign w:val="center"/>
          </w:tcPr>
          <w:p>
            <w:pPr>
              <w:rPr>
                <w:sz w:val="22"/>
                <w:szCs w:val="22"/>
                <w:highlight w:val="none"/>
              </w:rPr>
            </w:pPr>
            <w:r>
              <w:rPr>
                <w:sz w:val="22"/>
                <w:szCs w:val="22"/>
                <w:highlight w:val="none"/>
              </w:rPr>
              <w:t>充电控制器</w:t>
            </w:r>
          </w:p>
        </w:tc>
        <w:tc>
          <w:tcPr>
            <w:tcW w:w="394" w:type="pct"/>
            <w:shd w:val="clear" w:color="auto" w:fill="auto"/>
            <w:noWrap/>
            <w:vAlign w:val="center"/>
          </w:tcPr>
          <w:p>
            <w:pPr>
              <w:jc w:val="center"/>
              <w:rPr>
                <w:sz w:val="21"/>
                <w:szCs w:val="21"/>
                <w:highlight w:val="none"/>
              </w:rPr>
            </w:pPr>
            <w:r>
              <w:rPr>
                <w:sz w:val="21"/>
                <w:szCs w:val="21"/>
                <w:highlight w:val="none"/>
              </w:rPr>
              <w:t>个</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500</w:t>
            </w:r>
          </w:p>
        </w:tc>
        <w:tc>
          <w:tcPr>
            <w:tcW w:w="629" w:type="pct"/>
            <w:shd w:val="clear" w:color="auto" w:fill="auto"/>
            <w:noWrap/>
            <w:vAlign w:val="center"/>
          </w:tcPr>
          <w:p>
            <w:pPr>
              <w:jc w:val="center"/>
              <w:rPr>
                <w:sz w:val="22"/>
                <w:szCs w:val="22"/>
                <w:highlight w:val="none"/>
              </w:rPr>
            </w:pPr>
            <w:r>
              <w:rPr>
                <w:sz w:val="22"/>
                <w:szCs w:val="22"/>
                <w:highlight w:val="none"/>
              </w:rPr>
              <w:t>1500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1.8</w:t>
            </w:r>
          </w:p>
        </w:tc>
        <w:tc>
          <w:tcPr>
            <w:tcW w:w="1857" w:type="pct"/>
            <w:shd w:val="clear" w:color="auto" w:fill="auto"/>
            <w:noWrap/>
            <w:vAlign w:val="center"/>
          </w:tcPr>
          <w:p>
            <w:pPr>
              <w:rPr>
                <w:sz w:val="22"/>
                <w:szCs w:val="22"/>
                <w:highlight w:val="none"/>
              </w:rPr>
            </w:pPr>
            <w:r>
              <w:rPr>
                <w:sz w:val="22"/>
                <w:szCs w:val="22"/>
                <w:highlight w:val="none"/>
              </w:rPr>
              <w:t>转接线缆</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700</w:t>
            </w:r>
          </w:p>
        </w:tc>
        <w:tc>
          <w:tcPr>
            <w:tcW w:w="629" w:type="pct"/>
            <w:shd w:val="clear" w:color="auto" w:fill="auto"/>
            <w:noWrap/>
            <w:vAlign w:val="center"/>
          </w:tcPr>
          <w:p>
            <w:pPr>
              <w:jc w:val="center"/>
              <w:rPr>
                <w:sz w:val="22"/>
                <w:szCs w:val="22"/>
                <w:highlight w:val="none"/>
              </w:rPr>
            </w:pPr>
            <w:r>
              <w:rPr>
                <w:sz w:val="22"/>
                <w:szCs w:val="22"/>
                <w:highlight w:val="none"/>
              </w:rPr>
              <w:t>2100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1.9</w:t>
            </w:r>
          </w:p>
        </w:tc>
        <w:tc>
          <w:tcPr>
            <w:tcW w:w="1857" w:type="pct"/>
            <w:shd w:val="clear" w:color="auto" w:fill="auto"/>
            <w:noWrap/>
            <w:vAlign w:val="center"/>
          </w:tcPr>
          <w:p>
            <w:pPr>
              <w:rPr>
                <w:sz w:val="22"/>
                <w:szCs w:val="22"/>
                <w:highlight w:val="none"/>
              </w:rPr>
            </w:pPr>
            <w:r>
              <w:rPr>
                <w:sz w:val="22"/>
                <w:szCs w:val="22"/>
                <w:highlight w:val="none"/>
              </w:rPr>
              <w:t>12V65AH免维护电池</w:t>
            </w:r>
          </w:p>
        </w:tc>
        <w:tc>
          <w:tcPr>
            <w:tcW w:w="394" w:type="pct"/>
            <w:shd w:val="clear" w:color="auto" w:fill="auto"/>
            <w:noWrap/>
            <w:vAlign w:val="center"/>
          </w:tcPr>
          <w:p>
            <w:pPr>
              <w:jc w:val="center"/>
              <w:rPr>
                <w:sz w:val="21"/>
                <w:szCs w:val="21"/>
                <w:highlight w:val="none"/>
              </w:rPr>
            </w:pPr>
            <w:r>
              <w:rPr>
                <w:sz w:val="21"/>
                <w:szCs w:val="21"/>
                <w:highlight w:val="none"/>
              </w:rPr>
              <w:t>个</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1500</w:t>
            </w:r>
          </w:p>
        </w:tc>
        <w:tc>
          <w:tcPr>
            <w:tcW w:w="629" w:type="pct"/>
            <w:shd w:val="clear" w:color="auto" w:fill="auto"/>
            <w:noWrap/>
            <w:vAlign w:val="center"/>
          </w:tcPr>
          <w:p>
            <w:pPr>
              <w:jc w:val="center"/>
              <w:rPr>
                <w:sz w:val="22"/>
                <w:szCs w:val="22"/>
                <w:highlight w:val="none"/>
              </w:rPr>
            </w:pPr>
            <w:r>
              <w:rPr>
                <w:sz w:val="22"/>
                <w:szCs w:val="22"/>
                <w:highlight w:val="none"/>
              </w:rPr>
              <w:t>4500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1.10</w:t>
            </w:r>
          </w:p>
        </w:tc>
        <w:tc>
          <w:tcPr>
            <w:tcW w:w="1857" w:type="pct"/>
            <w:shd w:val="clear" w:color="auto" w:fill="auto"/>
            <w:noWrap/>
            <w:vAlign w:val="center"/>
          </w:tcPr>
          <w:p>
            <w:pPr>
              <w:rPr>
                <w:spacing w:val="-20"/>
                <w:sz w:val="22"/>
                <w:szCs w:val="22"/>
                <w:highlight w:val="none"/>
              </w:rPr>
            </w:pPr>
            <w:r>
              <w:rPr>
                <w:spacing w:val="-20"/>
                <w:sz w:val="22"/>
                <w:szCs w:val="22"/>
                <w:highlight w:val="none"/>
              </w:rPr>
              <w:t>水泥墩（按厂家提供尺寸）</w:t>
            </w:r>
          </w:p>
        </w:tc>
        <w:tc>
          <w:tcPr>
            <w:tcW w:w="394" w:type="pct"/>
            <w:shd w:val="clear" w:color="auto" w:fill="auto"/>
            <w:noWrap/>
            <w:vAlign w:val="center"/>
          </w:tcPr>
          <w:p>
            <w:pPr>
              <w:jc w:val="center"/>
              <w:rPr>
                <w:sz w:val="21"/>
                <w:szCs w:val="21"/>
                <w:highlight w:val="none"/>
              </w:rPr>
            </w:pPr>
            <w:r>
              <w:rPr>
                <w:sz w:val="21"/>
                <w:szCs w:val="21"/>
                <w:highlight w:val="none"/>
              </w:rPr>
              <w:t>个</w:t>
            </w:r>
          </w:p>
        </w:tc>
        <w:tc>
          <w:tcPr>
            <w:tcW w:w="551" w:type="pct"/>
            <w:shd w:val="clear" w:color="auto" w:fill="auto"/>
            <w:noWrap/>
            <w:vAlign w:val="center"/>
          </w:tcPr>
          <w:p>
            <w:pPr>
              <w:jc w:val="center"/>
              <w:rPr>
                <w:sz w:val="21"/>
                <w:szCs w:val="21"/>
                <w:highlight w:val="none"/>
              </w:rPr>
            </w:pPr>
            <w:r>
              <w:rPr>
                <w:sz w:val="21"/>
                <w:szCs w:val="21"/>
                <w:highlight w:val="none"/>
              </w:rPr>
              <w:t>3</w:t>
            </w:r>
          </w:p>
        </w:tc>
        <w:tc>
          <w:tcPr>
            <w:tcW w:w="551" w:type="pct"/>
            <w:shd w:val="clear" w:color="auto" w:fill="auto"/>
            <w:noWrap/>
            <w:vAlign w:val="center"/>
          </w:tcPr>
          <w:p>
            <w:pPr>
              <w:jc w:val="center"/>
              <w:rPr>
                <w:sz w:val="21"/>
                <w:szCs w:val="21"/>
                <w:highlight w:val="none"/>
              </w:rPr>
            </w:pPr>
            <w:r>
              <w:rPr>
                <w:sz w:val="21"/>
                <w:szCs w:val="21"/>
                <w:highlight w:val="none"/>
              </w:rPr>
              <w:t>2300</w:t>
            </w:r>
          </w:p>
        </w:tc>
        <w:tc>
          <w:tcPr>
            <w:tcW w:w="629" w:type="pct"/>
            <w:shd w:val="clear" w:color="auto" w:fill="auto"/>
            <w:noWrap/>
            <w:vAlign w:val="center"/>
          </w:tcPr>
          <w:p>
            <w:pPr>
              <w:jc w:val="center"/>
              <w:rPr>
                <w:sz w:val="22"/>
                <w:szCs w:val="22"/>
                <w:highlight w:val="none"/>
              </w:rPr>
            </w:pPr>
            <w:r>
              <w:rPr>
                <w:sz w:val="22"/>
                <w:szCs w:val="22"/>
                <w:highlight w:val="none"/>
              </w:rPr>
              <w:t>6900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p>
        </w:tc>
        <w:tc>
          <w:tcPr>
            <w:tcW w:w="1857" w:type="pct"/>
            <w:shd w:val="clear" w:color="auto" w:fill="auto"/>
            <w:noWrap/>
            <w:vAlign w:val="center"/>
          </w:tcPr>
          <w:p>
            <w:pPr>
              <w:rPr>
                <w:sz w:val="22"/>
                <w:szCs w:val="22"/>
                <w:highlight w:val="none"/>
              </w:rPr>
            </w:pPr>
            <w:r>
              <w:rPr>
                <w:sz w:val="22"/>
                <w:szCs w:val="22"/>
                <w:highlight w:val="none"/>
              </w:rPr>
              <w:t>小计</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sz w:val="22"/>
                <w:szCs w:val="22"/>
                <w:highlight w:val="none"/>
              </w:rPr>
            </w:pPr>
            <w:r>
              <w:rPr>
                <w:sz w:val="22"/>
                <w:szCs w:val="22"/>
                <w:highlight w:val="none"/>
              </w:rPr>
              <w:t>148080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b/>
                <w:bCs/>
                <w:sz w:val="21"/>
                <w:szCs w:val="21"/>
                <w:highlight w:val="none"/>
              </w:rPr>
            </w:pPr>
            <w:r>
              <w:rPr>
                <w:rFonts w:hint="eastAsia"/>
                <w:b/>
                <w:bCs/>
                <w:sz w:val="21"/>
                <w:szCs w:val="21"/>
                <w:highlight w:val="none"/>
              </w:rPr>
              <w:t>17.</w:t>
            </w:r>
            <w:r>
              <w:rPr>
                <w:b/>
                <w:bCs/>
                <w:sz w:val="21"/>
                <w:szCs w:val="21"/>
                <w:highlight w:val="none"/>
              </w:rPr>
              <w:t>2</w:t>
            </w:r>
          </w:p>
        </w:tc>
        <w:tc>
          <w:tcPr>
            <w:tcW w:w="1857" w:type="pct"/>
            <w:shd w:val="clear" w:color="auto" w:fill="auto"/>
            <w:noWrap/>
            <w:vAlign w:val="center"/>
          </w:tcPr>
          <w:p>
            <w:pPr>
              <w:rPr>
                <w:b/>
                <w:bCs/>
                <w:spacing w:val="-10"/>
                <w:sz w:val="22"/>
                <w:szCs w:val="22"/>
                <w:highlight w:val="none"/>
              </w:rPr>
            </w:pPr>
            <w:r>
              <w:rPr>
                <w:b/>
                <w:bCs/>
                <w:spacing w:val="-10"/>
                <w:sz w:val="22"/>
                <w:szCs w:val="22"/>
                <w:highlight w:val="none"/>
              </w:rPr>
              <w:t>遥测雨量站（箬 阳、外 畈）</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sz w:val="22"/>
                <w:szCs w:val="22"/>
                <w:highlight w:val="none"/>
              </w:rPr>
            </w:pP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2.1</w:t>
            </w:r>
          </w:p>
        </w:tc>
        <w:tc>
          <w:tcPr>
            <w:tcW w:w="1857" w:type="pct"/>
            <w:shd w:val="clear" w:color="auto" w:fill="auto"/>
            <w:noWrap/>
            <w:vAlign w:val="center"/>
          </w:tcPr>
          <w:p>
            <w:pPr>
              <w:rPr>
                <w:sz w:val="22"/>
                <w:szCs w:val="22"/>
                <w:highlight w:val="none"/>
              </w:rPr>
            </w:pPr>
            <w:r>
              <w:rPr>
                <w:sz w:val="22"/>
                <w:szCs w:val="22"/>
                <w:highlight w:val="none"/>
              </w:rPr>
              <w:t>智能遥测终端机（卫星加GPRS）</w:t>
            </w:r>
          </w:p>
        </w:tc>
        <w:tc>
          <w:tcPr>
            <w:tcW w:w="394" w:type="pct"/>
            <w:shd w:val="clear" w:color="auto" w:fill="auto"/>
            <w:noWrap/>
            <w:vAlign w:val="center"/>
          </w:tcPr>
          <w:p>
            <w:pPr>
              <w:jc w:val="center"/>
              <w:rPr>
                <w:sz w:val="21"/>
                <w:szCs w:val="21"/>
                <w:highlight w:val="none"/>
              </w:rPr>
            </w:pPr>
            <w:r>
              <w:rPr>
                <w:sz w:val="21"/>
                <w:szCs w:val="21"/>
                <w:highlight w:val="none"/>
              </w:rPr>
              <w:t>台</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13440</w:t>
            </w:r>
          </w:p>
        </w:tc>
        <w:tc>
          <w:tcPr>
            <w:tcW w:w="629" w:type="pct"/>
            <w:shd w:val="clear" w:color="auto" w:fill="auto"/>
            <w:noWrap/>
            <w:vAlign w:val="center"/>
          </w:tcPr>
          <w:p>
            <w:pPr>
              <w:jc w:val="center"/>
              <w:rPr>
                <w:sz w:val="22"/>
                <w:szCs w:val="22"/>
                <w:highlight w:val="none"/>
              </w:rPr>
            </w:pPr>
            <w:r>
              <w:rPr>
                <w:sz w:val="22"/>
                <w:szCs w:val="22"/>
                <w:highlight w:val="none"/>
              </w:rPr>
              <w:t>26880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2.2</w:t>
            </w:r>
          </w:p>
        </w:tc>
        <w:tc>
          <w:tcPr>
            <w:tcW w:w="1857" w:type="pct"/>
            <w:shd w:val="clear" w:color="auto" w:fill="auto"/>
            <w:noWrap/>
            <w:vAlign w:val="center"/>
          </w:tcPr>
          <w:p>
            <w:pPr>
              <w:rPr>
                <w:sz w:val="22"/>
                <w:szCs w:val="22"/>
                <w:highlight w:val="none"/>
              </w:rPr>
            </w:pPr>
            <w:r>
              <w:rPr>
                <w:sz w:val="22"/>
                <w:szCs w:val="22"/>
                <w:highlight w:val="none"/>
              </w:rPr>
              <w:t>一体化机箱机箱（全不锈钢喷塑）</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4000</w:t>
            </w:r>
          </w:p>
        </w:tc>
        <w:tc>
          <w:tcPr>
            <w:tcW w:w="629" w:type="pct"/>
            <w:shd w:val="clear" w:color="auto" w:fill="auto"/>
            <w:noWrap/>
            <w:vAlign w:val="center"/>
          </w:tcPr>
          <w:p>
            <w:pPr>
              <w:jc w:val="center"/>
              <w:rPr>
                <w:sz w:val="22"/>
                <w:szCs w:val="22"/>
                <w:highlight w:val="none"/>
              </w:rPr>
            </w:pPr>
            <w:r>
              <w:rPr>
                <w:sz w:val="22"/>
                <w:szCs w:val="22"/>
                <w:highlight w:val="none"/>
              </w:rPr>
              <w:t>8000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2.3</w:t>
            </w:r>
          </w:p>
        </w:tc>
        <w:tc>
          <w:tcPr>
            <w:tcW w:w="1857" w:type="pct"/>
            <w:shd w:val="clear" w:color="auto" w:fill="auto"/>
            <w:noWrap/>
            <w:vAlign w:val="center"/>
          </w:tcPr>
          <w:p>
            <w:pPr>
              <w:rPr>
                <w:sz w:val="22"/>
                <w:szCs w:val="22"/>
                <w:highlight w:val="none"/>
              </w:rPr>
            </w:pPr>
            <w:r>
              <w:rPr>
                <w:sz w:val="22"/>
                <w:szCs w:val="22"/>
                <w:highlight w:val="none"/>
              </w:rPr>
              <w:t>北斗卫星小站（含卫星通讯运行费一年）</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19100</w:t>
            </w:r>
          </w:p>
        </w:tc>
        <w:tc>
          <w:tcPr>
            <w:tcW w:w="629" w:type="pct"/>
            <w:shd w:val="clear" w:color="auto" w:fill="auto"/>
            <w:noWrap/>
            <w:vAlign w:val="center"/>
          </w:tcPr>
          <w:p>
            <w:pPr>
              <w:jc w:val="center"/>
              <w:rPr>
                <w:sz w:val="22"/>
                <w:szCs w:val="22"/>
                <w:highlight w:val="none"/>
              </w:rPr>
            </w:pPr>
            <w:r>
              <w:rPr>
                <w:sz w:val="22"/>
                <w:szCs w:val="22"/>
                <w:highlight w:val="none"/>
              </w:rPr>
              <w:t>38200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2.4</w:t>
            </w:r>
          </w:p>
        </w:tc>
        <w:tc>
          <w:tcPr>
            <w:tcW w:w="1857" w:type="pct"/>
            <w:shd w:val="clear" w:color="auto" w:fill="auto"/>
            <w:noWrap/>
            <w:vAlign w:val="center"/>
          </w:tcPr>
          <w:p>
            <w:pPr>
              <w:rPr>
                <w:sz w:val="22"/>
                <w:szCs w:val="22"/>
                <w:highlight w:val="none"/>
              </w:rPr>
            </w:pPr>
            <w:r>
              <w:rPr>
                <w:sz w:val="22"/>
                <w:szCs w:val="22"/>
                <w:highlight w:val="none"/>
              </w:rPr>
              <w:t>20W太阳能及支架</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1100</w:t>
            </w:r>
          </w:p>
        </w:tc>
        <w:tc>
          <w:tcPr>
            <w:tcW w:w="629" w:type="pct"/>
            <w:shd w:val="clear" w:color="auto" w:fill="auto"/>
            <w:noWrap/>
            <w:vAlign w:val="center"/>
          </w:tcPr>
          <w:p>
            <w:pPr>
              <w:jc w:val="center"/>
              <w:rPr>
                <w:sz w:val="22"/>
                <w:szCs w:val="22"/>
                <w:highlight w:val="none"/>
              </w:rPr>
            </w:pPr>
            <w:r>
              <w:rPr>
                <w:sz w:val="22"/>
                <w:szCs w:val="22"/>
                <w:highlight w:val="none"/>
              </w:rPr>
              <w:t>2200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2.5</w:t>
            </w:r>
          </w:p>
        </w:tc>
        <w:tc>
          <w:tcPr>
            <w:tcW w:w="1857" w:type="pct"/>
            <w:shd w:val="clear" w:color="auto" w:fill="auto"/>
            <w:noWrap/>
            <w:vAlign w:val="center"/>
          </w:tcPr>
          <w:p>
            <w:pPr>
              <w:rPr>
                <w:sz w:val="22"/>
                <w:szCs w:val="22"/>
                <w:highlight w:val="none"/>
              </w:rPr>
            </w:pPr>
            <w:r>
              <w:rPr>
                <w:sz w:val="22"/>
                <w:szCs w:val="22"/>
                <w:highlight w:val="none"/>
              </w:rPr>
              <w:t>全不锈钢雨量计</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3360</w:t>
            </w:r>
          </w:p>
        </w:tc>
        <w:tc>
          <w:tcPr>
            <w:tcW w:w="629" w:type="pct"/>
            <w:shd w:val="clear" w:color="auto" w:fill="auto"/>
            <w:noWrap/>
            <w:vAlign w:val="center"/>
          </w:tcPr>
          <w:p>
            <w:pPr>
              <w:jc w:val="center"/>
              <w:rPr>
                <w:sz w:val="22"/>
                <w:szCs w:val="22"/>
                <w:highlight w:val="none"/>
              </w:rPr>
            </w:pPr>
            <w:r>
              <w:rPr>
                <w:sz w:val="22"/>
                <w:szCs w:val="22"/>
                <w:highlight w:val="none"/>
              </w:rPr>
              <w:t>6720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2.6</w:t>
            </w:r>
          </w:p>
        </w:tc>
        <w:tc>
          <w:tcPr>
            <w:tcW w:w="1857" w:type="pct"/>
            <w:shd w:val="clear" w:color="auto" w:fill="auto"/>
            <w:noWrap/>
            <w:vAlign w:val="center"/>
          </w:tcPr>
          <w:p>
            <w:pPr>
              <w:rPr>
                <w:sz w:val="22"/>
                <w:szCs w:val="22"/>
                <w:highlight w:val="none"/>
              </w:rPr>
            </w:pPr>
            <w:r>
              <w:rPr>
                <w:sz w:val="22"/>
                <w:szCs w:val="22"/>
                <w:highlight w:val="none"/>
              </w:rPr>
              <w:t>充电控制器</w:t>
            </w:r>
          </w:p>
        </w:tc>
        <w:tc>
          <w:tcPr>
            <w:tcW w:w="394" w:type="pct"/>
            <w:shd w:val="clear" w:color="auto" w:fill="auto"/>
            <w:noWrap/>
            <w:vAlign w:val="center"/>
          </w:tcPr>
          <w:p>
            <w:pPr>
              <w:jc w:val="center"/>
              <w:rPr>
                <w:sz w:val="21"/>
                <w:szCs w:val="21"/>
                <w:highlight w:val="none"/>
              </w:rPr>
            </w:pPr>
            <w:r>
              <w:rPr>
                <w:sz w:val="21"/>
                <w:szCs w:val="21"/>
                <w:highlight w:val="none"/>
              </w:rPr>
              <w:t>个</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500</w:t>
            </w:r>
          </w:p>
        </w:tc>
        <w:tc>
          <w:tcPr>
            <w:tcW w:w="629" w:type="pct"/>
            <w:shd w:val="clear" w:color="auto" w:fill="auto"/>
            <w:noWrap/>
            <w:vAlign w:val="center"/>
          </w:tcPr>
          <w:p>
            <w:pPr>
              <w:jc w:val="center"/>
              <w:rPr>
                <w:sz w:val="22"/>
                <w:szCs w:val="22"/>
                <w:highlight w:val="none"/>
              </w:rPr>
            </w:pPr>
            <w:r>
              <w:rPr>
                <w:sz w:val="22"/>
                <w:szCs w:val="22"/>
                <w:highlight w:val="none"/>
              </w:rPr>
              <w:t>1000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2.7</w:t>
            </w:r>
          </w:p>
        </w:tc>
        <w:tc>
          <w:tcPr>
            <w:tcW w:w="1857" w:type="pct"/>
            <w:shd w:val="clear" w:color="auto" w:fill="auto"/>
            <w:noWrap/>
            <w:vAlign w:val="center"/>
          </w:tcPr>
          <w:p>
            <w:pPr>
              <w:rPr>
                <w:sz w:val="22"/>
                <w:szCs w:val="22"/>
                <w:highlight w:val="none"/>
              </w:rPr>
            </w:pPr>
            <w:r>
              <w:rPr>
                <w:sz w:val="22"/>
                <w:szCs w:val="22"/>
                <w:highlight w:val="none"/>
              </w:rPr>
              <w:t>转接线缆</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700</w:t>
            </w:r>
          </w:p>
        </w:tc>
        <w:tc>
          <w:tcPr>
            <w:tcW w:w="629" w:type="pct"/>
            <w:shd w:val="clear" w:color="auto" w:fill="auto"/>
            <w:noWrap/>
            <w:vAlign w:val="center"/>
          </w:tcPr>
          <w:p>
            <w:pPr>
              <w:jc w:val="center"/>
              <w:rPr>
                <w:sz w:val="22"/>
                <w:szCs w:val="22"/>
                <w:highlight w:val="none"/>
              </w:rPr>
            </w:pPr>
            <w:r>
              <w:rPr>
                <w:sz w:val="22"/>
                <w:szCs w:val="22"/>
                <w:highlight w:val="none"/>
              </w:rPr>
              <w:t>1400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2.8</w:t>
            </w:r>
          </w:p>
        </w:tc>
        <w:tc>
          <w:tcPr>
            <w:tcW w:w="1857" w:type="pct"/>
            <w:shd w:val="clear" w:color="auto" w:fill="auto"/>
            <w:noWrap/>
            <w:vAlign w:val="center"/>
          </w:tcPr>
          <w:p>
            <w:pPr>
              <w:rPr>
                <w:sz w:val="22"/>
                <w:szCs w:val="22"/>
                <w:highlight w:val="none"/>
              </w:rPr>
            </w:pPr>
            <w:r>
              <w:rPr>
                <w:sz w:val="22"/>
                <w:szCs w:val="22"/>
                <w:highlight w:val="none"/>
              </w:rPr>
              <w:t>12V65AH免维护电池</w:t>
            </w:r>
          </w:p>
        </w:tc>
        <w:tc>
          <w:tcPr>
            <w:tcW w:w="394" w:type="pct"/>
            <w:shd w:val="clear" w:color="auto" w:fill="auto"/>
            <w:noWrap/>
            <w:vAlign w:val="center"/>
          </w:tcPr>
          <w:p>
            <w:pPr>
              <w:jc w:val="center"/>
              <w:rPr>
                <w:sz w:val="21"/>
                <w:szCs w:val="21"/>
                <w:highlight w:val="none"/>
              </w:rPr>
            </w:pPr>
            <w:r>
              <w:rPr>
                <w:sz w:val="21"/>
                <w:szCs w:val="21"/>
                <w:highlight w:val="none"/>
              </w:rPr>
              <w:t>个</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1500</w:t>
            </w:r>
          </w:p>
        </w:tc>
        <w:tc>
          <w:tcPr>
            <w:tcW w:w="629" w:type="pct"/>
            <w:shd w:val="clear" w:color="auto" w:fill="auto"/>
            <w:noWrap/>
            <w:vAlign w:val="center"/>
          </w:tcPr>
          <w:p>
            <w:pPr>
              <w:jc w:val="center"/>
              <w:rPr>
                <w:sz w:val="22"/>
                <w:szCs w:val="22"/>
                <w:highlight w:val="none"/>
              </w:rPr>
            </w:pPr>
            <w:r>
              <w:rPr>
                <w:sz w:val="22"/>
                <w:szCs w:val="22"/>
                <w:highlight w:val="none"/>
              </w:rPr>
              <w:t>3000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2.9</w:t>
            </w:r>
          </w:p>
        </w:tc>
        <w:tc>
          <w:tcPr>
            <w:tcW w:w="1857" w:type="pct"/>
            <w:shd w:val="clear" w:color="auto" w:fill="auto"/>
            <w:noWrap/>
            <w:vAlign w:val="center"/>
          </w:tcPr>
          <w:p>
            <w:pPr>
              <w:rPr>
                <w:spacing w:val="-10"/>
                <w:sz w:val="22"/>
                <w:szCs w:val="22"/>
                <w:highlight w:val="none"/>
              </w:rPr>
            </w:pPr>
            <w:r>
              <w:rPr>
                <w:spacing w:val="-10"/>
                <w:sz w:val="22"/>
                <w:szCs w:val="22"/>
                <w:highlight w:val="none"/>
              </w:rPr>
              <w:t>水泥墩（按厂家提供尺寸）</w:t>
            </w:r>
          </w:p>
        </w:tc>
        <w:tc>
          <w:tcPr>
            <w:tcW w:w="394" w:type="pct"/>
            <w:shd w:val="clear" w:color="auto" w:fill="auto"/>
            <w:noWrap/>
            <w:vAlign w:val="center"/>
          </w:tcPr>
          <w:p>
            <w:pPr>
              <w:jc w:val="center"/>
              <w:rPr>
                <w:sz w:val="21"/>
                <w:szCs w:val="21"/>
                <w:highlight w:val="none"/>
              </w:rPr>
            </w:pPr>
            <w:r>
              <w:rPr>
                <w:sz w:val="21"/>
                <w:szCs w:val="21"/>
                <w:highlight w:val="none"/>
              </w:rPr>
              <w:t>个</w:t>
            </w:r>
          </w:p>
        </w:tc>
        <w:tc>
          <w:tcPr>
            <w:tcW w:w="551" w:type="pct"/>
            <w:shd w:val="clear" w:color="auto" w:fill="auto"/>
            <w:vAlign w:val="center"/>
          </w:tcPr>
          <w:p>
            <w:pPr>
              <w:jc w:val="center"/>
              <w:rPr>
                <w:sz w:val="18"/>
                <w:szCs w:val="18"/>
                <w:highlight w:val="none"/>
              </w:rPr>
            </w:pPr>
            <w:r>
              <w:rPr>
                <w:sz w:val="18"/>
                <w:szCs w:val="18"/>
                <w:highlight w:val="none"/>
              </w:rPr>
              <w:t>2</w:t>
            </w:r>
          </w:p>
        </w:tc>
        <w:tc>
          <w:tcPr>
            <w:tcW w:w="551" w:type="pct"/>
            <w:shd w:val="clear" w:color="auto" w:fill="auto"/>
            <w:noWrap/>
            <w:vAlign w:val="center"/>
          </w:tcPr>
          <w:p>
            <w:pPr>
              <w:jc w:val="center"/>
              <w:rPr>
                <w:sz w:val="21"/>
                <w:szCs w:val="21"/>
                <w:highlight w:val="none"/>
              </w:rPr>
            </w:pPr>
            <w:r>
              <w:rPr>
                <w:sz w:val="21"/>
                <w:szCs w:val="21"/>
                <w:highlight w:val="none"/>
              </w:rPr>
              <w:t>2300</w:t>
            </w:r>
          </w:p>
        </w:tc>
        <w:tc>
          <w:tcPr>
            <w:tcW w:w="629" w:type="pct"/>
            <w:shd w:val="clear" w:color="auto" w:fill="auto"/>
            <w:noWrap/>
            <w:vAlign w:val="center"/>
          </w:tcPr>
          <w:p>
            <w:pPr>
              <w:jc w:val="center"/>
              <w:rPr>
                <w:sz w:val="22"/>
                <w:szCs w:val="22"/>
                <w:highlight w:val="none"/>
              </w:rPr>
            </w:pPr>
            <w:r>
              <w:rPr>
                <w:sz w:val="22"/>
                <w:szCs w:val="22"/>
                <w:highlight w:val="none"/>
              </w:rPr>
              <w:t>4600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p>
        </w:tc>
        <w:tc>
          <w:tcPr>
            <w:tcW w:w="1857" w:type="pct"/>
            <w:shd w:val="clear" w:color="auto" w:fill="auto"/>
            <w:noWrap/>
            <w:vAlign w:val="center"/>
          </w:tcPr>
          <w:p>
            <w:pPr>
              <w:rPr>
                <w:sz w:val="22"/>
                <w:szCs w:val="22"/>
                <w:highlight w:val="none"/>
              </w:rPr>
            </w:pPr>
            <w:r>
              <w:rPr>
                <w:sz w:val="22"/>
                <w:szCs w:val="22"/>
                <w:highlight w:val="none"/>
              </w:rPr>
              <w:t>小计</w:t>
            </w:r>
          </w:p>
        </w:tc>
        <w:tc>
          <w:tcPr>
            <w:tcW w:w="394" w:type="pct"/>
            <w:shd w:val="clear" w:color="auto" w:fill="auto"/>
            <w:noWrap/>
            <w:vAlign w:val="center"/>
          </w:tcPr>
          <w:p>
            <w:pPr>
              <w:jc w:val="center"/>
              <w:rPr>
                <w:sz w:val="21"/>
                <w:szCs w:val="21"/>
                <w:highlight w:val="none"/>
              </w:rPr>
            </w:pPr>
          </w:p>
        </w:tc>
        <w:tc>
          <w:tcPr>
            <w:tcW w:w="551" w:type="pct"/>
            <w:shd w:val="clear" w:color="auto" w:fill="auto"/>
            <w:vAlign w:val="center"/>
          </w:tcPr>
          <w:p>
            <w:pPr>
              <w:jc w:val="center"/>
              <w:rPr>
                <w:sz w:val="18"/>
                <w:szCs w:val="18"/>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sz w:val="22"/>
                <w:szCs w:val="22"/>
                <w:highlight w:val="none"/>
              </w:rPr>
            </w:pPr>
            <w:r>
              <w:rPr>
                <w:sz w:val="22"/>
                <w:szCs w:val="22"/>
                <w:highlight w:val="none"/>
              </w:rPr>
              <w:t>92000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b/>
                <w:bCs/>
                <w:sz w:val="21"/>
                <w:szCs w:val="21"/>
                <w:highlight w:val="none"/>
              </w:rPr>
            </w:pPr>
            <w:r>
              <w:rPr>
                <w:rFonts w:hint="eastAsia"/>
                <w:b/>
                <w:bCs/>
                <w:sz w:val="21"/>
                <w:szCs w:val="21"/>
                <w:highlight w:val="none"/>
              </w:rPr>
              <w:t>17.</w:t>
            </w:r>
            <w:r>
              <w:rPr>
                <w:b/>
                <w:bCs/>
                <w:sz w:val="21"/>
                <w:szCs w:val="21"/>
                <w:highlight w:val="none"/>
              </w:rPr>
              <w:t>3</w:t>
            </w:r>
          </w:p>
        </w:tc>
        <w:tc>
          <w:tcPr>
            <w:tcW w:w="1857" w:type="pct"/>
            <w:shd w:val="clear" w:color="auto" w:fill="auto"/>
            <w:noWrap/>
            <w:vAlign w:val="center"/>
          </w:tcPr>
          <w:p>
            <w:pPr>
              <w:rPr>
                <w:b/>
                <w:bCs/>
                <w:sz w:val="22"/>
                <w:szCs w:val="22"/>
                <w:highlight w:val="none"/>
              </w:rPr>
            </w:pPr>
            <w:r>
              <w:rPr>
                <w:b/>
                <w:bCs/>
                <w:sz w:val="22"/>
                <w:szCs w:val="22"/>
                <w:highlight w:val="none"/>
              </w:rPr>
              <w:t>中心站（中心机房）</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sz w:val="22"/>
                <w:szCs w:val="22"/>
                <w:highlight w:val="none"/>
              </w:rPr>
            </w:pP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3.1</w:t>
            </w:r>
          </w:p>
        </w:tc>
        <w:tc>
          <w:tcPr>
            <w:tcW w:w="1857" w:type="pct"/>
            <w:shd w:val="clear" w:color="auto" w:fill="auto"/>
            <w:noWrap/>
            <w:vAlign w:val="center"/>
          </w:tcPr>
          <w:p>
            <w:pPr>
              <w:rPr>
                <w:sz w:val="22"/>
                <w:szCs w:val="22"/>
                <w:highlight w:val="none"/>
              </w:rPr>
            </w:pPr>
            <w:r>
              <w:rPr>
                <w:sz w:val="22"/>
                <w:szCs w:val="22"/>
                <w:highlight w:val="none"/>
              </w:rPr>
              <w:t>采集软件并发告警短信、查询软件、数据结构定制</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196000</w:t>
            </w:r>
          </w:p>
        </w:tc>
        <w:tc>
          <w:tcPr>
            <w:tcW w:w="629" w:type="pct"/>
            <w:shd w:val="clear" w:color="auto" w:fill="auto"/>
            <w:noWrap/>
            <w:vAlign w:val="center"/>
          </w:tcPr>
          <w:p>
            <w:pPr>
              <w:jc w:val="center"/>
              <w:rPr>
                <w:sz w:val="22"/>
                <w:szCs w:val="22"/>
                <w:highlight w:val="none"/>
              </w:rPr>
            </w:pPr>
            <w:r>
              <w:rPr>
                <w:sz w:val="22"/>
                <w:szCs w:val="22"/>
                <w:highlight w:val="none"/>
              </w:rPr>
              <w:t>196000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3.5</w:t>
            </w:r>
          </w:p>
        </w:tc>
        <w:tc>
          <w:tcPr>
            <w:tcW w:w="1857" w:type="pct"/>
            <w:shd w:val="clear" w:color="auto" w:fill="auto"/>
            <w:noWrap/>
            <w:vAlign w:val="center"/>
          </w:tcPr>
          <w:p>
            <w:pPr>
              <w:rPr>
                <w:sz w:val="22"/>
                <w:szCs w:val="22"/>
                <w:highlight w:val="none"/>
              </w:rPr>
            </w:pPr>
            <w:r>
              <w:rPr>
                <w:sz w:val="22"/>
                <w:szCs w:val="22"/>
                <w:highlight w:val="none"/>
              </w:rPr>
              <w:t>发短信模块</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1200</w:t>
            </w:r>
          </w:p>
        </w:tc>
        <w:tc>
          <w:tcPr>
            <w:tcW w:w="629" w:type="pct"/>
            <w:shd w:val="clear" w:color="auto" w:fill="auto"/>
            <w:noWrap/>
            <w:vAlign w:val="center"/>
          </w:tcPr>
          <w:p>
            <w:pPr>
              <w:jc w:val="center"/>
              <w:rPr>
                <w:sz w:val="22"/>
                <w:szCs w:val="22"/>
                <w:highlight w:val="none"/>
              </w:rPr>
            </w:pPr>
            <w:r>
              <w:rPr>
                <w:sz w:val="22"/>
                <w:szCs w:val="22"/>
                <w:highlight w:val="none"/>
              </w:rPr>
              <w:t>1200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3.6</w:t>
            </w:r>
          </w:p>
        </w:tc>
        <w:tc>
          <w:tcPr>
            <w:tcW w:w="1857" w:type="pct"/>
            <w:shd w:val="clear" w:color="auto" w:fill="auto"/>
            <w:noWrap/>
            <w:vAlign w:val="center"/>
          </w:tcPr>
          <w:p>
            <w:pPr>
              <w:rPr>
                <w:spacing w:val="-14"/>
                <w:sz w:val="22"/>
                <w:szCs w:val="22"/>
                <w:highlight w:val="none"/>
              </w:rPr>
            </w:pPr>
            <w:r>
              <w:rPr>
                <w:spacing w:val="-14"/>
                <w:sz w:val="22"/>
                <w:szCs w:val="22"/>
                <w:highlight w:val="none"/>
              </w:rPr>
              <w:t>北斗卫星小站（中心站接收卫星数据）</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19100</w:t>
            </w:r>
          </w:p>
        </w:tc>
        <w:tc>
          <w:tcPr>
            <w:tcW w:w="629" w:type="pct"/>
            <w:shd w:val="clear" w:color="auto" w:fill="auto"/>
            <w:noWrap/>
            <w:vAlign w:val="center"/>
          </w:tcPr>
          <w:p>
            <w:pPr>
              <w:jc w:val="center"/>
              <w:rPr>
                <w:sz w:val="22"/>
                <w:szCs w:val="22"/>
                <w:highlight w:val="none"/>
              </w:rPr>
            </w:pPr>
            <w:r>
              <w:rPr>
                <w:sz w:val="22"/>
                <w:szCs w:val="22"/>
                <w:highlight w:val="none"/>
              </w:rPr>
              <w:t>19100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3.7</w:t>
            </w:r>
          </w:p>
        </w:tc>
        <w:tc>
          <w:tcPr>
            <w:tcW w:w="1857" w:type="pct"/>
            <w:shd w:val="clear" w:color="auto" w:fill="auto"/>
            <w:noWrap/>
            <w:vAlign w:val="center"/>
          </w:tcPr>
          <w:p>
            <w:pPr>
              <w:rPr>
                <w:sz w:val="22"/>
                <w:szCs w:val="22"/>
                <w:highlight w:val="none"/>
              </w:rPr>
            </w:pPr>
            <w:r>
              <w:rPr>
                <w:sz w:val="22"/>
                <w:szCs w:val="22"/>
                <w:highlight w:val="none"/>
              </w:rPr>
              <w:t xml:space="preserve">MOX串口卡 </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1700</w:t>
            </w:r>
          </w:p>
        </w:tc>
        <w:tc>
          <w:tcPr>
            <w:tcW w:w="629" w:type="pct"/>
            <w:shd w:val="clear" w:color="auto" w:fill="auto"/>
            <w:noWrap/>
            <w:vAlign w:val="center"/>
          </w:tcPr>
          <w:p>
            <w:pPr>
              <w:jc w:val="center"/>
              <w:rPr>
                <w:sz w:val="22"/>
                <w:szCs w:val="22"/>
                <w:highlight w:val="none"/>
              </w:rPr>
            </w:pPr>
            <w:r>
              <w:rPr>
                <w:sz w:val="22"/>
                <w:szCs w:val="22"/>
                <w:highlight w:val="none"/>
              </w:rPr>
              <w:t>1700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3.8</w:t>
            </w:r>
          </w:p>
        </w:tc>
        <w:tc>
          <w:tcPr>
            <w:tcW w:w="1857" w:type="pct"/>
            <w:shd w:val="clear" w:color="auto" w:fill="auto"/>
            <w:noWrap/>
            <w:vAlign w:val="center"/>
          </w:tcPr>
          <w:p>
            <w:pPr>
              <w:rPr>
                <w:sz w:val="22"/>
                <w:szCs w:val="22"/>
                <w:highlight w:val="none"/>
              </w:rPr>
            </w:pPr>
            <w:r>
              <w:rPr>
                <w:sz w:val="22"/>
                <w:szCs w:val="22"/>
                <w:highlight w:val="none"/>
              </w:rPr>
              <w:t>稳压源</w:t>
            </w:r>
          </w:p>
        </w:tc>
        <w:tc>
          <w:tcPr>
            <w:tcW w:w="394" w:type="pct"/>
            <w:shd w:val="clear" w:color="auto" w:fill="auto"/>
            <w:noWrap/>
            <w:vAlign w:val="center"/>
          </w:tcPr>
          <w:p>
            <w:pPr>
              <w:jc w:val="center"/>
              <w:rPr>
                <w:sz w:val="21"/>
                <w:szCs w:val="21"/>
                <w:highlight w:val="none"/>
              </w:rPr>
            </w:pPr>
            <w:r>
              <w:rPr>
                <w:sz w:val="21"/>
                <w:szCs w:val="21"/>
                <w:highlight w:val="none"/>
              </w:rPr>
              <w:t>个</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1220</w:t>
            </w:r>
          </w:p>
        </w:tc>
        <w:tc>
          <w:tcPr>
            <w:tcW w:w="629" w:type="pct"/>
            <w:shd w:val="clear" w:color="auto" w:fill="auto"/>
            <w:noWrap/>
            <w:vAlign w:val="center"/>
          </w:tcPr>
          <w:p>
            <w:pPr>
              <w:jc w:val="center"/>
              <w:rPr>
                <w:sz w:val="22"/>
                <w:szCs w:val="22"/>
                <w:highlight w:val="none"/>
              </w:rPr>
            </w:pPr>
            <w:r>
              <w:rPr>
                <w:sz w:val="22"/>
                <w:szCs w:val="22"/>
                <w:highlight w:val="none"/>
              </w:rPr>
              <w:t>1220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3.9</w:t>
            </w:r>
          </w:p>
        </w:tc>
        <w:tc>
          <w:tcPr>
            <w:tcW w:w="1857" w:type="pct"/>
            <w:shd w:val="clear" w:color="auto" w:fill="auto"/>
            <w:noWrap/>
            <w:vAlign w:val="center"/>
          </w:tcPr>
          <w:p>
            <w:pPr>
              <w:rPr>
                <w:sz w:val="22"/>
                <w:szCs w:val="22"/>
                <w:highlight w:val="none"/>
              </w:rPr>
            </w:pPr>
            <w:r>
              <w:rPr>
                <w:spacing w:val="-10"/>
                <w:sz w:val="22"/>
                <w:szCs w:val="22"/>
                <w:highlight w:val="none"/>
              </w:rPr>
              <w:t>微软正版操作系统2012版</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6000</w:t>
            </w:r>
          </w:p>
        </w:tc>
        <w:tc>
          <w:tcPr>
            <w:tcW w:w="629" w:type="pct"/>
            <w:shd w:val="clear" w:color="auto" w:fill="auto"/>
            <w:noWrap/>
            <w:vAlign w:val="center"/>
          </w:tcPr>
          <w:p>
            <w:pPr>
              <w:jc w:val="center"/>
              <w:rPr>
                <w:sz w:val="22"/>
                <w:szCs w:val="22"/>
                <w:highlight w:val="none"/>
              </w:rPr>
            </w:pPr>
            <w:r>
              <w:rPr>
                <w:sz w:val="22"/>
                <w:szCs w:val="22"/>
                <w:highlight w:val="none"/>
              </w:rPr>
              <w:t>6000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3.10</w:t>
            </w:r>
          </w:p>
        </w:tc>
        <w:tc>
          <w:tcPr>
            <w:tcW w:w="1857" w:type="pct"/>
            <w:shd w:val="clear" w:color="auto" w:fill="auto"/>
            <w:noWrap/>
            <w:vAlign w:val="center"/>
          </w:tcPr>
          <w:p>
            <w:pPr>
              <w:rPr>
                <w:sz w:val="22"/>
                <w:szCs w:val="22"/>
                <w:highlight w:val="none"/>
              </w:rPr>
            </w:pPr>
            <w:r>
              <w:rPr>
                <w:sz w:val="22"/>
                <w:szCs w:val="22"/>
                <w:highlight w:val="none"/>
              </w:rPr>
              <w:t>DELL服务器</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28000</w:t>
            </w:r>
          </w:p>
        </w:tc>
        <w:tc>
          <w:tcPr>
            <w:tcW w:w="629" w:type="pct"/>
            <w:shd w:val="clear" w:color="auto" w:fill="auto"/>
            <w:noWrap/>
            <w:vAlign w:val="center"/>
          </w:tcPr>
          <w:p>
            <w:pPr>
              <w:jc w:val="center"/>
              <w:rPr>
                <w:sz w:val="22"/>
                <w:szCs w:val="22"/>
                <w:highlight w:val="none"/>
              </w:rPr>
            </w:pPr>
            <w:r>
              <w:rPr>
                <w:sz w:val="22"/>
                <w:szCs w:val="22"/>
                <w:highlight w:val="none"/>
              </w:rPr>
              <w:t>28000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r>
              <w:rPr>
                <w:rFonts w:hint="eastAsia"/>
                <w:sz w:val="21"/>
                <w:szCs w:val="21"/>
                <w:highlight w:val="none"/>
              </w:rPr>
              <w:t>17.</w:t>
            </w:r>
            <w:r>
              <w:rPr>
                <w:sz w:val="21"/>
                <w:szCs w:val="21"/>
                <w:highlight w:val="none"/>
              </w:rPr>
              <w:t>3.11</w:t>
            </w:r>
          </w:p>
        </w:tc>
        <w:tc>
          <w:tcPr>
            <w:tcW w:w="1857" w:type="pct"/>
            <w:shd w:val="clear" w:color="auto" w:fill="auto"/>
            <w:noWrap/>
            <w:vAlign w:val="center"/>
          </w:tcPr>
          <w:p>
            <w:pPr>
              <w:rPr>
                <w:sz w:val="22"/>
                <w:szCs w:val="22"/>
                <w:highlight w:val="none"/>
              </w:rPr>
            </w:pPr>
            <w:r>
              <w:rPr>
                <w:sz w:val="22"/>
                <w:szCs w:val="22"/>
                <w:highlight w:val="none"/>
              </w:rPr>
              <w:t>SQL Server数据库正版</w:t>
            </w:r>
          </w:p>
        </w:tc>
        <w:tc>
          <w:tcPr>
            <w:tcW w:w="394" w:type="pct"/>
            <w:shd w:val="clear" w:color="auto" w:fill="auto"/>
            <w:noWrap/>
            <w:vAlign w:val="center"/>
          </w:tcPr>
          <w:p>
            <w:pPr>
              <w:jc w:val="center"/>
              <w:rPr>
                <w:sz w:val="21"/>
                <w:szCs w:val="21"/>
                <w:highlight w:val="none"/>
              </w:rPr>
            </w:pPr>
            <w:r>
              <w:rPr>
                <w:sz w:val="21"/>
                <w:szCs w:val="21"/>
                <w:highlight w:val="none"/>
              </w:rPr>
              <w:t>套</w:t>
            </w:r>
          </w:p>
        </w:tc>
        <w:tc>
          <w:tcPr>
            <w:tcW w:w="551" w:type="pct"/>
            <w:shd w:val="clear" w:color="auto" w:fill="auto"/>
            <w:noWrap/>
            <w:vAlign w:val="center"/>
          </w:tcPr>
          <w:p>
            <w:pPr>
              <w:jc w:val="center"/>
              <w:rPr>
                <w:sz w:val="21"/>
                <w:szCs w:val="21"/>
                <w:highlight w:val="none"/>
              </w:rPr>
            </w:pPr>
            <w:r>
              <w:rPr>
                <w:sz w:val="21"/>
                <w:szCs w:val="21"/>
                <w:highlight w:val="none"/>
              </w:rPr>
              <w:t>1</w:t>
            </w:r>
          </w:p>
        </w:tc>
        <w:tc>
          <w:tcPr>
            <w:tcW w:w="551" w:type="pct"/>
            <w:shd w:val="clear" w:color="auto" w:fill="auto"/>
            <w:noWrap/>
            <w:vAlign w:val="center"/>
          </w:tcPr>
          <w:p>
            <w:pPr>
              <w:jc w:val="center"/>
              <w:rPr>
                <w:sz w:val="21"/>
                <w:szCs w:val="21"/>
                <w:highlight w:val="none"/>
              </w:rPr>
            </w:pPr>
            <w:r>
              <w:rPr>
                <w:sz w:val="21"/>
                <w:szCs w:val="21"/>
                <w:highlight w:val="none"/>
              </w:rPr>
              <w:t>4400</w:t>
            </w:r>
          </w:p>
        </w:tc>
        <w:tc>
          <w:tcPr>
            <w:tcW w:w="629" w:type="pct"/>
            <w:shd w:val="clear" w:color="auto" w:fill="auto"/>
            <w:noWrap/>
            <w:vAlign w:val="center"/>
          </w:tcPr>
          <w:p>
            <w:pPr>
              <w:jc w:val="center"/>
              <w:rPr>
                <w:sz w:val="22"/>
                <w:szCs w:val="22"/>
                <w:highlight w:val="none"/>
              </w:rPr>
            </w:pPr>
            <w:r>
              <w:rPr>
                <w:sz w:val="22"/>
                <w:szCs w:val="22"/>
                <w:highlight w:val="none"/>
              </w:rPr>
              <w:t>4400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p>
        </w:tc>
        <w:tc>
          <w:tcPr>
            <w:tcW w:w="1857" w:type="pct"/>
            <w:shd w:val="clear" w:color="auto" w:fill="auto"/>
            <w:noWrap/>
            <w:vAlign w:val="center"/>
          </w:tcPr>
          <w:p>
            <w:pPr>
              <w:rPr>
                <w:sz w:val="22"/>
                <w:szCs w:val="22"/>
                <w:highlight w:val="none"/>
              </w:rPr>
            </w:pPr>
            <w:r>
              <w:rPr>
                <w:sz w:val="22"/>
                <w:szCs w:val="22"/>
                <w:highlight w:val="none"/>
              </w:rPr>
              <w:t>小计</w:t>
            </w: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sz w:val="22"/>
                <w:szCs w:val="22"/>
                <w:highlight w:val="none"/>
              </w:rPr>
            </w:pPr>
            <w:r>
              <w:rPr>
                <w:sz w:val="22"/>
                <w:szCs w:val="22"/>
                <w:highlight w:val="none"/>
              </w:rPr>
              <w:t>257620</w:t>
            </w:r>
          </w:p>
        </w:tc>
        <w:tc>
          <w:tcPr>
            <w:tcW w:w="586" w:type="pct"/>
            <w:shd w:val="clear" w:color="auto" w:fill="auto"/>
            <w:noWrap/>
            <w:vAlign w:val="center"/>
          </w:tcPr>
          <w:p>
            <w:pPr>
              <w:jc w:val="center"/>
              <w:rPr>
                <w:b/>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pPr>
              <w:jc w:val="center"/>
              <w:rPr>
                <w:sz w:val="21"/>
                <w:szCs w:val="21"/>
                <w:highlight w:val="none"/>
              </w:rPr>
            </w:pPr>
          </w:p>
        </w:tc>
        <w:tc>
          <w:tcPr>
            <w:tcW w:w="1857" w:type="pct"/>
            <w:shd w:val="clear" w:color="auto" w:fill="auto"/>
            <w:noWrap/>
            <w:vAlign w:val="center"/>
          </w:tcPr>
          <w:p>
            <w:pPr>
              <w:rPr>
                <w:sz w:val="22"/>
                <w:szCs w:val="22"/>
                <w:highlight w:val="none"/>
              </w:rPr>
            </w:pPr>
          </w:p>
        </w:tc>
        <w:tc>
          <w:tcPr>
            <w:tcW w:w="394"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551" w:type="pct"/>
            <w:shd w:val="clear" w:color="auto" w:fill="auto"/>
            <w:noWrap/>
            <w:vAlign w:val="center"/>
          </w:tcPr>
          <w:p>
            <w:pPr>
              <w:jc w:val="center"/>
              <w:rPr>
                <w:sz w:val="21"/>
                <w:szCs w:val="21"/>
                <w:highlight w:val="none"/>
              </w:rPr>
            </w:pPr>
          </w:p>
        </w:tc>
        <w:tc>
          <w:tcPr>
            <w:tcW w:w="629" w:type="pct"/>
            <w:shd w:val="clear" w:color="auto" w:fill="auto"/>
            <w:noWrap/>
            <w:vAlign w:val="center"/>
          </w:tcPr>
          <w:p>
            <w:pPr>
              <w:jc w:val="center"/>
              <w:rPr>
                <w:b/>
                <w:bCs/>
                <w:sz w:val="22"/>
                <w:szCs w:val="22"/>
                <w:highlight w:val="none"/>
              </w:rPr>
            </w:pPr>
            <w:r>
              <w:rPr>
                <w:b/>
                <w:bCs/>
                <w:sz w:val="22"/>
                <w:szCs w:val="22"/>
                <w:highlight w:val="none"/>
              </w:rPr>
              <w:t>497700</w:t>
            </w:r>
          </w:p>
        </w:tc>
        <w:tc>
          <w:tcPr>
            <w:tcW w:w="586" w:type="pct"/>
            <w:shd w:val="clear" w:color="auto" w:fill="auto"/>
            <w:noWrap/>
            <w:vAlign w:val="center"/>
          </w:tcPr>
          <w:p>
            <w:pPr>
              <w:jc w:val="center"/>
              <w:rPr>
                <w:sz w:val="22"/>
                <w:szCs w:val="22"/>
                <w:highlight w:val="none"/>
              </w:rPr>
            </w:pPr>
          </w:p>
        </w:tc>
      </w:tr>
    </w:tbl>
    <w:p>
      <w:pPr>
        <w:pStyle w:val="2"/>
        <w:ind w:left="480" w:firstLine="482"/>
        <w:rPr>
          <w:b/>
          <w:bCs/>
        </w:rPr>
      </w:pPr>
    </w:p>
    <w:p>
      <w:pPr>
        <w:pStyle w:val="2"/>
        <w:ind w:left="480" w:firstLine="442"/>
        <w:rPr>
          <w:rFonts w:ascii="宋体" w:hAnsi="宋体" w:cs="宋体"/>
          <w:b/>
          <w:bCs/>
          <w:color w:val="auto"/>
          <w:sz w:val="22"/>
          <w:szCs w:val="22"/>
          <w:highlight w:val="none"/>
        </w:rPr>
      </w:pPr>
      <w:r>
        <w:rPr>
          <w:rFonts w:ascii="宋体" w:hAnsi="宋体" w:cs="宋体"/>
          <w:b/>
          <w:bCs/>
          <w:color w:val="auto"/>
          <w:sz w:val="22"/>
          <w:szCs w:val="22"/>
          <w:highlight w:val="none"/>
        </w:rPr>
        <w:t>安地渠道</w:t>
      </w:r>
      <w:r>
        <w:rPr>
          <w:rFonts w:hint="eastAsia" w:ascii="宋体" w:hAnsi="宋体" w:cs="宋体"/>
          <w:b/>
          <w:bCs/>
          <w:color w:val="auto"/>
          <w:sz w:val="22"/>
          <w:szCs w:val="22"/>
          <w:highlight w:val="none"/>
        </w:rPr>
        <w:t>实施明细</w:t>
      </w:r>
    </w:p>
    <w:tbl>
      <w:tblPr>
        <w:tblStyle w:val="36"/>
        <w:tblW w:w="5301" w:type="pct"/>
        <w:tblInd w:w="-52" w:type="dxa"/>
        <w:tblLayout w:type="fixed"/>
        <w:tblCellMar>
          <w:top w:w="0" w:type="dxa"/>
          <w:left w:w="108" w:type="dxa"/>
          <w:bottom w:w="0" w:type="dxa"/>
          <w:right w:w="108" w:type="dxa"/>
        </w:tblCellMar>
      </w:tblPr>
      <w:tblGrid>
        <w:gridCol w:w="834"/>
        <w:gridCol w:w="3035"/>
        <w:gridCol w:w="531"/>
        <w:gridCol w:w="781"/>
        <w:gridCol w:w="1120"/>
        <w:gridCol w:w="1440"/>
        <w:gridCol w:w="2232"/>
      </w:tblGrid>
      <w:tr>
        <w:tblPrEx>
          <w:tblCellMar>
            <w:top w:w="0" w:type="dxa"/>
            <w:left w:w="108" w:type="dxa"/>
            <w:bottom w:w="0" w:type="dxa"/>
            <w:right w:w="108" w:type="dxa"/>
          </w:tblCellMar>
        </w:tblPrEx>
        <w:trPr>
          <w:trHeight w:val="66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序号</w:t>
            </w:r>
          </w:p>
        </w:tc>
        <w:tc>
          <w:tcPr>
            <w:tcW w:w="152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项目名称</w:t>
            </w:r>
          </w:p>
        </w:tc>
        <w:tc>
          <w:tcPr>
            <w:tcW w:w="266" w:type="pct"/>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b/>
                <w:bCs/>
              </w:rPr>
            </w:pPr>
            <w:r>
              <w:rPr>
                <w:rFonts w:hint="eastAsia" w:ascii="宋体" w:hAnsi="宋体" w:cs="宋体"/>
                <w:b/>
                <w:bCs/>
              </w:rPr>
              <w:t>计量</w:t>
            </w:r>
            <w:r>
              <w:rPr>
                <w:rFonts w:hint="eastAsia" w:ascii="宋体" w:hAnsi="宋体" w:cs="宋体"/>
                <w:b/>
                <w:bCs/>
              </w:rPr>
              <w:br w:type="textWrapping"/>
            </w:r>
            <w:r>
              <w:rPr>
                <w:rFonts w:hint="eastAsia" w:ascii="宋体" w:hAnsi="宋体" w:cs="宋体"/>
                <w:b/>
                <w:bCs/>
              </w:rPr>
              <w:t>单位</w:t>
            </w:r>
          </w:p>
        </w:tc>
        <w:tc>
          <w:tcPr>
            <w:tcW w:w="391" w:type="pct"/>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b/>
                <w:bCs/>
              </w:rPr>
            </w:pPr>
            <w:r>
              <w:rPr>
                <w:rFonts w:hint="eastAsia" w:ascii="宋体" w:hAnsi="宋体" w:cs="宋体"/>
                <w:b/>
                <w:bCs/>
              </w:rPr>
              <w:t>工程</w:t>
            </w:r>
            <w:r>
              <w:rPr>
                <w:rFonts w:hint="eastAsia" w:ascii="宋体" w:hAnsi="宋体" w:cs="宋体"/>
                <w:b/>
                <w:bCs/>
              </w:rPr>
              <w:br w:type="textWrapping"/>
            </w:r>
            <w:r>
              <w:rPr>
                <w:rFonts w:hint="eastAsia" w:ascii="宋体" w:hAnsi="宋体" w:cs="宋体"/>
                <w:b/>
                <w:bCs/>
              </w:rPr>
              <w:t>数量</w:t>
            </w:r>
          </w:p>
        </w:tc>
        <w:tc>
          <w:tcPr>
            <w:tcW w:w="561" w:type="pct"/>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b/>
                <w:bCs/>
              </w:rPr>
            </w:pPr>
            <w:r>
              <w:rPr>
                <w:rFonts w:hint="eastAsia" w:ascii="宋体" w:hAnsi="宋体" w:cs="宋体"/>
                <w:b/>
                <w:bCs/>
              </w:rPr>
              <w:t>单价（元）</w:t>
            </w:r>
          </w:p>
        </w:tc>
        <w:tc>
          <w:tcPr>
            <w:tcW w:w="721" w:type="pct"/>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b/>
                <w:bCs/>
              </w:rPr>
            </w:pPr>
            <w:r>
              <w:rPr>
                <w:rFonts w:hint="eastAsia" w:ascii="宋体" w:hAnsi="宋体" w:cs="宋体"/>
                <w:b/>
                <w:bCs/>
              </w:rPr>
              <w:t>合价（元）</w:t>
            </w:r>
          </w:p>
        </w:tc>
        <w:tc>
          <w:tcPr>
            <w:tcW w:w="1119" w:type="pct"/>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b/>
                <w:bCs/>
              </w:rPr>
            </w:pPr>
            <w:r>
              <w:rPr>
                <w:rFonts w:hint="eastAsia" w:ascii="宋体" w:hAnsi="宋体" w:cs="宋体"/>
                <w:b/>
                <w:bCs/>
              </w:rPr>
              <w:t>要  求</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一</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经常性项目</w:t>
            </w:r>
          </w:p>
        </w:tc>
        <w:tc>
          <w:tcPr>
            <w:tcW w:w="266"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971348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0"/>
                <w:szCs w:val="20"/>
              </w:rPr>
            </w:pPr>
            <w:r>
              <w:rPr>
                <w:rFonts w:hint="eastAsia" w:ascii="宋体" w:hAnsi="宋体" w:cs="宋体"/>
                <w:b/>
                <w:bCs/>
                <w:sz w:val="20"/>
                <w:szCs w:val="20"/>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（一）</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b/>
                <w:bCs/>
              </w:rPr>
            </w:pPr>
            <w:r>
              <w:rPr>
                <w:rFonts w:hint="eastAsia" w:ascii="宋体" w:hAnsi="宋体" w:cs="宋体"/>
                <w:b/>
                <w:bCs/>
              </w:rPr>
              <w:t>汪家垅水库</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62534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主体工程维修养护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20"/>
                <w:szCs w:val="20"/>
              </w:rPr>
            </w:pPr>
            <w:r>
              <w:rPr>
                <w:sz w:val="20"/>
                <w:szCs w:val="20"/>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大坝坝面草皮修整、养护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4982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6.67</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33230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每年不少于3次</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管理区绿化养护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1320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6.67</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8804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放水涵闸日常养护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项</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500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汪家垅水库保洁项目</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400000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0.04</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16000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ascii="宋体" w:hAnsi="宋体"/>
                <w:sz w:val="18"/>
                <w:szCs w:val="18"/>
              </w:rPr>
              <w:t>保洁期</w:t>
            </w:r>
            <w:r>
              <w:rPr>
                <w:sz w:val="18"/>
                <w:szCs w:val="18"/>
              </w:rPr>
              <w:t>8</w:t>
            </w:r>
            <w:r>
              <w:rPr>
                <w:rFonts w:hint="eastAsia" w:ascii="宋体" w:hAnsi="宋体"/>
                <w:sz w:val="18"/>
                <w:szCs w:val="18"/>
              </w:rPr>
              <w:t>个月，包括保洁、清运、处理</w:t>
            </w:r>
          </w:p>
        </w:tc>
      </w:tr>
      <w:tr>
        <w:trPr>
          <w:trHeight w:val="1032"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高压配电设备巡查维护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4000.00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4000 </w:t>
            </w:r>
          </w:p>
        </w:tc>
        <w:tc>
          <w:tcPr>
            <w:tcW w:w="1119" w:type="pct"/>
            <w:tcBorders>
              <w:top w:val="nil"/>
              <w:left w:val="nil"/>
              <w:bottom w:val="single" w:color="auto" w:sz="4" w:space="0"/>
              <w:right w:val="single" w:color="auto" w:sz="4" w:space="0"/>
            </w:tcBorders>
            <w:shd w:val="clear" w:color="000000" w:fill="FFFFFF"/>
            <w:vAlign w:val="center"/>
          </w:tcPr>
          <w:p>
            <w:pPr>
              <w:rPr>
                <w:rFonts w:ascii="宋体" w:hAnsi="宋体" w:cs="宋体"/>
                <w:b/>
                <w:bCs/>
                <w:sz w:val="18"/>
                <w:szCs w:val="18"/>
              </w:rPr>
            </w:pPr>
            <w:r>
              <w:rPr>
                <w:rFonts w:hint="eastAsia" w:ascii="宋体" w:hAnsi="宋体" w:cs="宋体"/>
                <w:b/>
                <w:bCs/>
                <w:sz w:val="18"/>
                <w:szCs w:val="18"/>
              </w:rPr>
              <w:t>高压配电设备巡查维护需具有相应资质，维护高压配电设备正常运行，含巡查维护每月不少于一次，零星材料更换（不含材料费）</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（二）</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b/>
                <w:bCs/>
              </w:rPr>
            </w:pPr>
            <w:r>
              <w:rPr>
                <w:rFonts w:hint="eastAsia" w:ascii="宋体" w:hAnsi="宋体" w:cs="宋体"/>
                <w:b/>
                <w:bCs/>
              </w:rPr>
              <w:t>铁堰水闸</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71793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主体工程维修养护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启闭设备维修养护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w:t>
            </w:r>
          </w:p>
        </w:tc>
        <w:tc>
          <w:tcPr>
            <w:tcW w:w="1521" w:type="pct"/>
            <w:tcBorders>
              <w:top w:val="single" w:color="auto" w:sz="4" w:space="0"/>
              <w:left w:val="single" w:color="auto" w:sz="4" w:space="0"/>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机体维修养护</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6</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1200 </w:t>
            </w:r>
          </w:p>
        </w:tc>
        <w:tc>
          <w:tcPr>
            <w:tcW w:w="111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1.2</w:t>
            </w:r>
          </w:p>
        </w:tc>
        <w:tc>
          <w:tcPr>
            <w:tcW w:w="1521" w:type="pct"/>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钢丝绳维修养护</w:t>
            </w:r>
          </w:p>
        </w:tc>
        <w:tc>
          <w:tcPr>
            <w:tcW w:w="266"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w:t>
            </w:r>
          </w:p>
        </w:tc>
        <w:tc>
          <w:tcPr>
            <w:tcW w:w="72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500 </w:t>
            </w:r>
          </w:p>
        </w:tc>
        <w:tc>
          <w:tcPr>
            <w:tcW w:w="1119" w:type="pct"/>
            <w:tcBorders>
              <w:top w:val="single" w:color="auto" w:sz="4" w:space="0"/>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电动机维修养护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6</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1200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配电设施维修养护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500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1.5</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螺杆启闭机维修养护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附属设施绿化养护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1990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6.67</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13273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每年不少于3次</w:t>
            </w:r>
          </w:p>
        </w:tc>
      </w:tr>
      <w:tr>
        <w:tblPrEx>
          <w:tblCellMar>
            <w:top w:w="0" w:type="dxa"/>
            <w:left w:w="108" w:type="dxa"/>
            <w:bottom w:w="0" w:type="dxa"/>
            <w:right w:w="108" w:type="dxa"/>
          </w:tblCellMar>
        </w:tblPrEx>
        <w:trPr>
          <w:trHeight w:val="938"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高压配电设备巡查维护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4000.00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4000 </w:t>
            </w:r>
          </w:p>
        </w:tc>
        <w:tc>
          <w:tcPr>
            <w:tcW w:w="1119" w:type="pct"/>
            <w:tcBorders>
              <w:top w:val="nil"/>
              <w:left w:val="nil"/>
              <w:bottom w:val="single" w:color="auto" w:sz="4" w:space="0"/>
              <w:right w:val="single" w:color="auto" w:sz="4" w:space="0"/>
            </w:tcBorders>
            <w:shd w:val="clear" w:color="000000" w:fill="FFFFFF"/>
            <w:vAlign w:val="center"/>
          </w:tcPr>
          <w:p>
            <w:pPr>
              <w:rPr>
                <w:rFonts w:ascii="宋体" w:hAnsi="宋体" w:cs="宋体"/>
                <w:b/>
                <w:bCs/>
                <w:sz w:val="18"/>
                <w:szCs w:val="18"/>
              </w:rPr>
            </w:pPr>
            <w:r>
              <w:rPr>
                <w:rFonts w:hint="eastAsia" w:ascii="宋体" w:hAnsi="宋体" w:cs="宋体"/>
                <w:b/>
                <w:bCs/>
                <w:sz w:val="18"/>
                <w:szCs w:val="18"/>
              </w:rPr>
              <w:t>高压配电设备巡查维护需具有相应资质，维护高压配电设备正常运行，含巡查维护每月不少于一次，零星材料更换（不含材料费）</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保洁项目</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水面保洁</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8000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6400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rFonts w:hint="eastAsia" w:ascii="宋体" w:hAnsi="宋体"/>
                <w:sz w:val="18"/>
                <w:szCs w:val="18"/>
              </w:rPr>
              <w:t>保洁期</w:t>
            </w:r>
            <w:r>
              <w:rPr>
                <w:sz w:val="18"/>
                <w:szCs w:val="18"/>
              </w:rPr>
              <w:t>8</w:t>
            </w:r>
            <w:r>
              <w:rPr>
                <w:rFonts w:hint="eastAsia" w:ascii="宋体" w:hAnsi="宋体"/>
                <w:sz w:val="18"/>
                <w:szCs w:val="18"/>
              </w:rPr>
              <w:t>个月，包括保洁、清运、处理</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堰坝等硬质路面保洁</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8000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1.94</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15520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保洁期8个月，包括保洁、清运、处理</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铁堰水闸管理费用</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月</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3600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28800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（三）</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国湖提水泵站</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62574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机电设备维修养护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项</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15000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15000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进水池清淤（机械清淤、外运5km）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180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41.61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7490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923"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高压配电设备巡查维护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4000.00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4000 </w:t>
            </w:r>
          </w:p>
        </w:tc>
        <w:tc>
          <w:tcPr>
            <w:tcW w:w="1119" w:type="pct"/>
            <w:tcBorders>
              <w:top w:val="nil"/>
              <w:left w:val="nil"/>
              <w:bottom w:val="single" w:color="auto" w:sz="4" w:space="0"/>
              <w:right w:val="single" w:color="auto" w:sz="4" w:space="0"/>
            </w:tcBorders>
            <w:shd w:val="clear" w:color="000000" w:fill="FFFFFF"/>
            <w:vAlign w:val="center"/>
          </w:tcPr>
          <w:p>
            <w:pPr>
              <w:rPr>
                <w:rFonts w:ascii="宋体" w:hAnsi="宋体" w:cs="宋体"/>
                <w:b/>
                <w:bCs/>
                <w:sz w:val="18"/>
                <w:szCs w:val="18"/>
              </w:rPr>
            </w:pPr>
            <w:r>
              <w:rPr>
                <w:rFonts w:hint="eastAsia" w:ascii="宋体" w:hAnsi="宋体" w:cs="宋体"/>
                <w:b/>
                <w:bCs/>
                <w:sz w:val="18"/>
                <w:szCs w:val="18"/>
              </w:rPr>
              <w:t>高压配电设备巡查维护需具有相应资质，维护高压配电设备正常运行，含巡查维护每月不少于一次，零星材料更换（不含材料费）</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泵站管理费用</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月</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3600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28800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管理区绿化养护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1092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6.67</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7284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一年不少于</w:t>
            </w:r>
            <w:r>
              <w:rPr>
                <w:sz w:val="18"/>
                <w:szCs w:val="18"/>
              </w:rPr>
              <w:t>3</w:t>
            </w:r>
            <w:r>
              <w:rPr>
                <w:rFonts w:hint="eastAsia" w:ascii="宋体" w:hAnsi="宋体" w:cs="宋体"/>
                <w:sz w:val="18"/>
                <w:szCs w:val="18"/>
              </w:rPr>
              <w:t>次</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（四）</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安地水库灌区</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774447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干渠工程</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389169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1.1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清淤工程</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253561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总干渠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a</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清淤（机械开挖、外运5km）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102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41.61</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4244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b</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清淤（人工开挖、机械外运5km）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405</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87.85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35579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东干渠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a</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清淤（人工开挖、机械外运5km）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880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87.85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77308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b</w:t>
            </w:r>
          </w:p>
        </w:tc>
        <w:tc>
          <w:tcPr>
            <w:tcW w:w="15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清淤（人工开挖、就近堆放）</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2150</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40.59</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87269 </w:t>
            </w:r>
          </w:p>
        </w:tc>
        <w:tc>
          <w:tcPr>
            <w:tcW w:w="111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中干渠</w:t>
            </w:r>
          </w:p>
        </w:tc>
        <w:tc>
          <w:tcPr>
            <w:tcW w:w="266"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a</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清淤（人工开挖、就近堆放）</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350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40.59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14207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西干渠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a</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清淤（人工开挖、机械外运5km）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360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87.85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31626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b</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清淤（人工开挖、就近堆放）</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40.59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3328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1.2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渠道土方养护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135608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总干渠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1600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2400 </w:t>
            </w:r>
          </w:p>
        </w:tc>
        <w:tc>
          <w:tcPr>
            <w:tcW w:w="1119" w:type="pct"/>
            <w:vMerge w:val="restart"/>
            <w:tcBorders>
              <w:top w:val="nil"/>
              <w:left w:val="single" w:color="auto" w:sz="4" w:space="0"/>
              <w:bottom w:val="single" w:color="000000"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含土方开挖、清理、养护等</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东干渠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19260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28890 </w:t>
            </w:r>
          </w:p>
        </w:tc>
        <w:tc>
          <w:tcPr>
            <w:tcW w:w="1119" w:type="pct"/>
            <w:vMerge w:val="continue"/>
            <w:tcBorders>
              <w:top w:val="nil"/>
              <w:left w:val="single" w:color="auto" w:sz="4" w:space="0"/>
              <w:bottom w:val="single" w:color="000000"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中干渠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5578</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8367 </w:t>
            </w:r>
          </w:p>
        </w:tc>
        <w:tc>
          <w:tcPr>
            <w:tcW w:w="1119" w:type="pct"/>
            <w:vMerge w:val="continue"/>
            <w:tcBorders>
              <w:top w:val="nil"/>
              <w:left w:val="single" w:color="auto" w:sz="4" w:space="0"/>
              <w:bottom w:val="single" w:color="000000"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西干渠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4560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6840 </w:t>
            </w:r>
          </w:p>
        </w:tc>
        <w:tc>
          <w:tcPr>
            <w:tcW w:w="1119" w:type="pct"/>
            <w:vMerge w:val="continue"/>
            <w:tcBorders>
              <w:top w:val="nil"/>
              <w:left w:val="single" w:color="auto" w:sz="4" w:space="0"/>
              <w:bottom w:val="single" w:color="000000"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渠道两侧及渠堤杂草清理</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nil"/>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总干渠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3050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9425 </w:t>
            </w:r>
          </w:p>
        </w:tc>
        <w:tc>
          <w:tcPr>
            <w:tcW w:w="1119" w:type="pct"/>
            <w:vMerge w:val="restart"/>
            <w:tcBorders>
              <w:top w:val="single" w:color="auto" w:sz="4" w:space="0"/>
              <w:left w:val="single" w:color="auto" w:sz="4" w:space="0"/>
              <w:bottom w:val="nil"/>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一年不少于</w:t>
            </w:r>
            <w:r>
              <w:rPr>
                <w:sz w:val="18"/>
                <w:szCs w:val="18"/>
              </w:rPr>
              <w:t>2</w:t>
            </w:r>
            <w:r>
              <w:rPr>
                <w:rFonts w:hint="eastAsia" w:ascii="宋体" w:hAnsi="宋体" w:cs="宋体"/>
                <w:sz w:val="18"/>
                <w:szCs w:val="18"/>
              </w:rPr>
              <w:t>次</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东干渠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16400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50676 </w:t>
            </w:r>
          </w:p>
        </w:tc>
        <w:tc>
          <w:tcPr>
            <w:tcW w:w="1119" w:type="pct"/>
            <w:vMerge w:val="continue"/>
            <w:tcBorders>
              <w:top w:val="single" w:color="auto" w:sz="4" w:space="0"/>
              <w:left w:val="single" w:color="auto" w:sz="4" w:space="0"/>
              <w:bottom w:val="nil"/>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中干渠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4420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13658 </w:t>
            </w:r>
          </w:p>
        </w:tc>
        <w:tc>
          <w:tcPr>
            <w:tcW w:w="1119" w:type="pct"/>
            <w:vMerge w:val="continue"/>
            <w:tcBorders>
              <w:top w:val="single" w:color="auto" w:sz="4" w:space="0"/>
              <w:left w:val="single" w:color="auto" w:sz="4" w:space="0"/>
              <w:bottom w:val="nil"/>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西干渠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3350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10352 </w:t>
            </w:r>
          </w:p>
        </w:tc>
        <w:tc>
          <w:tcPr>
            <w:tcW w:w="1119" w:type="pct"/>
            <w:vMerge w:val="continue"/>
            <w:tcBorders>
              <w:top w:val="single" w:color="auto" w:sz="4" w:space="0"/>
              <w:left w:val="single" w:color="auto" w:sz="4" w:space="0"/>
              <w:bottom w:val="nil"/>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渠道两侧绿化养护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single" w:color="auto" w:sz="4" w:space="0"/>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东干渠(冬青修整)</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项</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5000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5000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18"/>
                <w:szCs w:val="18"/>
              </w:rPr>
            </w:pPr>
            <w:r>
              <w:rPr>
                <w:rFonts w:hint="eastAsia" w:ascii="宋体" w:hAnsi="宋体" w:cs="宋体"/>
                <w:b/>
                <w:bCs/>
                <w:sz w:val="18"/>
                <w:szCs w:val="18"/>
              </w:rPr>
              <w:t>一年不少于1次</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支渠工程</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126974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2.1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清淤工程</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52760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汪家垅支渠（人工开挖、就近堆放）</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245</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40.59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9945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金长垅支渠（人工开挖、就近堆放）</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196</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40.59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7956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苏孟支渠（人工开挖、机械外运5km）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151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87.85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13265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多湖支渠（人工开挖、就近堆放）</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395</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40.59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16033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澧浦支渠（人工开挖、就近堆放）</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137</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40.59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5561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2.2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渠道土方养护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25824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汪家垅支渠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4722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7083 </w:t>
            </w:r>
          </w:p>
        </w:tc>
        <w:tc>
          <w:tcPr>
            <w:tcW w:w="1119" w:type="pct"/>
            <w:vMerge w:val="restart"/>
            <w:tcBorders>
              <w:top w:val="nil"/>
              <w:left w:val="single" w:color="auto" w:sz="4" w:space="0"/>
              <w:bottom w:val="single" w:color="000000"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含土方开挖、清理、养护等</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金长垅支渠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2656</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3984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single" w:color="auto" w:sz="4" w:space="0"/>
              <w:left w:val="single" w:color="auto" w:sz="4" w:space="0"/>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苏孟支渠</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3118</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4677 </w:t>
            </w:r>
          </w:p>
        </w:tc>
        <w:tc>
          <w:tcPr>
            <w:tcW w:w="1119" w:type="pct"/>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single" w:color="auto" w:sz="4" w:space="0"/>
              <w:left w:val="single" w:color="auto" w:sz="4" w:space="0"/>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多湖支渠</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5010</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7515 </w:t>
            </w:r>
          </w:p>
        </w:tc>
        <w:tc>
          <w:tcPr>
            <w:tcW w:w="1119" w:type="pct"/>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single" w:color="auto" w:sz="4" w:space="0"/>
              <w:left w:val="single" w:color="auto" w:sz="4" w:space="0"/>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澧浦支渠</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1710</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2565 </w:t>
            </w:r>
          </w:p>
        </w:tc>
        <w:tc>
          <w:tcPr>
            <w:tcW w:w="1119" w:type="pct"/>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2.3</w:t>
            </w:r>
          </w:p>
        </w:tc>
        <w:tc>
          <w:tcPr>
            <w:tcW w:w="1521" w:type="pct"/>
            <w:tcBorders>
              <w:top w:val="single" w:color="auto" w:sz="4" w:space="0"/>
              <w:left w:val="single" w:color="auto" w:sz="4" w:space="0"/>
              <w:bottom w:val="single" w:color="auto" w:sz="4" w:space="0"/>
              <w:right w:val="single" w:color="auto" w:sz="4" w:space="0"/>
            </w:tcBorders>
            <w:shd w:val="clear" w:color="000000" w:fill="FFFFFF"/>
            <w:vAlign w:val="center"/>
          </w:tcPr>
          <w:p>
            <w:pPr>
              <w:rPr>
                <w:rFonts w:ascii="宋体" w:hAnsi="宋体" w:cs="宋体"/>
                <w:b/>
                <w:bCs/>
              </w:rPr>
            </w:pPr>
            <w:r>
              <w:rPr>
                <w:rFonts w:hint="eastAsia" w:ascii="宋体" w:hAnsi="宋体" w:cs="宋体"/>
                <w:b/>
                <w:bCs/>
              </w:rPr>
              <w:t>渠道两侧及渠堤杂草清理</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48390 </w:t>
            </w:r>
          </w:p>
        </w:tc>
        <w:tc>
          <w:tcPr>
            <w:tcW w:w="111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b/>
                <w:bCs/>
                <w:sz w:val="18"/>
                <w:szCs w:val="18"/>
              </w:rPr>
            </w:pPr>
            <w:r>
              <w:rPr>
                <w:rFonts w:hint="eastAsia" w:ascii="宋体" w:hAnsi="宋体" w:cs="宋体"/>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single" w:color="auto" w:sz="4" w:space="0"/>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汪家垅支渠</w:t>
            </w:r>
          </w:p>
        </w:tc>
        <w:tc>
          <w:tcPr>
            <w:tcW w:w="266"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4190</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12947 </w:t>
            </w:r>
          </w:p>
        </w:tc>
        <w:tc>
          <w:tcPr>
            <w:tcW w:w="1119" w:type="pct"/>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一年不少于2次</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金长垅支渠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2200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6798 </w:t>
            </w:r>
          </w:p>
        </w:tc>
        <w:tc>
          <w:tcPr>
            <w:tcW w:w="1119" w:type="pct"/>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苏孟支渠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3100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9579 </w:t>
            </w:r>
          </w:p>
        </w:tc>
        <w:tc>
          <w:tcPr>
            <w:tcW w:w="1119" w:type="pct"/>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多湖支渠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5050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15605 </w:t>
            </w:r>
          </w:p>
        </w:tc>
        <w:tc>
          <w:tcPr>
            <w:tcW w:w="1119" w:type="pct"/>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澧浦支渠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1120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3.09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3461 </w:t>
            </w:r>
          </w:p>
        </w:tc>
        <w:tc>
          <w:tcPr>
            <w:tcW w:w="1119" w:type="pct"/>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渠系建筑物项目</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8"/>
                <w:szCs w:val="28"/>
              </w:rPr>
            </w:pPr>
            <w:r>
              <w:rPr>
                <w:rFonts w:hint="eastAsia" w:ascii="宋体" w:hAnsi="宋体" w:cs="宋体"/>
                <w:b/>
                <w:bCs/>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40926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51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放水涵洞日常养护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项</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5000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5000 </w:t>
            </w:r>
          </w:p>
        </w:tc>
        <w:tc>
          <w:tcPr>
            <w:tcW w:w="1119" w:type="pct"/>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18"/>
                <w:szCs w:val="18"/>
              </w:rPr>
            </w:pPr>
            <w:r>
              <w:rPr>
                <w:rFonts w:hint="eastAsia" w:ascii="宋体" w:hAnsi="宋体" w:cs="宋体"/>
                <w:sz w:val="18"/>
                <w:szCs w:val="18"/>
              </w:rPr>
              <w:t>日常维护保养，包括修复、塌方回填等</w:t>
            </w:r>
          </w:p>
        </w:tc>
      </w:tr>
      <w:tr>
        <w:tblPrEx>
          <w:tblCellMar>
            <w:top w:w="0" w:type="dxa"/>
            <w:left w:w="108" w:type="dxa"/>
            <w:bottom w:w="0" w:type="dxa"/>
            <w:right w:w="108" w:type="dxa"/>
          </w:tblCellMar>
        </w:tblPrEx>
        <w:trPr>
          <w:trHeight w:val="84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涵洞、倒虹吸等清淤（人工开挖、机械外运5km）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87.85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8785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水闸维修养护(30座)</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3.4.1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机体维修养护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39</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7800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3.4.2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电动机维修养护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2200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3.4.3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配电设施维修养护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处</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1600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3.5</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生产区绿化日常养护</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2330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6.67</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15541 </w:t>
            </w:r>
          </w:p>
        </w:tc>
        <w:tc>
          <w:tcPr>
            <w:tcW w:w="1119" w:type="pct"/>
            <w:tcBorders>
              <w:top w:val="nil"/>
              <w:left w:val="nil"/>
              <w:bottom w:val="single" w:color="auto" w:sz="4" w:space="0"/>
              <w:right w:val="single" w:color="auto" w:sz="4" w:space="0"/>
            </w:tcBorders>
            <w:shd w:val="clear" w:color="000000" w:fill="FFFFFF"/>
            <w:vAlign w:val="center"/>
          </w:tcPr>
          <w:p>
            <w:pPr>
              <w:jc w:val="center"/>
              <w:rPr>
                <w:sz w:val="18"/>
                <w:szCs w:val="18"/>
              </w:rPr>
            </w:pPr>
            <w:r>
              <w:rPr>
                <w:rFonts w:hint="eastAsia" w:ascii="宋体" w:hAnsi="宋体"/>
                <w:sz w:val="18"/>
                <w:szCs w:val="18"/>
              </w:rPr>
              <w:t>一年不少于</w:t>
            </w:r>
            <w:r>
              <w:rPr>
                <w:sz w:val="18"/>
                <w:szCs w:val="18"/>
              </w:rPr>
              <w:t>3</w:t>
            </w:r>
            <w:r>
              <w:rPr>
                <w:rFonts w:hint="eastAsia" w:ascii="宋体" w:hAnsi="宋体"/>
                <w:sz w:val="18"/>
                <w:szCs w:val="18"/>
              </w:rPr>
              <w:t>次</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4</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保洁项目</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209378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总干渠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26800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21440 </w:t>
            </w:r>
          </w:p>
        </w:tc>
        <w:tc>
          <w:tcPr>
            <w:tcW w:w="1119" w:type="pct"/>
            <w:vMerge w:val="restar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保洁期8个月，包括保洁、清运、处理</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东干渠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118140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94512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中干渠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43680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34944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西干渠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20162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16130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汪家垅支渠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17400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13920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(6)</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金长垅支渠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5000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4000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(8)</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多湖支渠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26040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20832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(9)</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澧浦支渠</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color w:val="000000" w:themeColor="text1"/>
                <w:sz w:val="22"/>
                <w:szCs w:val="22"/>
                <w:highlight w:val="none"/>
                <w14:textFill>
                  <w14:solidFill>
                    <w14:schemeClr w14:val="tx1"/>
                  </w14:solidFill>
                </w14:textFill>
              </w:rPr>
              <w:t>m</w:t>
            </w:r>
            <w:r>
              <w:rPr>
                <w:color w:val="000000" w:themeColor="text1"/>
                <w:sz w:val="22"/>
                <w:szCs w:val="22"/>
                <w:highlight w:val="none"/>
                <w:vertAlign w:val="superscript"/>
                <w14:textFill>
                  <w14:solidFill>
                    <w14:schemeClr w14:val="tx1"/>
                  </w14:solidFill>
                </w14:textFill>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4500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0.8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3600 </w:t>
            </w:r>
          </w:p>
        </w:tc>
        <w:tc>
          <w:tcPr>
            <w:tcW w:w="1119" w:type="pct"/>
            <w:vMerge w:val="continue"/>
            <w:tcBorders>
              <w:top w:val="nil"/>
              <w:left w:val="single" w:color="auto" w:sz="4" w:space="0"/>
              <w:bottom w:val="single" w:color="auto" w:sz="4" w:space="0"/>
              <w:right w:val="single" w:color="auto" w:sz="4" w:space="0"/>
            </w:tcBorders>
            <w:vAlign w:val="center"/>
          </w:tcPr>
          <w:p>
            <w:pPr>
              <w:rPr>
                <w:rFonts w:ascii="宋体" w:hAnsi="宋体" w:cs="宋体"/>
                <w:sz w:val="18"/>
                <w:szCs w:val="18"/>
              </w:rPr>
            </w:pPr>
          </w:p>
        </w:tc>
      </w:tr>
      <w:tr>
        <w:tblPrEx>
          <w:tblCellMar>
            <w:top w:w="0" w:type="dxa"/>
            <w:left w:w="108" w:type="dxa"/>
            <w:bottom w:w="0" w:type="dxa"/>
            <w:right w:w="108" w:type="dxa"/>
          </w:tblCellMar>
        </w:tblPrEx>
        <w:trPr>
          <w:trHeight w:val="1058"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5</w:t>
            </w:r>
          </w:p>
        </w:tc>
        <w:tc>
          <w:tcPr>
            <w:tcW w:w="1521" w:type="pct"/>
            <w:tcBorders>
              <w:top w:val="single" w:color="auto" w:sz="4" w:space="0"/>
              <w:left w:val="single" w:color="auto" w:sz="4" w:space="0"/>
              <w:bottom w:val="single" w:color="auto" w:sz="4" w:space="0"/>
              <w:right w:val="single" w:color="auto" w:sz="4" w:space="0"/>
            </w:tcBorders>
            <w:shd w:val="clear" w:color="000000" w:fill="FFFFFF"/>
            <w:vAlign w:val="center"/>
          </w:tcPr>
          <w:p>
            <w:pPr>
              <w:rPr>
                <w:rFonts w:ascii="宋体" w:hAnsi="宋体" w:cs="宋体"/>
                <w:b/>
                <w:bCs/>
              </w:rPr>
            </w:pPr>
            <w:r>
              <w:rPr>
                <w:rFonts w:hint="eastAsia" w:ascii="宋体" w:hAnsi="宋体" w:cs="宋体"/>
                <w:b/>
                <w:bCs/>
              </w:rPr>
              <w:t>高压配电设备巡查维护</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处</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2</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4000</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8000 </w:t>
            </w:r>
          </w:p>
        </w:tc>
        <w:tc>
          <w:tcPr>
            <w:tcW w:w="1119" w:type="pct"/>
            <w:tcBorders>
              <w:top w:val="single" w:color="auto" w:sz="4" w:space="0"/>
              <w:left w:val="single" w:color="auto" w:sz="4" w:space="0"/>
              <w:bottom w:val="single" w:color="auto" w:sz="4" w:space="0"/>
              <w:right w:val="single" w:color="auto" w:sz="4" w:space="0"/>
            </w:tcBorders>
            <w:shd w:val="clear" w:color="000000" w:fill="FFFFFF"/>
            <w:vAlign w:val="center"/>
          </w:tcPr>
          <w:p>
            <w:pPr>
              <w:rPr>
                <w:rFonts w:ascii="宋体" w:hAnsi="宋体" w:cs="宋体"/>
                <w:b/>
                <w:bCs/>
                <w:sz w:val="18"/>
                <w:szCs w:val="18"/>
              </w:rPr>
            </w:pPr>
            <w:r>
              <w:rPr>
                <w:rFonts w:hint="eastAsia" w:ascii="宋体" w:hAnsi="宋体" w:cs="宋体"/>
                <w:b/>
                <w:bCs/>
                <w:sz w:val="18"/>
                <w:szCs w:val="18"/>
              </w:rPr>
              <w:t>高压配电设备巡查维护需具有相应资质，维护高压配电设备正常运行，含巡查维护每月不少于一次，零星材料更换（不含材料费）</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二</w:t>
            </w:r>
          </w:p>
        </w:tc>
        <w:tc>
          <w:tcPr>
            <w:tcW w:w="1521" w:type="pct"/>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年度性项目合计</w:t>
            </w:r>
          </w:p>
        </w:tc>
        <w:tc>
          <w:tcPr>
            <w:tcW w:w="266"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386325 </w:t>
            </w:r>
          </w:p>
        </w:tc>
        <w:tc>
          <w:tcPr>
            <w:tcW w:w="1119" w:type="pct"/>
            <w:tcBorders>
              <w:top w:val="single" w:color="auto" w:sz="4" w:space="0"/>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（一）</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安地水库灌区</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313775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巡查道路修复</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230540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西干渠（K4+650~K4+775）段</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土方平整</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188.0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3.79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713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100厚C20砼路面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19.0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765.66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14548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1.1.3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100厚碎石垫层</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19.0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244.82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4652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东干渠（K5+750~K6+037）段</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1.2.1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土方平整</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861.0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3.79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3263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1.2.2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150厚C20砼路面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129.0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765.66</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98770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1.2.3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100厚碎石垫层</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86.0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244.82</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21055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东干渠（K6+037~K6+137）段</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土方平整</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60.0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3.79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227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C20砼路面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765.66</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4594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1.3.3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碎石垫层</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244.82</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1469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东干渠（K18+200~K18+270）段</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1.4.1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土方平整</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70.0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3.79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265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1.4.2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100厚C20砼路面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765.66</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5360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1.4.3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100厚碎石垫层</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244.82</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1714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1.5</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东干渠（18+350~K18+700）段</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1.5.1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土方平整</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675.0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3.79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2558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1.5.2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100厚C20砼路面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67.5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765.66</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51682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1.5.3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100厚碎石垫层</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67.5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244.82</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16525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1.6</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金长垅支渠（K1+360~K1+410）段</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1.6.1</w:t>
            </w:r>
          </w:p>
        </w:tc>
        <w:tc>
          <w:tcPr>
            <w:tcW w:w="15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土方平整</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30.0 </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3.79</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114 </w:t>
            </w:r>
          </w:p>
        </w:tc>
        <w:tc>
          <w:tcPr>
            <w:tcW w:w="111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1.6.2</w:t>
            </w:r>
          </w:p>
        </w:tc>
        <w:tc>
          <w:tcPr>
            <w:tcW w:w="15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100厚C20砼路面</w:t>
            </w:r>
          </w:p>
        </w:tc>
        <w:tc>
          <w:tcPr>
            <w:tcW w:w="26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3.0 </w:t>
            </w:r>
          </w:p>
        </w:tc>
        <w:tc>
          <w:tcPr>
            <w:tcW w:w="56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765.66</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2297 </w:t>
            </w:r>
          </w:p>
        </w:tc>
        <w:tc>
          <w:tcPr>
            <w:tcW w:w="111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1.6.3</w:t>
            </w:r>
          </w:p>
        </w:tc>
        <w:tc>
          <w:tcPr>
            <w:tcW w:w="1521" w:type="pct"/>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100厚碎石垫层</w:t>
            </w:r>
          </w:p>
        </w:tc>
        <w:tc>
          <w:tcPr>
            <w:tcW w:w="266"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3.0 </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244.82</w:t>
            </w:r>
          </w:p>
        </w:tc>
        <w:tc>
          <w:tcPr>
            <w:tcW w:w="72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734 </w:t>
            </w:r>
          </w:p>
        </w:tc>
        <w:tc>
          <w:tcPr>
            <w:tcW w:w="1119" w:type="pct"/>
            <w:tcBorders>
              <w:top w:val="single" w:color="auto" w:sz="4" w:space="0"/>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防渗修复项目</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8"/>
                <w:szCs w:val="28"/>
              </w:rPr>
            </w:pPr>
            <w:r>
              <w:rPr>
                <w:rFonts w:hint="eastAsia" w:ascii="宋体" w:hAnsi="宋体" w:cs="宋体"/>
                <w:b/>
                <w:bCs/>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83235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2.1</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西干渠（K0+300-0+400）</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2.1.1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砌砖</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9</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676.06</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6085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2.1.2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砂浆抹面（厚2cm）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72.0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22.95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1652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2.2</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西干渠（K1+580）</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2.2.1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空心砖砌筑</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697.03</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4182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2.2.2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φ150PE管安装</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80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160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2.3</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西干渠（K4+650）</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2.3.1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100厚C20砼底板</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17.0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697.03</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11850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2.3.2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原破损底板凿除（含凿毛处理）</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12.0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127.8</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1534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2.4</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金长垅支渠（K1+200~K1+315）</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2.4.1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土方平整</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35.0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3.79</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133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2.4.2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空心砖砌筑</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3</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74.0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697.03</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51580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2.4.3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砂浆抹面（厚2cm）</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264.0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22.95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6059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（二）</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各生产管理站修复项目</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sz w:val="28"/>
                <w:szCs w:val="28"/>
              </w:rPr>
            </w:pPr>
            <w:r>
              <w:rPr>
                <w:rFonts w:hint="eastAsia" w:ascii="宋体" w:hAnsi="宋体" w:cs="宋体"/>
                <w:b/>
                <w:bCs/>
                <w:sz w:val="28"/>
                <w:szCs w:val="28"/>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38850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防蚊网更换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800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纱窗更换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250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12500 </w:t>
            </w:r>
          </w:p>
        </w:tc>
        <w:tc>
          <w:tcPr>
            <w:tcW w:w="1119" w:type="pct"/>
            <w:tcBorders>
              <w:top w:val="nil"/>
              <w:left w:val="nil"/>
              <w:bottom w:val="single" w:color="auto" w:sz="4" w:space="0"/>
              <w:right w:val="single" w:color="auto" w:sz="4" w:space="0"/>
            </w:tcBorders>
            <w:shd w:val="clear" w:color="000000" w:fill="FFFFFF"/>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软帘更换</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10000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钢化玻璃雨棚</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550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1100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5</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屋顶防渗处理</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170</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85</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14450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sz w:val="18"/>
                <w:szCs w:val="18"/>
              </w:rPr>
            </w:pPr>
            <w:r>
              <w:rPr>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（三）</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安全防护设施项目</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b/>
                <w:bCs/>
              </w:rPr>
            </w:pPr>
            <w:r>
              <w:rPr>
                <w:rFonts w:hint="eastAsia" w:ascii="宋体" w:hAnsi="宋体" w:cs="宋体"/>
                <w:b/>
                <w:bCs/>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33700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b/>
                <w:bCs/>
                <w:sz w:val="18"/>
                <w:szCs w:val="18"/>
              </w:rPr>
            </w:pPr>
            <w:r>
              <w:rPr>
                <w:b/>
                <w:bCs/>
                <w:sz w:val="18"/>
                <w:szCs w:val="18"/>
              </w:rPr>
              <w:t>　</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1</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安全警示牌30*40（含安装）</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块</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100.0 </w:t>
            </w:r>
          </w:p>
        </w:tc>
        <w:tc>
          <w:tcPr>
            <w:tcW w:w="56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200</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20000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安装在渠道内侧</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2</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安全警示牌60*80（含安装）</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块</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10.0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500.00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5000 </w:t>
            </w:r>
          </w:p>
        </w:tc>
        <w:tc>
          <w:tcPr>
            <w:tcW w:w="1119" w:type="pct"/>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18"/>
                <w:szCs w:val="18"/>
              </w:rPr>
            </w:pPr>
            <w:r>
              <w:rPr>
                <w:rFonts w:hint="eastAsia" w:ascii="宋体" w:hAnsi="宋体" w:cs="宋体"/>
                <w:sz w:val="18"/>
                <w:szCs w:val="18"/>
              </w:rPr>
              <w:t>立杠2米，反光</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3</w:t>
            </w:r>
          </w:p>
        </w:tc>
        <w:tc>
          <w:tcPr>
            <w:tcW w:w="152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安全标语</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条</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20.0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120.00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2400 </w:t>
            </w:r>
          </w:p>
        </w:tc>
        <w:tc>
          <w:tcPr>
            <w:tcW w:w="1119"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sz w:val="18"/>
                <w:szCs w:val="18"/>
              </w:rPr>
            </w:pPr>
            <w:r>
              <w:rPr>
                <w:rFonts w:hint="eastAsia" w:ascii="宋体" w:hAnsi="宋体" w:cs="宋体"/>
                <w:sz w:val="18"/>
                <w:szCs w:val="18"/>
              </w:rPr>
              <w:t>长8*宽0.5m</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4</w:t>
            </w:r>
          </w:p>
        </w:tc>
        <w:tc>
          <w:tcPr>
            <w:tcW w:w="1521" w:type="pct"/>
            <w:tcBorders>
              <w:top w:val="nil"/>
              <w:left w:val="nil"/>
              <w:bottom w:val="single" w:color="auto" w:sz="4" w:space="0"/>
              <w:right w:val="single" w:color="auto" w:sz="4" w:space="0"/>
            </w:tcBorders>
            <w:shd w:val="clear" w:color="000000" w:fill="FFFFFF"/>
            <w:vAlign w:val="center"/>
          </w:tcPr>
          <w:p>
            <w:pPr>
              <w:rPr>
                <w:rFonts w:ascii="宋体" w:hAnsi="宋体" w:cs="宋体"/>
              </w:rPr>
            </w:pPr>
            <w:r>
              <w:rPr>
                <w:rFonts w:hint="eastAsia" w:ascii="宋体" w:hAnsi="宋体" w:cs="宋体"/>
              </w:rPr>
              <w:t>救生环（含安装）</w:t>
            </w:r>
          </w:p>
        </w:tc>
        <w:tc>
          <w:tcPr>
            <w:tcW w:w="266"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只</w:t>
            </w:r>
          </w:p>
        </w:tc>
        <w:tc>
          <w:tcPr>
            <w:tcW w:w="39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45.0 </w:t>
            </w:r>
          </w:p>
        </w:tc>
        <w:tc>
          <w:tcPr>
            <w:tcW w:w="561" w:type="pct"/>
            <w:tcBorders>
              <w:top w:val="nil"/>
              <w:left w:val="nil"/>
              <w:bottom w:val="single" w:color="auto" w:sz="4" w:space="0"/>
              <w:right w:val="single" w:color="auto" w:sz="4" w:space="0"/>
            </w:tcBorders>
            <w:shd w:val="clear" w:color="000000" w:fill="FFFFFF"/>
            <w:noWrap/>
            <w:vAlign w:val="center"/>
          </w:tcPr>
          <w:p>
            <w:pPr>
              <w:rPr>
                <w:rFonts w:ascii="宋体" w:hAnsi="宋体" w:cs="宋体"/>
              </w:rPr>
            </w:pPr>
            <w:r>
              <w:rPr>
                <w:rFonts w:hint="eastAsia" w:ascii="宋体" w:hAnsi="宋体" w:cs="宋体"/>
              </w:rPr>
              <w:t xml:space="preserve">140.00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rPr>
            </w:pPr>
            <w:r>
              <w:rPr>
                <w:rFonts w:hint="eastAsia" w:ascii="宋体" w:hAnsi="宋体" w:cs="宋体"/>
              </w:rPr>
              <w:t xml:space="preserve">6300 </w:t>
            </w:r>
          </w:p>
        </w:tc>
        <w:tc>
          <w:tcPr>
            <w:tcW w:w="1119" w:type="pct"/>
            <w:tcBorders>
              <w:top w:val="nil"/>
              <w:left w:val="nil"/>
              <w:bottom w:val="single" w:color="auto" w:sz="4" w:space="0"/>
              <w:right w:val="single" w:color="auto" w:sz="4" w:space="0"/>
            </w:tcBorders>
            <w:shd w:val="clear" w:color="000000" w:fill="FFFFFF"/>
            <w:vAlign w:val="center"/>
          </w:tcPr>
          <w:p>
            <w:pPr>
              <w:jc w:val="center"/>
              <w:rPr>
                <w:rFonts w:ascii="宋体" w:hAnsi="宋体" w:cs="宋体"/>
                <w:sz w:val="18"/>
                <w:szCs w:val="18"/>
              </w:rPr>
            </w:pPr>
            <w:r>
              <w:rPr>
                <w:rFonts w:hint="eastAsia" w:ascii="宋体" w:hAnsi="宋体" w:cs="宋体"/>
                <w:sz w:val="18"/>
                <w:szCs w:val="18"/>
              </w:rPr>
              <w:t>直径</w:t>
            </w:r>
            <w:r>
              <w:rPr>
                <w:sz w:val="18"/>
                <w:szCs w:val="18"/>
              </w:rPr>
              <w:t>20cm</w:t>
            </w:r>
            <w:r>
              <w:rPr>
                <w:rFonts w:hint="eastAsia" w:ascii="宋体" w:hAnsi="宋体" w:cs="宋体"/>
                <w:sz w:val="18"/>
                <w:szCs w:val="18"/>
              </w:rPr>
              <w:t>，膨胀螺丝安装</w:t>
            </w:r>
          </w:p>
        </w:tc>
      </w:tr>
      <w:tr>
        <w:tblPrEx>
          <w:tblCellMar>
            <w:top w:w="0" w:type="dxa"/>
            <w:left w:w="108" w:type="dxa"/>
            <w:bottom w:w="0" w:type="dxa"/>
            <w:right w:w="108" w:type="dxa"/>
          </w:tblCellMar>
        </w:tblPrEx>
        <w:trPr>
          <w:trHeight w:val="420" w:hRule="atLeast"/>
        </w:trPr>
        <w:tc>
          <w:tcPr>
            <w:tcW w:w="41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color w:val="000000"/>
                <w:sz w:val="22"/>
                <w:szCs w:val="22"/>
              </w:rPr>
            </w:pPr>
            <w:r>
              <w:rPr>
                <w:rFonts w:hint="eastAsia" w:ascii="宋体" w:hAnsi="宋体" w:cs="宋体"/>
                <w:b/>
                <w:bCs/>
                <w:color w:val="000000"/>
                <w:sz w:val="22"/>
                <w:szCs w:val="22"/>
              </w:rPr>
              <w:t>三</w:t>
            </w:r>
          </w:p>
        </w:tc>
        <w:tc>
          <w:tcPr>
            <w:tcW w:w="1521" w:type="pct"/>
            <w:tcBorders>
              <w:top w:val="nil"/>
              <w:left w:val="nil"/>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临时项目</w:t>
            </w:r>
          </w:p>
        </w:tc>
        <w:tc>
          <w:tcPr>
            <w:tcW w:w="266" w:type="pct"/>
            <w:tcBorders>
              <w:top w:val="nil"/>
              <w:left w:val="nil"/>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　</w:t>
            </w:r>
          </w:p>
        </w:tc>
        <w:tc>
          <w:tcPr>
            <w:tcW w:w="391" w:type="pct"/>
            <w:tcBorders>
              <w:top w:val="nil"/>
              <w:left w:val="nil"/>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　</w:t>
            </w:r>
          </w:p>
        </w:tc>
        <w:tc>
          <w:tcPr>
            <w:tcW w:w="561" w:type="pct"/>
            <w:tcBorders>
              <w:top w:val="nil"/>
              <w:left w:val="nil"/>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　</w:t>
            </w:r>
          </w:p>
        </w:tc>
        <w:tc>
          <w:tcPr>
            <w:tcW w:w="721" w:type="pct"/>
            <w:tcBorders>
              <w:top w:val="nil"/>
              <w:left w:val="nil"/>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11590 </w:t>
            </w:r>
          </w:p>
        </w:tc>
        <w:tc>
          <w:tcPr>
            <w:tcW w:w="1119" w:type="pct"/>
            <w:tcBorders>
              <w:top w:val="nil"/>
              <w:left w:val="nil"/>
              <w:bottom w:val="single" w:color="auto" w:sz="4" w:space="0"/>
              <w:right w:val="single" w:color="auto" w:sz="4" w:space="0"/>
            </w:tcBorders>
            <w:shd w:val="clear" w:color="auto" w:fill="auto"/>
            <w:noWrap/>
            <w:vAlign w:val="center"/>
          </w:tcPr>
          <w:p>
            <w:pPr>
              <w:rPr>
                <w:rFonts w:ascii="宋体" w:hAnsi="宋体" w:cs="宋体"/>
                <w:color w:val="000000"/>
                <w:sz w:val="22"/>
                <w:szCs w:val="22"/>
              </w:rPr>
            </w:pPr>
            <w:r>
              <w:rPr>
                <w:rFonts w:hint="eastAsia" w:ascii="宋体" w:hAnsi="宋体" w:cs="宋体"/>
                <w:color w:val="000000"/>
                <w:sz w:val="22"/>
                <w:szCs w:val="22"/>
              </w:rPr>
              <w:t>　</w:t>
            </w:r>
          </w:p>
        </w:tc>
      </w:tr>
      <w:tr>
        <w:tblPrEx>
          <w:tblCellMar>
            <w:top w:w="0" w:type="dxa"/>
            <w:left w:w="108" w:type="dxa"/>
            <w:bottom w:w="0" w:type="dxa"/>
            <w:right w:w="108" w:type="dxa"/>
          </w:tblCellMar>
        </w:tblPrEx>
        <w:trPr>
          <w:trHeight w:val="420" w:hRule="atLeast"/>
        </w:trPr>
        <w:tc>
          <w:tcPr>
            <w:tcW w:w="4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color w:val="000000"/>
                <w:sz w:val="22"/>
                <w:szCs w:val="22"/>
              </w:rPr>
            </w:pPr>
            <w:r>
              <w:rPr>
                <w:rFonts w:hint="eastAsia" w:ascii="宋体" w:hAnsi="宋体" w:cs="宋体"/>
                <w:b/>
                <w:bCs/>
                <w:color w:val="000000"/>
                <w:sz w:val="22"/>
                <w:szCs w:val="22"/>
              </w:rPr>
              <w:t>四</w:t>
            </w:r>
          </w:p>
        </w:tc>
        <w:tc>
          <w:tcPr>
            <w:tcW w:w="1521"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其他费用（安全施工费、第三责任险）</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　</w:t>
            </w:r>
          </w:p>
        </w:tc>
        <w:tc>
          <w:tcPr>
            <w:tcW w:w="391"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　</w:t>
            </w:r>
          </w:p>
        </w:tc>
        <w:tc>
          <w:tcPr>
            <w:tcW w:w="561"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b/>
                <w:bCs/>
                <w:color w:val="000000"/>
                <w:sz w:val="22"/>
                <w:szCs w:val="22"/>
              </w:rPr>
            </w:pPr>
            <w:r>
              <w:rPr>
                <w:rFonts w:hint="eastAsia" w:ascii="宋体" w:hAnsi="宋体" w:cs="宋体"/>
                <w:b/>
                <w:bCs/>
                <w:color w:val="000000"/>
                <w:sz w:val="22"/>
                <w:szCs w:val="22"/>
              </w:rPr>
              <w:t>　</w:t>
            </w:r>
          </w:p>
        </w:tc>
        <w:tc>
          <w:tcPr>
            <w:tcW w:w="721"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
                <w:bCs/>
              </w:rPr>
            </w:pPr>
            <w:r>
              <w:rPr>
                <w:rFonts w:hint="eastAsia" w:ascii="宋体" w:hAnsi="宋体" w:cs="宋体"/>
                <w:b/>
                <w:bCs/>
              </w:rPr>
              <w:t xml:space="preserve">9749 </w:t>
            </w:r>
          </w:p>
        </w:tc>
        <w:tc>
          <w:tcPr>
            <w:tcW w:w="1119"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color w:val="000000"/>
                <w:sz w:val="22"/>
                <w:szCs w:val="22"/>
              </w:rPr>
            </w:pPr>
            <w:r>
              <w:rPr>
                <w:rFonts w:hint="eastAsia" w:ascii="宋体" w:hAnsi="宋体" w:cs="宋体"/>
                <w:color w:val="000000"/>
                <w:sz w:val="22"/>
                <w:szCs w:val="22"/>
              </w:rPr>
              <w:t>　</w:t>
            </w:r>
          </w:p>
        </w:tc>
      </w:tr>
    </w:tbl>
    <w:p>
      <w:pPr>
        <w:pStyle w:val="2"/>
        <w:ind w:left="0" w:leftChars="0" w:firstLine="0" w:firstLineChars="0"/>
        <w:rPr>
          <w:b/>
          <w:bCs/>
        </w:rPr>
      </w:pPr>
    </w:p>
    <w:p>
      <w:pPr>
        <w:spacing w:line="400" w:lineRule="exact"/>
        <w:ind w:firstLine="480" w:firstLineChars="200"/>
        <w:rPr>
          <w:rFonts w:ascii="宋体" w:hAnsi="宋体" w:cs="宋体"/>
        </w:rPr>
      </w:pPr>
      <w:r>
        <w:rPr>
          <w:rFonts w:hint="eastAsia" w:ascii="宋体" w:hAnsi="宋体" w:cs="宋体"/>
        </w:rPr>
        <w:t>（一）经常性维修养护项目</w:t>
      </w:r>
    </w:p>
    <w:p>
      <w:pPr>
        <w:spacing w:line="400" w:lineRule="exact"/>
        <w:ind w:firstLine="480" w:firstLineChars="200"/>
        <w:rPr>
          <w:rFonts w:ascii="宋体" w:hAnsi="宋体" w:cs="宋体"/>
        </w:rPr>
      </w:pPr>
      <w:r>
        <w:rPr>
          <w:rFonts w:hint="eastAsia" w:ascii="宋体" w:hAnsi="宋体" w:cs="宋体"/>
        </w:rPr>
        <w:t>1、安地水库灌区</w:t>
      </w:r>
    </w:p>
    <w:p>
      <w:pPr>
        <w:spacing w:line="400" w:lineRule="exact"/>
        <w:ind w:firstLine="480" w:firstLineChars="200"/>
        <w:rPr>
          <w:rFonts w:ascii="宋体" w:hAnsi="宋体" w:cs="宋体"/>
        </w:rPr>
      </w:pPr>
      <w:r>
        <w:rPr>
          <w:rFonts w:hint="eastAsia" w:ascii="宋体" w:hAnsi="宋体" w:cs="宋体"/>
        </w:rPr>
        <w:t xml:space="preserve">（1）渠道清淤；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2</w:t>
      </w:r>
      <w:r>
        <w:rPr>
          <w:rFonts w:hint="eastAsia" w:ascii="宋体" w:hAnsi="宋体" w:cs="宋体"/>
        </w:rPr>
        <w:t xml:space="preserve">）渠道渠顶路面及堤顶路面土方养护；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3</w:t>
      </w:r>
      <w:r>
        <w:rPr>
          <w:rFonts w:hint="eastAsia" w:ascii="宋体" w:hAnsi="宋体" w:cs="宋体"/>
        </w:rPr>
        <w:t xml:space="preserve">）渠道两侧及渠堤杂草清理及绿化养护；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4</w:t>
      </w:r>
      <w:r>
        <w:rPr>
          <w:rFonts w:hint="eastAsia" w:ascii="宋体" w:hAnsi="宋体" w:cs="宋体"/>
        </w:rPr>
        <w:t xml:space="preserve">）放水涵洞日常养护；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5</w:t>
      </w:r>
      <w:r>
        <w:rPr>
          <w:rFonts w:hint="eastAsia" w:ascii="宋体" w:hAnsi="宋体" w:cs="宋体"/>
        </w:rPr>
        <w:t xml:space="preserve">）涵洞、倒虹吸等淤泥开挖；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6</w:t>
      </w:r>
      <w:r>
        <w:rPr>
          <w:rFonts w:hint="eastAsia" w:ascii="宋体" w:hAnsi="宋体" w:cs="宋体"/>
        </w:rPr>
        <w:t xml:space="preserve">）水闸维修养护；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7</w:t>
      </w:r>
      <w:r>
        <w:rPr>
          <w:rFonts w:hint="eastAsia" w:ascii="宋体" w:hAnsi="宋体" w:cs="宋体"/>
        </w:rPr>
        <w:t xml:space="preserve">）生产区绿化日常养护；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8</w:t>
      </w:r>
      <w:r>
        <w:rPr>
          <w:rFonts w:hint="eastAsia" w:ascii="宋体" w:hAnsi="宋体" w:cs="宋体"/>
        </w:rPr>
        <w:t>）渠道保洁工程;</w:t>
      </w:r>
    </w:p>
    <w:p>
      <w:pPr>
        <w:spacing w:line="400" w:lineRule="exact"/>
        <w:ind w:firstLine="480" w:firstLineChars="200"/>
        <w:rPr>
          <w:rFonts w:ascii="宋体" w:hAnsi="宋体" w:cs="宋体"/>
        </w:rPr>
      </w:pPr>
      <w:r>
        <w:rPr>
          <w:rFonts w:hint="eastAsia" w:ascii="宋体" w:hAnsi="宋体" w:cs="宋体"/>
        </w:rPr>
        <w:t xml:space="preserve">（9）高压配电室维修养护。 </w:t>
      </w:r>
    </w:p>
    <w:p>
      <w:pPr>
        <w:spacing w:line="400" w:lineRule="exact"/>
        <w:ind w:firstLine="480" w:firstLineChars="200"/>
        <w:rPr>
          <w:rFonts w:ascii="宋体" w:hAnsi="宋体" w:cs="宋体"/>
        </w:rPr>
      </w:pPr>
      <w:r>
        <w:rPr>
          <w:rFonts w:hint="eastAsia" w:ascii="宋体" w:hAnsi="宋体" w:cs="宋体"/>
        </w:rPr>
        <w:t>2、汪家垅水库</w:t>
      </w:r>
    </w:p>
    <w:p>
      <w:pPr>
        <w:spacing w:line="400" w:lineRule="exact"/>
        <w:ind w:firstLine="480" w:firstLineChars="200"/>
        <w:rPr>
          <w:rFonts w:ascii="宋体" w:hAnsi="宋体" w:cs="宋体"/>
        </w:rPr>
      </w:pPr>
      <w:r>
        <w:rPr>
          <w:rFonts w:hint="eastAsia" w:ascii="宋体" w:hAnsi="宋体" w:cs="宋体"/>
        </w:rPr>
        <w:t>（1）主体工程维修养护：大坝坝面草皮修整、养护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2</w:t>
      </w:r>
      <w:r>
        <w:rPr>
          <w:rFonts w:hint="eastAsia" w:ascii="宋体" w:hAnsi="宋体" w:cs="宋体"/>
        </w:rPr>
        <w:t>）管理区绿化养护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3</w:t>
      </w:r>
      <w:r>
        <w:rPr>
          <w:rFonts w:hint="eastAsia" w:ascii="宋体" w:hAnsi="宋体" w:cs="宋体"/>
        </w:rPr>
        <w:t>）放水涵闸日常养护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4</w:t>
      </w:r>
      <w:r>
        <w:rPr>
          <w:rFonts w:hint="eastAsia" w:ascii="宋体" w:hAnsi="宋体" w:cs="宋体"/>
        </w:rPr>
        <w:t xml:space="preserve">）库面保洁； </w:t>
      </w:r>
    </w:p>
    <w:p>
      <w:pPr>
        <w:spacing w:line="400" w:lineRule="exact"/>
        <w:ind w:firstLine="480" w:firstLineChars="200"/>
        <w:rPr>
          <w:rFonts w:ascii="宋体" w:hAnsi="宋体" w:cs="宋体"/>
        </w:rPr>
      </w:pPr>
      <w:r>
        <w:rPr>
          <w:rFonts w:hint="eastAsia" w:ascii="宋体" w:hAnsi="宋体" w:cs="宋体"/>
        </w:rPr>
        <w:t>（5）高压配电室维修养护。</w:t>
      </w:r>
    </w:p>
    <w:p>
      <w:pPr>
        <w:spacing w:line="400" w:lineRule="exact"/>
        <w:ind w:firstLine="480" w:firstLineChars="200"/>
        <w:rPr>
          <w:rFonts w:ascii="宋体" w:hAnsi="宋体" w:cs="宋体"/>
        </w:rPr>
      </w:pPr>
      <w:r>
        <w:rPr>
          <w:rFonts w:hint="eastAsia" w:ascii="宋体" w:hAnsi="宋体" w:cs="宋体"/>
        </w:rPr>
        <w:t xml:space="preserve">3、铁堰水闸 </w:t>
      </w:r>
    </w:p>
    <w:p>
      <w:pPr>
        <w:spacing w:line="400" w:lineRule="exact"/>
        <w:ind w:firstLine="480" w:firstLineChars="200"/>
        <w:rPr>
          <w:rFonts w:ascii="宋体" w:hAnsi="宋体" w:cs="宋体"/>
        </w:rPr>
      </w:pPr>
      <w:r>
        <w:rPr>
          <w:rFonts w:hint="eastAsia" w:ascii="宋体" w:hAnsi="宋体" w:cs="宋体"/>
        </w:rPr>
        <w:t xml:space="preserve">（1）前池清淤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2</w:t>
      </w:r>
      <w:r>
        <w:rPr>
          <w:rFonts w:hint="eastAsia" w:ascii="宋体" w:hAnsi="宋体" w:cs="宋体"/>
        </w:rPr>
        <w:t xml:space="preserve">）启闭设备维修养护； </w:t>
      </w:r>
    </w:p>
    <w:p>
      <w:pPr>
        <w:spacing w:line="400" w:lineRule="exact"/>
        <w:ind w:firstLine="480" w:firstLineChars="200"/>
        <w:rPr>
          <w:rFonts w:ascii="宋体" w:hAnsi="宋体" w:cs="宋体"/>
        </w:rPr>
      </w:pPr>
      <w:r>
        <w:rPr>
          <w:rFonts w:hint="eastAsia" w:ascii="宋体" w:hAnsi="宋体" w:cs="宋体"/>
        </w:rPr>
        <w:t>（</w:t>
      </w:r>
      <w:r>
        <w:rPr>
          <w:rFonts w:ascii="宋体" w:hAnsi="宋体" w:cs="宋体"/>
        </w:rPr>
        <w:t>3</w:t>
      </w:r>
      <w:r>
        <w:rPr>
          <w:rFonts w:hint="eastAsia" w:ascii="宋体" w:hAnsi="宋体" w:cs="宋体"/>
        </w:rPr>
        <w:t>）附属设施绿化养护；</w:t>
      </w:r>
    </w:p>
    <w:p>
      <w:pPr>
        <w:spacing w:line="400" w:lineRule="exact"/>
        <w:ind w:firstLine="480" w:firstLineChars="200"/>
        <w:rPr>
          <w:rFonts w:ascii="宋体" w:hAnsi="宋体" w:cs="宋体"/>
        </w:rPr>
      </w:pPr>
      <w:r>
        <w:rPr>
          <w:rFonts w:hint="eastAsia" w:ascii="宋体" w:hAnsi="宋体" w:cs="宋体"/>
        </w:rPr>
        <w:t>（4）保洁工程：水面保洁、堰坝等硬质路面保洁。</w:t>
      </w:r>
    </w:p>
    <w:p>
      <w:pPr>
        <w:spacing w:line="400" w:lineRule="exact"/>
        <w:ind w:firstLine="480" w:firstLineChars="200"/>
        <w:rPr>
          <w:rFonts w:ascii="宋体" w:hAnsi="宋体" w:cs="宋体"/>
        </w:rPr>
      </w:pPr>
      <w:r>
        <w:rPr>
          <w:rFonts w:hint="eastAsia" w:ascii="宋体" w:hAnsi="宋体" w:cs="宋体"/>
        </w:rPr>
        <w:t xml:space="preserve">4、国湖提水泵站 </w:t>
      </w:r>
    </w:p>
    <w:p>
      <w:pPr>
        <w:spacing w:line="400" w:lineRule="exact"/>
        <w:ind w:firstLine="480" w:firstLineChars="200"/>
        <w:rPr>
          <w:rFonts w:ascii="宋体" w:hAnsi="宋体" w:cs="宋体"/>
        </w:rPr>
      </w:pPr>
      <w:r>
        <w:rPr>
          <w:rFonts w:hint="eastAsia" w:ascii="宋体" w:hAnsi="宋体" w:cs="宋体"/>
        </w:rPr>
        <w:t>机电设备维修养护、进水池清淤、高压配电室维修养护、管理区绿化养护。</w:t>
      </w:r>
    </w:p>
    <w:p>
      <w:pPr>
        <w:spacing w:line="400" w:lineRule="exact"/>
        <w:ind w:firstLine="480" w:firstLineChars="200"/>
        <w:rPr>
          <w:rFonts w:ascii="宋体" w:hAnsi="宋体" w:cs="宋体"/>
        </w:rPr>
      </w:pPr>
      <w:r>
        <w:rPr>
          <w:rFonts w:hint="eastAsia" w:ascii="宋体" w:hAnsi="宋体" w:cs="宋体"/>
        </w:rPr>
        <w:t>5、保洁部分</w:t>
      </w:r>
    </w:p>
    <w:p>
      <w:pPr>
        <w:spacing w:line="400" w:lineRule="exact"/>
        <w:ind w:firstLine="480" w:firstLineChars="200"/>
        <w:rPr>
          <w:rFonts w:ascii="宋体" w:hAnsi="宋体" w:cs="宋体"/>
        </w:rPr>
      </w:pPr>
      <w:r>
        <w:rPr>
          <w:rFonts w:hint="eastAsia" w:ascii="宋体" w:hAnsi="宋体" w:cs="宋体"/>
        </w:rPr>
        <w:t>（二）年度性项目</w:t>
      </w:r>
    </w:p>
    <w:p>
      <w:pPr>
        <w:spacing w:line="400" w:lineRule="exact"/>
        <w:ind w:firstLine="480" w:firstLineChars="200"/>
        <w:rPr>
          <w:rFonts w:ascii="宋体" w:hAnsi="宋体" w:cs="宋体"/>
        </w:rPr>
      </w:pPr>
      <w:r>
        <w:rPr>
          <w:rFonts w:hint="eastAsia" w:ascii="宋体" w:hAnsi="宋体" w:cs="宋体"/>
        </w:rPr>
        <w:t>1、安地水库灌区：</w:t>
      </w:r>
    </w:p>
    <w:p>
      <w:pPr>
        <w:spacing w:line="400" w:lineRule="exact"/>
        <w:ind w:firstLine="480" w:firstLineChars="200"/>
        <w:rPr>
          <w:rFonts w:ascii="宋体" w:hAnsi="宋体" w:cs="宋体"/>
        </w:rPr>
      </w:pPr>
      <w:r>
        <w:rPr>
          <w:rFonts w:hint="eastAsia" w:ascii="宋体" w:hAnsi="宋体" w:cs="宋体"/>
        </w:rPr>
        <w:t>（1）巡查道路：西干渠（K4+650~K4+775）段、东干渠（K5+750~K6+037）段、东干渠（K6+037~K6+137）段、东干渠（K18+200~K18+270）段、东干渠（18+350~K18+700）段、金长垅支渠（K1+360~K1+410）。</w:t>
      </w:r>
    </w:p>
    <w:p>
      <w:pPr>
        <w:spacing w:line="400" w:lineRule="exact"/>
        <w:ind w:firstLine="480" w:firstLineChars="200"/>
        <w:rPr>
          <w:rFonts w:ascii="宋体" w:hAnsi="宋体" w:cs="宋体"/>
        </w:rPr>
      </w:pPr>
      <w:r>
        <w:rPr>
          <w:rFonts w:hint="eastAsia" w:ascii="宋体" w:hAnsi="宋体" w:cs="宋体"/>
        </w:rPr>
        <w:t>（2）防渗项目：西干渠（K0+300-0+400）、西干渠（K1+580）、西干渠（K4+650）、金长垅支渠（K1+200~K1+315）。</w:t>
      </w:r>
    </w:p>
    <w:p>
      <w:pPr>
        <w:spacing w:line="400" w:lineRule="exact"/>
        <w:ind w:firstLine="480" w:firstLineChars="200"/>
        <w:rPr>
          <w:rFonts w:ascii="宋体" w:hAnsi="宋体" w:cs="宋体"/>
        </w:rPr>
      </w:pPr>
      <w:r>
        <w:rPr>
          <w:rFonts w:hint="eastAsia" w:ascii="宋体" w:hAnsi="宋体" w:cs="宋体"/>
        </w:rPr>
        <w:t>（3）各生产管理站修复项目。</w:t>
      </w:r>
    </w:p>
    <w:p>
      <w:pPr>
        <w:spacing w:line="400" w:lineRule="exact"/>
        <w:ind w:firstLine="480" w:firstLineChars="200"/>
        <w:rPr>
          <w:rFonts w:ascii="宋体" w:hAnsi="宋体" w:cs="宋体"/>
        </w:rPr>
      </w:pPr>
      <w:r>
        <w:rPr>
          <w:rFonts w:hint="eastAsia" w:ascii="宋体" w:hAnsi="宋体" w:cs="宋体"/>
        </w:rPr>
        <w:t>（4）安全防护设施项目。</w:t>
      </w:r>
    </w:p>
    <w:p>
      <w:pPr>
        <w:spacing w:line="400" w:lineRule="exact"/>
        <w:ind w:firstLine="480" w:firstLineChars="200"/>
        <w:rPr>
          <w:rFonts w:ascii="宋体" w:hAnsi="宋体" w:cs="宋体"/>
        </w:rPr>
      </w:pPr>
      <w:r>
        <w:rPr>
          <w:rFonts w:hint="eastAsia" w:ascii="宋体" w:hAnsi="宋体" w:cs="宋体"/>
        </w:rPr>
        <w:t>（三）临时（零星）项目</w:t>
      </w:r>
    </w:p>
    <w:p>
      <w:pPr>
        <w:spacing w:line="400" w:lineRule="exact"/>
        <w:ind w:firstLine="480" w:firstLineChars="200"/>
        <w:rPr>
          <w:rFonts w:ascii="宋体" w:hAnsi="宋体" w:cs="宋体"/>
        </w:rPr>
      </w:pPr>
      <w:r>
        <w:rPr>
          <w:rFonts w:hint="eastAsia" w:ascii="宋体" w:hAnsi="宋体" w:cs="宋体"/>
        </w:rPr>
        <w:t>以上维修养护项目详见工程量清单</w:t>
      </w:r>
    </w:p>
    <w:p>
      <w:pPr>
        <w:spacing w:line="400" w:lineRule="exact"/>
        <w:ind w:firstLine="480" w:firstLineChars="200"/>
        <w:rPr>
          <w:rFonts w:ascii="宋体" w:hAnsi="宋体" w:cs="宋体"/>
        </w:rPr>
      </w:pPr>
      <w:r>
        <w:rPr>
          <w:rFonts w:hint="eastAsia" w:ascii="宋体" w:hAnsi="宋体" w:cs="宋体"/>
        </w:rPr>
        <w:t>六、项目实施要求</w:t>
      </w:r>
    </w:p>
    <w:p>
      <w:pPr>
        <w:spacing w:line="400" w:lineRule="exact"/>
        <w:ind w:firstLine="480" w:firstLineChars="200"/>
        <w:rPr>
          <w:rFonts w:ascii="宋体" w:hAnsi="宋体" w:cs="宋体"/>
        </w:rPr>
      </w:pPr>
      <w:r>
        <w:rPr>
          <w:rFonts w:hint="eastAsia" w:ascii="宋体" w:hAnsi="宋体" w:cs="宋体"/>
        </w:rPr>
        <w:t>（一）安地水库灌区维修养护</w:t>
      </w:r>
    </w:p>
    <w:p>
      <w:pPr>
        <w:ind w:firstLine="480" w:firstLineChars="200"/>
        <w:rPr>
          <w:rFonts w:ascii="宋体" w:hAnsi="宋体" w:cs="宋体"/>
        </w:rPr>
      </w:pPr>
      <w:r>
        <w:rPr>
          <w:rFonts w:hint="eastAsia" w:ascii="宋体" w:hAnsi="宋体" w:cs="宋体"/>
        </w:rPr>
        <w:t>根据《浙江省大中型灌区运行管理规程（试行）》规定，要求如下：</w:t>
      </w:r>
    </w:p>
    <w:p>
      <w:pPr>
        <w:spacing w:line="400" w:lineRule="exact"/>
        <w:ind w:firstLine="480" w:firstLineChars="200"/>
        <w:rPr>
          <w:rFonts w:ascii="宋体" w:hAnsi="宋体" w:cs="宋体"/>
        </w:rPr>
      </w:pPr>
      <w:r>
        <w:rPr>
          <w:rFonts w:hint="eastAsia" w:ascii="宋体" w:hAnsi="宋体" w:cs="宋体"/>
        </w:rPr>
        <w:t xml:space="preserve">1、渠道：土渠无雨淋沟、严重渗漏、裂缝、塌陷等缺陷；混凝土渠表面整洁，无脱壳、剥落、裂缝等现象；浆砌石渠无塌陷、松动、隆起、底部掏空、垫层流失等现象；渠道翼墙后填土区无跌落、塌陷；沟底有无冲坑淤积；渠道内行水通畅。 </w:t>
      </w:r>
    </w:p>
    <w:p>
      <w:pPr>
        <w:spacing w:line="400" w:lineRule="exact"/>
        <w:ind w:firstLine="480" w:firstLineChars="200"/>
        <w:rPr>
          <w:rFonts w:ascii="宋体" w:hAnsi="宋体" w:cs="宋体"/>
        </w:rPr>
      </w:pPr>
      <w:r>
        <w:rPr>
          <w:rFonts w:hint="eastAsia" w:ascii="宋体" w:hAnsi="宋体" w:cs="宋体"/>
        </w:rPr>
        <w:t xml:space="preserve">2、闸门：闸板完整、平正、无变形；螺丝及铁件无严重腐蚀；闸墙及两翼墙基础无裂隙、崩塌、沉陷；启闭设备开启灵活；螺杆要有足够的润滑。 </w:t>
      </w:r>
    </w:p>
    <w:p>
      <w:pPr>
        <w:spacing w:line="400" w:lineRule="exact"/>
        <w:ind w:firstLine="480" w:firstLineChars="200"/>
        <w:rPr>
          <w:rFonts w:ascii="宋体" w:hAnsi="宋体" w:cs="宋体"/>
        </w:rPr>
      </w:pPr>
      <w:r>
        <w:rPr>
          <w:rFonts w:hint="eastAsia" w:ascii="宋体" w:hAnsi="宋体" w:cs="宋体"/>
        </w:rPr>
        <w:t xml:space="preserve">3、渡槽：基础及翼墙完好、无裂痕、崩塌、沉陷、渗水等现象；闸板无腐烂、无漏水；启闭机完好、启闭螺杆要有足够的润滑油；槽身伸缩节中的伸缩橡皮无老化，无漏水。 </w:t>
      </w:r>
    </w:p>
    <w:p>
      <w:pPr>
        <w:spacing w:line="400" w:lineRule="exact"/>
        <w:ind w:firstLine="480" w:firstLineChars="200"/>
        <w:rPr>
          <w:rFonts w:ascii="宋体" w:hAnsi="宋体" w:cs="宋体"/>
        </w:rPr>
      </w:pPr>
      <w:r>
        <w:rPr>
          <w:rFonts w:hint="eastAsia" w:ascii="宋体" w:hAnsi="宋体" w:cs="宋体"/>
        </w:rPr>
        <w:t>4、倒虹吸：基础无沉陷、无变形、无裂缝、无漏水及锈蚀；支座滑轨有足够的润滑油；伸缩节的盘根无老化、无喷水；管道两边的排水沟无杂草杂物堵塞影响排水，无渗漏；压力（钢）管外表防锈漆无剥蚀，其内壁无气蚀。</w:t>
      </w:r>
    </w:p>
    <w:p>
      <w:pPr>
        <w:spacing w:line="400" w:lineRule="exact"/>
        <w:ind w:firstLine="480" w:firstLineChars="200"/>
        <w:rPr>
          <w:rFonts w:ascii="宋体" w:hAnsi="宋体" w:cs="宋体"/>
        </w:rPr>
      </w:pPr>
      <w:r>
        <w:rPr>
          <w:rFonts w:hint="eastAsia" w:ascii="宋体" w:hAnsi="宋体" w:cs="宋体"/>
        </w:rPr>
        <w:t>5、隧洞：洞口无杂物堵塞，洞内无塌方及其他杂物堵塞。与渡槽或渠道衔接处无漏水。洞内衬砌完好无破损无崩塌。</w:t>
      </w:r>
    </w:p>
    <w:p>
      <w:pPr>
        <w:spacing w:line="400" w:lineRule="exact"/>
        <w:ind w:firstLine="480" w:firstLineChars="200"/>
        <w:rPr>
          <w:rFonts w:ascii="宋体" w:hAnsi="宋体" w:cs="宋体"/>
        </w:rPr>
      </w:pPr>
      <w:r>
        <w:rPr>
          <w:rFonts w:hint="eastAsia" w:ascii="宋体" w:hAnsi="宋体" w:cs="宋体"/>
        </w:rPr>
        <w:t>（二）汪家垅水库维修养护</w:t>
      </w:r>
    </w:p>
    <w:p>
      <w:pPr>
        <w:spacing w:line="400" w:lineRule="exact"/>
        <w:ind w:firstLine="480" w:firstLineChars="200"/>
        <w:rPr>
          <w:rFonts w:ascii="宋体" w:hAnsi="宋体" w:cs="宋体"/>
        </w:rPr>
      </w:pPr>
      <w:r>
        <w:rPr>
          <w:rFonts w:hint="eastAsia" w:ascii="宋体" w:hAnsi="宋体" w:cs="宋体"/>
        </w:rPr>
        <w:t>根据《浙江省小型水库运行管理规程（试行）》的规定，要求如下：</w:t>
      </w:r>
    </w:p>
    <w:p>
      <w:pPr>
        <w:spacing w:line="400" w:lineRule="exact"/>
        <w:ind w:firstLine="480" w:firstLineChars="200"/>
        <w:rPr>
          <w:rFonts w:ascii="宋体" w:hAnsi="宋体" w:cs="宋体"/>
        </w:rPr>
      </w:pPr>
      <w:r>
        <w:rPr>
          <w:rFonts w:hint="eastAsia" w:ascii="宋体" w:hAnsi="宋体" w:cs="宋体"/>
        </w:rPr>
        <w:t xml:space="preserve">1、拦河坝、溢洪道、输（泄）水涵（管、洞）等水工建筑物无明显的裂缝、滑坡、孔洞、破损、渗水、冲刷等现象。 </w:t>
      </w:r>
    </w:p>
    <w:p>
      <w:pPr>
        <w:spacing w:line="400" w:lineRule="exact"/>
        <w:ind w:firstLine="480" w:firstLineChars="200"/>
        <w:rPr>
          <w:rFonts w:ascii="宋体" w:hAnsi="宋体" w:cs="宋体"/>
        </w:rPr>
      </w:pPr>
      <w:r>
        <w:rPr>
          <w:rFonts w:hint="eastAsia" w:ascii="宋体" w:hAnsi="宋体" w:cs="宋体"/>
        </w:rPr>
        <w:t xml:space="preserve">2、坝顶及坝面整洁，无杂物、杂草、杂树，无垦植，防浪墙无裂缝、倾斜等，排水沟、导渗设施畅通。 </w:t>
      </w:r>
    </w:p>
    <w:p>
      <w:pPr>
        <w:spacing w:line="400" w:lineRule="exact"/>
        <w:ind w:firstLine="480" w:firstLineChars="200"/>
        <w:rPr>
          <w:rFonts w:ascii="宋体" w:hAnsi="宋体" w:cs="宋体"/>
        </w:rPr>
      </w:pPr>
      <w:r>
        <w:rPr>
          <w:rFonts w:hint="eastAsia" w:ascii="宋体" w:hAnsi="宋体" w:cs="宋体"/>
        </w:rPr>
        <w:t xml:space="preserve">3、溢洪道无堆积物等行水障碍物，过水通畅。 </w:t>
      </w:r>
    </w:p>
    <w:p>
      <w:pPr>
        <w:spacing w:line="400" w:lineRule="exact"/>
        <w:ind w:firstLine="480" w:firstLineChars="200"/>
        <w:rPr>
          <w:rFonts w:ascii="宋体" w:hAnsi="宋体" w:cs="宋体"/>
        </w:rPr>
      </w:pPr>
      <w:r>
        <w:rPr>
          <w:rFonts w:hint="eastAsia" w:ascii="宋体" w:hAnsi="宋体" w:cs="宋体"/>
        </w:rPr>
        <w:t xml:space="preserve">4、闸门、拉杆表面无锈蚀及异常变形，启闭灵活，止水有效。 </w:t>
      </w:r>
    </w:p>
    <w:p>
      <w:pPr>
        <w:spacing w:line="400" w:lineRule="exact"/>
        <w:ind w:firstLine="480" w:firstLineChars="200"/>
        <w:rPr>
          <w:rFonts w:ascii="宋体" w:hAnsi="宋体" w:cs="宋体"/>
        </w:rPr>
      </w:pPr>
      <w:r>
        <w:rPr>
          <w:rFonts w:hint="eastAsia" w:ascii="宋体" w:hAnsi="宋体" w:cs="宋体"/>
        </w:rPr>
        <w:t xml:space="preserve">5、管理房整洁，上坝道路畅通。 </w:t>
      </w:r>
    </w:p>
    <w:p>
      <w:pPr>
        <w:spacing w:line="400" w:lineRule="exact"/>
        <w:ind w:firstLine="480" w:firstLineChars="200"/>
        <w:rPr>
          <w:rFonts w:ascii="宋体" w:hAnsi="宋体" w:cs="宋体"/>
        </w:rPr>
      </w:pPr>
      <w:r>
        <w:rPr>
          <w:rFonts w:hint="eastAsia" w:ascii="宋体" w:hAnsi="宋体" w:cs="宋体"/>
        </w:rPr>
        <w:t xml:space="preserve">6、水文遥测和集中观测设施能正常运行。 </w:t>
      </w:r>
    </w:p>
    <w:p>
      <w:pPr>
        <w:spacing w:line="400" w:lineRule="exact"/>
        <w:ind w:firstLine="480" w:firstLineChars="200"/>
        <w:rPr>
          <w:rFonts w:ascii="宋体" w:hAnsi="宋体" w:cs="宋体"/>
        </w:rPr>
      </w:pPr>
      <w:r>
        <w:rPr>
          <w:rFonts w:hint="eastAsia" w:ascii="宋体" w:hAnsi="宋体" w:cs="宋体"/>
        </w:rPr>
        <w:t>（三）铁堰水闸维修养护</w:t>
      </w:r>
    </w:p>
    <w:p>
      <w:pPr>
        <w:spacing w:line="400" w:lineRule="exact"/>
        <w:ind w:firstLine="480" w:firstLineChars="200"/>
        <w:rPr>
          <w:rFonts w:ascii="宋体" w:hAnsi="宋体" w:cs="宋体"/>
        </w:rPr>
      </w:pPr>
      <w:r>
        <w:rPr>
          <w:rFonts w:hint="eastAsia" w:ascii="宋体" w:hAnsi="宋体" w:cs="宋体"/>
        </w:rPr>
        <w:t xml:space="preserve">根据《浙江省大中型水闸工程运行管理规程》（试行）规定，要求如下： </w:t>
      </w:r>
    </w:p>
    <w:p>
      <w:pPr>
        <w:spacing w:line="400" w:lineRule="exact"/>
        <w:ind w:firstLine="480" w:firstLineChars="200"/>
        <w:rPr>
          <w:rFonts w:ascii="宋体" w:hAnsi="宋体" w:cs="宋体"/>
        </w:rPr>
      </w:pPr>
      <w:r>
        <w:rPr>
          <w:rFonts w:hint="eastAsia" w:ascii="宋体" w:hAnsi="宋体" w:cs="宋体"/>
        </w:rPr>
        <w:t xml:space="preserve">1、对工程进行维修养护，消除工程缺陷和隐患，维持良好的运行情况及形象面貌。 </w:t>
      </w:r>
    </w:p>
    <w:p>
      <w:pPr>
        <w:spacing w:line="400" w:lineRule="exact"/>
        <w:ind w:firstLine="480" w:firstLineChars="200"/>
        <w:rPr>
          <w:rFonts w:ascii="宋体" w:hAnsi="宋体" w:cs="宋体"/>
        </w:rPr>
      </w:pPr>
      <w:r>
        <w:rPr>
          <w:rFonts w:hint="eastAsia" w:ascii="宋体" w:hAnsi="宋体" w:cs="宋体"/>
        </w:rPr>
        <w:t xml:space="preserve">2、维护各类观测设施、设备完整，保证正常运行。 </w:t>
      </w:r>
    </w:p>
    <w:p>
      <w:pPr>
        <w:spacing w:line="400" w:lineRule="exact"/>
        <w:ind w:firstLine="480" w:firstLineChars="200"/>
        <w:rPr>
          <w:rFonts w:ascii="宋体" w:hAnsi="宋体" w:cs="宋体"/>
        </w:rPr>
      </w:pPr>
      <w:r>
        <w:rPr>
          <w:rFonts w:hint="eastAsia" w:ascii="宋体" w:hAnsi="宋体" w:cs="宋体"/>
        </w:rPr>
        <w:t xml:space="preserve">3、堰坝坝面整洁，无杂物、杂草、杂树，无垦植等。 </w:t>
      </w:r>
    </w:p>
    <w:p>
      <w:pPr>
        <w:spacing w:line="400" w:lineRule="exact"/>
        <w:ind w:firstLine="480" w:firstLineChars="200"/>
        <w:rPr>
          <w:rFonts w:ascii="宋体" w:hAnsi="宋体" w:cs="宋体"/>
        </w:rPr>
      </w:pPr>
      <w:r>
        <w:rPr>
          <w:rFonts w:hint="eastAsia" w:ascii="宋体" w:hAnsi="宋体" w:cs="宋体"/>
        </w:rPr>
        <w:t>（四）国湖提水泵站维修养护</w:t>
      </w:r>
    </w:p>
    <w:p>
      <w:pPr>
        <w:spacing w:line="400" w:lineRule="exact"/>
        <w:ind w:firstLine="480" w:firstLineChars="200"/>
        <w:rPr>
          <w:rFonts w:ascii="宋体" w:hAnsi="宋体" w:cs="宋体"/>
        </w:rPr>
      </w:pPr>
      <w:r>
        <w:rPr>
          <w:rFonts w:hint="eastAsia" w:ascii="宋体" w:hAnsi="宋体" w:cs="宋体"/>
        </w:rPr>
        <w:t>根据《浙江省泵站运行管理规程》（试行）的规定，要求如下：</w:t>
      </w:r>
    </w:p>
    <w:p>
      <w:pPr>
        <w:spacing w:line="400" w:lineRule="exact"/>
        <w:ind w:firstLine="480" w:firstLineChars="200"/>
        <w:rPr>
          <w:rFonts w:ascii="宋体" w:hAnsi="宋体" w:cs="宋体"/>
        </w:rPr>
      </w:pPr>
      <w:r>
        <w:rPr>
          <w:rFonts w:hint="eastAsia" w:ascii="宋体" w:hAnsi="宋体" w:cs="宋体"/>
        </w:rPr>
        <w:t xml:space="preserve">1、对泵站内机、电、液压设备进行经常性技术养护，保证各类设备状况良好，确保泵闸能随时安全运行。 </w:t>
      </w:r>
    </w:p>
    <w:p>
      <w:pPr>
        <w:spacing w:line="400" w:lineRule="exact"/>
        <w:ind w:firstLine="480" w:firstLineChars="200"/>
        <w:rPr>
          <w:rFonts w:ascii="宋体" w:hAnsi="宋体" w:cs="宋体"/>
        </w:rPr>
      </w:pPr>
      <w:r>
        <w:rPr>
          <w:rFonts w:hint="eastAsia" w:ascii="宋体" w:hAnsi="宋体" w:cs="宋体"/>
        </w:rPr>
        <w:t xml:space="preserve">2、对进水渠淤泥进行清理，确保进出水通道畅通维护各类辅助设施，保证正常运行。 </w:t>
      </w:r>
    </w:p>
    <w:p>
      <w:pPr>
        <w:spacing w:line="400" w:lineRule="exact"/>
        <w:ind w:firstLine="480" w:firstLineChars="200"/>
        <w:rPr>
          <w:rFonts w:ascii="宋体" w:hAnsi="宋体" w:cs="宋体"/>
        </w:rPr>
      </w:pPr>
      <w:r>
        <w:rPr>
          <w:rFonts w:hint="eastAsia" w:ascii="宋体" w:hAnsi="宋体" w:cs="宋体"/>
        </w:rPr>
        <w:t xml:space="preserve">3、维护高压配电设备，配电室，保证正常运行。 </w:t>
      </w:r>
    </w:p>
    <w:p>
      <w:pPr>
        <w:spacing w:line="400" w:lineRule="exact"/>
        <w:ind w:firstLine="480" w:firstLineChars="200"/>
        <w:rPr>
          <w:rFonts w:ascii="宋体" w:hAnsi="宋体" w:cs="宋体"/>
        </w:rPr>
      </w:pPr>
      <w:r>
        <w:rPr>
          <w:rFonts w:hint="eastAsia" w:ascii="宋体" w:hAnsi="宋体" w:cs="宋体"/>
        </w:rPr>
        <w:t xml:space="preserve">4、维护各类铺助设施，保证正常运行。 </w:t>
      </w:r>
    </w:p>
    <w:p>
      <w:pPr>
        <w:ind w:firstLine="480" w:firstLineChars="200"/>
        <w:rPr>
          <w:rFonts w:ascii="宋体" w:hAnsi="宋体" w:cs="宋体"/>
        </w:rPr>
      </w:pPr>
      <w:r>
        <w:rPr>
          <w:rFonts w:hint="eastAsia" w:ascii="宋体" w:hAnsi="宋体" w:cs="宋体"/>
        </w:rPr>
        <w:t>（五）施工要求</w:t>
      </w:r>
    </w:p>
    <w:p>
      <w:pPr>
        <w:spacing w:line="400" w:lineRule="exact"/>
        <w:ind w:firstLine="480" w:firstLineChars="200"/>
        <w:rPr>
          <w:rFonts w:ascii="宋体" w:hAnsi="宋体" w:cs="宋体"/>
        </w:rPr>
      </w:pPr>
      <w:r>
        <w:rPr>
          <w:rFonts w:hint="eastAsia" w:ascii="宋体" w:hAnsi="宋体" w:cs="宋体"/>
        </w:rPr>
        <w:t>1、土方开挖。</w:t>
      </w:r>
    </w:p>
    <w:p>
      <w:pPr>
        <w:spacing w:line="400" w:lineRule="exact"/>
        <w:ind w:firstLine="480" w:firstLineChars="200"/>
        <w:rPr>
          <w:rFonts w:ascii="宋体" w:hAnsi="宋体" w:cs="宋体"/>
        </w:rPr>
      </w:pPr>
      <w:r>
        <w:rPr>
          <w:rFonts w:hint="eastAsia" w:ascii="宋体" w:hAnsi="宋体" w:cs="宋体"/>
        </w:rPr>
        <w:t xml:space="preserve">土方开挖前，根据设计提供的有关测量控制点和数据，对坝轴线位置各分项建筑物开挖轮廓线进行准确放样。 </w:t>
      </w:r>
    </w:p>
    <w:p>
      <w:pPr>
        <w:spacing w:line="400" w:lineRule="exact"/>
        <w:ind w:firstLine="480" w:firstLineChars="200"/>
        <w:rPr>
          <w:rFonts w:ascii="宋体" w:hAnsi="宋体" w:cs="宋体"/>
        </w:rPr>
      </w:pPr>
      <w:r>
        <w:rPr>
          <w:rFonts w:hint="eastAsia" w:ascii="宋体" w:hAnsi="宋体" w:cs="宋体"/>
        </w:rPr>
        <w:t xml:space="preserve">土方开挖采用 </w:t>
      </w:r>
      <w:r>
        <w:rPr>
          <w:rFonts w:ascii="宋体" w:hAnsi="宋体" w:cs="宋体"/>
        </w:rPr>
        <w:t>0.2m3</w:t>
      </w:r>
      <w:r>
        <w:rPr>
          <w:rFonts w:hint="eastAsia" w:ascii="宋体" w:hAnsi="宋体" w:cs="宋体"/>
        </w:rPr>
        <w:t xml:space="preserve">反铲为主，保护层土方及基坑修坡采用人工开挖。表土清除采用推土机推至各集中堆土处，然后用 </w:t>
      </w:r>
      <w:r>
        <w:rPr>
          <w:rFonts w:ascii="宋体" w:hAnsi="宋体" w:cs="宋体"/>
        </w:rPr>
        <w:t>0.2m3</w:t>
      </w:r>
      <w:r>
        <w:rPr>
          <w:rFonts w:hint="eastAsia" w:ascii="宋体" w:hAnsi="宋体" w:cs="宋体"/>
        </w:rPr>
        <w:t xml:space="preserve">反铲、装载机装车，自卸汽车运到业主指定的弃渣场。 </w:t>
      </w:r>
    </w:p>
    <w:p>
      <w:pPr>
        <w:spacing w:line="400" w:lineRule="exact"/>
        <w:ind w:firstLine="480" w:firstLineChars="200"/>
        <w:rPr>
          <w:rFonts w:ascii="宋体" w:hAnsi="宋体" w:cs="宋体"/>
        </w:rPr>
      </w:pPr>
      <w:r>
        <w:rPr>
          <w:rFonts w:hint="eastAsia" w:ascii="宋体" w:hAnsi="宋体" w:cs="宋体"/>
        </w:rPr>
        <w:t xml:space="preserve">土方自上而下分层开挖，开挖采用反铲进行，开挖到设计深度时，若局部留有杂土、杂物时，及时联系监理工程师，在取得监理工程师同意后，继续开挖至硬层，而后用砂砾料回填至设计底高，以保证构筑物施工质量。 </w:t>
      </w:r>
    </w:p>
    <w:p>
      <w:pPr>
        <w:spacing w:line="400" w:lineRule="exact"/>
        <w:ind w:firstLine="480" w:firstLineChars="200"/>
        <w:rPr>
          <w:rFonts w:ascii="宋体" w:hAnsi="宋体" w:cs="宋体"/>
        </w:rPr>
      </w:pPr>
      <w:r>
        <w:rPr>
          <w:rFonts w:hint="eastAsia" w:ascii="宋体" w:hAnsi="宋体" w:cs="宋体"/>
        </w:rPr>
        <w:t xml:space="preserve">2、砼施工 </w:t>
      </w:r>
    </w:p>
    <w:p>
      <w:pPr>
        <w:spacing w:line="400" w:lineRule="exact"/>
        <w:ind w:firstLine="480" w:firstLineChars="200"/>
        <w:rPr>
          <w:rFonts w:ascii="宋体" w:hAnsi="宋体" w:cs="宋体"/>
        </w:rPr>
      </w:pPr>
      <w:r>
        <w:rPr>
          <w:rFonts w:hint="eastAsia" w:ascii="宋体" w:hAnsi="宋体" w:cs="宋体"/>
        </w:rPr>
        <w:t>根据施工部位的不同，砼有以下级配组成：</w:t>
      </w:r>
      <w:r>
        <w:rPr>
          <w:rFonts w:ascii="宋体" w:hAnsi="宋体" w:cs="宋体"/>
        </w:rPr>
        <w:t>C20</w:t>
      </w:r>
      <w:r>
        <w:rPr>
          <w:rFonts w:hint="eastAsia" w:ascii="宋体" w:hAnsi="宋体" w:cs="宋体"/>
        </w:rPr>
        <w:t>、</w:t>
      </w:r>
      <w:r>
        <w:rPr>
          <w:rFonts w:ascii="宋体" w:hAnsi="宋体" w:cs="宋体"/>
        </w:rPr>
        <w:t>C25</w:t>
      </w:r>
      <w:r>
        <w:rPr>
          <w:rFonts w:hint="eastAsia" w:ascii="宋体" w:hAnsi="宋体" w:cs="宋体"/>
        </w:rPr>
        <w:t xml:space="preserve">。 </w:t>
      </w:r>
    </w:p>
    <w:p>
      <w:pPr>
        <w:spacing w:line="400" w:lineRule="exact"/>
        <w:ind w:firstLine="480" w:firstLineChars="200"/>
        <w:rPr>
          <w:rFonts w:ascii="宋体" w:hAnsi="宋体" w:cs="宋体"/>
        </w:rPr>
      </w:pPr>
      <w:r>
        <w:rPr>
          <w:rFonts w:hint="eastAsia" w:ascii="宋体" w:hAnsi="宋体" w:cs="宋体"/>
        </w:rPr>
        <w:t>（1）砼生产</w:t>
      </w:r>
    </w:p>
    <w:p>
      <w:pPr>
        <w:spacing w:line="400" w:lineRule="exact"/>
        <w:ind w:firstLine="480" w:firstLineChars="200"/>
        <w:rPr>
          <w:rFonts w:ascii="宋体" w:hAnsi="宋体" w:cs="宋体"/>
        </w:rPr>
      </w:pPr>
      <w:r>
        <w:rPr>
          <w:rFonts w:ascii="宋体" w:hAnsi="宋体" w:cs="宋体"/>
        </w:rPr>
        <w:t>①</w:t>
      </w:r>
      <w:r>
        <w:rPr>
          <w:rFonts w:hint="eastAsia" w:ascii="宋体" w:hAnsi="宋体" w:cs="宋体"/>
        </w:rPr>
        <w:t xml:space="preserve">原材料的选择 </w:t>
      </w:r>
    </w:p>
    <w:p>
      <w:pPr>
        <w:spacing w:line="400" w:lineRule="exact"/>
        <w:ind w:firstLine="480" w:firstLineChars="200"/>
        <w:rPr>
          <w:rFonts w:ascii="宋体" w:hAnsi="宋体" w:cs="宋体"/>
        </w:rPr>
      </w:pPr>
      <w:r>
        <w:rPr>
          <w:rFonts w:hint="eastAsia" w:ascii="宋体" w:hAnsi="宋体" w:cs="宋体"/>
        </w:rPr>
        <w:t xml:space="preserve">水泥：选用 </w:t>
      </w:r>
      <w:r>
        <w:rPr>
          <w:rFonts w:ascii="宋体" w:hAnsi="宋体" w:cs="宋体"/>
        </w:rPr>
        <w:t xml:space="preserve">42.5 </w:t>
      </w:r>
      <w:r>
        <w:rPr>
          <w:rFonts w:hint="eastAsia" w:ascii="宋体" w:hAnsi="宋体" w:cs="宋体"/>
        </w:rPr>
        <w:t xml:space="preserve">普通硅酸盐水泥。 </w:t>
      </w:r>
    </w:p>
    <w:p>
      <w:pPr>
        <w:spacing w:line="400" w:lineRule="exact"/>
        <w:ind w:firstLine="480" w:firstLineChars="200"/>
        <w:rPr>
          <w:rFonts w:ascii="宋体" w:hAnsi="宋体" w:cs="宋体"/>
        </w:rPr>
      </w:pPr>
      <w:r>
        <w:rPr>
          <w:rFonts w:hint="eastAsia" w:ascii="宋体" w:hAnsi="宋体" w:cs="宋体"/>
        </w:rPr>
        <w:t xml:space="preserve">碎石：从工程附近砂石料场外购。碎石质地坚硬，清洁、不含泥块、草木屑及其它杂物。级配符合工程要求，超逊径含量在规范要求范围内，针片状含量小于规范规定。 </w:t>
      </w:r>
    </w:p>
    <w:p>
      <w:pPr>
        <w:spacing w:line="400" w:lineRule="exact"/>
        <w:ind w:firstLine="480" w:firstLineChars="200"/>
        <w:rPr>
          <w:rFonts w:ascii="宋体" w:hAnsi="宋体" w:cs="宋体"/>
        </w:rPr>
      </w:pPr>
      <w:r>
        <w:rPr>
          <w:rFonts w:hint="eastAsia" w:ascii="宋体" w:hAnsi="宋体" w:cs="宋体"/>
        </w:rPr>
        <w:t xml:space="preserve">砂：采用淡水砂，中粗。 </w:t>
      </w:r>
    </w:p>
    <w:p>
      <w:pPr>
        <w:spacing w:line="400" w:lineRule="exact"/>
        <w:ind w:firstLine="480" w:firstLineChars="200"/>
        <w:rPr>
          <w:rFonts w:ascii="宋体" w:hAnsi="宋体" w:cs="宋体"/>
        </w:rPr>
      </w:pPr>
      <w:r>
        <w:rPr>
          <w:rFonts w:hint="eastAsia" w:ascii="宋体" w:hAnsi="宋体" w:cs="宋体"/>
        </w:rPr>
        <w:t xml:space="preserve">水：从水库、渠道、河道中利用水泵取用。 </w:t>
      </w:r>
    </w:p>
    <w:p>
      <w:pPr>
        <w:spacing w:line="400" w:lineRule="exact"/>
        <w:ind w:firstLine="480" w:firstLineChars="200"/>
        <w:rPr>
          <w:rFonts w:ascii="宋体" w:hAnsi="宋体" w:cs="宋体"/>
        </w:rPr>
      </w:pPr>
      <w:r>
        <w:rPr>
          <w:rFonts w:hint="eastAsia" w:ascii="宋体" w:hAnsi="宋体" w:cs="宋体"/>
        </w:rPr>
        <w:t xml:space="preserve">②配合比 </w:t>
      </w:r>
    </w:p>
    <w:p>
      <w:pPr>
        <w:spacing w:line="400" w:lineRule="exact"/>
        <w:ind w:firstLine="480" w:firstLineChars="200"/>
        <w:rPr>
          <w:rFonts w:ascii="宋体" w:hAnsi="宋体" w:cs="宋体"/>
        </w:rPr>
      </w:pPr>
      <w:r>
        <w:rPr>
          <w:rFonts w:hint="eastAsia" w:ascii="宋体" w:hAnsi="宋体" w:cs="宋体"/>
        </w:rPr>
        <w:t xml:space="preserve">砼浇筑前，先进行砼配合比设计和试验，并根据试验配合比确定水泥、砂、石子的用量，配合比的设计符合施工上对和易性等的要求。 </w:t>
      </w:r>
    </w:p>
    <w:p>
      <w:pPr>
        <w:spacing w:line="400" w:lineRule="exact"/>
        <w:ind w:firstLine="480" w:firstLineChars="200"/>
        <w:rPr>
          <w:rFonts w:ascii="宋体" w:hAnsi="宋体" w:cs="宋体"/>
        </w:rPr>
      </w:pPr>
      <w:r>
        <w:rPr>
          <w:rFonts w:ascii="宋体" w:hAnsi="宋体" w:cs="宋体"/>
        </w:rPr>
        <w:t>③</w:t>
      </w:r>
      <w:r>
        <w:rPr>
          <w:rFonts w:hint="eastAsia" w:ascii="宋体" w:hAnsi="宋体" w:cs="宋体"/>
        </w:rPr>
        <w:t xml:space="preserve">砼拌制 </w:t>
      </w:r>
    </w:p>
    <w:p>
      <w:pPr>
        <w:spacing w:line="400" w:lineRule="exact"/>
        <w:ind w:firstLine="480" w:firstLineChars="200"/>
        <w:rPr>
          <w:rFonts w:ascii="宋体" w:hAnsi="宋体" w:cs="宋体"/>
        </w:rPr>
      </w:pPr>
      <w:r>
        <w:rPr>
          <w:rFonts w:hint="eastAsia" w:ascii="宋体" w:hAnsi="宋体" w:cs="宋体"/>
        </w:rPr>
        <w:t xml:space="preserve">根据本工程各部位砼每次施工的方量均不大的特点，砼生产在现场拌制，为便于成品的质量控制，砼采用拌和站集中拌制。 </w:t>
      </w:r>
    </w:p>
    <w:p>
      <w:pPr>
        <w:spacing w:line="400" w:lineRule="exact"/>
        <w:ind w:firstLine="480" w:firstLineChars="200"/>
        <w:rPr>
          <w:rFonts w:ascii="宋体" w:hAnsi="宋体" w:cs="宋体"/>
        </w:rPr>
      </w:pPr>
      <w:r>
        <w:rPr>
          <w:rFonts w:hint="eastAsia" w:ascii="宋体" w:hAnsi="宋体" w:cs="宋体"/>
        </w:rPr>
        <w:t xml:space="preserve">（2）模板 </w:t>
      </w:r>
    </w:p>
    <w:p>
      <w:pPr>
        <w:spacing w:line="400" w:lineRule="exact"/>
        <w:ind w:firstLine="480" w:firstLineChars="200"/>
        <w:rPr>
          <w:rFonts w:ascii="宋体" w:hAnsi="宋体" w:cs="宋体"/>
        </w:rPr>
      </w:pPr>
      <w:r>
        <w:rPr>
          <w:rFonts w:hint="eastAsia" w:ascii="宋体" w:hAnsi="宋体" w:cs="宋体"/>
        </w:rPr>
        <w:t xml:space="preserve">采用自制的木模、结合标准建筑钢模板，模板的架立牢固、稳定、整体性好，模板拼缝光滑、平顺，缝间不漏浆。 </w:t>
      </w:r>
    </w:p>
    <w:p>
      <w:pPr>
        <w:spacing w:line="400" w:lineRule="exact"/>
        <w:ind w:firstLine="480" w:firstLineChars="200"/>
        <w:rPr>
          <w:rFonts w:ascii="宋体" w:hAnsi="宋体" w:cs="宋体"/>
        </w:rPr>
      </w:pPr>
      <w:r>
        <w:rPr>
          <w:rFonts w:hint="eastAsia" w:ascii="宋体" w:hAnsi="宋体" w:cs="宋体"/>
        </w:rPr>
        <w:t xml:space="preserve">模板涂刷脱模剂，使脱模后砼表面光洁。 </w:t>
      </w:r>
    </w:p>
    <w:p>
      <w:pPr>
        <w:spacing w:line="400" w:lineRule="exact"/>
        <w:ind w:firstLine="480" w:firstLineChars="200"/>
        <w:rPr>
          <w:rFonts w:ascii="宋体" w:hAnsi="宋体" w:cs="宋体"/>
        </w:rPr>
      </w:pPr>
      <w:r>
        <w:rPr>
          <w:rFonts w:hint="eastAsia" w:ascii="宋体" w:hAnsi="宋体" w:cs="宋体"/>
        </w:rPr>
        <w:t xml:space="preserve">（3）砼运输及浇筑 </w:t>
      </w:r>
    </w:p>
    <w:p>
      <w:pPr>
        <w:spacing w:line="400" w:lineRule="exact"/>
        <w:ind w:firstLine="480" w:firstLineChars="200"/>
        <w:rPr>
          <w:rFonts w:ascii="宋体" w:hAnsi="宋体" w:cs="宋体"/>
        </w:rPr>
      </w:pPr>
      <w:r>
        <w:rPr>
          <w:rFonts w:hint="eastAsia" w:ascii="宋体" w:hAnsi="宋体" w:cs="宋体"/>
        </w:rPr>
        <w:t xml:space="preserve">砼运输主要由工程车运输至施工仓面，人工入仓，双胶轮车辅助。 </w:t>
      </w:r>
    </w:p>
    <w:p>
      <w:pPr>
        <w:spacing w:line="400" w:lineRule="exact"/>
        <w:ind w:firstLine="480" w:firstLineChars="200"/>
        <w:rPr>
          <w:rFonts w:ascii="宋体" w:hAnsi="宋体" w:cs="宋体"/>
        </w:rPr>
      </w:pPr>
      <w:r>
        <w:rPr>
          <w:rFonts w:hint="eastAsia" w:ascii="宋体" w:hAnsi="宋体" w:cs="宋体"/>
        </w:rPr>
        <w:t>砼尽量避免二次搬运</w:t>
      </w:r>
      <w:r>
        <w:rPr>
          <w:rFonts w:ascii="宋体" w:hAnsi="宋体" w:cs="宋体"/>
        </w:rPr>
        <w:t>,</w:t>
      </w:r>
      <w:r>
        <w:rPr>
          <w:rFonts w:hint="eastAsia" w:ascii="宋体" w:hAnsi="宋体" w:cs="宋体"/>
        </w:rPr>
        <w:t xml:space="preserve">砼运输过程中保持其均质性。如在运到灌注地点有离析现象时，在浇筑前均进行二次搅拌。 </w:t>
      </w:r>
    </w:p>
    <w:p>
      <w:pPr>
        <w:ind w:firstLine="480" w:firstLineChars="200"/>
        <w:rPr>
          <w:rFonts w:ascii="宋体" w:hAnsi="宋体" w:cs="宋体"/>
        </w:rPr>
      </w:pPr>
      <w:r>
        <w:rPr>
          <w:rFonts w:hint="eastAsia" w:ascii="宋体" w:hAnsi="宋体" w:cs="宋体"/>
        </w:rPr>
        <w:t>砼采用平板式振捣器和插入式振捣器振捣密实。</w:t>
      </w:r>
    </w:p>
    <w:p>
      <w:pPr>
        <w:spacing w:line="400" w:lineRule="exact"/>
        <w:ind w:firstLine="480" w:firstLineChars="200"/>
        <w:rPr>
          <w:rFonts w:ascii="宋体" w:hAnsi="宋体" w:cs="宋体"/>
        </w:rPr>
      </w:pPr>
      <w:r>
        <w:rPr>
          <w:rFonts w:hint="eastAsia" w:ascii="宋体" w:hAnsi="宋体" w:cs="宋体"/>
        </w:rPr>
        <w:t xml:space="preserve">（4）砼的养护 </w:t>
      </w:r>
    </w:p>
    <w:p>
      <w:pPr>
        <w:spacing w:line="400" w:lineRule="exact"/>
        <w:ind w:firstLine="480" w:firstLineChars="200"/>
        <w:rPr>
          <w:rFonts w:ascii="宋体" w:hAnsi="宋体" w:cs="宋体"/>
        </w:rPr>
      </w:pPr>
      <w:r>
        <w:rPr>
          <w:rFonts w:hint="eastAsia" w:ascii="宋体" w:hAnsi="宋体" w:cs="宋体"/>
        </w:rPr>
        <w:t xml:space="preserve">①砼在浇筑完毕后的 </w:t>
      </w:r>
      <w:r>
        <w:rPr>
          <w:rFonts w:ascii="宋体" w:hAnsi="宋体" w:cs="宋体"/>
        </w:rPr>
        <w:t xml:space="preserve">12 </w:t>
      </w:r>
      <w:r>
        <w:rPr>
          <w:rFonts w:hint="eastAsia" w:ascii="宋体" w:hAnsi="宋体" w:cs="宋体"/>
        </w:rPr>
        <w:t>小时以内，加以覆盖和洒水，当气温低于</w:t>
      </w:r>
      <w:r>
        <w:rPr>
          <w:rFonts w:ascii="宋体" w:hAnsi="宋体" w:cs="宋体"/>
        </w:rPr>
        <w:t>+0.5</w:t>
      </w:r>
      <w:r>
        <w:rPr>
          <w:rFonts w:hint="eastAsia" w:ascii="宋体" w:hAnsi="宋体" w:cs="宋体"/>
        </w:rPr>
        <w:t xml:space="preserve">℃时，覆盖保温，先覆盖一层塑料膜，再加盖保温层；炎热天气砼表面先覆盖草袋，并加强洒水养护。 </w:t>
      </w:r>
    </w:p>
    <w:p>
      <w:pPr>
        <w:spacing w:line="400" w:lineRule="exact"/>
        <w:ind w:firstLine="480" w:firstLineChars="200"/>
        <w:rPr>
          <w:rFonts w:ascii="宋体" w:hAnsi="宋体" w:cs="宋体"/>
        </w:rPr>
      </w:pPr>
      <w:r>
        <w:rPr>
          <w:rFonts w:hint="eastAsia" w:ascii="宋体" w:hAnsi="宋体" w:cs="宋体"/>
        </w:rPr>
        <w:t xml:space="preserve">②砼的养护时间根据水泥品种、气候条件确定，一般小于 </w:t>
      </w:r>
      <w:r>
        <w:rPr>
          <w:rFonts w:ascii="宋体" w:hAnsi="宋体" w:cs="宋体"/>
        </w:rPr>
        <w:t xml:space="preserve">28 </w:t>
      </w:r>
      <w:r>
        <w:rPr>
          <w:rFonts w:hint="eastAsia" w:ascii="宋体" w:hAnsi="宋体" w:cs="宋体"/>
        </w:rPr>
        <w:t xml:space="preserve">天。 </w:t>
      </w:r>
    </w:p>
    <w:p>
      <w:pPr>
        <w:spacing w:line="400" w:lineRule="exact"/>
        <w:ind w:firstLine="480" w:firstLineChars="200"/>
        <w:rPr>
          <w:rFonts w:ascii="宋体" w:hAnsi="宋体" w:cs="宋体"/>
        </w:rPr>
      </w:pPr>
      <w:r>
        <w:rPr>
          <w:rFonts w:hint="eastAsia" w:ascii="宋体" w:hAnsi="宋体" w:cs="宋体"/>
        </w:rPr>
        <w:t>③砼试块制作按规范要求进行，试块制作后在养护池进行养护，并及时送试验室进行强度试压。</w:t>
      </w:r>
    </w:p>
    <w:p>
      <w:pPr>
        <w:spacing w:line="400" w:lineRule="exact"/>
        <w:ind w:firstLine="480" w:firstLineChars="200"/>
        <w:rPr>
          <w:rFonts w:ascii="宋体" w:hAnsi="宋体" w:cs="宋体"/>
        </w:rPr>
      </w:pPr>
      <w:r>
        <w:rPr>
          <w:rFonts w:hint="eastAsia" w:ascii="宋体" w:hAnsi="宋体" w:cs="宋体"/>
        </w:rPr>
        <w:t>3、清淤施工</w:t>
      </w:r>
    </w:p>
    <w:p>
      <w:pPr>
        <w:spacing w:line="400" w:lineRule="exact"/>
        <w:ind w:firstLine="480" w:firstLineChars="200"/>
        <w:rPr>
          <w:rFonts w:ascii="宋体" w:hAnsi="宋体" w:cs="宋体"/>
        </w:rPr>
      </w:pPr>
      <w:r>
        <w:rPr>
          <w:rFonts w:hint="eastAsia" w:ascii="宋体" w:hAnsi="宋体" w:cs="宋体"/>
        </w:rPr>
        <w:t>主要工作内容为清淤、运输、淤泥处理，及时挖除水草及水生植物。</w:t>
      </w:r>
    </w:p>
    <w:p>
      <w:pPr>
        <w:spacing w:line="400" w:lineRule="exact"/>
        <w:ind w:firstLine="480" w:firstLineChars="200"/>
        <w:rPr>
          <w:rFonts w:ascii="宋体" w:hAnsi="宋体" w:cs="宋体"/>
        </w:rPr>
      </w:pPr>
      <w:r>
        <w:rPr>
          <w:rFonts w:hint="eastAsia" w:ascii="宋体" w:hAnsi="宋体" w:cs="宋体"/>
        </w:rPr>
        <w:t>（1）总干渠：采用机械开挖、外运和人工开挖、机械外运；</w:t>
      </w:r>
    </w:p>
    <w:p>
      <w:pPr>
        <w:spacing w:line="400" w:lineRule="exact"/>
        <w:ind w:firstLine="480" w:firstLineChars="200"/>
        <w:rPr>
          <w:rFonts w:ascii="宋体" w:hAnsi="宋体" w:cs="宋体"/>
        </w:rPr>
      </w:pPr>
      <w:r>
        <w:rPr>
          <w:rFonts w:hint="eastAsia" w:ascii="宋体" w:hAnsi="宋体" w:cs="宋体"/>
        </w:rPr>
        <w:t>（2）东干渠：人工开挖、机械外运和人工开挖、就地堆放</w:t>
      </w:r>
    </w:p>
    <w:p>
      <w:pPr>
        <w:spacing w:line="400" w:lineRule="exact"/>
        <w:ind w:firstLine="480" w:firstLineChars="200"/>
        <w:rPr>
          <w:rFonts w:ascii="宋体" w:hAnsi="宋体" w:cs="宋体"/>
        </w:rPr>
      </w:pPr>
      <w:r>
        <w:rPr>
          <w:rFonts w:hint="eastAsia" w:ascii="宋体" w:hAnsi="宋体" w:cs="宋体"/>
        </w:rPr>
        <w:t>（3）中干渠：人工开挖、就地堆放</w:t>
      </w:r>
    </w:p>
    <w:p>
      <w:pPr>
        <w:spacing w:line="400" w:lineRule="exact"/>
        <w:ind w:firstLine="480" w:firstLineChars="200"/>
        <w:rPr>
          <w:rFonts w:ascii="宋体" w:hAnsi="宋体" w:cs="宋体"/>
        </w:rPr>
      </w:pPr>
      <w:r>
        <w:rPr>
          <w:rFonts w:hint="eastAsia" w:ascii="宋体" w:hAnsi="宋体" w:cs="宋体"/>
        </w:rPr>
        <w:t>（4）西干渠：人工开挖、机械外运和人工开挖、就地堆放</w:t>
      </w:r>
    </w:p>
    <w:p>
      <w:pPr>
        <w:spacing w:line="400" w:lineRule="exact"/>
        <w:ind w:firstLine="480" w:firstLineChars="200"/>
        <w:rPr>
          <w:rFonts w:ascii="宋体" w:hAnsi="宋体" w:cs="宋体"/>
        </w:rPr>
      </w:pPr>
      <w:r>
        <w:rPr>
          <w:rFonts w:hint="eastAsia" w:ascii="宋体" w:hAnsi="宋体" w:cs="宋体"/>
        </w:rPr>
        <w:t>（六）其他要求</w:t>
      </w:r>
    </w:p>
    <w:p>
      <w:pPr>
        <w:spacing w:line="400" w:lineRule="exact"/>
        <w:ind w:firstLine="480" w:firstLineChars="200"/>
        <w:rPr>
          <w:rFonts w:ascii="宋体" w:hAnsi="宋体" w:cs="宋体"/>
        </w:rPr>
      </w:pPr>
      <w:r>
        <w:rPr>
          <w:rFonts w:hint="eastAsia" w:ascii="宋体" w:hAnsi="宋体" w:cs="宋体"/>
        </w:rPr>
        <w:t>1、高压配电室维修养护必须要有相应资质单位和人员操作，由总包单位签订分包协议报采购人备案。</w:t>
      </w:r>
    </w:p>
    <w:p>
      <w:pPr>
        <w:spacing w:line="400" w:lineRule="exact"/>
        <w:ind w:firstLine="480" w:firstLineChars="200"/>
        <w:rPr>
          <w:rFonts w:ascii="宋体" w:hAnsi="宋体" w:cs="宋体"/>
        </w:rPr>
      </w:pPr>
      <w:r>
        <w:rPr>
          <w:rFonts w:hint="eastAsia" w:ascii="宋体" w:hAnsi="宋体" w:cs="宋体"/>
        </w:rPr>
        <w:t>2、成交供应商在施工过程中，要严格按设计图纸和维修改造方案要求施工，应重视质量通病的防治，对质量通病必须根据技术规范要求制定预控措施。要认真做好材料和成品保护，以保证产品不受损坏和污染，由成交供应商负责修复、更换、恢复原样或照价赔偿。因失窃失火或其他非采购方原因（除不可抗力外）而造成的损失均由成交供应商自负，凡由此损及采购方利益时，成交供应商应负责赔偿采购方的损失。</w:t>
      </w:r>
    </w:p>
    <w:p>
      <w:pPr>
        <w:spacing w:line="400" w:lineRule="exact"/>
        <w:ind w:firstLine="480" w:firstLineChars="200"/>
        <w:rPr>
          <w:rFonts w:ascii="宋体" w:hAnsi="宋体" w:cs="宋体"/>
        </w:rPr>
      </w:pPr>
      <w:r>
        <w:rPr>
          <w:rFonts w:hint="eastAsia" w:ascii="宋体" w:hAnsi="宋体" w:cs="宋体"/>
        </w:rPr>
        <w:t>3、施工期间须配备专用电管人员和专职安全员，全面负责用电管理，确保安全生产。在施工过程中一切安全事故和其他责任事故，由成交供应商承担全部经济和法律责任。因失窃失火或其他非采购方原因而造成的损失均由成交供应商自负，凡由此损及采购方利益时，成交供应商应负责赔偿采购方的相应损失。</w:t>
      </w:r>
    </w:p>
    <w:p>
      <w:pPr>
        <w:spacing w:line="400" w:lineRule="exact"/>
        <w:ind w:firstLine="480" w:firstLineChars="200"/>
        <w:rPr>
          <w:rFonts w:ascii="宋体" w:hAnsi="宋体" w:cs="宋体"/>
        </w:rPr>
      </w:pPr>
      <w:r>
        <w:rPr>
          <w:rFonts w:hint="eastAsia" w:ascii="宋体" w:hAnsi="宋体" w:cs="宋体"/>
        </w:rPr>
        <w:t>4、水、电接口，由成交供应商自己寻找，并做好接入口的安全防护措施，接线费用由成交供应商自理，施工及养护期间用水、用电费用由成交供应商负责。</w:t>
      </w:r>
    </w:p>
    <w:p>
      <w:pPr>
        <w:spacing w:line="400" w:lineRule="exact"/>
        <w:ind w:firstLine="480" w:firstLineChars="200"/>
        <w:rPr>
          <w:rFonts w:ascii="宋体" w:hAnsi="宋体" w:cs="宋体"/>
        </w:rPr>
      </w:pPr>
      <w:r>
        <w:rPr>
          <w:rFonts w:hint="eastAsia" w:ascii="宋体" w:hAnsi="宋体" w:cs="宋体"/>
        </w:rPr>
        <w:t>5、工程所用材料进场前须先提供样品经采购方认可；批量进场后采购方可根据样品组织验收，通过后方可使用。</w:t>
      </w:r>
    </w:p>
    <w:p>
      <w:pPr>
        <w:spacing w:line="400" w:lineRule="exact"/>
        <w:ind w:firstLine="480" w:firstLineChars="200"/>
        <w:rPr>
          <w:rFonts w:ascii="宋体" w:hAnsi="宋体" w:cs="宋体"/>
        </w:rPr>
      </w:pPr>
      <w:r>
        <w:rPr>
          <w:rFonts w:hint="eastAsia" w:ascii="宋体" w:hAnsi="宋体" w:cs="宋体"/>
        </w:rPr>
        <w:t>6、工程施工过程中，每进入下道施工程序之前，须经采购方验收，通过后方可进入下道工序。</w:t>
      </w:r>
    </w:p>
    <w:p>
      <w:pPr>
        <w:spacing w:line="400" w:lineRule="exact"/>
        <w:ind w:firstLine="480" w:firstLineChars="200"/>
        <w:rPr>
          <w:rFonts w:ascii="宋体" w:hAnsi="宋体" w:cs="宋体"/>
        </w:rPr>
      </w:pPr>
      <w:r>
        <w:rPr>
          <w:rFonts w:hint="eastAsia" w:ascii="宋体" w:hAnsi="宋体" w:cs="宋体"/>
        </w:rPr>
        <w:t>7、成交供应商在工程竣工时必须做到工完场清、料清、障清，如未在采购方指定时间内做到工完场清、料清、障清，采购方有权在履约保证金中扣罚2000元整，加成交供应商须无条件接受。</w:t>
      </w:r>
    </w:p>
    <w:p>
      <w:pPr>
        <w:spacing w:line="400" w:lineRule="exact"/>
        <w:ind w:firstLine="480" w:firstLineChars="200"/>
        <w:rPr>
          <w:rFonts w:ascii="宋体" w:hAnsi="宋体" w:cs="宋体"/>
        </w:rPr>
      </w:pPr>
      <w:r>
        <w:rPr>
          <w:rFonts w:hint="eastAsia" w:ascii="宋体" w:hAnsi="宋体" w:cs="宋体"/>
        </w:rPr>
        <w:t>8、成交供应商应自费与施工进程同步形成、积累、整理及保管工程进度、障碍物拆除以及所有影响工程的记录（包括资料、设备的来源），以备查阅。</w:t>
      </w:r>
    </w:p>
    <w:p>
      <w:pPr>
        <w:rPr>
          <w:rFonts w:ascii="宋体" w:hAnsi="宋体" w:cs="宋体"/>
          <w:color w:val="FF0000"/>
        </w:rPr>
      </w:pPr>
    </w:p>
    <w:p>
      <w:pPr>
        <w:pStyle w:val="2"/>
        <w:ind w:left="480" w:firstLine="482"/>
        <w:rPr>
          <w:b/>
          <w:bCs/>
          <w:color w:val="auto"/>
          <w:highlight w:val="none"/>
        </w:rPr>
      </w:pPr>
      <w:r>
        <w:rPr>
          <w:rFonts w:hint="eastAsia"/>
          <w:b/>
          <w:bCs/>
          <w:color w:val="auto"/>
          <w:highlight w:val="none"/>
        </w:rPr>
        <w:t>金兰灌区实施明细</w:t>
      </w:r>
    </w:p>
    <w:tbl>
      <w:tblPr>
        <w:tblStyle w:val="36"/>
        <w:tblW w:w="0" w:type="auto"/>
        <w:tblInd w:w="0" w:type="dxa"/>
        <w:tblLayout w:type="autofit"/>
        <w:tblCellMar>
          <w:top w:w="0" w:type="dxa"/>
          <w:left w:w="108" w:type="dxa"/>
          <w:bottom w:w="0" w:type="dxa"/>
          <w:right w:w="108" w:type="dxa"/>
        </w:tblCellMar>
      </w:tblPr>
      <w:tblGrid>
        <w:gridCol w:w="811"/>
        <w:gridCol w:w="3769"/>
        <w:gridCol w:w="611"/>
        <w:gridCol w:w="808"/>
        <w:gridCol w:w="1104"/>
        <w:gridCol w:w="1119"/>
        <w:gridCol w:w="1184"/>
      </w:tblGrid>
      <w:tr>
        <w:tblPrEx>
          <w:tblCellMar>
            <w:top w:w="0" w:type="dxa"/>
            <w:left w:w="108" w:type="dxa"/>
            <w:bottom w:w="0" w:type="dxa"/>
            <w:right w:w="108" w:type="dxa"/>
          </w:tblCellMar>
        </w:tblPrEx>
        <w:trPr>
          <w:trHeight w:val="43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序号</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工程名称</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单位</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工程量</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单价（元)</w:t>
            </w:r>
          </w:p>
        </w:tc>
        <w:tc>
          <w:tcPr>
            <w:tcW w:w="131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合价（元）</w:t>
            </w:r>
          </w:p>
        </w:tc>
        <w:tc>
          <w:tcPr>
            <w:tcW w:w="13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具体要求</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一</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经常性项目</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（一）</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邵村垅水库</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主体工程维修养护</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坝顶碎石路面铺填</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82.4</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244.82</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20173</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迎水面坝坡清理</w:t>
            </w:r>
          </w:p>
          <w:p>
            <w:pPr>
              <w:pStyle w:val="2"/>
              <w:ind w:left="480" w:firstLine="480"/>
            </w:pP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3006</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 xml:space="preserve">5.0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15030</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保持坝面于整洁</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背水坡草皮维护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1236</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 xml:space="preserve">6.67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8244</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每年不少于3次</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插板闸门设施维修保养</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1000</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放水涵管启闭机维修保养</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1000</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水情观测系统维护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1300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1300</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水库库区保洁</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2"/>
                <w:szCs w:val="22"/>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6744</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6744</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sz w:val="22"/>
                <w:szCs w:val="22"/>
              </w:rPr>
              <w:t>保洁期</w:t>
            </w:r>
            <w:r>
              <w:rPr>
                <w:sz w:val="22"/>
                <w:szCs w:val="22"/>
              </w:rPr>
              <w:t>8</w:t>
            </w:r>
            <w:r>
              <w:rPr>
                <w:rFonts w:hint="eastAsia" w:ascii="宋体" w:hAnsi="宋体" w:cs="宋体"/>
                <w:sz w:val="22"/>
                <w:szCs w:val="22"/>
              </w:rPr>
              <w:t>个月，包括保洁、清运、处理</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2"/>
                <w:szCs w:val="22"/>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53491</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2"/>
                <w:szCs w:val="22"/>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(二）</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灌区项目</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干渠渠堤土方养护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东总干渠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1380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2070</w:t>
            </w:r>
          </w:p>
        </w:tc>
        <w:tc>
          <w:tcPr>
            <w:tcW w:w="1393"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含土方开挖、清理、养护等</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7200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10800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9870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14805</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罗埠干渠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26280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39420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兰溪干渠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29850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44775</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一堰干渠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9140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13710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二堰干渠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11040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16560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厚大干渠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3480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5220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（9）</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中干渠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4500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6750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汤溪干渠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14400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21600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2"/>
                <w:szCs w:val="22"/>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175710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干渠两侧及渠堤杂草清理</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2"/>
                <w:szCs w:val="22"/>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东总干渠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460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1421</w:t>
            </w:r>
          </w:p>
        </w:tc>
        <w:tc>
          <w:tcPr>
            <w:tcW w:w="1393"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一年不少于2次，含草根清除</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2400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7416</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3290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10166</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罗埠干渠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4000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12360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兰溪干渠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4500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13905</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一堰干渠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1000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二堰干渠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1000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厚大干渠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500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1545</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（9）</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中干渠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1500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4635</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汤溪干渠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4800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3.09</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14832</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2"/>
                <w:szCs w:val="22"/>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72460</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干渠保洁项目（养护期8个月）</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东总干渠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3680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2944</w:t>
            </w:r>
          </w:p>
        </w:tc>
        <w:tc>
          <w:tcPr>
            <w:tcW w:w="13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保洁期8个月，包括保洁、清运、处理</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24000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19200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13160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10528</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罗埠干渠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30660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24528</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兰溪干渠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49750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39800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一堰干渠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18280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14624</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二堰干渠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22080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17664</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厚大干渠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3480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2784</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82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（9）</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中干渠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18000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14400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67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汤溪干渠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8"/>
                <w:szCs w:val="28"/>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19200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0.8</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15360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sz w:val="22"/>
                <w:szCs w:val="22"/>
              </w:rPr>
            </w:pPr>
            <w:r>
              <w:rPr>
                <w:rFonts w:hint="eastAsia" w:ascii="宋体" w:hAnsi="宋体" w:cs="宋体"/>
                <w:sz w:val="22"/>
                <w:szCs w:val="22"/>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161832</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灌区工程清淤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4.1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干渠清淤（机械开挖，外运5km）</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bookmarkStart w:id="8" w:name="_GoBack" w:colFirst="3" w:colLast="4"/>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东总干渠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552</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22969</w:t>
            </w:r>
          </w:p>
        </w:tc>
        <w:tc>
          <w:tcPr>
            <w:tcW w:w="139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堆放场地由施工单位负责</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西总干渠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2880</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119837</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西干渠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1974</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82138</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罗埠干渠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1971</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82013</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兰溪干渠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4477.5</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186309</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6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一堰干渠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1050</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43691</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74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二堰干渠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1242</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51680</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厚大干渠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240</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9986</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（9）</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中干渠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800</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33288</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(10)</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汤溪干渠</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1680</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color w:val="auto"/>
              </w:rPr>
            </w:pPr>
            <w:r>
              <w:rPr>
                <w:rFonts w:hint="eastAsia" w:ascii="宋体" w:hAnsi="宋体" w:cs="宋体"/>
                <w:color w:val="auto"/>
              </w:rPr>
              <w:t>41.61</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69905</w:t>
            </w:r>
          </w:p>
        </w:tc>
        <w:tc>
          <w:tcPr>
            <w:tcW w:w="1393" w:type="dxa"/>
            <w:vMerge w:val="continue"/>
            <w:tcBorders>
              <w:top w:val="single" w:color="auto" w:sz="4" w:space="0"/>
              <w:left w:val="single" w:color="auto" w:sz="4" w:space="0"/>
              <w:bottom w:val="single" w:color="000000" w:sz="4" w:space="0"/>
              <w:right w:val="single" w:color="auto" w:sz="4" w:space="0"/>
            </w:tcBorders>
            <w:vAlign w:val="center"/>
          </w:tcPr>
          <w:p>
            <w:pPr>
              <w:rPr>
                <w:rFonts w:ascii="宋体" w:hAnsi="宋体" w:cs="宋体"/>
              </w:rPr>
            </w:pPr>
          </w:p>
        </w:tc>
      </w:tr>
      <w:bookmarkEnd w:id="8"/>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4.2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支渠清淤（机械清淤，机械外运5km）</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683"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支渠清淤外运</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1900</w:t>
            </w:r>
          </w:p>
        </w:tc>
        <w:tc>
          <w:tcPr>
            <w:tcW w:w="0" w:type="auto"/>
            <w:tcBorders>
              <w:top w:val="nil"/>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41.61</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79059</w:t>
            </w:r>
          </w:p>
        </w:tc>
        <w:tc>
          <w:tcPr>
            <w:tcW w:w="1393" w:type="dxa"/>
            <w:tcBorders>
              <w:top w:val="nil"/>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堆放场地由施工单位负责</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single" w:color="auto" w:sz="4" w:space="0"/>
              <w:left w:val="nil"/>
              <w:bottom w:val="nil"/>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780875</w:t>
            </w:r>
          </w:p>
        </w:tc>
        <w:tc>
          <w:tcPr>
            <w:tcW w:w="1393" w:type="dxa"/>
            <w:tcBorders>
              <w:top w:val="nil"/>
              <w:left w:val="nil"/>
              <w:bottom w:val="single" w:color="auto" w:sz="4" w:space="0"/>
              <w:right w:val="single" w:color="auto" w:sz="4" w:space="0"/>
            </w:tcBorders>
            <w:shd w:val="clear" w:color="auto" w:fill="auto"/>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64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5</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渠系建筑物</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63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水闸</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61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机体维修养护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处</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36</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200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7200</w:t>
            </w:r>
          </w:p>
        </w:tc>
        <w:tc>
          <w:tcPr>
            <w:tcW w:w="1393" w:type="dxa"/>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一年不少于4次，包括螺丝杆添加黄油、涂防锈漆等</w:t>
            </w:r>
          </w:p>
        </w:tc>
      </w:tr>
      <w:tr>
        <w:tblPrEx>
          <w:tblCellMar>
            <w:top w:w="0" w:type="dxa"/>
            <w:left w:w="108" w:type="dxa"/>
            <w:bottom w:w="0" w:type="dxa"/>
            <w:right w:w="108" w:type="dxa"/>
          </w:tblCellMar>
        </w:tblPrEx>
        <w:trPr>
          <w:trHeight w:val="31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电动机维修养护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处</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26</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200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5200</w:t>
            </w:r>
          </w:p>
        </w:tc>
        <w:tc>
          <w:tcPr>
            <w:tcW w:w="1393"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一年不少于4次</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配电设施维修养护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处</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200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2400</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51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渡槽</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803"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进出水口沉沙池清淤（人工开挖，机械外运5km）</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204</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87.85</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17921</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堆放场地由施工单位负责</w:t>
            </w:r>
          </w:p>
        </w:tc>
      </w:tr>
      <w:tr>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倒虹吸</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61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厚大倒虹吸沉沙池清淤（人工开挖，机械外运）</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8.0 </w:t>
            </w:r>
          </w:p>
        </w:tc>
        <w:tc>
          <w:tcPr>
            <w:tcW w:w="0" w:type="auto"/>
            <w:tcBorders>
              <w:top w:val="nil"/>
              <w:left w:val="nil"/>
              <w:bottom w:val="single" w:color="auto" w:sz="4" w:space="0"/>
              <w:right w:val="single" w:color="auto" w:sz="4" w:space="0"/>
            </w:tcBorders>
            <w:shd w:val="clear" w:color="auto" w:fill="auto"/>
            <w:noWrap/>
            <w:vAlign w:val="center"/>
          </w:tcPr>
          <w:p>
            <w:pPr>
              <w:ind w:firstLine="240" w:firstLineChars="100"/>
              <w:rPr>
                <w:rFonts w:ascii="宋体" w:hAnsi="宋体" w:cs="宋体"/>
              </w:rPr>
            </w:pPr>
            <w:r>
              <w:rPr>
                <w:rFonts w:hint="eastAsia" w:ascii="宋体" w:hAnsi="宋体" w:cs="宋体"/>
              </w:rPr>
              <w:t xml:space="preserve">87.85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703</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堆放场地由施工单位负责</w:t>
            </w:r>
          </w:p>
        </w:tc>
      </w:tr>
      <w:tr>
        <w:tblPrEx>
          <w:tblCellMar>
            <w:top w:w="0" w:type="dxa"/>
            <w:left w:w="108" w:type="dxa"/>
            <w:bottom w:w="0" w:type="dxa"/>
            <w:right w:w="108" w:type="dxa"/>
          </w:tblCellMar>
        </w:tblPrEx>
        <w:trPr>
          <w:trHeight w:val="44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33424</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（三）</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绿化维护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67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中心站绿化养护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1189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6.67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7931 </w:t>
            </w:r>
          </w:p>
        </w:tc>
        <w:tc>
          <w:tcPr>
            <w:tcW w:w="1393"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宋体" w:hAnsi="宋体" w:cs="宋体"/>
              </w:rPr>
            </w:pPr>
            <w:r>
              <w:rPr>
                <w:rFonts w:hint="eastAsia" w:ascii="宋体" w:hAnsi="宋体" w:cs="宋体"/>
              </w:rPr>
              <w:t>一年不少于3次，包括修剪、浇水、补种、施肥等</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邵村垅管理站绿化养护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790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6.67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5269 </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丰塘下电站绿化养护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820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6.67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5469 </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50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复合肥</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1500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1500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20169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经常性项目合计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1297961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二</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年度性项目</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（一）</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灌区项目</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干渠巡查道路维修养护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汤溪干渠（桩号0+050～0+750）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场地平整</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2100.0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3.79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7959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宕渣回填路基</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210.0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120.22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25246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宕渣厚15cm</w:t>
            </w:r>
          </w:p>
        </w:tc>
      </w:tr>
      <w:tr>
        <w:tblPrEx>
          <w:tblCellMar>
            <w:top w:w="0" w:type="dxa"/>
            <w:left w:w="108" w:type="dxa"/>
            <w:bottom w:w="0" w:type="dxa"/>
            <w:right w:w="108" w:type="dxa"/>
          </w:tblCellMar>
        </w:tblPrEx>
        <w:trPr>
          <w:trHeight w:val="58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1.2</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b/>
                <w:bCs/>
              </w:rPr>
            </w:pPr>
            <w:r>
              <w:rPr>
                <w:rFonts w:hint="eastAsia" w:ascii="宋体" w:hAnsi="宋体" w:cs="宋体"/>
                <w:b/>
                <w:bCs/>
              </w:rPr>
              <w:t>罗埠干渠(桩号3+700～4+100、7+550～8+000）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nil"/>
              <w:right w:val="nil"/>
            </w:tcBorders>
            <w:shd w:val="clear" w:color="auto" w:fill="auto"/>
            <w:noWrap/>
            <w:vAlign w:val="center"/>
          </w:tcPr>
          <w:p>
            <w:pPr>
              <w:jc w:val="center"/>
              <w:rPr>
                <w:rFonts w:ascii="宋体" w:hAnsi="宋体" w:cs="宋体"/>
              </w:rPr>
            </w:pPr>
          </w:p>
        </w:tc>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场地平整</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2550.0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3.79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9665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宕渣回填路基</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382.5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120.22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45984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宕渣厚15cm</w:t>
            </w:r>
          </w:p>
        </w:tc>
      </w:tr>
      <w:tr>
        <w:tblPrEx>
          <w:tblCellMar>
            <w:top w:w="0" w:type="dxa"/>
            <w:left w:w="108" w:type="dxa"/>
            <w:bottom w:w="0" w:type="dxa"/>
            <w:right w:w="108" w:type="dxa"/>
          </w:tblCellMar>
        </w:tblPrEx>
        <w:trPr>
          <w:trHeight w:val="9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1.3</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b/>
                <w:bCs/>
              </w:rPr>
            </w:pPr>
            <w:r>
              <w:rPr>
                <w:rFonts w:hint="eastAsia" w:ascii="宋体" w:hAnsi="宋体" w:cs="宋体"/>
                <w:b/>
                <w:bCs/>
              </w:rPr>
              <w:t>兰溪干渠（桩号0+000~0+100、1+000~1+100、3+200～3+600、6+080~6+480）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nil"/>
              <w:right w:val="nil"/>
            </w:tcBorders>
            <w:shd w:val="clear" w:color="auto" w:fill="auto"/>
            <w:noWrap/>
            <w:vAlign w:val="center"/>
          </w:tcPr>
          <w:p>
            <w:pPr>
              <w:jc w:val="center"/>
              <w:rPr>
                <w:rFonts w:ascii="宋体" w:hAnsi="宋体" w:cs="宋体"/>
              </w:rPr>
            </w:pPr>
          </w:p>
        </w:tc>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场地平整</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3000.0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3.79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11370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宕渣回填路基</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450.0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120.22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54099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宕渣厚15cm</w:t>
            </w:r>
          </w:p>
        </w:tc>
      </w:tr>
      <w:tr>
        <w:tblPrEx>
          <w:tblCellMar>
            <w:top w:w="0" w:type="dxa"/>
            <w:left w:w="108" w:type="dxa"/>
            <w:bottom w:w="0" w:type="dxa"/>
            <w:right w:w="108" w:type="dxa"/>
          </w:tblCellMar>
        </w:tblPrEx>
        <w:trPr>
          <w:trHeight w:val="4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1.4</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b/>
                <w:bCs/>
              </w:rPr>
            </w:pPr>
            <w:r>
              <w:rPr>
                <w:rFonts w:hint="eastAsia" w:ascii="宋体" w:hAnsi="宋体" w:cs="宋体"/>
                <w:b/>
                <w:bCs/>
              </w:rPr>
              <w:t>中干渠（桩号0+000~0+300）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场地平整</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2</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900.0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3.79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3411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宕渣回填路基</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180.0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120.22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21640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宕渣厚20cm</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179374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渠道防渗工程维修养护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2.1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汤溪干渠（桩号0+050～0+100）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C20砼防渗面板修复</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15.0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789.90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11849 </w:t>
            </w:r>
          </w:p>
        </w:tc>
        <w:tc>
          <w:tcPr>
            <w:tcW w:w="1393"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包括二次搬运费用</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C20砼底板修复</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15.0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679.03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10185 </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碎石垫层</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244.82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2448 </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原破损防渗面板凿除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15.0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127.80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1917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包括外运及处置费用</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2.2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西总干渠（桩号0+000～0+010）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C20砼底板修复</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679.03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6790 </w:t>
            </w:r>
          </w:p>
        </w:tc>
        <w:tc>
          <w:tcPr>
            <w:tcW w:w="1393"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包括二次搬运费用</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碎石垫层</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5.0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244.82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1224 </w:t>
            </w:r>
          </w:p>
        </w:tc>
        <w:tc>
          <w:tcPr>
            <w:tcW w:w="1393" w:type="dxa"/>
            <w:vMerge w:val="continue"/>
            <w:tcBorders>
              <w:top w:val="nil"/>
              <w:left w:val="single" w:color="auto" w:sz="4" w:space="0"/>
              <w:bottom w:val="single" w:color="000000" w:sz="4" w:space="0"/>
              <w:right w:val="single" w:color="auto" w:sz="4" w:space="0"/>
            </w:tcBorders>
            <w:vAlign w:val="center"/>
          </w:tcPr>
          <w:p>
            <w:pPr>
              <w:rPr>
                <w:rFonts w:ascii="宋体" w:hAnsi="宋体" w:cs="宋体"/>
              </w:rPr>
            </w:pP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原破损防渗面板拆除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sz w:val="28"/>
                <w:szCs w:val="28"/>
              </w:rPr>
              <w:t>m</w:t>
            </w:r>
            <w:r>
              <w:rPr>
                <w:rFonts w:hint="eastAsia" w:ascii="宋体" w:hAnsi="宋体" w:cs="宋体"/>
                <w:sz w:val="28"/>
                <w:szCs w:val="28"/>
                <w:vertAlign w:val="superscript"/>
              </w:rPr>
              <w:t>3</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10.0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127.80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1278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包括外运及处置费用</w:t>
            </w:r>
          </w:p>
        </w:tc>
      </w:tr>
      <w:tr>
        <w:tblPrEx>
          <w:tblCellMar>
            <w:top w:w="0" w:type="dxa"/>
            <w:left w:w="108" w:type="dxa"/>
            <w:bottom w:w="0" w:type="dxa"/>
            <w:right w:w="108" w:type="dxa"/>
          </w:tblCellMar>
        </w:tblPrEx>
        <w:trPr>
          <w:trHeight w:val="43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35691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灌溉涵管启闭机维护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1t启闭机更换</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台</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6</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1800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10800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10800 </w:t>
            </w:r>
          </w:p>
        </w:tc>
        <w:tc>
          <w:tcPr>
            <w:tcW w:w="1393"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自动控制设施维护</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570" w:hRule="atLeast"/>
        </w:trPr>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vAlign w:val="center"/>
          </w:tcPr>
          <w:p>
            <w:pPr>
              <w:rPr>
                <w:rFonts w:ascii="宋体" w:hAnsi="宋体" w:cs="宋体"/>
              </w:rPr>
            </w:pPr>
            <w:r>
              <w:rPr>
                <w:rFonts w:hint="eastAsia" w:ascii="宋体" w:hAnsi="宋体" w:cs="宋体"/>
              </w:rPr>
              <w:t>邵村垅水库溢洪道、西杨排洪闸视频监控移位</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3000.00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3000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3000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5</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安全防护设施及标准化完善</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渠道巡查路线标志完善</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5000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5000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（2）</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警示牌完善</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5000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5000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救生设施</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项</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3000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3000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（4）</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邵村垅渡槽出口处安全护栏（仿木栏杆）</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m</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30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850</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 xml:space="preserve">25500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小计</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38500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b/>
                <w:bCs/>
              </w:rPr>
            </w:pPr>
            <w:r>
              <w:rPr>
                <w:rFonts w:hint="eastAsia" w:ascii="宋体" w:hAnsi="宋体" w:cs="宋体"/>
                <w:b/>
                <w:bCs/>
              </w:rPr>
              <w:t>年度性项目合计</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b/>
                <w:bCs/>
              </w:rPr>
            </w:pPr>
            <w:r>
              <w:rPr>
                <w:rFonts w:hint="eastAsia" w:ascii="宋体" w:hAnsi="宋体" w:cs="宋体"/>
                <w:b/>
                <w:bCs/>
              </w:rPr>
              <w:t xml:space="preserve">267365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r>
              <w:rPr>
                <w:rFonts w:hint="eastAsia" w:ascii="宋体" w:hAnsi="宋体"/>
              </w:rPr>
              <w:t>三</w:t>
            </w:r>
          </w:p>
        </w:tc>
        <w:tc>
          <w:tcPr>
            <w:tcW w:w="0" w:type="auto"/>
            <w:tcBorders>
              <w:top w:val="nil"/>
              <w:left w:val="nil"/>
              <w:bottom w:val="single" w:color="auto" w:sz="4" w:space="0"/>
              <w:right w:val="single" w:color="auto" w:sz="4" w:space="0"/>
            </w:tcBorders>
            <w:shd w:val="clear" w:color="auto" w:fill="auto"/>
            <w:noWrap/>
            <w:vAlign w:val="center"/>
          </w:tcPr>
          <w:p>
            <w:r>
              <w:rPr>
                <w:rFonts w:hint="eastAsia" w:ascii="宋体" w:hAnsi="宋体"/>
              </w:rPr>
              <w:t>临时工程</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1314" w:type="dxa"/>
            <w:tcBorders>
              <w:top w:val="nil"/>
              <w:left w:val="nil"/>
              <w:bottom w:val="single" w:color="auto" w:sz="4" w:space="0"/>
              <w:right w:val="single" w:color="auto" w:sz="4" w:space="0"/>
            </w:tcBorders>
            <w:shd w:val="clear" w:color="auto" w:fill="auto"/>
            <w:noWrap/>
            <w:vAlign w:val="center"/>
          </w:tcPr>
          <w:p>
            <w:r>
              <w:t>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pPr>
            <w:r>
              <w:t>1</w:t>
            </w:r>
          </w:p>
        </w:tc>
        <w:tc>
          <w:tcPr>
            <w:tcW w:w="0" w:type="auto"/>
            <w:tcBorders>
              <w:top w:val="nil"/>
              <w:left w:val="nil"/>
              <w:bottom w:val="single" w:color="auto" w:sz="4" w:space="0"/>
              <w:right w:val="single" w:color="auto" w:sz="4" w:space="0"/>
            </w:tcBorders>
            <w:shd w:val="clear" w:color="auto" w:fill="auto"/>
            <w:noWrap/>
            <w:vAlign w:val="center"/>
          </w:tcPr>
          <w:p>
            <w:r>
              <w:rPr>
                <w:rFonts w:hint="eastAsia" w:ascii="宋体" w:hAnsi="宋体"/>
              </w:rPr>
              <w:t>临时工程</w:t>
            </w:r>
          </w:p>
        </w:tc>
        <w:tc>
          <w:tcPr>
            <w:tcW w:w="0" w:type="auto"/>
            <w:tcBorders>
              <w:top w:val="nil"/>
              <w:left w:val="nil"/>
              <w:bottom w:val="single" w:color="auto" w:sz="4" w:space="0"/>
              <w:right w:val="single" w:color="auto" w:sz="4" w:space="0"/>
            </w:tcBorders>
            <w:shd w:val="clear" w:color="auto" w:fill="auto"/>
            <w:noWrap/>
            <w:vAlign w:val="center"/>
          </w:tcPr>
          <w:p>
            <w:pPr>
              <w:jc w:val="center"/>
            </w:pPr>
            <w:r>
              <w:rPr>
                <w:rFonts w:hint="eastAsia" w:ascii="宋体" w:hAnsi="宋体"/>
              </w:rPr>
              <w:t>项</w:t>
            </w:r>
          </w:p>
        </w:tc>
        <w:tc>
          <w:tcPr>
            <w:tcW w:w="0" w:type="auto"/>
            <w:tcBorders>
              <w:top w:val="nil"/>
              <w:left w:val="nil"/>
              <w:bottom w:val="single" w:color="auto" w:sz="4" w:space="0"/>
              <w:right w:val="single" w:color="auto" w:sz="4" w:space="0"/>
            </w:tcBorders>
            <w:shd w:val="clear" w:color="auto" w:fill="auto"/>
            <w:noWrap/>
            <w:vAlign w:val="center"/>
          </w:tcPr>
          <w:p>
            <w:pPr>
              <w:jc w:val="right"/>
            </w:pPr>
            <w:r>
              <w:t xml:space="preserve">267365 </w:t>
            </w:r>
          </w:p>
        </w:tc>
        <w:tc>
          <w:tcPr>
            <w:tcW w:w="0" w:type="auto"/>
            <w:tcBorders>
              <w:top w:val="nil"/>
              <w:left w:val="nil"/>
              <w:bottom w:val="single" w:color="auto" w:sz="4" w:space="0"/>
              <w:right w:val="single" w:color="auto" w:sz="4" w:space="0"/>
            </w:tcBorders>
            <w:shd w:val="clear" w:color="auto" w:fill="auto"/>
            <w:noWrap/>
            <w:vAlign w:val="center"/>
          </w:tcPr>
          <w:p>
            <w:pPr>
              <w:jc w:val="right"/>
            </w:pPr>
            <w:r>
              <w:t>3%</w:t>
            </w:r>
          </w:p>
        </w:tc>
        <w:tc>
          <w:tcPr>
            <w:tcW w:w="1314" w:type="dxa"/>
            <w:tcBorders>
              <w:top w:val="nil"/>
              <w:left w:val="nil"/>
              <w:bottom w:val="single" w:color="auto" w:sz="4" w:space="0"/>
              <w:right w:val="single" w:color="auto" w:sz="4" w:space="0"/>
            </w:tcBorders>
            <w:shd w:val="clear" w:color="auto" w:fill="auto"/>
            <w:noWrap/>
            <w:vAlign w:val="center"/>
          </w:tcPr>
          <w:p>
            <w:pPr>
              <w:jc w:val="center"/>
            </w:pPr>
            <w:r>
              <w:t>8021</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r>
              <w:t>　</w:t>
            </w:r>
          </w:p>
        </w:tc>
        <w:tc>
          <w:tcPr>
            <w:tcW w:w="0" w:type="auto"/>
            <w:tcBorders>
              <w:top w:val="nil"/>
              <w:left w:val="nil"/>
              <w:bottom w:val="single" w:color="auto" w:sz="4" w:space="0"/>
              <w:right w:val="single" w:color="auto" w:sz="4" w:space="0"/>
            </w:tcBorders>
            <w:shd w:val="clear" w:color="auto" w:fill="auto"/>
            <w:noWrap/>
            <w:vAlign w:val="center"/>
          </w:tcPr>
          <w:p>
            <w:r>
              <w:rPr>
                <w:rFonts w:hint="eastAsia" w:ascii="宋体" w:hAnsi="宋体"/>
              </w:rPr>
              <w:t>小计</w:t>
            </w:r>
          </w:p>
        </w:tc>
        <w:tc>
          <w:tcPr>
            <w:tcW w:w="0" w:type="auto"/>
            <w:tcBorders>
              <w:top w:val="nil"/>
              <w:left w:val="nil"/>
              <w:bottom w:val="single" w:color="auto" w:sz="4" w:space="0"/>
              <w:right w:val="single" w:color="auto" w:sz="4" w:space="0"/>
            </w:tcBorders>
            <w:shd w:val="clear" w:color="auto" w:fill="auto"/>
            <w:noWrap/>
            <w:vAlign w:val="center"/>
          </w:tcPr>
          <w:p>
            <w:pPr>
              <w:jc w:val="center"/>
            </w:pPr>
            <w:r>
              <w:t>　</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b/>
                <w:bCs/>
              </w:rPr>
            </w:pPr>
            <w:r>
              <w:rPr>
                <w:b/>
                <w:bCs/>
              </w:rPr>
              <w:t>8021</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四</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其它费用</w:t>
            </w:r>
          </w:p>
        </w:tc>
        <w:tc>
          <w:tcPr>
            <w:tcW w:w="0" w:type="auto"/>
            <w:tcBorders>
              <w:top w:val="nil"/>
              <w:left w:val="nil"/>
              <w:bottom w:val="single" w:color="auto" w:sz="4" w:space="0"/>
              <w:right w:val="single" w:color="auto" w:sz="4" w:space="0"/>
            </w:tcBorders>
            <w:shd w:val="clear" w:color="auto" w:fill="auto"/>
            <w:noWrap/>
            <w:vAlign w:val="center"/>
          </w:tcPr>
          <w:p>
            <w:pPr>
              <w:jc w:val="center"/>
            </w:pPr>
            <w:r>
              <w:t>　</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1314" w:type="dxa"/>
            <w:tcBorders>
              <w:top w:val="nil"/>
              <w:left w:val="nil"/>
              <w:bottom w:val="single" w:color="auto" w:sz="4" w:space="0"/>
              <w:right w:val="single" w:color="auto" w:sz="4" w:space="0"/>
            </w:tcBorders>
            <w:shd w:val="clear" w:color="auto" w:fill="auto"/>
            <w:noWrap/>
            <w:vAlign w:val="center"/>
          </w:tcPr>
          <w:p>
            <w:pPr>
              <w:jc w:val="center"/>
              <w:rPr>
                <w:b/>
                <w:bCs/>
              </w:rPr>
            </w:pPr>
            <w:r>
              <w:rPr>
                <w:b/>
                <w:bCs/>
              </w:rPr>
              <w:t>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1</w:t>
            </w:r>
          </w:p>
        </w:tc>
        <w:tc>
          <w:tcPr>
            <w:tcW w:w="0" w:type="auto"/>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安全施工费、保险费等</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元</w:t>
            </w:r>
          </w:p>
        </w:tc>
        <w:tc>
          <w:tcPr>
            <w:tcW w:w="0" w:type="auto"/>
            <w:tcBorders>
              <w:top w:val="nil"/>
              <w:left w:val="nil"/>
              <w:bottom w:val="single" w:color="auto" w:sz="4" w:space="0"/>
              <w:right w:val="single" w:color="auto" w:sz="4" w:space="0"/>
            </w:tcBorders>
            <w:shd w:val="clear" w:color="auto" w:fill="auto"/>
            <w:noWrap/>
            <w:vAlign w:val="center"/>
          </w:tcPr>
          <w:p>
            <w:pPr>
              <w:jc w:val="right"/>
            </w:pPr>
            <w:r>
              <w:t xml:space="preserve">275386 </w:t>
            </w:r>
          </w:p>
        </w:tc>
        <w:tc>
          <w:tcPr>
            <w:tcW w:w="0" w:type="auto"/>
            <w:tcBorders>
              <w:top w:val="nil"/>
              <w:left w:val="nil"/>
              <w:bottom w:val="single" w:color="auto" w:sz="4" w:space="0"/>
              <w:right w:val="single" w:color="auto" w:sz="4" w:space="0"/>
            </w:tcBorders>
            <w:shd w:val="clear" w:color="auto" w:fill="auto"/>
            <w:noWrap/>
            <w:vAlign w:val="center"/>
          </w:tcPr>
          <w:p>
            <w:pPr>
              <w:jc w:val="right"/>
            </w:pPr>
            <w:r>
              <w:t>2.45%</w:t>
            </w:r>
          </w:p>
        </w:tc>
        <w:tc>
          <w:tcPr>
            <w:tcW w:w="1314" w:type="dxa"/>
            <w:tcBorders>
              <w:top w:val="nil"/>
              <w:left w:val="nil"/>
              <w:bottom w:val="single" w:color="auto" w:sz="4" w:space="0"/>
              <w:right w:val="single" w:color="auto" w:sz="4" w:space="0"/>
            </w:tcBorders>
            <w:shd w:val="clear" w:color="auto" w:fill="auto"/>
            <w:noWrap/>
            <w:vAlign w:val="center"/>
          </w:tcPr>
          <w:p>
            <w:pPr>
              <w:jc w:val="center"/>
            </w:pPr>
            <w:r>
              <w:t>6747</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r>
        <w:tblPrEx>
          <w:tblCellMar>
            <w:top w:w="0" w:type="dxa"/>
            <w:left w:w="108" w:type="dxa"/>
            <w:bottom w:w="0" w:type="dxa"/>
            <w:right w:w="108" w:type="dxa"/>
          </w:tblCellMar>
        </w:tblPrEx>
        <w:trPr>
          <w:trHeight w:val="31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r>
              <w:t>　</w:t>
            </w:r>
          </w:p>
        </w:tc>
        <w:tc>
          <w:tcPr>
            <w:tcW w:w="0" w:type="auto"/>
            <w:tcBorders>
              <w:top w:val="nil"/>
              <w:left w:val="nil"/>
              <w:bottom w:val="single" w:color="auto" w:sz="4" w:space="0"/>
              <w:right w:val="single" w:color="auto" w:sz="4" w:space="0"/>
            </w:tcBorders>
            <w:shd w:val="clear" w:color="auto" w:fill="auto"/>
            <w:noWrap/>
            <w:vAlign w:val="center"/>
          </w:tcPr>
          <w:p>
            <w:r>
              <w:rPr>
                <w:rFonts w:hint="eastAsia" w:ascii="宋体" w:hAnsi="宋体"/>
              </w:rPr>
              <w:t>一</w:t>
            </w:r>
            <w:r>
              <w:t>~</w:t>
            </w:r>
            <w:r>
              <w:rPr>
                <w:rFonts w:hint="eastAsia" w:ascii="宋体" w:hAnsi="宋体"/>
              </w:rPr>
              <w:t>三部分合计</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宋体" w:hAnsi="宋体" w:cs="宋体"/>
              </w:rPr>
            </w:pPr>
            <w:r>
              <w:rPr>
                <w:rFonts w:hint="eastAsia" w:ascii="宋体" w:hAnsi="宋体" w:cs="宋体"/>
              </w:rPr>
              <w:t>元</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0" w:type="auto"/>
            <w:tcBorders>
              <w:top w:val="nil"/>
              <w:left w:val="nil"/>
              <w:bottom w:val="single" w:color="auto" w:sz="4" w:space="0"/>
              <w:right w:val="single" w:color="auto" w:sz="4" w:space="0"/>
            </w:tcBorders>
            <w:shd w:val="clear" w:color="auto" w:fill="auto"/>
            <w:noWrap/>
            <w:vAlign w:val="center"/>
          </w:tcPr>
          <w:p>
            <w:r>
              <w:t>　</w:t>
            </w:r>
          </w:p>
        </w:tc>
        <w:tc>
          <w:tcPr>
            <w:tcW w:w="1314" w:type="dxa"/>
            <w:tcBorders>
              <w:top w:val="nil"/>
              <w:left w:val="nil"/>
              <w:bottom w:val="single" w:color="auto" w:sz="4" w:space="0"/>
              <w:right w:val="single" w:color="auto" w:sz="4" w:space="0"/>
            </w:tcBorders>
            <w:shd w:val="clear" w:color="auto" w:fill="auto"/>
            <w:noWrap/>
            <w:vAlign w:val="center"/>
          </w:tcPr>
          <w:p>
            <w:pPr>
              <w:jc w:val="center"/>
            </w:pPr>
            <w:r>
              <w:t xml:space="preserve">1580094 </w:t>
            </w:r>
          </w:p>
        </w:tc>
        <w:tc>
          <w:tcPr>
            <w:tcW w:w="1393" w:type="dxa"/>
            <w:tcBorders>
              <w:top w:val="nil"/>
              <w:left w:val="nil"/>
              <w:bottom w:val="single" w:color="auto" w:sz="4" w:space="0"/>
              <w:right w:val="single" w:color="auto" w:sz="4" w:space="0"/>
            </w:tcBorders>
            <w:shd w:val="clear" w:color="auto" w:fill="auto"/>
            <w:noWrap/>
            <w:vAlign w:val="center"/>
          </w:tcPr>
          <w:p>
            <w:pPr>
              <w:rPr>
                <w:rFonts w:ascii="宋体" w:hAnsi="宋体" w:cs="宋体"/>
              </w:rPr>
            </w:pPr>
            <w:r>
              <w:rPr>
                <w:rFonts w:hint="eastAsia" w:ascii="宋体" w:hAnsi="宋体" w:cs="宋体"/>
              </w:rPr>
              <w:t>　</w:t>
            </w:r>
          </w:p>
        </w:tc>
      </w:tr>
    </w:tbl>
    <w:p>
      <w:pPr>
        <w:spacing w:line="400" w:lineRule="exact"/>
        <w:ind w:firstLine="480" w:firstLineChars="200"/>
        <w:rPr>
          <w:rFonts w:asciiTheme="minorEastAsia" w:hAnsiTheme="minorEastAsia" w:eastAsiaTheme="minorEastAsia"/>
          <w:bCs/>
        </w:rPr>
      </w:pPr>
      <w:r>
        <w:rPr>
          <w:rFonts w:hint="eastAsia" w:asciiTheme="minorEastAsia" w:hAnsiTheme="minorEastAsia" w:eastAsiaTheme="minorEastAsia"/>
          <w:bCs/>
        </w:rPr>
        <w:t>（一）经常性维修养护项目</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1、邵村垅水库</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（1）坝顶碎石路面铺填；</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（2）迎水面坝坡清理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w:t>
      </w:r>
      <w:r>
        <w:rPr>
          <w:rFonts w:cs="仿宋" w:asciiTheme="minorEastAsia" w:hAnsiTheme="minorEastAsia" w:eastAsiaTheme="minorEastAsia"/>
          <w:bCs/>
        </w:rPr>
        <w:t>3</w:t>
      </w:r>
      <w:r>
        <w:rPr>
          <w:rFonts w:hint="eastAsia" w:cs="仿宋" w:asciiTheme="minorEastAsia" w:hAnsiTheme="minorEastAsia" w:eastAsiaTheme="minorEastAsia"/>
          <w:bCs/>
        </w:rPr>
        <w:t>）背水坡草皮维护；</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（4）放水涵闸日常养护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（5）水情观测系统维护；</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（6）库面保洁；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2、金兰水库灌区</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（1）渠道渠顶路面及堤顶路面土方养护；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（2）渠道两侧及渠堤杂草清理；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（3）渠道保洁工程;</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（4）干、支渠道清淤；</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w:t>
      </w:r>
      <w:r>
        <w:rPr>
          <w:rFonts w:cs="仿宋" w:asciiTheme="minorEastAsia" w:hAnsiTheme="minorEastAsia" w:eastAsiaTheme="minorEastAsia"/>
          <w:bCs/>
        </w:rPr>
        <w:t>5</w:t>
      </w:r>
      <w:r>
        <w:rPr>
          <w:rFonts w:hint="eastAsia" w:cs="仿宋" w:asciiTheme="minorEastAsia" w:hAnsiTheme="minorEastAsia" w:eastAsiaTheme="minorEastAsia"/>
          <w:bCs/>
        </w:rPr>
        <w:t xml:space="preserve">）水闸日常养护；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 (6) 渡槽、倒虹吸进出口清理；</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w:t>
      </w:r>
      <w:r>
        <w:rPr>
          <w:rFonts w:cs="仿宋" w:asciiTheme="minorEastAsia" w:hAnsiTheme="minorEastAsia" w:eastAsiaTheme="minorEastAsia"/>
          <w:bCs/>
        </w:rPr>
        <w:t>7</w:t>
      </w:r>
      <w:r>
        <w:rPr>
          <w:rFonts w:hint="eastAsia" w:cs="仿宋" w:asciiTheme="minorEastAsia" w:hAnsiTheme="minorEastAsia" w:eastAsiaTheme="minorEastAsia"/>
          <w:bCs/>
        </w:rPr>
        <w:t xml:space="preserve">）生产区绿化日常养护；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（二）年度性项目</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1、安地水库灌区：</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（1）巡查道路宕渣铺填：汤溪干渠（桩号0+050～0+750）段、罗埠干渠(桩号3+700～4+100、7+550～8+000）段、兰溪干渠（桩号0+000~0+100、1+000~1+100、3+200～3+600、6+080~6+480）段、中干渠（桩号0+000~0+300）；</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（2）防渗项目：汤溪干渠（桩号0+050～0+100）段、西总干渠（桩号0+000～0+010）。</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（3）灌溉涵管启闭机维护。</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（4）自动控制设施维护。</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（5）安全防护设施及标准化完善。</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（三）临时（零星）项目</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以上维修养护项目详见工程量清单</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六、项目实施要求</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（一）金兰水库灌区维修养护</w:t>
      </w:r>
    </w:p>
    <w:p>
      <w:pPr>
        <w:ind w:firstLine="480" w:firstLineChars="200"/>
        <w:rPr>
          <w:rFonts w:asciiTheme="minorEastAsia" w:hAnsiTheme="minorEastAsia" w:eastAsiaTheme="minorEastAsia"/>
          <w:bCs/>
        </w:rPr>
      </w:pPr>
      <w:r>
        <w:rPr>
          <w:rFonts w:hint="eastAsia" w:cs="仿宋" w:asciiTheme="minorEastAsia" w:hAnsiTheme="minorEastAsia" w:eastAsiaTheme="minorEastAsia"/>
          <w:bCs/>
        </w:rPr>
        <w:t>根据《浙江省大中型灌区运行管理规程（试行）》规定，要求如下：</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1、渠道：土渠无雨淋沟、严重渗漏、裂缝、塌陷等缺陷；混凝土渠表面整洁，无脱壳、剥落、裂缝等现象；浆砌石渠无塌陷、松动、隆起、底部掏空、垫层流失等现象；渠道翼墙后填土区无跌落、塌陷；沟底有无冲坑淤积；渠道内行水通畅。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2、闸门：闸板完整、平正、无变形；螺丝及铁件无严重腐蚀；闸墙及两翼墙基础无裂隙、崩塌、沉陷；启闭设备开启灵活；螺杆要有足够的润滑。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3、渡槽：基础及翼墙完好、无裂痕、崩塌、沉陷、渗水等现象；闸板无腐烂、无漏水；启闭机完好、启闭螺杆要有足够的润滑油；槽身伸缩节中的伸缩橡皮无老化，无漏水。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4、倒虹吸：基础无沉陷、无变形、无裂缝、无漏水及锈蚀；支座滑轨有足够的润滑油；伸缩节的盘根无老化、无喷水；管道两边的排水沟无杂草杂物堵塞影响排水，无渗漏；压力（钢）管外表防锈漆无剥蚀，其内壁无气蚀。</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（二）邵村垅水库维修养护</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根据《浙江省小型水库运行管理规程（试行）》的规定，要求如下：</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1、拦河坝、溢洪道、输（泄）水涵（管、洞）等水工建筑物无明显的裂缝、滑坡、孔洞、破损、渗水、冲刷等现象。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2、坝顶及坝面整洁，无杂物、杂草、杂树，无垦植，防浪墙无裂缝、倾斜等，排水沟、导渗设施畅通。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3、溢洪道无堆积物等行水障碍物，过水通畅。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4、闸门、拉杆表面无锈蚀及异常变形，启闭灵活，止水有效。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5、管理房整洁，上坝道路畅通。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6、水文遥测和集中观测设施能正常运行。 </w:t>
      </w:r>
    </w:p>
    <w:p>
      <w:pPr>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（五）施工要求</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1、土方开挖。</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土方开挖前，根据设计提供的有关测量控制点和数据，对坝轴线位置各分项建筑物开挖轮廓线进行准确放样。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土方开挖采用 </w:t>
      </w:r>
      <w:r>
        <w:rPr>
          <w:rFonts w:cs="仿宋" w:asciiTheme="minorEastAsia" w:hAnsiTheme="minorEastAsia" w:eastAsiaTheme="minorEastAsia"/>
          <w:bCs/>
        </w:rPr>
        <w:t>0.2m3</w:t>
      </w:r>
      <w:r>
        <w:rPr>
          <w:rFonts w:hint="eastAsia" w:cs="仿宋" w:asciiTheme="minorEastAsia" w:hAnsiTheme="minorEastAsia" w:eastAsiaTheme="minorEastAsia"/>
          <w:bCs/>
        </w:rPr>
        <w:t xml:space="preserve">反铲为主，保护层土方及基坑修坡采用人工开挖。表土清除采用推土机推至各集中堆土处，然后用 </w:t>
      </w:r>
      <w:r>
        <w:rPr>
          <w:rFonts w:cs="仿宋" w:asciiTheme="minorEastAsia" w:hAnsiTheme="minorEastAsia" w:eastAsiaTheme="minorEastAsia"/>
          <w:bCs/>
        </w:rPr>
        <w:t>0.2m3</w:t>
      </w:r>
      <w:r>
        <w:rPr>
          <w:rFonts w:hint="eastAsia" w:cs="仿宋" w:asciiTheme="minorEastAsia" w:hAnsiTheme="minorEastAsia" w:eastAsiaTheme="minorEastAsia"/>
          <w:bCs/>
        </w:rPr>
        <w:t xml:space="preserve">反铲、装载机装车，自卸汽车运到业主指定的弃渣场。 </w:t>
      </w:r>
    </w:p>
    <w:p>
      <w:pPr>
        <w:spacing w:line="400" w:lineRule="exact"/>
        <w:ind w:firstLine="480" w:firstLineChars="200"/>
        <w:rPr>
          <w:rFonts w:asciiTheme="minorEastAsia" w:hAnsiTheme="minorEastAsia" w:eastAsiaTheme="minorEastAsia"/>
          <w:bCs/>
        </w:rPr>
      </w:pPr>
      <w:r>
        <w:rPr>
          <w:rFonts w:hint="eastAsia" w:cs="仿宋" w:asciiTheme="minorEastAsia" w:hAnsiTheme="minorEastAsia" w:eastAsiaTheme="minorEastAsia"/>
          <w:bCs/>
        </w:rPr>
        <w:t xml:space="preserve">土方自上而下分层开挖，开挖采用反铲进行，开挖到设计深度时，若局部留有杂土、杂物时，及时联系监理工程师，在取得监理工程师同意后，继续开挖至硬层，而后用砂砾料回填至设计底高，以保证构筑物施工质量。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2、砼施工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根据施工部位的不同，砼有以下级配组成：</w:t>
      </w:r>
      <w:r>
        <w:rPr>
          <w:rFonts w:cs="仿宋" w:asciiTheme="minorEastAsia" w:hAnsiTheme="minorEastAsia" w:eastAsiaTheme="minorEastAsia"/>
          <w:bCs/>
        </w:rPr>
        <w:t>C20</w:t>
      </w:r>
      <w:r>
        <w:rPr>
          <w:rFonts w:hint="eastAsia" w:cs="仿宋" w:asciiTheme="minorEastAsia" w:hAnsiTheme="minorEastAsia" w:eastAsiaTheme="minorEastAsia"/>
          <w:bCs/>
        </w:rPr>
        <w:t>、</w:t>
      </w:r>
      <w:r>
        <w:rPr>
          <w:rFonts w:cs="仿宋" w:asciiTheme="minorEastAsia" w:hAnsiTheme="minorEastAsia" w:eastAsiaTheme="minorEastAsia"/>
          <w:bCs/>
        </w:rPr>
        <w:t>C25</w:t>
      </w:r>
      <w:r>
        <w:rPr>
          <w:rFonts w:hint="eastAsia" w:cs="仿宋" w:asciiTheme="minorEastAsia" w:hAnsiTheme="minorEastAsia" w:eastAsiaTheme="minorEastAsia"/>
          <w:bCs/>
        </w:rPr>
        <w:t xml:space="preserve">。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（1）砼生产</w:t>
      </w:r>
    </w:p>
    <w:p>
      <w:pPr>
        <w:spacing w:line="400" w:lineRule="exact"/>
        <w:ind w:firstLine="480" w:firstLineChars="200"/>
        <w:rPr>
          <w:rFonts w:cs="仿宋" w:asciiTheme="minorEastAsia" w:hAnsiTheme="minorEastAsia" w:eastAsiaTheme="minorEastAsia"/>
          <w:bCs/>
        </w:rPr>
      </w:pPr>
      <w:r>
        <w:rPr>
          <w:rFonts w:cs="Calibri" w:asciiTheme="minorEastAsia" w:hAnsiTheme="minorEastAsia" w:eastAsiaTheme="minorEastAsia"/>
          <w:bCs/>
        </w:rPr>
        <w:t>①</w:t>
      </w:r>
      <w:r>
        <w:rPr>
          <w:rFonts w:hint="eastAsia" w:cs="仿宋" w:asciiTheme="minorEastAsia" w:hAnsiTheme="minorEastAsia" w:eastAsiaTheme="minorEastAsia"/>
          <w:bCs/>
        </w:rPr>
        <w:t xml:space="preserve">原材料的选择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水泥：选用 </w:t>
      </w:r>
      <w:r>
        <w:rPr>
          <w:rFonts w:cs="仿宋" w:asciiTheme="minorEastAsia" w:hAnsiTheme="minorEastAsia" w:eastAsiaTheme="minorEastAsia"/>
          <w:bCs/>
        </w:rPr>
        <w:t xml:space="preserve">42.5 </w:t>
      </w:r>
      <w:r>
        <w:rPr>
          <w:rFonts w:hint="eastAsia" w:cs="仿宋" w:asciiTheme="minorEastAsia" w:hAnsiTheme="minorEastAsia" w:eastAsiaTheme="minorEastAsia"/>
          <w:bCs/>
        </w:rPr>
        <w:t xml:space="preserve">普通硅酸盐水泥。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碎石：从工程附近砂石料场外购。碎石质地坚硬，清洁、不含泥块、草木屑及其它杂物。级配符合工程要求，超逊径含量在规范要求范围内，针片状含量小于规范规定。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砂：采用淡水砂，中粗。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水：从水库、渠道、河道中利用水泵取用。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②配合比 </w:t>
      </w:r>
    </w:p>
    <w:p>
      <w:pPr>
        <w:spacing w:line="400" w:lineRule="exact"/>
        <w:ind w:firstLine="480" w:firstLineChars="200"/>
        <w:rPr>
          <w:rFonts w:asciiTheme="minorEastAsia" w:hAnsiTheme="minorEastAsia" w:eastAsiaTheme="minorEastAsia"/>
          <w:bCs/>
        </w:rPr>
      </w:pPr>
      <w:r>
        <w:rPr>
          <w:rFonts w:hint="eastAsia" w:cs="仿宋" w:asciiTheme="minorEastAsia" w:hAnsiTheme="minorEastAsia" w:eastAsiaTheme="minorEastAsia"/>
          <w:bCs/>
        </w:rPr>
        <w:t>砼浇筑前，先进行砼配合比设计和试验，并根据试验配合比确定水泥、砂、石子的用量，配合比的设计符合施工上对和易性等的要求。</w:t>
      </w:r>
      <w:r>
        <w:rPr>
          <w:rFonts w:hint="eastAsia" w:cs="宋体" w:asciiTheme="minorEastAsia" w:hAnsiTheme="minorEastAsia" w:eastAsiaTheme="minorEastAsia"/>
          <w:bCs/>
          <w:sz w:val="28"/>
          <w:szCs w:val="28"/>
        </w:rPr>
        <w:t xml:space="preserve"> </w:t>
      </w:r>
    </w:p>
    <w:p>
      <w:pPr>
        <w:spacing w:line="400" w:lineRule="exact"/>
        <w:ind w:firstLine="480" w:firstLineChars="200"/>
        <w:rPr>
          <w:rFonts w:cs="仿宋" w:asciiTheme="minorEastAsia" w:hAnsiTheme="minorEastAsia" w:eastAsiaTheme="minorEastAsia"/>
          <w:bCs/>
        </w:rPr>
      </w:pPr>
      <w:r>
        <w:rPr>
          <w:rFonts w:cs="Calibri" w:asciiTheme="minorEastAsia" w:hAnsiTheme="minorEastAsia" w:eastAsiaTheme="minorEastAsia"/>
          <w:bCs/>
        </w:rPr>
        <w:t>③</w:t>
      </w:r>
      <w:r>
        <w:rPr>
          <w:rFonts w:hint="eastAsia" w:cs="仿宋" w:asciiTheme="minorEastAsia" w:hAnsiTheme="minorEastAsia" w:eastAsiaTheme="minorEastAsia"/>
          <w:bCs/>
        </w:rPr>
        <w:t xml:space="preserve">砼拌制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根据本工程各部位砼每次施工的方量均不大的特点，砼生产在现场拌制，为便于成品的质量控制，砼采用拌和站集中拌制。 </w:t>
      </w:r>
    </w:p>
    <w:p>
      <w:pPr>
        <w:spacing w:line="400" w:lineRule="exact"/>
        <w:ind w:firstLine="480" w:firstLineChars="200"/>
        <w:rPr>
          <w:rFonts w:cs="仿宋" w:asciiTheme="minorEastAsia" w:hAnsiTheme="minorEastAsia" w:eastAsiaTheme="minorEastAsia"/>
          <w:bCs/>
        </w:rPr>
      </w:pPr>
      <w:r>
        <w:rPr>
          <w:rFonts w:hint="eastAsia" w:cs="Calibri" w:asciiTheme="minorEastAsia" w:hAnsiTheme="minorEastAsia" w:eastAsiaTheme="minorEastAsia"/>
          <w:bCs/>
        </w:rPr>
        <w:t>（2）</w:t>
      </w:r>
      <w:r>
        <w:rPr>
          <w:rFonts w:hint="eastAsia" w:cs="仿宋" w:asciiTheme="minorEastAsia" w:hAnsiTheme="minorEastAsia" w:eastAsiaTheme="minorEastAsia"/>
          <w:bCs/>
        </w:rPr>
        <w:t xml:space="preserve">模板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采用自制的木模、结合标准建筑钢模板，模板的架立牢固、稳定、整体性好，模板拼缝光滑、平顺，缝间不漏浆。 </w:t>
      </w:r>
    </w:p>
    <w:p>
      <w:pPr>
        <w:spacing w:line="400" w:lineRule="exact"/>
        <w:ind w:firstLine="480" w:firstLineChars="200"/>
        <w:rPr>
          <w:rFonts w:asciiTheme="minorEastAsia" w:hAnsiTheme="minorEastAsia" w:eastAsiaTheme="minorEastAsia"/>
          <w:bCs/>
        </w:rPr>
      </w:pPr>
      <w:r>
        <w:rPr>
          <w:rFonts w:hint="eastAsia" w:cs="仿宋" w:asciiTheme="minorEastAsia" w:hAnsiTheme="minorEastAsia" w:eastAsiaTheme="minorEastAsia"/>
          <w:bCs/>
        </w:rPr>
        <w:t xml:space="preserve">模板涂刷脱模剂，使脱模后砼表面光洁。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（3）砼运输及浇筑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砼运输主要由工程车运输至施工仓面，人工入仓，双胶轮车辅助。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砼尽量避免二次搬运</w:t>
      </w:r>
      <w:r>
        <w:rPr>
          <w:rFonts w:cs="仿宋" w:asciiTheme="minorEastAsia" w:hAnsiTheme="minorEastAsia" w:eastAsiaTheme="minorEastAsia"/>
          <w:bCs/>
        </w:rPr>
        <w:t>,</w:t>
      </w:r>
      <w:r>
        <w:rPr>
          <w:rFonts w:hint="eastAsia" w:cs="仿宋" w:asciiTheme="minorEastAsia" w:hAnsiTheme="minorEastAsia" w:eastAsiaTheme="minorEastAsia"/>
          <w:bCs/>
        </w:rPr>
        <w:t xml:space="preserve">砼运输过程中保持其均质性。如在运到灌注地点有离析现象时，在浇筑前均进行二次搅拌。 </w:t>
      </w:r>
    </w:p>
    <w:p>
      <w:pPr>
        <w:ind w:firstLine="480" w:firstLineChars="200"/>
        <w:rPr>
          <w:rFonts w:asciiTheme="minorEastAsia" w:hAnsiTheme="minorEastAsia" w:eastAsiaTheme="minorEastAsia"/>
          <w:bCs/>
        </w:rPr>
      </w:pPr>
      <w:r>
        <w:rPr>
          <w:rFonts w:hint="eastAsia" w:cs="仿宋" w:asciiTheme="minorEastAsia" w:hAnsiTheme="minorEastAsia" w:eastAsiaTheme="minorEastAsia"/>
          <w:bCs/>
        </w:rPr>
        <w:t>砼采用平板式振捣器和插入式振捣器振捣密实。</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（4）砼的养护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①砼在浇筑完毕后的 </w:t>
      </w:r>
      <w:r>
        <w:rPr>
          <w:rFonts w:cs="仿宋" w:asciiTheme="minorEastAsia" w:hAnsiTheme="minorEastAsia" w:eastAsiaTheme="minorEastAsia"/>
          <w:bCs/>
        </w:rPr>
        <w:t xml:space="preserve">12 </w:t>
      </w:r>
      <w:r>
        <w:rPr>
          <w:rFonts w:hint="eastAsia" w:cs="仿宋" w:asciiTheme="minorEastAsia" w:hAnsiTheme="minorEastAsia" w:eastAsiaTheme="minorEastAsia"/>
          <w:bCs/>
        </w:rPr>
        <w:t>小时以内，加以覆盖和洒水，当气温低于</w:t>
      </w:r>
      <w:r>
        <w:rPr>
          <w:rFonts w:cs="仿宋" w:asciiTheme="minorEastAsia" w:hAnsiTheme="minorEastAsia" w:eastAsiaTheme="minorEastAsia"/>
          <w:bCs/>
        </w:rPr>
        <w:t>+0.5</w:t>
      </w:r>
      <w:r>
        <w:rPr>
          <w:rFonts w:hint="eastAsia" w:cs="仿宋" w:asciiTheme="minorEastAsia" w:hAnsiTheme="minorEastAsia" w:eastAsiaTheme="minorEastAsia"/>
          <w:bCs/>
        </w:rPr>
        <w:t xml:space="preserve">℃时，覆盖保温，先覆盖一层塑料膜，再加盖保温层；炎热天气砼表面先覆盖草袋，并加强洒水养护。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 xml:space="preserve">②砼的养护时间根据水泥品种、气候条件确定，一般小于 </w:t>
      </w:r>
      <w:r>
        <w:rPr>
          <w:rFonts w:cs="仿宋" w:asciiTheme="minorEastAsia" w:hAnsiTheme="minorEastAsia" w:eastAsiaTheme="minorEastAsia"/>
          <w:bCs/>
        </w:rPr>
        <w:t xml:space="preserve">28 </w:t>
      </w:r>
      <w:r>
        <w:rPr>
          <w:rFonts w:hint="eastAsia" w:cs="仿宋" w:asciiTheme="minorEastAsia" w:hAnsiTheme="minorEastAsia" w:eastAsiaTheme="minorEastAsia"/>
          <w:bCs/>
        </w:rPr>
        <w:t xml:space="preserve">天。 </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③砼试块制作按规范要求进行，试块制作后在养护池进行养护，并及时送试验室进行强度试压。</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3、清淤施工</w:t>
      </w:r>
    </w:p>
    <w:p>
      <w:pPr>
        <w:spacing w:line="400" w:lineRule="exact"/>
        <w:ind w:firstLine="480" w:firstLineChars="200"/>
        <w:rPr>
          <w:rFonts w:asciiTheme="minorEastAsia" w:hAnsiTheme="minorEastAsia" w:eastAsiaTheme="minorEastAsia"/>
          <w:bCs/>
        </w:rPr>
      </w:pPr>
      <w:r>
        <w:rPr>
          <w:rFonts w:hint="eastAsia" w:cs="仿宋" w:asciiTheme="minorEastAsia" w:hAnsiTheme="minorEastAsia" w:eastAsiaTheme="minorEastAsia"/>
          <w:bCs/>
        </w:rPr>
        <w:t>主要工作内容为清淤、运输、淤泥处理，及时挖除水草及水生植物。</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（1）干、支渠：采用机械开挖、外运；</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（六）其他要求</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1、成交供应商在施工过程中，要严格按设计图纸和维修改造方案要求施工，应重视质量通病的防治，对质量通病必须根据技术规范要求制定预控措施。要认真做好材料和成品保护，以保证产品不受损坏和污染，由成交供应商负责修复、更换、恢复原样或照价赔偿。因失窃失火或其他非采购方原因（除不可抗力外）而造成的损失均由成交供应商自负，凡由此损及采购方利益时，成交供应商应负责赔偿采购方的损失。</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2、施工期间须配备专用电管人员和专职安全员，全面负责用电管理，确保安全生产。在施工过程中一切安全事故和其他责任事故，由成交供应商承担全部经济和法律责任。因失窃失火或其他非采购方原因而造成的损失均由成交供应商自负，凡由此损及采购方利益时，成交供应商应负责赔偿采购方的相应损失。</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3、水、电接口，由成交供应商自己寻找，并做好接入口的安全防护措施，接线费用由成交供应商自理，施工及养护期间用水、用电费用由成交供应商负责。</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4、工程所用材料进场前须先提供样品经采购方认可；批量进场后采购方可根据样品组织验收，通过后方可使用。</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5、工程施工过程中，每进入下道施工程序之前，须经采购方验收，通过后方可进入下道工序。</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6、成交供应商在工程竣工时必须做到工完场清、料清、障清，如未在采购方指定时间内做到工完场清、料清、障清，采购方有权在履约保证金中扣罚2000元整，加成交供应商须无条件接受。</w:t>
      </w:r>
    </w:p>
    <w:p>
      <w:pPr>
        <w:spacing w:line="400" w:lineRule="exact"/>
        <w:ind w:firstLine="480" w:firstLineChars="200"/>
        <w:rPr>
          <w:rFonts w:cs="仿宋" w:asciiTheme="minorEastAsia" w:hAnsiTheme="minorEastAsia" w:eastAsiaTheme="minorEastAsia"/>
          <w:bCs/>
        </w:rPr>
      </w:pPr>
      <w:r>
        <w:rPr>
          <w:rFonts w:hint="eastAsia" w:cs="仿宋" w:asciiTheme="minorEastAsia" w:hAnsiTheme="minorEastAsia" w:eastAsiaTheme="minorEastAsia"/>
          <w:bCs/>
        </w:rPr>
        <w:t>7、成交供应商应自费与施工进程同步形成、积累、整理及保管工程进度、障碍物拆除以及所有影响工程的记录（包括资料、设备的来源），以备查阅。</w:t>
      </w:r>
    </w:p>
    <w:p>
      <w:pPr>
        <w:pStyle w:val="2"/>
        <w:ind w:left="0" w:leftChars="0" w:firstLine="0" w:firstLineChars="0"/>
        <w:rPr>
          <w:b/>
          <w:bCs/>
        </w:rPr>
      </w:pPr>
    </w:p>
    <w:p>
      <w:pPr>
        <w:spacing w:line="400" w:lineRule="exact"/>
        <w:ind w:firstLine="363" w:firstLineChars="147"/>
        <w:rPr>
          <w:b/>
          <w:bCs/>
          <w:color w:val="000000"/>
          <w:szCs w:val="21"/>
        </w:rPr>
      </w:pPr>
      <w:r>
        <w:rPr>
          <w:rFonts w:hint="eastAsia" w:ascii="宋体" w:hAnsi="宋体" w:cs="宋体"/>
          <w:b/>
          <w:color w:val="000000"/>
          <w:spacing w:val="3"/>
          <w:szCs w:val="21"/>
          <w:shd w:val="clear" w:color="auto" w:fill="FFFFFF"/>
        </w:rPr>
        <w:t>（二）</w:t>
      </w:r>
      <w:r>
        <w:rPr>
          <w:rFonts w:hint="eastAsia"/>
          <w:b/>
          <w:bCs/>
          <w:color w:val="000000"/>
          <w:szCs w:val="21"/>
        </w:rPr>
        <w:t>工程管理要求</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1、中标人在施工过程中，要严格按设计图纸要求施工，应重视质量通病的防治，对质量通病必须根据技术规范要求制定预控措施。要认真做好材料和成品保护，以保证产品不受损坏和污染，如有损坏和污染的由中标人负责修复、更换、恢复原样或照价赔偿。因失窃失火或其他非采购方原因（除不可抗力外）而造成的损失均由中标人自负，凡由此损及采购方利益时，中标人应负责赔偿采购方的损失。</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2、施工期间须配备电管人员和安全员，全面负责用电、施工管理，确保安全生产。在施工过程中发生一切安全事故和其他责任事故均由中标人承担全部经济和法律责任。</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3、水、电接口，由中标人自行负责，并做好接入口的安全防护措施，接线费用由中标人自理，施工及养护期间用水、用电费用由中标人负责。</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4、工程所用材料进场前须先经采购方认可、验收，通过后方可使用。</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5、工程施工过程中，每进入下道施工工序之前，须经采购方验收，通过后方可进入下道工序。</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6、中标人在工程完工时必须做到工完场清、料清、障清，如未在采购方指定时间内做到工完场清、料清、障清，采购方有权在履约保证金中扣罚5000元整，中标人须无条件接受。</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7、中标人应自费与施工进程同步形成、积累、整理及保管工程进度、隐蔽工程、试验报告、障碍物拆除以及所有影响工程的记录（包括资料、设备的来源），以备需要评定工程进度和工程质量时查阅。</w:t>
      </w:r>
    </w:p>
    <w:p>
      <w:pPr>
        <w:snapToGrid w:val="0"/>
        <w:spacing w:before="60" w:after="60" w:line="400" w:lineRule="exact"/>
        <w:rPr>
          <w:rFonts w:ascii="宋体" w:hAnsi="宋体"/>
          <w:b/>
          <w:bCs/>
          <w:color w:val="000000"/>
          <w:szCs w:val="21"/>
        </w:rPr>
      </w:pPr>
      <w:r>
        <w:rPr>
          <w:rFonts w:hint="eastAsia" w:ascii="宋体" w:hAnsi="宋体"/>
          <w:b/>
          <w:bCs/>
          <w:color w:val="000000"/>
          <w:szCs w:val="21"/>
        </w:rPr>
        <w:t xml:space="preserve">  五、项目验收</w:t>
      </w:r>
    </w:p>
    <w:p>
      <w:pPr>
        <w:spacing w:line="360" w:lineRule="auto"/>
        <w:ind w:firstLine="480" w:firstLineChars="200"/>
        <w:rPr>
          <w:rFonts w:ascii="宋体" w:hAnsi="宋体" w:cs="宋体"/>
          <w:color w:val="000000"/>
          <w:szCs w:val="21"/>
        </w:rPr>
      </w:pPr>
      <w:r>
        <w:rPr>
          <w:rFonts w:hint="eastAsia" w:ascii="宋体" w:hAnsi="宋体" w:cs="宋体"/>
          <w:color w:val="000000"/>
          <w:szCs w:val="21"/>
        </w:rPr>
        <w:t>工程必须符合招标文件要求并不低于国家有关标准；施工及验收的要求和程序均按照国家、区域、行业颁发的现行标准、规范、程序和要求进行，并以工程管理单位验收合格为准，中标人应按相应要求组织实施。</w:t>
      </w:r>
    </w:p>
    <w:p>
      <w:pPr>
        <w:spacing w:line="400" w:lineRule="exact"/>
        <w:rPr>
          <w:rFonts w:ascii="宋体" w:hAnsi="宋体"/>
          <w:b/>
          <w:bCs/>
          <w:color w:val="000000"/>
          <w:szCs w:val="21"/>
        </w:rPr>
      </w:pPr>
      <w:r>
        <w:rPr>
          <w:rFonts w:hint="eastAsia" w:ascii="宋体" w:hAnsi="宋体"/>
          <w:b/>
          <w:bCs/>
          <w:color w:val="000000"/>
          <w:szCs w:val="21"/>
        </w:rPr>
        <w:t xml:space="preserve"> 六、附图</w:t>
      </w:r>
    </w:p>
    <w:p>
      <w:pPr>
        <w:spacing w:line="400" w:lineRule="exact"/>
        <w:rPr>
          <w:rFonts w:hint="eastAsia" w:ascii="宋体" w:hAnsi="宋体"/>
          <w:b/>
          <w:bCs/>
          <w:color w:val="000000"/>
          <w:szCs w:val="21"/>
        </w:rPr>
      </w:pPr>
      <w:r>
        <w:rPr>
          <w:rFonts w:hint="eastAsia" w:ascii="宋体" w:hAnsi="宋体"/>
          <w:b/>
          <w:bCs/>
          <w:color w:val="000000"/>
          <w:szCs w:val="21"/>
        </w:rPr>
        <w:t>安地渠道</w:t>
      </w:r>
      <w:r>
        <w:rPr>
          <w:rFonts w:ascii="宋体" w:hAnsi="宋体"/>
          <w:b/>
          <w:bCs/>
          <w:color w:val="000000"/>
          <w:szCs w:val="21"/>
        </w:rPr>
        <w:t xml:space="preserve">    </w:t>
      </w:r>
      <w:r>
        <w:rPr>
          <w:rFonts w:hint="eastAsia" w:ascii="宋体" w:hAnsi="宋体"/>
          <w:b/>
          <w:bCs/>
          <w:color w:val="000000"/>
          <w:szCs w:val="21"/>
        </w:rPr>
        <w:t>金兰水库</w:t>
      </w:r>
      <w:r>
        <w:rPr>
          <w:rFonts w:ascii="宋体" w:hAnsi="宋体"/>
          <w:b/>
          <w:bCs/>
          <w:color w:val="000000"/>
          <w:szCs w:val="21"/>
        </w:rPr>
        <w:t xml:space="preserve">    </w:t>
      </w:r>
      <w:r>
        <w:rPr>
          <w:rFonts w:hint="eastAsia" w:ascii="宋体" w:hAnsi="宋体"/>
          <w:b/>
          <w:bCs/>
          <w:color w:val="000000"/>
          <w:szCs w:val="21"/>
          <w:lang w:val="en-US" w:eastAsia="zh-CN"/>
        </w:rPr>
        <w:t xml:space="preserve">    </w:t>
      </w:r>
      <w:r>
        <w:rPr>
          <w:rFonts w:hint="eastAsia" w:ascii="宋体" w:hAnsi="宋体"/>
          <w:b/>
          <w:bCs/>
          <w:color w:val="000000"/>
          <w:szCs w:val="21"/>
        </w:rPr>
        <w:t>安地水库</w:t>
      </w:r>
      <w:r>
        <w:rPr>
          <w:rFonts w:ascii="宋体" w:hAnsi="宋体"/>
          <w:b/>
          <w:bCs/>
          <w:color w:val="000000"/>
          <w:szCs w:val="21"/>
        </w:rPr>
        <w:t xml:space="preserve">    </w:t>
      </w:r>
      <w:r>
        <w:rPr>
          <w:rFonts w:hint="eastAsia" w:ascii="宋体" w:hAnsi="宋体"/>
          <w:b/>
          <w:bCs/>
          <w:color w:val="000000"/>
          <w:szCs w:val="21"/>
          <w:lang w:val="en-US" w:eastAsia="zh-CN"/>
        </w:rPr>
        <w:t xml:space="preserve">      </w:t>
      </w:r>
      <w:r>
        <w:rPr>
          <w:rFonts w:hint="eastAsia" w:ascii="宋体" w:hAnsi="宋体"/>
          <w:b/>
          <w:bCs/>
          <w:color w:val="000000"/>
          <w:szCs w:val="21"/>
        </w:rPr>
        <w:t xml:space="preserve">沙畈水库 </w:t>
      </w:r>
      <w:r>
        <w:rPr>
          <w:rFonts w:ascii="宋体" w:hAnsi="宋体"/>
          <w:b/>
          <w:bCs/>
          <w:color w:val="000000"/>
          <w:szCs w:val="21"/>
        </w:rPr>
        <w:t xml:space="preserve">   </w:t>
      </w:r>
      <w:r>
        <w:rPr>
          <w:rFonts w:hint="eastAsia" w:ascii="宋体" w:hAnsi="宋体"/>
          <w:b/>
          <w:bCs/>
          <w:color w:val="000000"/>
          <w:szCs w:val="21"/>
          <w:lang w:val="en-US" w:eastAsia="zh-CN"/>
        </w:rPr>
        <w:t xml:space="preserve">      </w:t>
      </w:r>
      <w:r>
        <w:rPr>
          <w:rFonts w:hint="eastAsia" w:ascii="宋体" w:hAnsi="宋体"/>
          <w:b/>
          <w:bCs/>
          <w:color w:val="000000"/>
          <w:szCs w:val="21"/>
        </w:rPr>
        <w:t>金兰灌区</w:t>
      </w:r>
    </w:p>
    <w:p>
      <w:pPr>
        <w:spacing w:line="400" w:lineRule="exact"/>
        <w:rPr>
          <w:rFonts w:hint="default" w:ascii="宋体" w:hAnsi="宋体" w:eastAsia="宋体"/>
          <w:b/>
          <w:bCs/>
          <w:color w:val="000000"/>
          <w:szCs w:val="21"/>
          <w:lang w:val="en-US" w:eastAsia="zh-CN"/>
        </w:rPr>
      </w:pPr>
      <w:r>
        <w:rPr>
          <w:rFonts w:ascii="宋体" w:hAnsi="宋体"/>
          <w:b/>
          <w:bCs/>
          <w:color w:val="000000"/>
          <w:szCs w:val="21"/>
        </w:rPr>
        <w:pict>
          <v:shape id="_x0000_s1030" o:spid="_x0000_s1030" o:spt="75" alt="" type="#_x0000_t75" style="position:absolute;left:0pt;margin-left:7.1pt;margin-top:1pt;height:55.45pt;width:170.9pt;z-index:-251655168;mso-width-relative:page;mso-height-relative:page;" o:ole="t" filled="f" o:preferrelative="t" stroked="f" coordsize="21600,21600">
            <v:path/>
            <v:fill on="f" focussize="0,0"/>
            <v:stroke on="f"/>
            <v:imagedata r:id="rId9" o:title=""/>
            <o:lock v:ext="edit" aspectratio="t"/>
          </v:shape>
          <o:OLEObject Type="Embed" ProgID="Package" ShapeID="_x0000_s1030" DrawAspect="Content" ObjectID="_1468075725" r:id="rId8">
            <o:LockedField>false</o:LockedField>
          </o:OLEObject>
        </w:pict>
      </w:r>
      <w:r>
        <w:rPr>
          <w:rFonts w:ascii="宋体" w:hAnsi="宋体"/>
          <w:b/>
          <w:bCs/>
          <w:color w:val="000000"/>
          <w:szCs w:val="21"/>
        </w:rPr>
        <w:pict>
          <v:shape id="_x0000_s1028" o:spid="_x0000_s1028" o:spt="75" type="#_x0000_t75" style="position:absolute;left:0pt;margin-left:231pt;margin-top:3.55pt;height:41.4pt;width:139.4pt;z-index:-251656192;mso-width-relative:page;mso-height-relative:page;" o:ole="t" filled="f" o:preferrelative="t" stroked="f" coordsize="21600,21600">
            <v:path/>
            <v:fill on="f" focussize="0,0"/>
            <v:stroke on="f"/>
            <v:imagedata r:id="rId11" o:title=""/>
            <o:lock v:ext="edit" aspectratio="t"/>
          </v:shape>
          <o:OLEObject Type="Embed" ProgID="Package" ShapeID="_x0000_s1028" DrawAspect="Content" ObjectID="_1468075726" r:id="rId10">
            <o:LockedField>false</o:LockedField>
          </o:OLEObject>
        </w:pict>
      </w:r>
      <w:r>
        <w:pict>
          <v:shape id="_x0000_s1026" o:spid="_x0000_s1026" o:spt="75" type="#_x0000_t75" style="position:absolute;left:0pt;margin-left:149.5pt;margin-top:6.5pt;height:49.5pt;width:76.5pt;z-index:-251657216;mso-width-relative:page;mso-height-relative:page;" o:ole="t" filled="f" o:preferrelative="t" stroked="f" coordsize="21600,21600">
            <v:path/>
            <v:fill on="f" focussize="0,0"/>
            <v:stroke on="f" joinstyle="miter"/>
            <v:imagedata r:id="rId13" o:title=""/>
            <o:lock v:ext="edit" aspectratio="t"/>
          </v:shape>
          <o:OLEObject Type="Embed" ProgID="Package" ShapeID="_x0000_s1026" DrawAspect="Icon" ObjectID="_1468075727" r:id="rId12">
            <o:LockedField>false</o:LockedField>
          </o:OLEObject>
        </w:pict>
      </w:r>
      <w:r>
        <w:rPr>
          <w:rFonts w:hint="eastAsia" w:ascii="宋体" w:hAnsi="宋体"/>
          <w:b/>
          <w:bCs/>
          <w:color w:val="000000"/>
          <w:szCs w:val="21"/>
        </w:rPr>
        <w:t xml:space="preserve"> </w:t>
      </w:r>
      <w:r>
        <w:rPr>
          <w:rFonts w:ascii="宋体" w:hAnsi="宋体"/>
          <w:b/>
          <w:bCs/>
          <w:color w:val="000000"/>
          <w:szCs w:val="21"/>
        </w:rPr>
        <w:t xml:space="preserve">  </w:t>
      </w:r>
      <w:r>
        <w:rPr>
          <w:rFonts w:hint="eastAsia" w:ascii="宋体" w:hAnsi="宋体"/>
          <w:b/>
          <w:bCs/>
          <w:color w:val="000000"/>
          <w:szCs w:val="21"/>
          <w:lang w:val="en-US" w:eastAsia="zh-CN"/>
        </w:rPr>
        <w:t>无。</w:t>
      </w:r>
      <w:r>
        <w:rPr>
          <w:rFonts w:ascii="宋体" w:hAnsi="宋体"/>
          <w:b/>
          <w:bCs/>
          <w:color w:val="000000"/>
          <w:szCs w:val="21"/>
        </w:rPr>
        <w:t xml:space="preserve">                        </w:t>
      </w:r>
      <w:r>
        <w:rPr>
          <w:rFonts w:hint="eastAsia" w:ascii="宋体" w:hAnsi="宋体"/>
          <w:b/>
          <w:bCs/>
          <w:color w:val="000000"/>
          <w:szCs w:val="21"/>
          <w:lang w:val="en-US" w:eastAsia="zh-CN"/>
        </w:rPr>
        <w:t xml:space="preserve">                                    无。</w:t>
      </w:r>
    </w:p>
    <w:p>
      <w:pPr>
        <w:spacing w:line="400" w:lineRule="exact"/>
        <w:rPr>
          <w:rFonts w:ascii="宋体" w:hAnsi="宋体"/>
          <w:b/>
          <w:bCs/>
          <w:color w:val="000000"/>
          <w:szCs w:val="21"/>
        </w:rPr>
      </w:pPr>
    </w:p>
    <w:p>
      <w:pPr>
        <w:spacing w:line="400" w:lineRule="exact"/>
        <w:rPr>
          <w:rFonts w:ascii="宋体" w:hAnsi="宋体"/>
          <w:b/>
          <w:bCs/>
          <w:color w:val="000000"/>
          <w:szCs w:val="21"/>
        </w:rPr>
      </w:pPr>
    </w:p>
    <w:p>
      <w:pPr>
        <w:spacing w:line="400" w:lineRule="exact"/>
        <w:rPr>
          <w:rFonts w:hint="eastAsia" w:ascii="宋体" w:hAnsi="宋体"/>
          <w:b/>
          <w:bCs/>
          <w:color w:val="000000"/>
          <w:szCs w:val="21"/>
        </w:rPr>
      </w:pPr>
      <w:r>
        <w:rPr>
          <w:rFonts w:hint="eastAsia" w:ascii="宋体" w:hAnsi="宋体"/>
          <w:b/>
          <w:bCs/>
          <w:color w:val="000000"/>
          <w:szCs w:val="21"/>
        </w:rPr>
        <w:t xml:space="preserve"> </w:t>
      </w:r>
    </w:p>
    <w:p>
      <w:pPr>
        <w:spacing w:line="400" w:lineRule="exact"/>
        <w:rPr>
          <w:rFonts w:hint="eastAsia" w:ascii="宋体" w:hAnsi="宋体"/>
          <w:b/>
          <w:bCs/>
          <w:color w:val="000000"/>
          <w:szCs w:val="21"/>
        </w:rPr>
      </w:pPr>
    </w:p>
    <w:p>
      <w:pPr>
        <w:spacing w:line="400" w:lineRule="exact"/>
        <w:rPr>
          <w:rFonts w:hint="eastAsia" w:ascii="宋体" w:hAnsi="宋体"/>
          <w:b/>
          <w:bCs/>
          <w:color w:val="000000"/>
          <w:szCs w:val="21"/>
        </w:rPr>
      </w:pPr>
    </w:p>
    <w:p>
      <w:pPr>
        <w:spacing w:line="400" w:lineRule="exact"/>
        <w:rPr>
          <w:rFonts w:hint="eastAsia" w:ascii="宋体" w:hAnsi="宋体"/>
          <w:b/>
          <w:bCs/>
          <w:color w:val="000000"/>
          <w:szCs w:val="21"/>
        </w:rPr>
      </w:pPr>
    </w:p>
    <w:p>
      <w:pPr>
        <w:spacing w:line="400" w:lineRule="exact"/>
        <w:rPr>
          <w:rFonts w:hint="eastAsia" w:ascii="宋体" w:hAnsi="宋体"/>
          <w:b/>
          <w:bCs/>
          <w:color w:val="000000"/>
          <w:szCs w:val="21"/>
        </w:rPr>
      </w:pPr>
    </w:p>
    <w:p>
      <w:pPr>
        <w:spacing w:line="400" w:lineRule="exact"/>
        <w:rPr>
          <w:rFonts w:ascii="宋体" w:hAnsi="宋体"/>
          <w:b/>
          <w:bCs/>
          <w:color w:val="000000"/>
          <w:szCs w:val="21"/>
        </w:rPr>
      </w:pPr>
      <w:r>
        <w:rPr>
          <w:rFonts w:hint="eastAsia" w:ascii="宋体" w:hAnsi="宋体"/>
          <w:b/>
          <w:bCs/>
          <w:color w:val="000000"/>
          <w:szCs w:val="21"/>
        </w:rPr>
        <w:t>七、考核办法</w:t>
      </w:r>
    </w:p>
    <w:p>
      <w:pPr>
        <w:rPr>
          <w:rFonts w:ascii="宋体" w:hAnsi="宋体" w:cs="宋体"/>
          <w:color w:val="000000"/>
          <w:szCs w:val="21"/>
        </w:rPr>
      </w:pPr>
      <w:r>
        <w:rPr>
          <w:rFonts w:hint="eastAsia" w:ascii="宋体" w:hAnsi="宋体" w:cs="宋体"/>
          <w:color w:val="000000"/>
          <w:szCs w:val="21"/>
        </w:rPr>
        <w:t>附件1</w:t>
      </w:r>
    </w:p>
    <w:p>
      <w:pPr>
        <w:jc w:val="center"/>
        <w:rPr>
          <w:rFonts w:cs="宋体" w:asciiTheme="minorEastAsia" w:hAnsiTheme="minorEastAsia" w:eastAsiaTheme="minorEastAsia"/>
          <w:color w:val="000000"/>
          <w:sz w:val="44"/>
          <w:szCs w:val="44"/>
        </w:rPr>
      </w:pPr>
      <w:r>
        <w:rPr>
          <w:rFonts w:hint="eastAsia" w:cs="宋体" w:asciiTheme="minorEastAsia" w:hAnsiTheme="minorEastAsia" w:eastAsiaTheme="minorEastAsia"/>
          <w:color w:val="000000"/>
          <w:sz w:val="44"/>
          <w:szCs w:val="44"/>
        </w:rPr>
        <w:t>安地水库绿化养护工作考核办法</w:t>
      </w:r>
    </w:p>
    <w:p>
      <w:pPr>
        <w:rPr>
          <w:rFonts w:cs="宋体" w:asciiTheme="minorEastAsia" w:hAnsiTheme="minorEastAsia" w:eastAsiaTheme="minorEastAsia"/>
          <w:color w:val="000000"/>
        </w:rPr>
      </w:pP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为进一步规范绿化养护考核工作，保障考核实施项目落到实处，特制定本考核办法。</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一、绿化养护范围：安地水库管理范围的绿化及养护（详见附图）。</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二、水库绿化养护工作实行考核评分制度，由管理处考评小组进行考核。</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三、水库绿化养护工作情况采取不定期方式进行检查，考评小组成员每月根据检查情况，对照考核内容进行评分，汇总后的综合平均分作为当月考核结果。</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四、加强安全管理，确保安全生产，如发生安全事故，当月考核不得分。</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五、每月考核结果作为支付依据：考核分在90分（含）以上，当月工程款全额支付；考核分在90分以下60分以上的，每减少1分，扣除当月工程款的0.5%，以此类推；考核分60分以下扣除当月全部工程款。</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六、常驻库区绿化养护确保2人以上，每人每月出勤不少于25天，出勤天数每少一天扣除500元。根据养护需要，中标方应及时增派人员。</w:t>
      </w:r>
    </w:p>
    <w:p>
      <w:pPr>
        <w:spacing w:line="360" w:lineRule="auto"/>
        <w:rPr>
          <w:rFonts w:cs="宋体" w:asciiTheme="minorEastAsia" w:hAnsiTheme="minorEastAsia" w:eastAsiaTheme="minorEastAsia"/>
          <w:color w:val="000000"/>
          <w:szCs w:val="21"/>
        </w:rPr>
      </w:pPr>
    </w:p>
    <w:p>
      <w:pPr>
        <w:spacing w:line="360" w:lineRule="auto"/>
        <w:ind w:firstLine="480" w:firstLineChars="200"/>
        <w:jc w:val="righ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                                  安地水库管理处</w:t>
      </w:r>
    </w:p>
    <w:p>
      <w:pPr>
        <w:spacing w:line="360" w:lineRule="auto"/>
        <w:ind w:firstLine="480" w:firstLineChars="200"/>
        <w:jc w:val="righ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                                           2020年 </w:t>
      </w:r>
      <w:r>
        <w:rPr>
          <w:rFonts w:cs="宋体" w:asciiTheme="minorEastAsia" w:hAnsiTheme="minorEastAsia" w:eastAsiaTheme="minorEastAsia"/>
          <w:color w:val="000000"/>
          <w:szCs w:val="21"/>
        </w:rPr>
        <w:t xml:space="preserve">  </w:t>
      </w:r>
      <w:r>
        <w:rPr>
          <w:rFonts w:hint="eastAsia" w:cs="宋体" w:asciiTheme="minorEastAsia" w:hAnsiTheme="minorEastAsia" w:eastAsiaTheme="minorEastAsia"/>
          <w:color w:val="000000"/>
          <w:szCs w:val="21"/>
        </w:rPr>
        <w:t xml:space="preserve"> 月</w:t>
      </w:r>
    </w:p>
    <w:p>
      <w:pPr>
        <w:jc w:val="center"/>
        <w:rPr>
          <w:rFonts w:asciiTheme="minorEastAsia" w:hAnsiTheme="minorEastAsia" w:eastAsiaTheme="minorEastAsia"/>
          <w:sz w:val="44"/>
          <w:szCs w:val="44"/>
        </w:rPr>
      </w:pPr>
    </w:p>
    <w:p>
      <w:pPr>
        <w:jc w:val="center"/>
        <w:rPr>
          <w:rFonts w:asciiTheme="minorEastAsia" w:hAnsiTheme="minorEastAsia" w:eastAsiaTheme="minorEastAsia"/>
          <w:sz w:val="44"/>
          <w:szCs w:val="44"/>
        </w:rPr>
      </w:pPr>
    </w:p>
    <w:p>
      <w:pPr>
        <w:jc w:val="center"/>
        <w:rPr>
          <w:rFonts w:asciiTheme="minorEastAsia" w:hAnsiTheme="minorEastAsia" w:eastAsiaTheme="minorEastAsia"/>
          <w:sz w:val="44"/>
          <w:szCs w:val="44"/>
        </w:rPr>
      </w:pPr>
    </w:p>
    <w:p>
      <w:pPr>
        <w:jc w:val="center"/>
        <w:rPr>
          <w:rFonts w:asciiTheme="minorEastAsia" w:hAnsiTheme="minorEastAsia" w:eastAsiaTheme="minorEastAsia"/>
          <w:sz w:val="44"/>
          <w:szCs w:val="44"/>
        </w:rPr>
      </w:pPr>
    </w:p>
    <w:p>
      <w:pPr>
        <w:jc w:val="center"/>
        <w:rPr>
          <w:rFonts w:asciiTheme="minorEastAsia" w:hAnsiTheme="minorEastAsia" w:eastAsiaTheme="minorEastAsia"/>
          <w:sz w:val="44"/>
          <w:szCs w:val="44"/>
        </w:rPr>
      </w:pPr>
    </w:p>
    <w:p>
      <w:pPr>
        <w:jc w:val="center"/>
        <w:rPr>
          <w:rFonts w:asciiTheme="minorEastAsia" w:hAnsiTheme="minorEastAsia" w:eastAsiaTheme="minorEastAsia"/>
          <w:sz w:val="44"/>
          <w:szCs w:val="44"/>
        </w:rPr>
      </w:pPr>
    </w:p>
    <w:p>
      <w:pPr>
        <w:jc w:val="center"/>
        <w:rPr>
          <w:rFonts w:asciiTheme="minorEastAsia" w:hAnsiTheme="minorEastAsia" w:eastAsiaTheme="minorEastAsia"/>
          <w:sz w:val="44"/>
          <w:szCs w:val="44"/>
        </w:rPr>
      </w:pPr>
    </w:p>
    <w:p>
      <w:pPr>
        <w:jc w:val="center"/>
        <w:rPr>
          <w:rFonts w:asciiTheme="minorEastAsia" w:hAnsiTheme="minorEastAsia" w:eastAsiaTheme="minorEastAsia"/>
          <w:sz w:val="44"/>
          <w:szCs w:val="44"/>
        </w:rPr>
      </w:pPr>
    </w:p>
    <w:p>
      <w:pPr>
        <w:pStyle w:val="2"/>
        <w:ind w:left="480" w:firstLine="480"/>
      </w:pPr>
    </w:p>
    <w:p>
      <w:pPr>
        <w:pStyle w:val="2"/>
        <w:ind w:left="480" w:firstLine="480"/>
        <w:rPr>
          <w:rFonts w:hint="eastAsia"/>
        </w:rPr>
      </w:pPr>
    </w:p>
    <w:p>
      <w:pPr>
        <w:jc w:val="center"/>
        <w:rPr>
          <w:rFonts w:asciiTheme="minorEastAsia" w:hAnsiTheme="minorEastAsia" w:eastAsiaTheme="minorEastAsia"/>
          <w:sz w:val="44"/>
          <w:szCs w:val="44"/>
        </w:rPr>
      </w:pPr>
      <w:r>
        <w:rPr>
          <w:rFonts w:hint="eastAsia" w:cs="宋体" w:asciiTheme="minorEastAsia" w:hAnsiTheme="minorEastAsia" w:eastAsiaTheme="minorEastAsia"/>
          <w:color w:val="000000"/>
          <w:sz w:val="44"/>
          <w:szCs w:val="44"/>
        </w:rPr>
        <w:t>安地</w:t>
      </w:r>
      <w:r>
        <w:rPr>
          <w:rFonts w:hint="eastAsia" w:asciiTheme="minorEastAsia" w:hAnsiTheme="minorEastAsia" w:eastAsiaTheme="minorEastAsia"/>
          <w:sz w:val="44"/>
          <w:szCs w:val="44"/>
        </w:rPr>
        <w:t>水库绿化养护工作考核表</w:t>
      </w:r>
    </w:p>
    <w:p>
      <w:pPr>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检查时间：  年  月  日 </w:t>
      </w:r>
    </w:p>
    <w:tbl>
      <w:tblPr>
        <w:tblStyle w:val="37"/>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4277"/>
        <w:gridCol w:w="918"/>
        <w:gridCol w:w="983"/>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371" w:type="dxa"/>
            <w:vAlign w:val="center"/>
          </w:tcPr>
          <w:p>
            <w:pPr>
              <w:widowControl w:val="0"/>
              <w:spacing w:line="300" w:lineRule="exact"/>
              <w:ind w:left="-161" w:leftChars="-67" w:right="-122" w:rightChars="-51"/>
              <w:jc w:val="center"/>
              <w:rPr>
                <w:rFonts w:asciiTheme="minorEastAsia" w:hAnsiTheme="minorEastAsia" w:eastAsiaTheme="minorEastAsia"/>
                <w:b/>
              </w:rPr>
            </w:pPr>
            <w:r>
              <w:rPr>
                <w:rFonts w:hint="eastAsia" w:asciiTheme="minorEastAsia" w:hAnsiTheme="minorEastAsia" w:eastAsiaTheme="minorEastAsia"/>
                <w:b/>
              </w:rPr>
              <w:t>考核项目</w:t>
            </w:r>
          </w:p>
        </w:tc>
        <w:tc>
          <w:tcPr>
            <w:tcW w:w="4277" w:type="dxa"/>
            <w:vAlign w:val="center"/>
          </w:tcPr>
          <w:p>
            <w:pPr>
              <w:widowControl w:val="0"/>
              <w:spacing w:line="300" w:lineRule="exact"/>
              <w:jc w:val="center"/>
              <w:rPr>
                <w:rFonts w:asciiTheme="minorEastAsia" w:hAnsiTheme="minorEastAsia" w:eastAsiaTheme="minorEastAsia"/>
                <w:b/>
              </w:rPr>
            </w:pPr>
            <w:r>
              <w:rPr>
                <w:rFonts w:hint="eastAsia" w:asciiTheme="minorEastAsia" w:hAnsiTheme="minorEastAsia" w:eastAsiaTheme="minorEastAsia"/>
                <w:b/>
              </w:rPr>
              <w:t>考核内容和要求</w:t>
            </w:r>
          </w:p>
        </w:tc>
        <w:tc>
          <w:tcPr>
            <w:tcW w:w="918" w:type="dxa"/>
            <w:vAlign w:val="center"/>
          </w:tcPr>
          <w:p>
            <w:pPr>
              <w:widowControl w:val="0"/>
              <w:spacing w:line="300" w:lineRule="exact"/>
              <w:ind w:left="-196" w:leftChars="-82" w:right="-175" w:rightChars="-73" w:hanging="1"/>
              <w:jc w:val="center"/>
              <w:rPr>
                <w:rFonts w:asciiTheme="minorEastAsia" w:hAnsiTheme="minorEastAsia" w:eastAsiaTheme="minorEastAsia"/>
                <w:b/>
              </w:rPr>
            </w:pPr>
            <w:r>
              <w:rPr>
                <w:rFonts w:hint="eastAsia" w:asciiTheme="minorEastAsia" w:hAnsiTheme="minorEastAsia" w:eastAsiaTheme="minorEastAsia"/>
                <w:b/>
              </w:rPr>
              <w:t>标准分</w:t>
            </w:r>
          </w:p>
        </w:tc>
        <w:tc>
          <w:tcPr>
            <w:tcW w:w="983" w:type="dxa"/>
            <w:vAlign w:val="center"/>
          </w:tcPr>
          <w:p>
            <w:pPr>
              <w:widowControl w:val="0"/>
              <w:spacing w:line="300" w:lineRule="exact"/>
              <w:ind w:left="-38" w:leftChars="-51" w:right="-82" w:rightChars="-34" w:hanging="84" w:hangingChars="35"/>
              <w:jc w:val="center"/>
              <w:rPr>
                <w:rFonts w:asciiTheme="minorEastAsia" w:hAnsiTheme="minorEastAsia" w:eastAsiaTheme="minorEastAsia"/>
                <w:b/>
              </w:rPr>
            </w:pPr>
            <w:r>
              <w:rPr>
                <w:rFonts w:hint="eastAsia" w:asciiTheme="minorEastAsia" w:hAnsiTheme="minorEastAsia" w:eastAsiaTheme="minorEastAsia"/>
                <w:b/>
              </w:rPr>
              <w:t>考核分</w:t>
            </w:r>
          </w:p>
        </w:tc>
        <w:tc>
          <w:tcPr>
            <w:tcW w:w="2090" w:type="dxa"/>
            <w:vAlign w:val="center"/>
          </w:tcPr>
          <w:p>
            <w:pPr>
              <w:widowControl w:val="0"/>
              <w:spacing w:line="300" w:lineRule="exact"/>
              <w:jc w:val="center"/>
              <w:rPr>
                <w:rFonts w:asciiTheme="minorEastAsia" w:hAnsiTheme="minorEastAsia" w:eastAsiaTheme="minorEastAsia"/>
                <w:b/>
              </w:rPr>
            </w:pPr>
            <w:r>
              <w:rPr>
                <w:rFonts w:hint="eastAsia" w:asciiTheme="minorEastAsia" w:hAnsiTheme="minorEastAsia" w:eastAsiaTheme="minor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371" w:type="dxa"/>
            <w:vMerge w:val="restart"/>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安全管理</w:t>
            </w:r>
          </w:p>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（20分）</w:t>
            </w: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发现违章作业，本项不得分。</w:t>
            </w:r>
          </w:p>
        </w:tc>
        <w:tc>
          <w:tcPr>
            <w:tcW w:w="918" w:type="dxa"/>
            <w:vAlign w:val="center"/>
          </w:tcPr>
          <w:p>
            <w:pPr>
              <w:widowControl w:val="0"/>
              <w:spacing w:line="300" w:lineRule="exact"/>
              <w:ind w:left="-36" w:leftChars="-15" w:firstLine="31" w:firstLineChars="13"/>
              <w:jc w:val="center"/>
              <w:rPr>
                <w:rFonts w:asciiTheme="minorEastAsia" w:hAnsiTheme="minorEastAsia" w:eastAsiaTheme="minorEastAsia"/>
              </w:rPr>
            </w:pPr>
            <w:r>
              <w:rPr>
                <w:rFonts w:hint="eastAsia" w:asciiTheme="minorEastAsia" w:hAnsiTheme="minorEastAsia" w:eastAsiaTheme="minorEastAsia"/>
              </w:rPr>
              <w:t>10</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371" w:type="dxa"/>
            <w:vMerge w:val="continue"/>
            <w:vAlign w:val="center"/>
          </w:tcPr>
          <w:p>
            <w:pPr>
              <w:widowControl w:val="0"/>
              <w:spacing w:line="300" w:lineRule="exact"/>
              <w:jc w:val="both"/>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作业人员佩戴好防护用品。发现未穿戴一次扣1分。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5</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371" w:type="dxa"/>
            <w:vMerge w:val="continue"/>
            <w:vAlign w:val="center"/>
          </w:tcPr>
          <w:p>
            <w:pPr>
              <w:widowControl w:val="0"/>
              <w:spacing w:line="300" w:lineRule="exact"/>
              <w:jc w:val="both"/>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消杀药品管理规范，发现一起扣1分。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5</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371" w:type="dxa"/>
            <w:vMerge w:val="restart"/>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绿化养护</w:t>
            </w:r>
          </w:p>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（80分）</w:t>
            </w:r>
          </w:p>
          <w:p>
            <w:pPr>
              <w:widowControl w:val="0"/>
              <w:spacing w:line="300" w:lineRule="exact"/>
              <w:jc w:val="center"/>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及时清理枯枝、断裂枝条，保持整体绿化环境整洁。发现一处扣1分。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371" w:type="dxa"/>
            <w:vMerge w:val="continue"/>
            <w:vAlign w:val="center"/>
          </w:tcPr>
          <w:p>
            <w:pPr>
              <w:widowControl w:val="0"/>
              <w:spacing w:line="300" w:lineRule="exact"/>
              <w:jc w:val="center"/>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做好夏季抗旱浇水养护，确保植物无枯死。发现一处扣1分。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371" w:type="dxa"/>
            <w:vMerge w:val="continue"/>
            <w:vAlign w:val="center"/>
          </w:tcPr>
          <w:p>
            <w:pPr>
              <w:widowControl w:val="0"/>
              <w:spacing w:line="300" w:lineRule="exact"/>
              <w:jc w:val="center"/>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人车通行处及重要部位植物不定时进行修剪，有阻碍人车通行的枝条，发现一处扣1分。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71" w:type="dxa"/>
            <w:vMerge w:val="continue"/>
            <w:vAlign w:val="center"/>
          </w:tcPr>
          <w:p>
            <w:pPr>
              <w:widowControl w:val="0"/>
              <w:spacing w:line="300" w:lineRule="exact"/>
              <w:jc w:val="center"/>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绿篱、花丛、景观色块等按其生长态势进行修剪，发现明显影响美观要求的，发现一处扣1分。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371" w:type="dxa"/>
            <w:vMerge w:val="continue"/>
            <w:vAlign w:val="center"/>
          </w:tcPr>
          <w:p>
            <w:pPr>
              <w:widowControl w:val="0"/>
              <w:spacing w:line="300" w:lineRule="exact"/>
              <w:jc w:val="center"/>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乔木根据生长态势每年大规模修剪2次，每少一次扣5分。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vAlign w:val="center"/>
          </w:tcPr>
          <w:p>
            <w:pPr>
              <w:widowControl w:val="0"/>
              <w:spacing w:line="300" w:lineRule="exact"/>
              <w:jc w:val="center"/>
              <w:rPr>
                <w:rFonts w:asciiTheme="minorEastAsia" w:hAnsiTheme="minorEastAsia" w:eastAsiaTheme="minorEastAsia"/>
              </w:rPr>
            </w:pPr>
          </w:p>
        </w:tc>
        <w:tc>
          <w:tcPr>
            <w:tcW w:w="2090" w:type="dxa"/>
            <w:vAlign w:val="center"/>
          </w:tcPr>
          <w:p>
            <w:pPr>
              <w:widowControl w:val="0"/>
              <w:spacing w:line="300" w:lineRule="exact"/>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371" w:type="dxa"/>
            <w:vMerge w:val="continue"/>
            <w:vAlign w:val="center"/>
          </w:tcPr>
          <w:p>
            <w:pPr>
              <w:widowControl w:val="0"/>
              <w:spacing w:line="300" w:lineRule="exact"/>
              <w:jc w:val="center"/>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乔木每年施肥一次，灌木每季度施肥一次，确保长势良好，有施肥记录，少一次扣5分。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tcPr>
          <w:p>
            <w:pPr>
              <w:widowControl w:val="0"/>
              <w:spacing w:line="300" w:lineRule="exact"/>
              <w:jc w:val="left"/>
              <w:rPr>
                <w:rFonts w:asciiTheme="minorEastAsia" w:hAnsiTheme="minorEastAsia" w:eastAsiaTheme="minorEastAsia"/>
              </w:rPr>
            </w:pPr>
          </w:p>
        </w:tc>
        <w:tc>
          <w:tcPr>
            <w:tcW w:w="2090" w:type="dxa"/>
          </w:tcPr>
          <w:p>
            <w:pPr>
              <w:widowControl w:val="0"/>
              <w:spacing w:line="300" w:lineRule="exact"/>
              <w:jc w:val="lef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371" w:type="dxa"/>
            <w:vMerge w:val="continue"/>
          </w:tcPr>
          <w:p>
            <w:pPr>
              <w:widowControl w:val="0"/>
              <w:spacing w:line="300" w:lineRule="exact"/>
              <w:jc w:val="left"/>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乔木、绿篱无明显病虫危害，发现一处扣1分；保证每季度除虫害一次（乔木除外），有台账记录，发现大面积病虫害，此项不得分。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tcPr>
          <w:p>
            <w:pPr>
              <w:widowControl w:val="0"/>
              <w:spacing w:line="300" w:lineRule="exact"/>
              <w:jc w:val="left"/>
              <w:rPr>
                <w:rFonts w:asciiTheme="minorEastAsia" w:hAnsiTheme="minorEastAsia" w:eastAsiaTheme="minorEastAsia"/>
              </w:rPr>
            </w:pPr>
          </w:p>
        </w:tc>
        <w:tc>
          <w:tcPr>
            <w:tcW w:w="2090" w:type="dxa"/>
          </w:tcPr>
          <w:p>
            <w:pPr>
              <w:widowControl w:val="0"/>
              <w:spacing w:line="300" w:lineRule="exact"/>
              <w:jc w:val="lef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71" w:type="dxa"/>
            <w:vMerge w:val="continue"/>
          </w:tcPr>
          <w:p>
            <w:pPr>
              <w:widowControl w:val="0"/>
              <w:spacing w:line="300" w:lineRule="exact"/>
              <w:jc w:val="left"/>
              <w:rPr>
                <w:rFonts w:asciiTheme="minorEastAsia" w:hAnsiTheme="minorEastAsia" w:eastAsiaTheme="minorEastAsia"/>
              </w:rPr>
            </w:pPr>
          </w:p>
        </w:tc>
        <w:tc>
          <w:tcPr>
            <w:tcW w:w="4277" w:type="dxa"/>
            <w:vAlign w:val="center"/>
          </w:tcPr>
          <w:p>
            <w:pPr>
              <w:widowControl w:val="0"/>
              <w:spacing w:line="300" w:lineRule="exact"/>
              <w:jc w:val="both"/>
              <w:rPr>
                <w:rFonts w:asciiTheme="minorEastAsia" w:hAnsiTheme="minorEastAsia" w:eastAsiaTheme="minorEastAsia"/>
              </w:rPr>
            </w:pPr>
            <w:r>
              <w:rPr>
                <w:rFonts w:hint="eastAsia" w:asciiTheme="minorEastAsia" w:hAnsiTheme="minorEastAsia" w:eastAsiaTheme="minorEastAsia"/>
              </w:rPr>
              <w:t>草坪范围无明显杂草，发现一处扣1分。</w:t>
            </w:r>
          </w:p>
        </w:tc>
        <w:tc>
          <w:tcPr>
            <w:tcW w:w="918" w:type="dxa"/>
            <w:vAlign w:val="center"/>
          </w:tcPr>
          <w:p>
            <w:pPr>
              <w:widowControl w:val="0"/>
              <w:spacing w:line="300" w:lineRule="exact"/>
              <w:jc w:val="center"/>
              <w:rPr>
                <w:rFonts w:asciiTheme="minorEastAsia" w:hAnsiTheme="minorEastAsia" w:eastAsiaTheme="minorEastAsia"/>
              </w:rPr>
            </w:pPr>
            <w:r>
              <w:rPr>
                <w:rFonts w:hint="eastAsia" w:asciiTheme="minorEastAsia" w:hAnsiTheme="minorEastAsia" w:eastAsiaTheme="minorEastAsia"/>
              </w:rPr>
              <w:t>10</w:t>
            </w:r>
          </w:p>
        </w:tc>
        <w:tc>
          <w:tcPr>
            <w:tcW w:w="983" w:type="dxa"/>
          </w:tcPr>
          <w:p>
            <w:pPr>
              <w:widowControl w:val="0"/>
              <w:spacing w:line="300" w:lineRule="exact"/>
              <w:jc w:val="left"/>
              <w:rPr>
                <w:rFonts w:asciiTheme="minorEastAsia" w:hAnsiTheme="minorEastAsia" w:eastAsiaTheme="minorEastAsia"/>
              </w:rPr>
            </w:pPr>
          </w:p>
        </w:tc>
        <w:tc>
          <w:tcPr>
            <w:tcW w:w="2090" w:type="dxa"/>
          </w:tcPr>
          <w:p>
            <w:pPr>
              <w:widowControl w:val="0"/>
              <w:spacing w:line="300" w:lineRule="exact"/>
              <w:jc w:val="lef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648" w:type="dxa"/>
            <w:gridSpan w:val="2"/>
            <w:vAlign w:val="center"/>
          </w:tcPr>
          <w:p>
            <w:pPr>
              <w:widowControl w:val="0"/>
              <w:spacing w:line="300" w:lineRule="exact"/>
              <w:jc w:val="center"/>
              <w:rPr>
                <w:rFonts w:asciiTheme="minorEastAsia" w:hAnsiTheme="minorEastAsia" w:eastAsiaTheme="minorEastAsia"/>
                <w:b/>
                <w:color w:val="000000"/>
              </w:rPr>
            </w:pPr>
            <w:r>
              <w:rPr>
                <w:rFonts w:hint="eastAsia" w:asciiTheme="minorEastAsia" w:hAnsiTheme="minorEastAsia" w:eastAsiaTheme="minorEastAsia"/>
                <w:b/>
              </w:rPr>
              <w:t>合 计</w:t>
            </w:r>
          </w:p>
        </w:tc>
        <w:tc>
          <w:tcPr>
            <w:tcW w:w="918" w:type="dxa"/>
            <w:vAlign w:val="center"/>
          </w:tcPr>
          <w:p>
            <w:pPr>
              <w:widowControl w:val="0"/>
              <w:spacing w:line="300" w:lineRule="exact"/>
              <w:jc w:val="center"/>
              <w:rPr>
                <w:rFonts w:asciiTheme="minorEastAsia" w:hAnsiTheme="minorEastAsia" w:eastAsiaTheme="minorEastAsia"/>
                <w:color w:val="000000"/>
              </w:rPr>
            </w:pPr>
            <w:r>
              <w:rPr>
                <w:rFonts w:hint="eastAsia" w:asciiTheme="minorEastAsia" w:hAnsiTheme="minorEastAsia" w:eastAsiaTheme="minorEastAsia"/>
              </w:rPr>
              <w:t>100</w:t>
            </w:r>
          </w:p>
        </w:tc>
        <w:tc>
          <w:tcPr>
            <w:tcW w:w="983" w:type="dxa"/>
          </w:tcPr>
          <w:p>
            <w:pPr>
              <w:widowControl w:val="0"/>
              <w:spacing w:line="300" w:lineRule="exact"/>
              <w:jc w:val="left"/>
              <w:rPr>
                <w:rFonts w:asciiTheme="minorEastAsia" w:hAnsiTheme="minorEastAsia" w:eastAsiaTheme="minorEastAsia"/>
                <w:color w:val="000000"/>
              </w:rPr>
            </w:pPr>
          </w:p>
        </w:tc>
        <w:tc>
          <w:tcPr>
            <w:tcW w:w="2090" w:type="dxa"/>
          </w:tcPr>
          <w:p>
            <w:pPr>
              <w:widowControl w:val="0"/>
              <w:spacing w:line="300" w:lineRule="exact"/>
              <w:jc w:val="left"/>
              <w:rPr>
                <w:rFonts w:asciiTheme="minorEastAsia" w:hAnsiTheme="minorEastAsia" w:eastAsiaTheme="minorEastAsia"/>
                <w:color w:val="000000"/>
              </w:rPr>
            </w:pPr>
          </w:p>
        </w:tc>
      </w:tr>
    </w:tbl>
    <w:p>
      <w:pPr>
        <w:spacing w:line="3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考核人员（签字）：             </w:t>
      </w:r>
    </w:p>
    <w:p>
      <w:pP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附件2：</w:t>
      </w:r>
    </w:p>
    <w:p>
      <w:pPr>
        <w:jc w:val="center"/>
        <w:rPr>
          <w:rFonts w:cs="宋体" w:asciiTheme="minorEastAsia" w:hAnsiTheme="minorEastAsia" w:eastAsiaTheme="minorEastAsia"/>
          <w:color w:val="000000"/>
          <w:sz w:val="44"/>
          <w:szCs w:val="44"/>
        </w:rPr>
      </w:pPr>
    </w:p>
    <w:p>
      <w:pPr>
        <w:jc w:val="center"/>
        <w:rPr>
          <w:rFonts w:cs="宋体" w:asciiTheme="minorEastAsia" w:hAnsiTheme="minorEastAsia" w:eastAsiaTheme="minorEastAsia"/>
          <w:color w:val="000000"/>
          <w:sz w:val="44"/>
          <w:szCs w:val="44"/>
        </w:rPr>
      </w:pPr>
      <w:r>
        <w:rPr>
          <w:rFonts w:hint="eastAsia" w:cs="宋体" w:asciiTheme="minorEastAsia" w:hAnsiTheme="minorEastAsia" w:eastAsiaTheme="minorEastAsia"/>
          <w:color w:val="000000"/>
          <w:sz w:val="44"/>
          <w:szCs w:val="44"/>
        </w:rPr>
        <w:t>安地水库库区保洁工作考核办法</w:t>
      </w:r>
    </w:p>
    <w:p>
      <w:pPr>
        <w:rPr>
          <w:rFonts w:cs="宋体" w:asciiTheme="minorEastAsia" w:hAnsiTheme="minorEastAsia" w:eastAsiaTheme="minorEastAsia"/>
          <w:color w:val="000000"/>
        </w:rPr>
      </w:pPr>
    </w:p>
    <w:p>
      <w:pPr>
        <w:spacing w:line="360" w:lineRule="auto"/>
        <w:ind w:firstLine="560" w:firstLineChars="200"/>
        <w:rPr>
          <w:rFonts w:cs="宋体" w:asciiTheme="minorEastAsia" w:hAnsiTheme="minorEastAsia" w:eastAsiaTheme="minorEastAsia"/>
          <w:color w:val="000000"/>
          <w:szCs w:val="21"/>
        </w:rPr>
      </w:pPr>
      <w:r>
        <w:rPr>
          <w:rFonts w:hint="eastAsia" w:asciiTheme="minorEastAsia" w:hAnsiTheme="minorEastAsia" w:eastAsiaTheme="minorEastAsia"/>
          <w:sz w:val="28"/>
          <w:szCs w:val="28"/>
        </w:rPr>
        <w:t xml:space="preserve">   </w:t>
      </w:r>
      <w:r>
        <w:rPr>
          <w:rFonts w:hint="eastAsia" w:cs="宋体" w:asciiTheme="minorEastAsia" w:hAnsiTheme="minorEastAsia" w:eastAsiaTheme="minorEastAsia"/>
          <w:color w:val="000000"/>
          <w:szCs w:val="21"/>
        </w:rPr>
        <w:t xml:space="preserve"> 为进一步规范库区保洁考核工作，保障考核实施项目落到实处，特制定本考核办法。</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一、保洁范围：安地水库正常蓄水位以下区域、大坝、防汛监测楼周边、防汛通道路面及排水沟、各启闭机房室内及周边、管理区道路路面、一级电站尾水渠及水塘的水面保洁。</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二、库区保洁工作实行考核评分制度，由管理处考评小组进行考核。</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三、库区保洁工作情况采取不定期方式进行检查，考评小组成员每月根据检查情况，对照考核内容进行评分，汇总后的综合平均分作为当月考核结果。</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四、加强安全管理，确保安全生产，如发生安全事故，当月考核不得分。</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五、每月考核结果作为支付依据：考核分在90分（含）以上，当月工程款全额支付；考核分在90分以下60分以上的，每减少1分，扣除当月工程款的0.5%，以此类推；考核分60分以下扣除当月全部工程款。</w:t>
      </w:r>
    </w:p>
    <w:p>
      <w:pPr>
        <w:spacing w:line="360" w:lineRule="auto"/>
        <w:ind w:firstLine="48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六、常驻库区保洁确保2人以上，每人每月出勤不少于25天，出勤天数每少一天扣除500元。根据保洁需要，应及时增派人员。</w:t>
      </w:r>
    </w:p>
    <w:p>
      <w:pPr>
        <w:spacing w:line="360" w:lineRule="auto"/>
        <w:ind w:firstLine="480" w:firstLineChars="200"/>
        <w:rPr>
          <w:rFonts w:cs="宋体" w:asciiTheme="minorEastAsia" w:hAnsiTheme="minorEastAsia" w:eastAsiaTheme="minorEastAsia"/>
          <w:color w:val="000000"/>
          <w:szCs w:val="21"/>
        </w:rPr>
      </w:pPr>
    </w:p>
    <w:p>
      <w:pPr>
        <w:spacing w:line="360" w:lineRule="auto"/>
        <w:ind w:firstLine="480" w:firstLineChars="200"/>
        <w:jc w:val="righ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                                      安地水库管理处</w:t>
      </w:r>
    </w:p>
    <w:p>
      <w:pPr>
        <w:spacing w:line="360" w:lineRule="auto"/>
        <w:ind w:firstLine="480" w:firstLineChars="200"/>
        <w:jc w:val="righ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                                           2020年 </w:t>
      </w:r>
      <w:r>
        <w:rPr>
          <w:rFonts w:cs="宋体" w:asciiTheme="minorEastAsia" w:hAnsiTheme="minorEastAsia" w:eastAsiaTheme="minorEastAsia"/>
          <w:color w:val="000000"/>
          <w:szCs w:val="21"/>
        </w:rPr>
        <w:t xml:space="preserve"> </w:t>
      </w:r>
      <w:r>
        <w:rPr>
          <w:rFonts w:hint="eastAsia" w:cs="宋体" w:asciiTheme="minorEastAsia" w:hAnsiTheme="minorEastAsia" w:eastAsiaTheme="minorEastAsia"/>
          <w:color w:val="000000"/>
          <w:szCs w:val="21"/>
        </w:rPr>
        <w:t xml:space="preserve"> 月</w:t>
      </w:r>
    </w:p>
    <w:tbl>
      <w:tblPr>
        <w:tblStyle w:val="36"/>
        <w:tblW w:w="9259" w:type="dxa"/>
        <w:tblInd w:w="0" w:type="dxa"/>
        <w:tblLayout w:type="fixed"/>
        <w:tblCellMar>
          <w:top w:w="15" w:type="dxa"/>
          <w:left w:w="15" w:type="dxa"/>
          <w:bottom w:w="15" w:type="dxa"/>
          <w:right w:w="15" w:type="dxa"/>
        </w:tblCellMar>
      </w:tblPr>
      <w:tblGrid>
        <w:gridCol w:w="857"/>
        <w:gridCol w:w="5274"/>
        <w:gridCol w:w="632"/>
        <w:gridCol w:w="700"/>
        <w:gridCol w:w="1796"/>
      </w:tblGrid>
      <w:tr>
        <w:tblPrEx>
          <w:tblCellMar>
            <w:top w:w="15" w:type="dxa"/>
            <w:left w:w="15" w:type="dxa"/>
            <w:bottom w:w="15" w:type="dxa"/>
            <w:right w:w="15" w:type="dxa"/>
          </w:tblCellMar>
        </w:tblPrEx>
        <w:trPr>
          <w:trHeight w:val="626" w:hRule="atLeast"/>
        </w:trPr>
        <w:tc>
          <w:tcPr>
            <w:tcW w:w="9259" w:type="dxa"/>
            <w:gridSpan w:val="5"/>
            <w:vAlign w:val="center"/>
          </w:tcPr>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p>
          <w:p>
            <w:pPr>
              <w:jc w:val="center"/>
              <w:textAlignment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安地水库库区保洁工作考核表</w:t>
            </w:r>
          </w:p>
        </w:tc>
      </w:tr>
      <w:tr>
        <w:tblPrEx>
          <w:tblCellMar>
            <w:top w:w="15" w:type="dxa"/>
            <w:left w:w="15" w:type="dxa"/>
            <w:bottom w:w="15" w:type="dxa"/>
            <w:right w:w="15" w:type="dxa"/>
          </w:tblCellMar>
        </w:tblPrEx>
        <w:trPr>
          <w:trHeight w:val="434" w:hRule="atLeast"/>
        </w:trPr>
        <w:tc>
          <w:tcPr>
            <w:tcW w:w="9259" w:type="dxa"/>
            <w:gridSpan w:val="5"/>
            <w:tcBorders>
              <w:bottom w:val="single" w:color="000000" w:sz="4" w:space="0"/>
            </w:tcBorders>
            <w:vAlign w:val="center"/>
          </w:tcPr>
          <w:p>
            <w:pPr>
              <w:jc w:val="center"/>
              <w:textAlignment w:val="center"/>
              <w:rPr>
                <w:rFonts w:cs="宋体" w:asciiTheme="minorEastAsia" w:hAnsiTheme="minorEastAsia" w:eastAsiaTheme="minorEastAsia"/>
                <w:b/>
                <w:color w:val="000000"/>
                <w:sz w:val="22"/>
                <w:szCs w:val="22"/>
              </w:rPr>
            </w:pPr>
            <w:r>
              <w:rPr>
                <w:rFonts w:hint="eastAsia" w:cs="宋体" w:asciiTheme="minorEastAsia" w:hAnsiTheme="minorEastAsia" w:eastAsiaTheme="minorEastAsia"/>
                <w:b/>
                <w:color w:val="000000"/>
                <w:sz w:val="22"/>
                <w:szCs w:val="22"/>
              </w:rPr>
              <w:t xml:space="preserve">                                              检查时间：  年  月   日    </w:t>
            </w:r>
          </w:p>
        </w:tc>
      </w:tr>
      <w:tr>
        <w:tblPrEx>
          <w:tblCellMar>
            <w:top w:w="15" w:type="dxa"/>
            <w:left w:w="15" w:type="dxa"/>
            <w:bottom w:w="15" w:type="dxa"/>
            <w:right w:w="15" w:type="dxa"/>
          </w:tblCellMar>
        </w:tblPrEx>
        <w:trPr>
          <w:trHeight w:val="417" w:hRule="atLeast"/>
        </w:trPr>
        <w:tc>
          <w:tcPr>
            <w:tcW w:w="85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考核项目</w:t>
            </w:r>
          </w:p>
        </w:tc>
        <w:tc>
          <w:tcPr>
            <w:tcW w:w="527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考核内容和要求</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标准分</w:t>
            </w:r>
          </w:p>
        </w:tc>
        <w:tc>
          <w:tcPr>
            <w:tcW w:w="7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考核分</w:t>
            </w:r>
          </w:p>
        </w:tc>
        <w:tc>
          <w:tcPr>
            <w:tcW w:w="17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备注</w:t>
            </w:r>
          </w:p>
        </w:tc>
      </w:tr>
      <w:tr>
        <w:tblPrEx>
          <w:tblCellMar>
            <w:top w:w="15" w:type="dxa"/>
            <w:left w:w="15" w:type="dxa"/>
            <w:bottom w:w="15" w:type="dxa"/>
            <w:right w:w="15" w:type="dxa"/>
          </w:tblCellMar>
        </w:tblPrEx>
        <w:trPr>
          <w:trHeight w:val="526" w:hRule="atLeast"/>
        </w:trPr>
        <w:tc>
          <w:tcPr>
            <w:tcW w:w="857"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安全管理（15分）</w:t>
            </w: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发现违章作业，本项不得分。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10</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作业人员佩戴好防护用品。发现未穿戴一次扣1分。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restart"/>
            <w:tcBorders>
              <w:top w:val="single" w:color="000000" w:sz="4" w:space="0"/>
              <w:left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保洁工作（70分）</w:t>
            </w: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库面保持干净、整洁，无垃圾、漂浮物。发现一处扣1分。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20</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正常蓄水位以下地带无明显堆积物及废弃物。发现一处扣1分。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坝面及大坝两侧排水沟保持干净、整洁、无垃圾、无落叶、无杂草。发现一处扣1分。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防汛监测楼周边保持干净、整洁、无垃圾、无落叶。发现一处扣1分。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防汛通道路面及排水沟保持干净、整洁、无垃圾、无落叶。发现一处扣1分。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各启闭机房室内及周边保持干净、整洁、无垃圾、无落叶。发现一处扣1分。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管理区道路路面保持干净、整洁、无垃圾、无落叶。发现一处扣1分。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一级电站尾水渠水面保持干净、整洁，无垃圾、漂浮物。发现一处扣1分。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水塘水面保持干净、整洁，无垃圾、漂浮物。发现一处扣1分。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732" w:hRule="atLeast"/>
        </w:trPr>
        <w:tc>
          <w:tcPr>
            <w:tcW w:w="857" w:type="dxa"/>
            <w:vMerge w:val="continue"/>
            <w:tcBorders>
              <w:left w:val="single" w:color="000000" w:sz="4" w:space="0"/>
              <w:bottom w:val="single" w:color="auto"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对打捞到的动物尸体进行无害化处理，垃圾应及时外运，不得在库区范围进行填埋和焚烧。发现一处扣1分。</w:t>
            </w:r>
          </w:p>
        </w:tc>
        <w:tc>
          <w:tcPr>
            <w:tcW w:w="632" w:type="dxa"/>
            <w:tcBorders>
              <w:top w:val="single" w:color="000000" w:sz="4" w:space="0"/>
              <w:left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10</w:t>
            </w:r>
          </w:p>
        </w:tc>
        <w:tc>
          <w:tcPr>
            <w:tcW w:w="700" w:type="dxa"/>
            <w:tcBorders>
              <w:top w:val="single" w:color="000000" w:sz="4" w:space="0"/>
              <w:left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restart"/>
            <w:tcBorders>
              <w:top w:val="single" w:color="auto" w:sz="4" w:space="0"/>
              <w:left w:val="single" w:color="000000" w:sz="4" w:space="0"/>
              <w:right w:val="single" w:color="000000" w:sz="4" w:space="0"/>
            </w:tcBorders>
            <w:vAlign w:val="center"/>
          </w:tcPr>
          <w:p>
            <w:pPr>
              <w:ind w:firstLine="240" w:firstLineChars="100"/>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其他</w:t>
            </w:r>
          </w:p>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（15分）</w:t>
            </w: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保洁人员协助做好水源保护宣传工作，不得使用污染水源的保洁工具。发现一次不得分。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2</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保洁不到位，被举报或投诉到省级以上有关部门或媒体曝光。发生一次不得分。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000000"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保洁不到位，被举报或投诉到市级以上有关部门或媒体曝光。发生一次不得分。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3</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526" w:hRule="atLeast"/>
        </w:trPr>
        <w:tc>
          <w:tcPr>
            <w:tcW w:w="857" w:type="dxa"/>
            <w:vMerge w:val="continue"/>
            <w:tcBorders>
              <w:left w:val="single" w:color="000000" w:sz="4" w:space="0"/>
              <w:bottom w:val="single" w:color="auto" w:sz="4" w:space="0"/>
              <w:right w:val="single" w:color="000000" w:sz="4" w:space="0"/>
            </w:tcBorders>
            <w:vAlign w:val="center"/>
          </w:tcPr>
          <w:p>
            <w:pPr>
              <w:jc w:val="center"/>
              <w:rPr>
                <w:rFonts w:cs="宋体" w:asciiTheme="minorEastAsia" w:hAnsiTheme="minorEastAsia" w:eastAsiaTheme="minorEastAsia"/>
                <w:color w:val="000000"/>
                <w:szCs w:val="21"/>
              </w:rPr>
            </w:pPr>
          </w:p>
        </w:tc>
        <w:tc>
          <w:tcPr>
            <w:tcW w:w="5274" w:type="dxa"/>
            <w:tcBorders>
              <w:top w:val="single" w:color="000000" w:sz="4" w:space="0"/>
              <w:left w:val="single" w:color="000000" w:sz="4" w:space="0"/>
              <w:bottom w:val="single" w:color="auto" w:sz="4" w:space="0"/>
              <w:right w:val="single" w:color="000000" w:sz="4" w:space="0"/>
            </w:tcBorders>
            <w:vAlign w:val="center"/>
          </w:tcPr>
          <w:p>
            <w:pP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保洁人员应遵守管理处规定，不得在水库游泳、捕鱼、烧烤等污染水源的行为发生，发现一次不得分。</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18"/>
                <w:szCs w:val="18"/>
              </w:rPr>
            </w:pPr>
          </w:p>
        </w:tc>
        <w:tc>
          <w:tcPr>
            <w:tcW w:w="1796" w:type="dxa"/>
            <w:tcBorders>
              <w:top w:val="single" w:color="000000" w:sz="4" w:space="0"/>
              <w:left w:val="single" w:color="000000" w:sz="4" w:space="0"/>
              <w:bottom w:val="single" w:color="000000" w:sz="4" w:space="0"/>
              <w:right w:val="single" w:color="auto" w:sz="4" w:space="0"/>
            </w:tcBorders>
            <w:vAlign w:val="center"/>
          </w:tcPr>
          <w:p>
            <w:pPr>
              <w:rPr>
                <w:rFonts w:cs="宋体" w:asciiTheme="minorEastAsia" w:hAnsiTheme="minorEastAsia" w:eastAsiaTheme="minorEastAsia"/>
                <w:color w:val="000000"/>
                <w:sz w:val="18"/>
                <w:szCs w:val="18"/>
              </w:rPr>
            </w:pPr>
          </w:p>
        </w:tc>
      </w:tr>
      <w:tr>
        <w:tblPrEx>
          <w:tblCellMar>
            <w:top w:w="15" w:type="dxa"/>
            <w:left w:w="15" w:type="dxa"/>
            <w:bottom w:w="15" w:type="dxa"/>
            <w:right w:w="15" w:type="dxa"/>
          </w:tblCellMar>
        </w:tblPrEx>
        <w:trPr>
          <w:trHeight w:val="296" w:hRule="atLeast"/>
        </w:trPr>
        <w:tc>
          <w:tcPr>
            <w:tcW w:w="6131" w:type="dxa"/>
            <w:gridSpan w:val="2"/>
            <w:tcBorders>
              <w:top w:val="single" w:color="auto" w:sz="4" w:space="0"/>
              <w:left w:val="single" w:color="000000" w:sz="4" w:space="0"/>
              <w:bottom w:val="single" w:color="auto" w:sz="4" w:space="0"/>
              <w:right w:val="single" w:color="000000" w:sz="4" w:space="0"/>
            </w:tcBorders>
            <w:vAlign w:val="center"/>
          </w:tcPr>
          <w:p>
            <w:pPr>
              <w:jc w:val="center"/>
              <w:textAlignment w:val="center"/>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合</w:t>
            </w:r>
            <w:r>
              <w:rPr>
                <w:rFonts w:hint="eastAsia" w:cs="宋体" w:asciiTheme="minorEastAsia" w:hAnsiTheme="minorEastAsia" w:eastAsiaTheme="minorEastAsia"/>
                <w:color w:val="000000"/>
                <w:szCs w:val="21"/>
              </w:rPr>
              <w:t xml:space="preserve">     </w:t>
            </w:r>
            <w:r>
              <w:rPr>
                <w:rFonts w:cs="宋体" w:asciiTheme="minorEastAsia" w:hAnsiTheme="minorEastAsia" w:eastAsiaTheme="minorEastAsia"/>
                <w:color w:val="000000"/>
                <w:szCs w:val="21"/>
              </w:rPr>
              <w:t>计</w:t>
            </w:r>
          </w:p>
        </w:tc>
        <w:tc>
          <w:tcPr>
            <w:tcW w:w="632" w:type="dxa"/>
            <w:tcBorders>
              <w:top w:val="single" w:color="000000" w:sz="4" w:space="0"/>
              <w:left w:val="single" w:color="000000" w:sz="4" w:space="0"/>
              <w:bottom w:val="single" w:color="000000" w:sz="4" w:space="0"/>
              <w:right w:val="single" w:color="000000" w:sz="4" w:space="0"/>
            </w:tcBorders>
            <w:vAlign w:val="center"/>
          </w:tcPr>
          <w:p>
            <w:pPr>
              <w:jc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100</w:t>
            </w:r>
          </w:p>
        </w:tc>
        <w:tc>
          <w:tcPr>
            <w:tcW w:w="700" w:type="dxa"/>
            <w:tcBorders>
              <w:top w:val="single" w:color="000000" w:sz="4" w:space="0"/>
              <w:left w:val="single" w:color="000000" w:sz="4" w:space="0"/>
              <w:bottom w:val="single" w:color="000000" w:sz="4" w:space="0"/>
              <w:right w:val="single" w:color="000000" w:sz="4" w:space="0"/>
            </w:tcBorders>
            <w:vAlign w:val="center"/>
          </w:tcPr>
          <w:p>
            <w:pPr>
              <w:rPr>
                <w:rFonts w:cs="宋体" w:asciiTheme="minorEastAsia" w:hAnsiTheme="minorEastAsia" w:eastAsiaTheme="minorEastAsia"/>
                <w:color w:val="000000"/>
                <w:sz w:val="22"/>
                <w:szCs w:val="22"/>
              </w:rPr>
            </w:pPr>
          </w:p>
        </w:tc>
        <w:tc>
          <w:tcPr>
            <w:tcW w:w="1796" w:type="dxa"/>
            <w:tcBorders>
              <w:bottom w:val="single" w:color="auto" w:sz="4" w:space="0"/>
              <w:right w:val="single" w:color="auto" w:sz="4" w:space="0"/>
            </w:tcBorders>
          </w:tcPr>
          <w:p>
            <w:pPr>
              <w:rPr>
                <w:rFonts w:cs="宋体" w:asciiTheme="minorEastAsia" w:hAnsiTheme="minorEastAsia" w:eastAsiaTheme="minorEastAsia"/>
                <w:color w:val="000000"/>
                <w:sz w:val="22"/>
                <w:szCs w:val="22"/>
              </w:rPr>
            </w:pPr>
          </w:p>
        </w:tc>
      </w:tr>
    </w:tbl>
    <w:p>
      <w:pPr>
        <w:rPr>
          <w:rFonts w:asciiTheme="minorEastAsia" w:hAnsiTheme="minorEastAsia" w:eastAsiaTheme="minorEastAsia"/>
          <w:sz w:val="28"/>
          <w:szCs w:val="28"/>
        </w:rPr>
      </w:pPr>
      <w:r>
        <w:rPr>
          <w:rFonts w:hint="eastAsia" w:asciiTheme="minorEastAsia" w:hAnsiTheme="minorEastAsia" w:eastAsiaTheme="minorEastAsia"/>
          <w:sz w:val="28"/>
          <w:szCs w:val="28"/>
        </w:rPr>
        <w:t>考核人员（签字）：</w:t>
      </w:r>
    </w:p>
    <w:p>
      <w:pPr>
        <w:pStyle w:val="2"/>
        <w:ind w:left="0" w:leftChars="0" w:firstLine="0" w:firstLineChars="0"/>
        <w:rPr>
          <w:rFonts w:hint="eastAsia" w:asciiTheme="minorEastAsia" w:hAnsiTheme="minorEastAsia" w:eastAsiaTheme="minorEastAsia"/>
          <w:b/>
          <w:bCs/>
          <w:sz w:val="28"/>
          <w:szCs w:val="28"/>
        </w:rPr>
      </w:pPr>
      <w:r>
        <w:rPr>
          <w:rFonts w:hint="eastAsia" w:asciiTheme="minorEastAsia" w:hAnsiTheme="minorEastAsia" w:eastAsiaTheme="minorEastAsia"/>
          <w:b/>
          <w:bCs/>
          <w:sz w:val="28"/>
          <w:szCs w:val="28"/>
        </w:rPr>
        <w:t>注：其他单位的考核办法参考以上模板，具体以各水管单位解释为准。</w:t>
      </w:r>
    </w:p>
    <w:p>
      <w:pPr>
        <w:pStyle w:val="22"/>
        <w:widowControl w:val="0"/>
        <w:adjustRightInd w:val="0"/>
        <w:snapToGrid w:val="0"/>
        <w:jc w:val="center"/>
        <w:rPr>
          <w:rFonts w:cs="宋体"/>
          <w:b/>
          <w:bCs/>
          <w:sz w:val="52"/>
          <w:szCs w:val="52"/>
        </w:rPr>
      </w:pPr>
      <w:r>
        <w:rPr>
          <w:rFonts w:cs="宋体" w:asciiTheme="minorEastAsia" w:hAnsiTheme="minorEastAsia" w:eastAsiaTheme="minorEastAsia"/>
          <w:b/>
          <w:bCs/>
          <w:sz w:val="52"/>
          <w:szCs w:val="52"/>
        </w:rPr>
        <w:br w:type="page"/>
      </w:r>
      <w:r>
        <w:rPr>
          <w:rFonts w:hint="eastAsia" w:cs="宋体"/>
          <w:b/>
          <w:bCs/>
          <w:sz w:val="52"/>
          <w:szCs w:val="52"/>
        </w:rPr>
        <w:t>第六章  合    同</w:t>
      </w:r>
    </w:p>
    <w:p>
      <w:pPr>
        <w:widowControl w:val="0"/>
        <w:adjustRightInd w:val="0"/>
        <w:snapToGrid w:val="0"/>
        <w:spacing w:after="60" w:line="360" w:lineRule="auto"/>
        <w:jc w:val="center"/>
        <w:rPr>
          <w:rFonts w:ascii="宋体" w:hAnsi="宋体" w:cs="宋体"/>
          <w:b/>
          <w:sz w:val="22"/>
          <w:szCs w:val="21"/>
        </w:rPr>
      </w:pPr>
      <w:r>
        <w:rPr>
          <w:rFonts w:hint="eastAsia" w:ascii="宋体" w:hAnsi="宋体" w:cs="宋体"/>
          <w:b/>
          <w:sz w:val="22"/>
          <w:szCs w:val="21"/>
        </w:rPr>
        <w:t>（本合同为样稿，最终稿由甲乙双方协商后确定，但不允许偏离招投标文件）</w:t>
      </w:r>
    </w:p>
    <w:p>
      <w:pPr>
        <w:pStyle w:val="18"/>
        <w:tabs>
          <w:tab w:val="left" w:pos="3918"/>
        </w:tabs>
        <w:kinsoku w:val="0"/>
        <w:overflowPunct w:val="0"/>
        <w:spacing w:line="400" w:lineRule="exact"/>
        <w:rPr>
          <w:sz w:val="32"/>
          <w:szCs w:val="32"/>
        </w:rPr>
      </w:pPr>
      <w:r>
        <w:rPr>
          <w:rFonts w:hint="eastAsia"/>
          <w:b/>
          <w:bCs/>
          <w:sz w:val="32"/>
          <w:szCs w:val="32"/>
        </w:rPr>
        <w:t>第</w:t>
      </w:r>
      <w:r>
        <w:rPr>
          <w:b/>
          <w:bCs/>
          <w:spacing w:val="-83"/>
          <w:sz w:val="32"/>
          <w:szCs w:val="32"/>
        </w:rPr>
        <w:t xml:space="preserve"> </w:t>
      </w:r>
      <w:r>
        <w:rPr>
          <w:b/>
          <w:bCs/>
          <w:sz w:val="32"/>
          <w:szCs w:val="32"/>
        </w:rPr>
        <w:t>1</w:t>
      </w:r>
      <w:r>
        <w:rPr>
          <w:b/>
          <w:bCs/>
          <w:spacing w:val="-3"/>
          <w:sz w:val="32"/>
          <w:szCs w:val="32"/>
        </w:rPr>
        <w:t xml:space="preserve"> </w:t>
      </w:r>
      <w:r>
        <w:rPr>
          <w:rFonts w:hint="eastAsia"/>
          <w:b/>
          <w:bCs/>
          <w:sz w:val="32"/>
          <w:szCs w:val="32"/>
        </w:rPr>
        <w:t>节</w:t>
      </w:r>
      <w:r>
        <w:rPr>
          <w:b/>
          <w:bCs/>
          <w:sz w:val="32"/>
          <w:szCs w:val="32"/>
        </w:rPr>
        <w:tab/>
      </w:r>
      <w:r>
        <w:rPr>
          <w:rFonts w:hint="eastAsia"/>
          <w:b/>
          <w:bCs/>
          <w:spacing w:val="2"/>
          <w:sz w:val="32"/>
          <w:szCs w:val="32"/>
        </w:rPr>
        <w:t>通用合同条款</w:t>
      </w:r>
    </w:p>
    <w:p>
      <w:pPr>
        <w:pStyle w:val="18"/>
        <w:kinsoku w:val="0"/>
        <w:overflowPunct w:val="0"/>
        <w:spacing w:line="400" w:lineRule="exact"/>
        <w:ind w:firstLine="525"/>
      </w:pPr>
      <w:r>
        <w:rPr>
          <w:rFonts w:hint="eastAsia"/>
        </w:rPr>
        <w:t>通用合同条款使用《浙江省水利水电工程施工招标文件示范文本》。该版中引用中华人民共</w:t>
      </w:r>
      <w:r>
        <w:t xml:space="preserve"> </w:t>
      </w:r>
      <w:r>
        <w:rPr>
          <w:rFonts w:hint="eastAsia"/>
        </w:rPr>
        <w:t>和国《标准施工招标文件》（</w:t>
      </w:r>
      <w:r>
        <w:t xml:space="preserve">2007 </w:t>
      </w:r>
      <w:r>
        <w:rPr>
          <w:rFonts w:hint="eastAsia"/>
        </w:rPr>
        <w:t>年版）部分涉及竣工、竣工日期、竣工验收，均修改为完工、</w:t>
      </w:r>
      <w:r>
        <w:t xml:space="preserve"> </w:t>
      </w:r>
      <w:r>
        <w:rPr>
          <w:rFonts w:hint="eastAsia"/>
        </w:rPr>
        <w:t>完工日期、完工验收，竣工、竣工日期、竣工验收按照水利行业的有关规定执行。</w:t>
      </w:r>
      <w:r>
        <w:t xml:space="preserve"> </w:t>
      </w:r>
    </w:p>
    <w:p>
      <w:pPr>
        <w:pStyle w:val="18"/>
        <w:kinsoku w:val="0"/>
        <w:overflowPunct w:val="0"/>
        <w:spacing w:line="400" w:lineRule="exact"/>
      </w:pPr>
      <w:r>
        <w:t xml:space="preserve"> </w:t>
      </w:r>
    </w:p>
    <w:p>
      <w:pPr>
        <w:pStyle w:val="18"/>
        <w:kinsoku w:val="0"/>
        <w:overflowPunct w:val="0"/>
        <w:spacing w:line="400" w:lineRule="exact"/>
        <w:rPr>
          <w:sz w:val="17"/>
          <w:szCs w:val="17"/>
        </w:rPr>
      </w:pPr>
    </w:p>
    <w:p>
      <w:pPr>
        <w:pStyle w:val="171"/>
        <w:tabs>
          <w:tab w:val="left" w:pos="3918"/>
        </w:tabs>
        <w:kinsoku w:val="0"/>
        <w:overflowPunct w:val="0"/>
        <w:spacing w:line="400" w:lineRule="exact"/>
        <w:ind w:left="0"/>
        <w:outlineLvl w:val="9"/>
        <w:rPr>
          <w:b w:val="0"/>
          <w:bCs w:val="0"/>
        </w:rPr>
      </w:pPr>
      <w:r>
        <w:rPr>
          <w:rFonts w:hint="eastAsia"/>
        </w:rPr>
        <w:t>第</w:t>
      </w:r>
      <w:r>
        <w:t xml:space="preserve"> </w:t>
      </w:r>
      <w:r>
        <w:rPr>
          <w:rFonts w:ascii="Times New Roman" w:cs="Times New Roman"/>
        </w:rPr>
        <w:t xml:space="preserve">2 </w:t>
      </w:r>
      <w:r>
        <w:rPr>
          <w:rFonts w:hint="eastAsia"/>
        </w:rPr>
        <w:t>节</w:t>
      </w:r>
      <w:r>
        <w:tab/>
      </w:r>
      <w:r>
        <w:rPr>
          <w:rFonts w:hint="eastAsia"/>
        </w:rPr>
        <w:t>专用合同条款</w:t>
      </w:r>
    </w:p>
    <w:p>
      <w:pPr>
        <w:pStyle w:val="18"/>
        <w:kinsoku w:val="0"/>
        <w:overflowPunct w:val="0"/>
        <w:spacing w:line="400" w:lineRule="exact"/>
        <w:ind w:firstLine="480" w:firstLineChars="200"/>
      </w:pPr>
      <w:r>
        <w:t xml:space="preserve">1  </w:t>
      </w:r>
      <w:r>
        <w:rPr>
          <w:rFonts w:hint="eastAsia"/>
        </w:rPr>
        <w:t>一般约定</w:t>
      </w:r>
      <w:r>
        <w:t xml:space="preserve"> </w:t>
      </w:r>
    </w:p>
    <w:p>
      <w:pPr>
        <w:pStyle w:val="147"/>
        <w:kinsoku w:val="0"/>
        <w:overflowPunct w:val="0"/>
        <w:spacing w:before="0" w:line="400" w:lineRule="exact"/>
        <w:ind w:left="0"/>
        <w:outlineLvl w:val="9"/>
        <w:rPr>
          <w:b w:val="0"/>
          <w:bCs w:val="0"/>
        </w:rPr>
      </w:pPr>
      <w:r>
        <w:t xml:space="preserve">1.1 </w:t>
      </w:r>
      <w:r>
        <w:rPr>
          <w:rFonts w:hint="eastAsia"/>
        </w:rPr>
        <w:t>词语定义</w:t>
      </w:r>
      <w:r>
        <w:t xml:space="preserve"> </w:t>
      </w:r>
    </w:p>
    <w:p>
      <w:pPr>
        <w:pStyle w:val="18"/>
        <w:kinsoku w:val="0"/>
        <w:overflowPunct w:val="0"/>
        <w:spacing w:line="400" w:lineRule="exact"/>
        <w:rPr>
          <w:b/>
          <w:bCs/>
        </w:rPr>
      </w:pPr>
      <w:r>
        <w:rPr>
          <w:b/>
          <w:bCs/>
        </w:rPr>
        <w:t xml:space="preserve">1.1.2 </w:t>
      </w:r>
      <w:r>
        <w:rPr>
          <w:rFonts w:hint="eastAsia"/>
        </w:rPr>
        <w:t>合同当事人相人员</w:t>
      </w:r>
      <w:r>
        <w:rPr>
          <w:b/>
          <w:bCs/>
        </w:rPr>
        <w:t xml:space="preserve"> </w:t>
      </w:r>
    </w:p>
    <w:p>
      <w:pPr>
        <w:pStyle w:val="18"/>
        <w:kinsoku w:val="0"/>
        <w:overflowPunct w:val="0"/>
        <w:spacing w:line="400" w:lineRule="exact"/>
      </w:pPr>
      <w:r>
        <w:t xml:space="preserve">1.1.2.2 </w:t>
      </w:r>
      <w:r>
        <w:rPr>
          <w:rFonts w:hint="eastAsia"/>
        </w:rPr>
        <w:t>发包人：</w:t>
      </w:r>
      <w:r>
        <w:rPr>
          <w:rFonts w:hint="eastAsia"/>
          <w:b/>
          <w:bCs/>
          <w:u w:val="single"/>
        </w:rPr>
        <w:t xml:space="preserve"> </w:t>
      </w:r>
      <w:r>
        <w:rPr>
          <w:b/>
          <w:bCs/>
          <w:u w:val="single"/>
        </w:rPr>
        <w:t xml:space="preserve">                     </w:t>
      </w:r>
      <w:r>
        <w:rPr>
          <w:rFonts w:hint="eastAsia"/>
        </w:rPr>
        <w:t>。</w:t>
      </w:r>
      <w:r>
        <w:t xml:space="preserve"> </w:t>
      </w:r>
    </w:p>
    <w:p>
      <w:pPr>
        <w:pStyle w:val="18"/>
        <w:kinsoku w:val="0"/>
        <w:overflowPunct w:val="0"/>
        <w:spacing w:line="400" w:lineRule="exact"/>
      </w:pPr>
      <w:r>
        <w:t xml:space="preserve">1.1.2.3 </w:t>
      </w:r>
      <w:r>
        <w:rPr>
          <w:rFonts w:hint="eastAsia"/>
        </w:rPr>
        <w:t>承包人：</w:t>
      </w:r>
      <w:r>
        <w:t xml:space="preserve">    </w:t>
      </w:r>
      <w:r>
        <w:rPr>
          <w:rFonts w:hint="eastAsia"/>
          <w:b/>
          <w:bCs/>
          <w:u w:val="single"/>
        </w:rPr>
        <w:t xml:space="preserve">                 </w:t>
      </w:r>
      <w:r>
        <w:rPr>
          <w:b/>
          <w:bCs/>
          <w:u w:val="single"/>
        </w:rPr>
        <w:t xml:space="preserve"> </w:t>
      </w:r>
      <w:r>
        <w:rPr>
          <w:rFonts w:hint="eastAsia"/>
        </w:rPr>
        <w:t>。</w:t>
      </w:r>
      <w:r>
        <w:t xml:space="preserve"> </w:t>
      </w:r>
    </w:p>
    <w:p>
      <w:pPr>
        <w:pStyle w:val="18"/>
        <w:kinsoku w:val="0"/>
        <w:overflowPunct w:val="0"/>
        <w:spacing w:line="400" w:lineRule="exact"/>
      </w:pPr>
      <w:r>
        <w:t xml:space="preserve">1.1.2.5 </w:t>
      </w:r>
      <w:r>
        <w:rPr>
          <w:rFonts w:hint="eastAsia"/>
        </w:rPr>
        <w:t>分包人：</w:t>
      </w:r>
      <w:r>
        <w:t xml:space="preserve">  </w:t>
      </w:r>
      <w:r>
        <w:rPr>
          <w:rFonts w:hint="eastAsia"/>
          <w:b/>
          <w:bCs/>
          <w:u w:val="single"/>
        </w:rPr>
        <w:t xml:space="preserve">                     </w:t>
      </w:r>
      <w:r>
        <w:rPr>
          <w:b/>
          <w:bCs/>
          <w:u w:val="single"/>
        </w:rPr>
        <w:t xml:space="preserve">  </w:t>
      </w:r>
      <w:r>
        <w:rPr>
          <w:rFonts w:hint="eastAsia"/>
        </w:rPr>
        <w:t>。</w:t>
      </w:r>
      <w:r>
        <w:t xml:space="preserve"> </w:t>
      </w:r>
    </w:p>
    <w:p>
      <w:pPr>
        <w:pStyle w:val="18"/>
        <w:kinsoku w:val="0"/>
        <w:overflowPunct w:val="0"/>
        <w:spacing w:line="400" w:lineRule="exact"/>
      </w:pPr>
      <w:r>
        <w:t xml:space="preserve">1.1.2.6 </w:t>
      </w:r>
      <w:r>
        <w:rPr>
          <w:rFonts w:hint="eastAsia"/>
        </w:rPr>
        <w:t>监理人：</w:t>
      </w:r>
      <w:r>
        <w:rPr>
          <w:rFonts w:hint="eastAsia"/>
          <w:b/>
          <w:bCs/>
          <w:u w:val="single"/>
        </w:rPr>
        <w:t xml:space="preserve">                      </w:t>
      </w:r>
      <w:r>
        <w:rPr>
          <w:rFonts w:hint="eastAsia"/>
        </w:rPr>
        <w:t>。</w:t>
      </w:r>
      <w:r>
        <w:t xml:space="preserve"> </w:t>
      </w:r>
    </w:p>
    <w:p>
      <w:pPr>
        <w:pStyle w:val="18"/>
        <w:kinsoku w:val="0"/>
        <w:overflowPunct w:val="0"/>
        <w:spacing w:line="400" w:lineRule="exact"/>
      </w:pPr>
      <w:r>
        <w:rPr>
          <w:b/>
          <w:bCs/>
        </w:rPr>
        <w:t xml:space="preserve">1.1.3 </w:t>
      </w:r>
      <w:r>
        <w:rPr>
          <w:rFonts w:hint="eastAsia"/>
        </w:rPr>
        <w:t>工程和设备</w:t>
      </w:r>
      <w:r>
        <w:rPr>
          <w:b/>
          <w:bCs/>
        </w:rPr>
        <w:t xml:space="preserve"> </w:t>
      </w:r>
    </w:p>
    <w:p>
      <w:pPr>
        <w:pStyle w:val="18"/>
        <w:kinsoku w:val="0"/>
        <w:overflowPunct w:val="0"/>
        <w:spacing w:line="400" w:lineRule="exact"/>
        <w:ind w:firstLine="420"/>
      </w:pPr>
      <w:r>
        <w:t xml:space="preserve">1.1.3.4 </w:t>
      </w:r>
      <w:r>
        <w:rPr>
          <w:rFonts w:hint="eastAsia"/>
        </w:rPr>
        <w:t>单位工程：指经工程质量监督机构确认的工程项目划分表中确定的具有独立发挥作用</w:t>
      </w:r>
      <w:r>
        <w:t xml:space="preserve"> </w:t>
      </w:r>
      <w:r>
        <w:rPr>
          <w:rFonts w:hint="eastAsia"/>
        </w:rPr>
        <w:t>或独立施工条件的永久建筑物。</w:t>
      </w:r>
      <w:r>
        <w:t xml:space="preserve"> </w:t>
      </w:r>
    </w:p>
    <w:p>
      <w:pPr>
        <w:pStyle w:val="18"/>
        <w:kinsoku w:val="0"/>
        <w:overflowPunct w:val="0"/>
        <w:spacing w:line="400" w:lineRule="exact"/>
      </w:pPr>
      <w:r>
        <w:rPr>
          <w:b/>
          <w:bCs/>
        </w:rPr>
        <w:t xml:space="preserve">1.1.4 </w:t>
      </w:r>
      <w:r>
        <w:rPr>
          <w:rFonts w:hint="eastAsia"/>
        </w:rPr>
        <w:t>日期</w:t>
      </w:r>
      <w:r>
        <w:rPr>
          <w:b/>
          <w:bCs/>
        </w:rPr>
        <w:t xml:space="preserve"> </w:t>
      </w:r>
    </w:p>
    <w:p>
      <w:pPr>
        <w:pStyle w:val="18"/>
        <w:kinsoku w:val="0"/>
        <w:overflowPunct w:val="0"/>
        <w:spacing w:line="400" w:lineRule="exact"/>
      </w:pPr>
      <w:r>
        <w:t xml:space="preserve">1.1.4.5 </w:t>
      </w:r>
      <w:r>
        <w:rPr>
          <w:rFonts w:hint="eastAsia"/>
        </w:rPr>
        <w:t>缺陷责任期（工程质量保修期）为：</w:t>
      </w:r>
      <w:r>
        <w:rPr>
          <w:rFonts w:hint="eastAsia"/>
          <w:b/>
          <w:bCs/>
          <w:u w:val="single"/>
        </w:rPr>
        <w:t>1</w:t>
      </w:r>
      <w:r>
        <w:rPr>
          <w:rFonts w:hint="eastAsia"/>
        </w:rPr>
        <w:t>年。</w:t>
      </w:r>
      <w:r>
        <w:t xml:space="preserve"> </w:t>
      </w:r>
    </w:p>
    <w:p>
      <w:pPr>
        <w:pStyle w:val="18"/>
        <w:kinsoku w:val="0"/>
        <w:overflowPunct w:val="0"/>
        <w:spacing w:line="400" w:lineRule="exact"/>
      </w:pPr>
      <w:r>
        <w:rPr>
          <w:b/>
          <w:bCs/>
        </w:rPr>
        <w:t xml:space="preserve">1.1.6 </w:t>
      </w:r>
      <w:r>
        <w:rPr>
          <w:rFonts w:hint="eastAsia"/>
        </w:rPr>
        <w:t>其他</w:t>
      </w:r>
      <w:r>
        <w:rPr>
          <w:b/>
          <w:bCs/>
        </w:rPr>
        <w:t xml:space="preserve"> </w:t>
      </w:r>
    </w:p>
    <w:p>
      <w:pPr>
        <w:pStyle w:val="18"/>
        <w:kinsoku w:val="0"/>
        <w:overflowPunct w:val="0"/>
        <w:spacing w:line="400" w:lineRule="exact"/>
        <w:ind w:firstLine="420"/>
      </w:pPr>
      <w:r>
        <w:t xml:space="preserve">1.1.6.2 </w:t>
      </w:r>
      <w:r>
        <w:rPr>
          <w:rFonts w:hint="eastAsia"/>
        </w:rPr>
        <w:t>完工验收：指《水利水电建设工程验收规程》工验收。通用合同条款中“竣工验收”</w:t>
      </w:r>
      <w:r>
        <w:t xml:space="preserve"> </w:t>
      </w:r>
      <w:r>
        <w:rPr>
          <w:rFonts w:hint="eastAsia"/>
        </w:rPr>
        <w:t>一同具有相同含义。</w:t>
      </w:r>
      <w:r>
        <w:t xml:space="preserve"> </w:t>
      </w:r>
    </w:p>
    <w:p>
      <w:pPr>
        <w:pStyle w:val="147"/>
        <w:kinsoku w:val="0"/>
        <w:overflowPunct w:val="0"/>
        <w:spacing w:before="0" w:line="400" w:lineRule="exact"/>
        <w:ind w:left="0"/>
        <w:outlineLvl w:val="9"/>
        <w:rPr>
          <w:b w:val="0"/>
          <w:bCs w:val="0"/>
        </w:rPr>
      </w:pPr>
      <w:r>
        <w:t xml:space="preserve">1.4 </w:t>
      </w:r>
      <w:r>
        <w:rPr>
          <w:rFonts w:hint="eastAsia"/>
        </w:rPr>
        <w:t>合同文件的优先顺序</w:t>
      </w:r>
      <w:r>
        <w:t xml:space="preserve"> </w:t>
      </w:r>
    </w:p>
    <w:p>
      <w:pPr>
        <w:pStyle w:val="18"/>
        <w:kinsoku w:val="0"/>
        <w:overflowPunct w:val="0"/>
        <w:spacing w:line="400" w:lineRule="exact"/>
      </w:pPr>
      <w:r>
        <w:rPr>
          <w:rFonts w:hint="eastAsia"/>
        </w:rPr>
        <w:t>除合同另有规定外，解释合同文件的优先顺序如下：</w:t>
      </w:r>
      <w:r>
        <w:t xml:space="preserve"> </w:t>
      </w:r>
    </w:p>
    <w:p>
      <w:pPr>
        <w:pStyle w:val="18"/>
        <w:kinsoku w:val="0"/>
        <w:overflowPunct w:val="0"/>
        <w:spacing w:line="400" w:lineRule="exact"/>
      </w:pPr>
      <w:r>
        <w:rPr>
          <w:rFonts w:hint="eastAsia"/>
        </w:rPr>
        <w:t>（</w:t>
      </w:r>
      <w:r>
        <w:t>1</w:t>
      </w:r>
      <w:r>
        <w:rPr>
          <w:rFonts w:hint="eastAsia"/>
        </w:rPr>
        <w:t>）合同协议书（包括补充协议书）。</w:t>
      </w:r>
      <w:r>
        <w:t xml:space="preserve"> </w:t>
      </w:r>
    </w:p>
    <w:p>
      <w:pPr>
        <w:pStyle w:val="18"/>
        <w:kinsoku w:val="0"/>
        <w:overflowPunct w:val="0"/>
        <w:spacing w:line="400" w:lineRule="exact"/>
      </w:pPr>
      <w:r>
        <w:rPr>
          <w:rFonts w:hint="eastAsia"/>
        </w:rPr>
        <w:t>（</w:t>
      </w:r>
      <w:r>
        <w:t>2</w:t>
      </w:r>
      <w:r>
        <w:rPr>
          <w:rFonts w:hint="eastAsia"/>
        </w:rPr>
        <w:t>）中标通知书。</w:t>
      </w:r>
      <w:r>
        <w:t xml:space="preserve"> </w:t>
      </w:r>
    </w:p>
    <w:p>
      <w:pPr>
        <w:pStyle w:val="18"/>
        <w:kinsoku w:val="0"/>
        <w:overflowPunct w:val="0"/>
        <w:spacing w:line="400" w:lineRule="exact"/>
      </w:pPr>
      <w:r>
        <w:rPr>
          <w:rFonts w:hint="eastAsia"/>
        </w:rPr>
        <w:t>（</w:t>
      </w:r>
      <w:r>
        <w:t>3</w:t>
      </w:r>
      <w:r>
        <w:rPr>
          <w:rFonts w:hint="eastAsia"/>
        </w:rPr>
        <w:t>）投标函及投标函附录。</w:t>
      </w:r>
      <w:r>
        <w:t xml:space="preserve"> </w:t>
      </w:r>
    </w:p>
    <w:p>
      <w:pPr>
        <w:pStyle w:val="18"/>
        <w:kinsoku w:val="0"/>
        <w:overflowPunct w:val="0"/>
        <w:spacing w:line="400" w:lineRule="exact"/>
      </w:pPr>
      <w:r>
        <w:rPr>
          <w:rFonts w:hint="eastAsia"/>
        </w:rPr>
        <w:t>（</w:t>
      </w:r>
      <w:r>
        <w:t>4</w:t>
      </w:r>
      <w:r>
        <w:rPr>
          <w:rFonts w:hint="eastAsia"/>
        </w:rPr>
        <w:t>）招投标文件澄清问题、澄清问题的复函、补充通知等相关资料。</w:t>
      </w:r>
      <w:r>
        <w:t xml:space="preserve"> </w:t>
      </w:r>
    </w:p>
    <w:p>
      <w:pPr>
        <w:pStyle w:val="18"/>
        <w:kinsoku w:val="0"/>
        <w:overflowPunct w:val="0"/>
        <w:spacing w:line="400" w:lineRule="exact"/>
      </w:pPr>
      <w:r>
        <w:rPr>
          <w:rFonts w:hint="eastAsia"/>
        </w:rPr>
        <w:t>（</w:t>
      </w:r>
      <w:r>
        <w:t>5</w:t>
      </w:r>
      <w:r>
        <w:rPr>
          <w:rFonts w:hint="eastAsia"/>
        </w:rPr>
        <w:t>）专用合同条款。</w:t>
      </w:r>
      <w:r>
        <w:t xml:space="preserve"> </w:t>
      </w:r>
    </w:p>
    <w:p>
      <w:pPr>
        <w:pStyle w:val="18"/>
        <w:kinsoku w:val="0"/>
        <w:overflowPunct w:val="0"/>
        <w:spacing w:line="400" w:lineRule="exact"/>
      </w:pPr>
      <w:r>
        <w:rPr>
          <w:rFonts w:hint="eastAsia"/>
        </w:rPr>
        <w:t>（</w:t>
      </w:r>
      <w:r>
        <w:t>6</w:t>
      </w:r>
      <w:r>
        <w:rPr>
          <w:rFonts w:hint="eastAsia"/>
        </w:rPr>
        <w:t>）通用合同条款。</w:t>
      </w:r>
      <w:r>
        <w:t xml:space="preserve"> </w:t>
      </w:r>
    </w:p>
    <w:p>
      <w:pPr>
        <w:pStyle w:val="18"/>
        <w:kinsoku w:val="0"/>
        <w:overflowPunct w:val="0"/>
        <w:spacing w:line="400" w:lineRule="exact"/>
      </w:pPr>
      <w:r>
        <w:rPr>
          <w:rFonts w:hint="eastAsia"/>
        </w:rPr>
        <w:t>（</w:t>
      </w:r>
      <w:r>
        <w:t>7</w:t>
      </w:r>
      <w:r>
        <w:rPr>
          <w:rFonts w:hint="eastAsia"/>
        </w:rPr>
        <w:t>）技术标准和要求。</w:t>
      </w:r>
      <w:r>
        <w:t xml:space="preserve"> </w:t>
      </w:r>
    </w:p>
    <w:p>
      <w:pPr>
        <w:pStyle w:val="18"/>
        <w:kinsoku w:val="0"/>
        <w:overflowPunct w:val="0"/>
        <w:spacing w:line="400" w:lineRule="exact"/>
      </w:pPr>
      <w:r>
        <w:rPr>
          <w:rFonts w:hint="eastAsia"/>
        </w:rPr>
        <w:t>（</w:t>
      </w:r>
      <w:r>
        <w:t>8</w:t>
      </w:r>
      <w:r>
        <w:rPr>
          <w:rFonts w:hint="eastAsia"/>
        </w:rPr>
        <w:t>）图纸。</w:t>
      </w:r>
      <w:r>
        <w:t xml:space="preserve"> </w:t>
      </w:r>
    </w:p>
    <w:p>
      <w:pPr>
        <w:pStyle w:val="18"/>
        <w:kinsoku w:val="0"/>
        <w:overflowPunct w:val="0"/>
        <w:spacing w:line="400" w:lineRule="exact"/>
      </w:pPr>
      <w:r>
        <w:rPr>
          <w:rFonts w:hint="eastAsia"/>
        </w:rPr>
        <w:t>（</w:t>
      </w:r>
      <w:r>
        <w:t>9</w:t>
      </w:r>
      <w:r>
        <w:rPr>
          <w:rFonts w:hint="eastAsia"/>
        </w:rPr>
        <w:t>）已标价的工程量清单。</w:t>
      </w:r>
      <w:r>
        <w:t xml:space="preserve"> </w:t>
      </w:r>
    </w:p>
    <w:p>
      <w:pPr>
        <w:pStyle w:val="18"/>
        <w:kinsoku w:val="0"/>
        <w:overflowPunct w:val="0"/>
        <w:spacing w:line="400" w:lineRule="exact"/>
      </w:pPr>
      <w:r>
        <w:rPr>
          <w:rFonts w:hint="eastAsia"/>
        </w:rPr>
        <w:t>（</w:t>
      </w:r>
      <w:r>
        <w:t>10</w:t>
      </w:r>
      <w:r>
        <w:rPr>
          <w:rFonts w:hint="eastAsia"/>
        </w:rPr>
        <w:t>）经双方确认迸人合同的其他文件。</w:t>
      </w:r>
      <w:r>
        <w:t xml:space="preserve"> </w:t>
      </w:r>
    </w:p>
    <w:p>
      <w:pPr>
        <w:pStyle w:val="147"/>
        <w:kinsoku w:val="0"/>
        <w:overflowPunct w:val="0"/>
        <w:spacing w:before="0" w:line="400" w:lineRule="exact"/>
        <w:ind w:left="0"/>
        <w:outlineLvl w:val="9"/>
        <w:rPr>
          <w:b w:val="0"/>
          <w:bCs w:val="0"/>
        </w:rPr>
      </w:pPr>
      <w:r>
        <w:t xml:space="preserve">1.7 </w:t>
      </w:r>
      <w:r>
        <w:rPr>
          <w:rFonts w:hint="eastAsia"/>
        </w:rPr>
        <w:t>联络</w:t>
      </w:r>
      <w:r>
        <w:t xml:space="preserve"> </w:t>
      </w:r>
    </w:p>
    <w:p>
      <w:pPr>
        <w:pStyle w:val="18"/>
        <w:kinsoku w:val="0"/>
        <w:overflowPunct w:val="0"/>
        <w:spacing w:line="400" w:lineRule="exact"/>
        <w:ind w:firstLine="422"/>
        <w:rPr>
          <w:sz w:val="10"/>
          <w:szCs w:val="10"/>
        </w:rPr>
      </w:pPr>
      <w:r>
        <w:rPr>
          <w:b/>
          <w:bCs/>
        </w:rPr>
        <w:t xml:space="preserve">1.7.2 </w:t>
      </w:r>
      <w:r>
        <w:rPr>
          <w:rFonts w:hint="eastAsia"/>
        </w:rPr>
        <w:t>来往函件均应按技术标准和要求（合同技术条款）约定的期限送达</w:t>
      </w:r>
      <w:r>
        <w:rPr>
          <w:rFonts w:hint="eastAsia"/>
          <w:b/>
          <w:bCs/>
          <w:u w:val="single"/>
        </w:rPr>
        <w:t>项目监理部、项目管</w:t>
      </w:r>
      <w:r>
        <w:rPr>
          <w:b/>
          <w:bCs/>
        </w:rPr>
        <w:t xml:space="preserve"> </w:t>
      </w:r>
      <w:r>
        <w:rPr>
          <w:rFonts w:hint="eastAsia"/>
          <w:b/>
          <w:bCs/>
          <w:u w:val="single"/>
        </w:rPr>
        <w:t>理部以及发包人现场指挥部</w:t>
      </w:r>
      <w:r>
        <w:rPr>
          <w:rFonts w:hint="eastAsia"/>
        </w:rPr>
        <w:t>。</w:t>
      </w:r>
      <w:r>
        <w:t xml:space="preserve"> </w:t>
      </w:r>
    </w:p>
    <w:p>
      <w:pPr>
        <w:pStyle w:val="18"/>
        <w:kinsoku w:val="0"/>
        <w:overflowPunct w:val="0"/>
        <w:spacing w:line="400" w:lineRule="exact"/>
      </w:pPr>
      <w:r>
        <w:t xml:space="preserve">2 </w:t>
      </w:r>
      <w:r>
        <w:rPr>
          <w:rFonts w:hint="eastAsia"/>
        </w:rPr>
        <w:t>发包人义务</w:t>
      </w:r>
      <w:r>
        <w:t xml:space="preserve"> </w:t>
      </w:r>
    </w:p>
    <w:p>
      <w:pPr>
        <w:pStyle w:val="147"/>
        <w:kinsoku w:val="0"/>
        <w:overflowPunct w:val="0"/>
        <w:spacing w:before="0" w:line="400" w:lineRule="exact"/>
        <w:ind w:left="0"/>
        <w:jc w:val="both"/>
        <w:outlineLvl w:val="9"/>
        <w:rPr>
          <w:b w:val="0"/>
          <w:bCs w:val="0"/>
        </w:rPr>
      </w:pPr>
      <w:r>
        <w:t xml:space="preserve">2.3 </w:t>
      </w:r>
      <w:r>
        <w:rPr>
          <w:rFonts w:hint="eastAsia"/>
        </w:rPr>
        <w:t>提供施工场地</w:t>
      </w:r>
      <w:r>
        <w:t xml:space="preserve"> </w:t>
      </w:r>
    </w:p>
    <w:p>
      <w:pPr>
        <w:pStyle w:val="156"/>
        <w:kinsoku w:val="0"/>
        <w:overflowPunct w:val="0"/>
        <w:spacing w:before="0" w:line="400" w:lineRule="exact"/>
        <w:ind w:left="0" w:firstLine="480"/>
        <w:outlineLvl w:val="9"/>
        <w:rPr>
          <w:b w:val="0"/>
          <w:bCs w:val="0"/>
        </w:rPr>
      </w:pPr>
      <w:r>
        <w:t xml:space="preserve">2.3.2 </w:t>
      </w:r>
      <w:r>
        <w:rPr>
          <w:rFonts w:hint="eastAsia"/>
          <w:b w:val="0"/>
          <w:bCs w:val="0"/>
        </w:rPr>
        <w:t>发包人提供的施工用地范围为：</w:t>
      </w:r>
      <w:r>
        <w:rPr>
          <w:rFonts w:hint="eastAsia"/>
          <w:u w:val="single"/>
        </w:rPr>
        <w:t>规划部门批准的红线范围或借地范围，承包人应无条件接受现场条件。超出上述范围需要使用的场地，均由承包人自行解决，并自行办妥一切需要办理的手续，由此引起的一切纠纷、事故和赔偿责任，均由承包人承担</w:t>
      </w:r>
      <w:r>
        <w:rPr>
          <w:rFonts w:hint="eastAsia"/>
          <w:b w:val="0"/>
          <w:bCs w:val="0"/>
        </w:rPr>
        <w:t>。</w:t>
      </w:r>
      <w:r>
        <w:rPr>
          <w:b w:val="0"/>
          <w:bCs w:val="0"/>
        </w:rPr>
        <w:t xml:space="preserve"> </w:t>
      </w:r>
    </w:p>
    <w:p>
      <w:pPr>
        <w:pStyle w:val="18"/>
        <w:kinsoku w:val="0"/>
        <w:overflowPunct w:val="0"/>
        <w:spacing w:line="400" w:lineRule="exact"/>
      </w:pPr>
      <w:r>
        <w:rPr>
          <w:b/>
          <w:bCs/>
        </w:rPr>
        <w:t xml:space="preserve">2.3.3 </w:t>
      </w:r>
      <w:r>
        <w:rPr>
          <w:rFonts w:hint="eastAsia"/>
        </w:rPr>
        <w:t>承包人自行勘察的施工场地范围为：</w:t>
      </w:r>
      <w:r>
        <w:rPr>
          <w:rFonts w:hint="eastAsia"/>
          <w:b/>
          <w:bCs/>
          <w:u w:val="single"/>
        </w:rPr>
        <w:t>无</w:t>
      </w:r>
      <w:r>
        <w:rPr>
          <w:rFonts w:hint="eastAsia"/>
        </w:rPr>
        <w:t>。</w:t>
      </w:r>
      <w:r>
        <w:t xml:space="preserve"> </w:t>
      </w:r>
    </w:p>
    <w:p>
      <w:pPr>
        <w:pStyle w:val="147"/>
        <w:kinsoku w:val="0"/>
        <w:overflowPunct w:val="0"/>
        <w:spacing w:before="0" w:line="400" w:lineRule="exact"/>
        <w:ind w:left="0"/>
        <w:outlineLvl w:val="9"/>
        <w:rPr>
          <w:b w:val="0"/>
          <w:bCs w:val="0"/>
        </w:rPr>
      </w:pPr>
      <w:r>
        <w:t xml:space="preserve">2.8 </w:t>
      </w:r>
      <w:r>
        <w:rPr>
          <w:rFonts w:hint="eastAsia"/>
        </w:rPr>
        <w:t>其他义务</w:t>
      </w:r>
      <w:r>
        <w:t xml:space="preserve"> </w:t>
      </w:r>
      <w:r>
        <w:rPr>
          <w:rFonts w:hint="eastAsia"/>
        </w:rPr>
        <w:t>:无。</w:t>
      </w:r>
      <w:r>
        <w:t xml:space="preserve"> </w:t>
      </w:r>
    </w:p>
    <w:p>
      <w:pPr>
        <w:pStyle w:val="18"/>
        <w:kinsoku w:val="0"/>
        <w:overflowPunct w:val="0"/>
        <w:spacing w:line="400" w:lineRule="exact"/>
      </w:pPr>
      <w:r>
        <w:t xml:space="preserve">3 </w:t>
      </w:r>
      <w:r>
        <w:rPr>
          <w:rFonts w:hint="eastAsia"/>
        </w:rPr>
        <w:t>监理人</w:t>
      </w:r>
      <w:r>
        <w:t xml:space="preserve"> </w:t>
      </w:r>
    </w:p>
    <w:p>
      <w:pPr>
        <w:pStyle w:val="147"/>
        <w:kinsoku w:val="0"/>
        <w:overflowPunct w:val="0"/>
        <w:spacing w:before="0" w:line="400" w:lineRule="exact"/>
        <w:ind w:left="0"/>
        <w:outlineLvl w:val="9"/>
        <w:rPr>
          <w:b w:val="0"/>
          <w:bCs w:val="0"/>
        </w:rPr>
      </w:pPr>
      <w:r>
        <w:t xml:space="preserve">3.1 </w:t>
      </w:r>
      <w:r>
        <w:rPr>
          <w:rFonts w:hint="eastAsia"/>
        </w:rPr>
        <w:t>监理人的职责和权力</w:t>
      </w:r>
      <w:r>
        <w:t xml:space="preserve"> </w:t>
      </w:r>
    </w:p>
    <w:p>
      <w:pPr>
        <w:pStyle w:val="18"/>
        <w:kinsoku w:val="0"/>
        <w:overflowPunct w:val="0"/>
        <w:spacing w:line="400" w:lineRule="exact"/>
        <w:ind w:firstLine="422"/>
      </w:pPr>
      <w:r>
        <w:rPr>
          <w:b/>
          <w:bCs/>
        </w:rPr>
        <w:t xml:space="preserve">3.1.1 </w:t>
      </w:r>
      <w:r>
        <w:rPr>
          <w:rFonts w:hint="eastAsia"/>
        </w:rPr>
        <w:t>监理人须根据发包人事先批准的权力范围行使权力，发包人批准的权利范围（填写监理</w:t>
      </w:r>
      <w:r>
        <w:t xml:space="preserve"> </w:t>
      </w:r>
      <w:r>
        <w:rPr>
          <w:rFonts w:hint="eastAsia"/>
        </w:rPr>
        <w:t>人须经发包人的批准才能行使的权利，以下示例供参考）：</w:t>
      </w:r>
      <w:r>
        <w:t xml:space="preserve"> </w:t>
      </w:r>
    </w:p>
    <w:p>
      <w:pPr>
        <w:pStyle w:val="18"/>
        <w:kinsoku w:val="0"/>
        <w:overflowPunct w:val="0"/>
        <w:spacing w:line="400" w:lineRule="exact"/>
      </w:pPr>
      <w:r>
        <w:rPr>
          <w:rFonts w:hint="eastAsia"/>
        </w:rPr>
        <w:t>（</w:t>
      </w:r>
      <w:r>
        <w:t>1</w:t>
      </w:r>
      <w:r>
        <w:rPr>
          <w:rFonts w:hint="eastAsia"/>
        </w:rPr>
        <w:t>）按本章第</w:t>
      </w:r>
      <w:r>
        <w:t xml:space="preserve"> 4.3 </w:t>
      </w:r>
      <w:r>
        <w:rPr>
          <w:rFonts w:hint="eastAsia"/>
        </w:rPr>
        <w:t>条规定，批准工程分包。</w:t>
      </w:r>
      <w:r>
        <w:t xml:space="preserve"> </w:t>
      </w:r>
    </w:p>
    <w:p>
      <w:pPr>
        <w:pStyle w:val="18"/>
        <w:kinsoku w:val="0"/>
        <w:overflowPunct w:val="0"/>
        <w:spacing w:line="400" w:lineRule="exact"/>
      </w:pPr>
      <w:r>
        <w:rPr>
          <w:rFonts w:hint="eastAsia"/>
        </w:rPr>
        <w:t>（</w:t>
      </w:r>
      <w:r>
        <w:t>2</w:t>
      </w:r>
      <w:r>
        <w:rPr>
          <w:rFonts w:hint="eastAsia"/>
        </w:rPr>
        <w:t>）按本章第</w:t>
      </w:r>
      <w:r>
        <w:t xml:space="preserve"> 11.3 </w:t>
      </w:r>
      <w:r>
        <w:rPr>
          <w:rFonts w:hint="eastAsia"/>
        </w:rPr>
        <w:t>款规定，确定延长完工期限。</w:t>
      </w:r>
      <w:r>
        <w:t xml:space="preserve"> </w:t>
      </w:r>
    </w:p>
    <w:p>
      <w:pPr>
        <w:pStyle w:val="18"/>
        <w:kinsoku w:val="0"/>
        <w:overflowPunct w:val="0"/>
        <w:spacing w:line="400" w:lineRule="exact"/>
      </w:pPr>
      <w:r>
        <w:rPr>
          <w:rFonts w:hint="eastAsia"/>
        </w:rPr>
        <w:t>（</w:t>
      </w:r>
      <w:r>
        <w:t>3</w:t>
      </w:r>
      <w:r>
        <w:rPr>
          <w:rFonts w:hint="eastAsia"/>
        </w:rPr>
        <w:t>）按本章第</w:t>
      </w:r>
      <w:r>
        <w:t xml:space="preserve"> 15.6 </w:t>
      </w:r>
      <w:r>
        <w:rPr>
          <w:rFonts w:hint="eastAsia"/>
        </w:rPr>
        <w:t>款规定，批准暂列金额的使用。</w:t>
      </w:r>
      <w:r>
        <w:t xml:space="preserve"> </w:t>
      </w:r>
    </w:p>
    <w:p>
      <w:pPr>
        <w:pStyle w:val="156"/>
        <w:kinsoku w:val="0"/>
        <w:overflowPunct w:val="0"/>
        <w:spacing w:before="0" w:line="400" w:lineRule="exact"/>
        <w:ind w:left="0"/>
        <w:outlineLvl w:val="9"/>
        <w:rPr>
          <w:b w:val="0"/>
          <w:bCs w:val="0"/>
        </w:rPr>
      </w:pPr>
      <w:r>
        <w:rPr>
          <w:rFonts w:hint="eastAsia"/>
        </w:rPr>
        <w:t>（</w:t>
      </w:r>
      <w:r>
        <w:t>4</w:t>
      </w:r>
      <w:r>
        <w:rPr>
          <w:rFonts w:hint="eastAsia"/>
        </w:rPr>
        <w:t>）按第</w:t>
      </w:r>
      <w:r>
        <w:t xml:space="preserve"> 15 </w:t>
      </w:r>
      <w:r>
        <w:rPr>
          <w:rFonts w:hint="eastAsia"/>
        </w:rPr>
        <w:t>条规定，当变更引起的合同价格增减时作出变更决定。</w:t>
      </w:r>
      <w:r>
        <w:t xml:space="preserve"> </w:t>
      </w:r>
    </w:p>
    <w:p>
      <w:pPr>
        <w:pStyle w:val="18"/>
        <w:kinsoku w:val="0"/>
        <w:overflowPunct w:val="0"/>
        <w:spacing w:line="400" w:lineRule="exact"/>
      </w:pPr>
      <w:r>
        <w:rPr>
          <w:rFonts w:hint="eastAsia"/>
          <w:b/>
          <w:bCs/>
        </w:rPr>
        <w:t>（</w:t>
      </w:r>
      <w:r>
        <w:rPr>
          <w:b/>
          <w:bCs/>
        </w:rPr>
        <w:t>5</w:t>
      </w:r>
      <w:r>
        <w:rPr>
          <w:rFonts w:hint="eastAsia"/>
          <w:b/>
          <w:bCs/>
        </w:rPr>
        <w:t>）按第</w:t>
      </w:r>
      <w:r>
        <w:rPr>
          <w:b/>
          <w:bCs/>
        </w:rPr>
        <w:t xml:space="preserve"> 15.4 </w:t>
      </w:r>
      <w:r>
        <w:rPr>
          <w:rFonts w:hint="eastAsia"/>
          <w:b/>
          <w:bCs/>
        </w:rPr>
        <w:t>条规定，因变更而变动的单价和合价；</w:t>
      </w:r>
      <w:r>
        <w:rPr>
          <w:b/>
          <w:bCs/>
        </w:rPr>
        <w:t xml:space="preserve"> </w:t>
      </w:r>
    </w:p>
    <w:p>
      <w:pPr>
        <w:pStyle w:val="18"/>
        <w:kinsoku w:val="0"/>
        <w:overflowPunct w:val="0"/>
        <w:spacing w:line="400" w:lineRule="exact"/>
      </w:pPr>
      <w:r>
        <w:rPr>
          <w:rFonts w:hint="eastAsia"/>
          <w:b/>
          <w:bCs/>
        </w:rPr>
        <w:t>（</w:t>
      </w:r>
      <w:r>
        <w:rPr>
          <w:b/>
          <w:bCs/>
        </w:rPr>
        <w:t>6</w:t>
      </w:r>
      <w:r>
        <w:rPr>
          <w:rFonts w:hint="eastAsia"/>
          <w:b/>
          <w:bCs/>
        </w:rPr>
        <w:t>）按第</w:t>
      </w:r>
      <w:r>
        <w:rPr>
          <w:b/>
          <w:bCs/>
        </w:rPr>
        <w:t xml:space="preserve"> 23 </w:t>
      </w:r>
      <w:r>
        <w:rPr>
          <w:rFonts w:hint="eastAsia"/>
          <w:b/>
          <w:bCs/>
        </w:rPr>
        <w:t>款约定，索赔的处理。</w:t>
      </w:r>
      <w:r>
        <w:rPr>
          <w:b/>
          <w:bCs/>
        </w:rPr>
        <w:t xml:space="preserve"> </w:t>
      </w:r>
      <w:r>
        <w:rPr>
          <w:rFonts w:hint="eastAsia"/>
          <w:b/>
          <w:bCs/>
        </w:rPr>
        <w:t>尽管有以上规定，但当监理人认为出现了危及生命、工程或毗邻财产等安全的紧急事件时，</w:t>
      </w:r>
    </w:p>
    <w:p>
      <w:pPr>
        <w:pStyle w:val="18"/>
        <w:kinsoku w:val="0"/>
        <w:overflowPunct w:val="0"/>
        <w:spacing w:line="400" w:lineRule="exact"/>
        <w:rPr>
          <w:b/>
          <w:bCs/>
        </w:rPr>
      </w:pPr>
      <w:r>
        <w:rPr>
          <w:rFonts w:hint="eastAsia"/>
          <w:b/>
          <w:bCs/>
        </w:rPr>
        <w:t>在不免除合同规定的承包人责任的情况下，监理人可以指示承包人实施为消除或减少这种危险所必须进行的工作，即使没有发包人的事先批准，承包人也应立即遵照执行。监理人应按第</w:t>
      </w:r>
      <w:r>
        <w:rPr>
          <w:b/>
          <w:bCs/>
        </w:rPr>
        <w:t xml:space="preserve"> 15 </w:t>
      </w:r>
      <w:r>
        <w:rPr>
          <w:rFonts w:hint="eastAsia"/>
          <w:b/>
          <w:bCs/>
        </w:rPr>
        <w:t>条的规定增加相应的费用，并通知承包人。</w:t>
      </w:r>
      <w:r>
        <w:rPr>
          <w:b/>
          <w:bCs/>
        </w:rPr>
        <w:t xml:space="preserve"> </w:t>
      </w:r>
    </w:p>
    <w:p>
      <w:pPr>
        <w:pStyle w:val="18"/>
        <w:kinsoku w:val="0"/>
        <w:overflowPunct w:val="0"/>
        <w:spacing w:line="400" w:lineRule="exact"/>
      </w:pPr>
      <w:r>
        <w:t xml:space="preserve">4 </w:t>
      </w:r>
      <w:r>
        <w:rPr>
          <w:rFonts w:hint="eastAsia"/>
        </w:rPr>
        <w:t>承包人</w:t>
      </w:r>
      <w:r>
        <w:t xml:space="preserve"> </w:t>
      </w:r>
    </w:p>
    <w:p>
      <w:pPr>
        <w:pStyle w:val="18"/>
        <w:kinsoku w:val="0"/>
        <w:overflowPunct w:val="0"/>
        <w:spacing w:line="400" w:lineRule="exact"/>
        <w:rPr>
          <w:b/>
          <w:bCs/>
        </w:rPr>
      </w:pPr>
      <w:r>
        <w:t xml:space="preserve">4.1 </w:t>
      </w:r>
      <w:r>
        <w:rPr>
          <w:rFonts w:hint="eastAsia"/>
        </w:rPr>
        <w:t>承包人的一般义务</w:t>
      </w:r>
      <w:r>
        <w:t xml:space="preserve"> </w:t>
      </w:r>
    </w:p>
    <w:p>
      <w:pPr>
        <w:pStyle w:val="18"/>
        <w:kinsoku w:val="0"/>
        <w:overflowPunct w:val="0"/>
        <w:spacing w:line="400" w:lineRule="exact"/>
      </w:pPr>
      <w:r>
        <w:rPr>
          <w:b/>
          <w:bCs/>
        </w:rPr>
        <w:t xml:space="preserve">4.1.10 </w:t>
      </w:r>
      <w:r>
        <w:rPr>
          <w:rFonts w:hint="eastAsia"/>
        </w:rPr>
        <w:t>其他义务</w:t>
      </w:r>
      <w:r>
        <w:t xml:space="preserve"> </w:t>
      </w:r>
    </w:p>
    <w:p>
      <w:pPr>
        <w:pStyle w:val="18"/>
        <w:kinsoku w:val="0"/>
        <w:overflowPunct w:val="0"/>
        <w:spacing w:line="400" w:lineRule="exact"/>
        <w:ind w:firstLine="426"/>
        <w:rPr>
          <w:b/>
          <w:bCs/>
        </w:rPr>
      </w:pPr>
      <w:r>
        <w:rPr>
          <w:rFonts w:hint="eastAsia"/>
          <w:b/>
          <w:bCs/>
        </w:rPr>
        <w:t>（</w:t>
      </w:r>
      <w:r>
        <w:rPr>
          <w:b/>
          <w:bCs/>
        </w:rPr>
        <w:t>1</w:t>
      </w:r>
      <w:r>
        <w:rPr>
          <w:rFonts w:hint="eastAsia"/>
          <w:b/>
          <w:bCs/>
        </w:rPr>
        <w:t>）承担施工安全保卫工作及施工照明的责任和要求：根据工程需要，提供和维修施工使用的照明、围栏设施，并负责安全保卫。</w:t>
      </w:r>
    </w:p>
    <w:p>
      <w:pPr>
        <w:pStyle w:val="18"/>
        <w:kinsoku w:val="0"/>
        <w:overflowPunct w:val="0"/>
        <w:spacing w:line="400" w:lineRule="exact"/>
        <w:ind w:firstLine="426"/>
      </w:pPr>
      <w:r>
        <w:rPr>
          <w:rFonts w:hint="eastAsia"/>
          <w:b/>
          <w:bCs/>
        </w:rPr>
        <w:t>（</w:t>
      </w:r>
      <w:r>
        <w:rPr>
          <w:b/>
          <w:bCs/>
        </w:rPr>
        <w:t>2</w:t>
      </w:r>
      <w:r>
        <w:rPr>
          <w:rFonts w:hint="eastAsia"/>
          <w:b/>
          <w:bCs/>
        </w:rPr>
        <w:t>）需承包人办理的有关施工场地交通、环卫和施工噪音管理等手续：遵守政府有关主管部门对施工场地交通、施工噪音以及环境保护和安全生产等的管理规定，办理相关手续、并以书面形式通知发包人；施工过程中由承包人负责处理自身原因涉及市政、环保、卫生、交通、污水处</w:t>
      </w:r>
      <w:r>
        <w:rPr>
          <w:b/>
          <w:bCs/>
        </w:rPr>
        <w:t xml:space="preserve"> </w:t>
      </w:r>
      <w:r>
        <w:rPr>
          <w:rFonts w:hint="eastAsia"/>
          <w:b/>
          <w:bCs/>
        </w:rPr>
        <w:t>理和自身原因引起的一切纠纷、事故赔偿责任和社会治安等关系。其中施工期间生产的泥浆等废排水，承包人应根据施工组织设计并结合现场情况考虑制定处理措施方案。</w:t>
      </w:r>
      <w:r>
        <w:rPr>
          <w:b/>
          <w:bCs/>
        </w:rPr>
        <w:t xml:space="preserve"> </w:t>
      </w:r>
    </w:p>
    <w:p>
      <w:pPr>
        <w:pStyle w:val="18"/>
        <w:kinsoku w:val="0"/>
        <w:overflowPunct w:val="0"/>
        <w:spacing w:line="400" w:lineRule="exact"/>
        <w:ind w:firstLine="426"/>
      </w:pPr>
      <w:r>
        <w:rPr>
          <w:rFonts w:hint="eastAsia"/>
          <w:b/>
          <w:bCs/>
        </w:rPr>
        <w:t>（</w:t>
      </w:r>
      <w:r>
        <w:rPr>
          <w:b/>
          <w:bCs/>
        </w:rPr>
        <w:t>3</w:t>
      </w:r>
      <w:r>
        <w:rPr>
          <w:rFonts w:hint="eastAsia"/>
          <w:b/>
          <w:bCs/>
        </w:rPr>
        <w:t>）完工工程成品保护的特殊要求及费用承担：已竣工工程未交付发包人之前，由承包人负责已完工程的保护工作，保护期间发生损坏，承包人自费予以修复。发包人要求承包人采取特殊措施保护的工程部位，承包人必须按照发包人的要求完成。</w:t>
      </w:r>
      <w:r>
        <w:rPr>
          <w:b/>
          <w:bCs/>
        </w:rPr>
        <w:t xml:space="preserve"> </w:t>
      </w:r>
    </w:p>
    <w:p>
      <w:pPr>
        <w:pStyle w:val="18"/>
        <w:kinsoku w:val="0"/>
        <w:overflowPunct w:val="0"/>
        <w:spacing w:line="400" w:lineRule="exact"/>
        <w:ind w:firstLine="426"/>
        <w:rPr>
          <w:b/>
          <w:bCs/>
        </w:rPr>
      </w:pPr>
      <w:r>
        <w:rPr>
          <w:rFonts w:hint="eastAsia"/>
          <w:b/>
          <w:bCs/>
        </w:rPr>
        <w:t>（</w:t>
      </w:r>
      <w:r>
        <w:rPr>
          <w:b/>
          <w:bCs/>
        </w:rPr>
        <w:t>4</w:t>
      </w:r>
      <w:r>
        <w:rPr>
          <w:rFonts w:hint="eastAsia"/>
          <w:b/>
          <w:bCs/>
        </w:rPr>
        <w:t>）施工现场清洁卫生的要求：保证施工场地清洁符合环境卫生管理的有关规定，竣工验收通过后</w:t>
      </w:r>
      <w:r>
        <w:rPr>
          <w:b/>
          <w:bCs/>
        </w:rPr>
        <w:t xml:space="preserve"> 30 </w:t>
      </w:r>
      <w:r>
        <w:rPr>
          <w:rFonts w:hint="eastAsia"/>
          <w:b/>
          <w:bCs/>
        </w:rPr>
        <w:t>天内工完场清，并承担因自身原因违反有关规定造成的损失和罚款。</w:t>
      </w:r>
      <w:r>
        <w:rPr>
          <w:b/>
          <w:bCs/>
        </w:rPr>
        <w:t xml:space="preserve"> </w:t>
      </w:r>
    </w:p>
    <w:p>
      <w:pPr>
        <w:pStyle w:val="18"/>
        <w:kinsoku w:val="0"/>
        <w:overflowPunct w:val="0"/>
        <w:spacing w:line="400" w:lineRule="exact"/>
        <w:ind w:firstLine="426"/>
        <w:rPr>
          <w:b/>
          <w:bCs/>
        </w:rPr>
      </w:pPr>
      <w:r>
        <w:rPr>
          <w:rFonts w:hint="eastAsia"/>
          <w:b/>
          <w:bCs/>
        </w:rPr>
        <w:t>（</w:t>
      </w:r>
      <w:r>
        <w:rPr>
          <w:b/>
          <w:bCs/>
        </w:rPr>
        <w:t>5</w:t>
      </w:r>
      <w:r>
        <w:rPr>
          <w:rFonts w:hint="eastAsia"/>
          <w:b/>
          <w:bCs/>
        </w:rPr>
        <w:t>）双方约定承包人应做的其他工作：</w:t>
      </w:r>
      <w:r>
        <w:rPr>
          <w:b/>
          <w:bCs/>
        </w:rPr>
        <w:t>1</w:t>
      </w:r>
      <w:r>
        <w:rPr>
          <w:rFonts w:hint="eastAsia"/>
          <w:b/>
          <w:bCs/>
        </w:rPr>
        <w:t>）按时向发包人（或工程师）提交开竣工报告、隐蔽工程验收报告、质量自检记录、交工验收报告及工程事故报告等资料。</w:t>
      </w:r>
      <w:r>
        <w:rPr>
          <w:b/>
          <w:bCs/>
        </w:rPr>
        <w:t>2</w:t>
      </w:r>
      <w:r>
        <w:rPr>
          <w:rFonts w:hint="eastAsia"/>
          <w:b/>
          <w:bCs/>
        </w:rPr>
        <w:t>）本工程实施前承包人应对沿线范围内的地下管线、道路和周围建筑物、构筑物进行周密的勘察，并在施工前采取必要的加固措施，在施工过程中采取措施对变形进行控制，发现损坏应及时抢修，施工结束后进行必要的维修，维修结果必须经相关管理部门认可，确保沿线在影响范围</w:t>
      </w:r>
      <w:r>
        <w:rPr>
          <w:b/>
          <w:bCs/>
        </w:rPr>
        <w:t xml:space="preserve"> </w:t>
      </w:r>
      <w:r>
        <w:rPr>
          <w:rFonts w:hint="eastAsia"/>
          <w:b/>
          <w:bCs/>
        </w:rPr>
        <w:t>内的地下管线、道路和周围建筑物、构筑物的正常使用，并承担有关费用。</w:t>
      </w:r>
      <w:r>
        <w:rPr>
          <w:b/>
          <w:bCs/>
        </w:rPr>
        <w:t>3</w:t>
      </w:r>
      <w:r>
        <w:rPr>
          <w:rFonts w:hint="eastAsia"/>
          <w:b/>
          <w:bCs/>
        </w:rPr>
        <w:t>）因承包人原因造成工程损失或人身伤害，由承包人承担全部责任及费用。</w:t>
      </w:r>
      <w:r>
        <w:rPr>
          <w:b/>
          <w:bCs/>
        </w:rPr>
        <w:t>4</w:t>
      </w:r>
      <w:r>
        <w:rPr>
          <w:rFonts w:hint="eastAsia"/>
          <w:b/>
          <w:bCs/>
        </w:rPr>
        <w:t>）负责放样、测量。每次测量成果均应有复核记录，并及时将测量成果记录书面送交监理人确认。承包人应对测量成果承担全部责任。</w:t>
      </w:r>
      <w:r>
        <w:rPr>
          <w:b/>
          <w:bCs/>
        </w:rPr>
        <w:t>5</w:t>
      </w:r>
      <w:r>
        <w:rPr>
          <w:rFonts w:hint="eastAsia"/>
          <w:b/>
          <w:bCs/>
        </w:rPr>
        <w:t>）必须接受发包人的管理或其委托的监理单位的监理，并为其开展工作和生活提供方便，按</w:t>
      </w:r>
      <w:r>
        <w:rPr>
          <w:b/>
          <w:bCs/>
        </w:rPr>
        <w:t xml:space="preserve"> </w:t>
      </w:r>
      <w:r>
        <w:rPr>
          <w:rFonts w:hint="eastAsia"/>
          <w:b/>
          <w:bCs/>
        </w:rPr>
        <w:t>照要求提供完整真实的原始记录、检测记录等技术资料及各种报表。</w:t>
      </w:r>
      <w:r>
        <w:rPr>
          <w:b/>
          <w:bCs/>
        </w:rPr>
        <w:t>6</w:t>
      </w:r>
      <w:r>
        <w:rPr>
          <w:rFonts w:hint="eastAsia"/>
          <w:b/>
          <w:bCs/>
        </w:rPr>
        <w:t>）承包人必须开展工程施工合同质量管理，密切配合工程师全面质量管理、环境管理和职业安全健康管理等工作的进行。</w:t>
      </w:r>
      <w:r>
        <w:rPr>
          <w:b/>
          <w:bCs/>
        </w:rPr>
        <w:t>7</w:t>
      </w:r>
      <w:r>
        <w:rPr>
          <w:rFonts w:hint="eastAsia"/>
          <w:b/>
          <w:bCs/>
        </w:rPr>
        <w:t>）承包人不按合同约定完成以上工作，发包人有权限令其停止施工并进行整改，由此引起的</w:t>
      </w:r>
      <w:r>
        <w:rPr>
          <w:b/>
          <w:bCs/>
        </w:rPr>
        <w:t xml:space="preserve"> </w:t>
      </w:r>
      <w:r>
        <w:rPr>
          <w:rFonts w:hint="eastAsia"/>
          <w:b/>
          <w:bCs/>
        </w:rPr>
        <w:t>损失由承包人承担。</w:t>
      </w:r>
      <w:r>
        <w:rPr>
          <w:b/>
          <w:bCs/>
        </w:rPr>
        <w:t>8</w:t>
      </w:r>
      <w:r>
        <w:rPr>
          <w:rFonts w:hint="eastAsia"/>
          <w:b/>
          <w:bCs/>
        </w:rPr>
        <w:t>）承包人应执行发包人对工程管理所制定的各项管理制度。</w:t>
      </w:r>
      <w:r>
        <w:rPr>
          <w:b/>
          <w:bCs/>
        </w:rPr>
        <w:t>9</w:t>
      </w:r>
      <w:r>
        <w:rPr>
          <w:rFonts w:hint="eastAsia"/>
          <w:b/>
          <w:bCs/>
        </w:rPr>
        <w:t>）发生工程质量事故或工伤事故后，须按水利部、金华有关规定及时电话联系发包人或监理，按规定上报事故书面报告一式二份，同时按政府有关部门要求采取措施，发生的费用由承包人承担。</w:t>
      </w:r>
      <w:r>
        <w:rPr>
          <w:b/>
          <w:bCs/>
        </w:rPr>
        <w:t>10</w:t>
      </w:r>
      <w:r>
        <w:rPr>
          <w:rFonts w:hint="eastAsia"/>
          <w:b/>
          <w:bCs/>
        </w:rPr>
        <w:t>）参加发包人召开的与本工程相关的会议，并作好会前有关资料的准备。在保修期内要及时做好回访工作，属保修责任范围的事项应及时按质检标准修好。</w:t>
      </w:r>
      <w:r>
        <w:rPr>
          <w:b/>
          <w:bCs/>
        </w:rPr>
        <w:t>11</w:t>
      </w:r>
      <w:r>
        <w:rPr>
          <w:rFonts w:hint="eastAsia"/>
          <w:b/>
          <w:bCs/>
        </w:rPr>
        <w:t>）根据发包人要求配合做好其他承包商供货现场附助工作，必要时免费提供吊机、仓库及人力配合。</w:t>
      </w:r>
      <w:r>
        <w:rPr>
          <w:b/>
          <w:bCs/>
        </w:rPr>
        <w:t>12</w:t>
      </w:r>
      <w:r>
        <w:rPr>
          <w:rFonts w:hint="eastAsia"/>
          <w:b/>
          <w:bCs/>
        </w:rPr>
        <w:t>）承包人应根据《浙江省水利建设市场信息登记和发布管理办法（暂行）》在浙江省水利建设市场信息平台上公布本项目信息，包括在建项目的合同主要内容、主要管理人员信息等。</w:t>
      </w:r>
    </w:p>
    <w:p>
      <w:pPr>
        <w:pStyle w:val="18"/>
        <w:kinsoku w:val="0"/>
        <w:overflowPunct w:val="0"/>
        <w:spacing w:line="400" w:lineRule="exact"/>
        <w:ind w:firstLine="316"/>
      </w:pPr>
      <w:r>
        <w:rPr>
          <w:rFonts w:hint="eastAsia"/>
          <w:b/>
          <w:bCs/>
        </w:rPr>
        <w:t>（</w:t>
      </w:r>
      <w:r>
        <w:rPr>
          <w:b/>
          <w:bCs/>
        </w:rPr>
        <w:t>6</w:t>
      </w:r>
      <w:r>
        <w:rPr>
          <w:rFonts w:hint="eastAsia"/>
          <w:b/>
          <w:bCs/>
        </w:rPr>
        <w:t>）上述（</w:t>
      </w:r>
      <w:r>
        <w:rPr>
          <w:b/>
          <w:bCs/>
        </w:rPr>
        <w:t>1</w:t>
      </w:r>
      <w:r>
        <w:rPr>
          <w:rFonts w:hint="eastAsia"/>
          <w:b/>
          <w:bCs/>
        </w:rPr>
        <w:t>）至（</w:t>
      </w:r>
      <w:r>
        <w:rPr>
          <w:b/>
          <w:bCs/>
        </w:rPr>
        <w:t>5</w:t>
      </w:r>
      <w:r>
        <w:rPr>
          <w:rFonts w:hint="eastAsia"/>
          <w:b/>
          <w:bCs/>
        </w:rPr>
        <w:t>）各条款涉及的各类费用均应列入措施费内，发包人不再向承包人另行支付。如因此类原因导致工期延误，工期不予顺延，并由承包人承担相应的责任及费用。</w:t>
      </w:r>
      <w:r>
        <w:rPr>
          <w:b/>
          <w:bCs/>
        </w:rPr>
        <w:t xml:space="preserve"> </w:t>
      </w:r>
    </w:p>
    <w:p>
      <w:pPr>
        <w:pStyle w:val="18"/>
        <w:kinsoku w:val="0"/>
        <w:overflowPunct w:val="0"/>
        <w:spacing w:line="400" w:lineRule="exact"/>
      </w:pPr>
      <w:r>
        <w:rPr>
          <w:b/>
          <w:bCs/>
        </w:rPr>
        <w:t xml:space="preserve">4.3 </w:t>
      </w:r>
      <w:r>
        <w:rPr>
          <w:rFonts w:hint="eastAsia"/>
          <w:b/>
          <w:bCs/>
        </w:rPr>
        <w:t>分包</w:t>
      </w:r>
      <w:r>
        <w:rPr>
          <w:b/>
          <w:bCs/>
        </w:rPr>
        <w:t xml:space="preserve"> </w:t>
      </w:r>
    </w:p>
    <w:p>
      <w:pPr>
        <w:pStyle w:val="18"/>
        <w:kinsoku w:val="0"/>
        <w:overflowPunct w:val="0"/>
        <w:spacing w:line="400" w:lineRule="exact"/>
      </w:pPr>
      <w:r>
        <w:rPr>
          <w:b/>
          <w:bCs/>
        </w:rPr>
        <w:t xml:space="preserve">4.3.2 </w:t>
      </w:r>
      <w:r>
        <w:rPr>
          <w:rFonts w:hint="eastAsia"/>
        </w:rPr>
        <w:t>允许承包人分包的工程项目、工作内容与分包金额如下：</w:t>
      </w:r>
      <w:r>
        <w:t xml:space="preserve"> </w:t>
      </w:r>
    </w:p>
    <w:p>
      <w:pPr>
        <w:pStyle w:val="18"/>
        <w:kinsoku w:val="0"/>
        <w:overflowPunct w:val="0"/>
        <w:spacing w:line="400" w:lineRule="exact"/>
      </w:pPr>
      <w:r>
        <w:rPr>
          <w:rFonts w:hint="eastAsia"/>
        </w:rPr>
        <w:t>（</w:t>
      </w:r>
      <w:r>
        <w:t>1</w:t>
      </w:r>
      <w:r>
        <w:rPr>
          <w:rFonts w:hint="eastAsia"/>
        </w:rPr>
        <w:t>）工程项目：</w:t>
      </w:r>
      <w:r>
        <w:rPr>
          <w:b/>
          <w:bCs/>
          <w:u w:val="single"/>
        </w:rPr>
        <w:t>/</w:t>
      </w:r>
      <w:r>
        <w:rPr>
          <w:rFonts w:hint="eastAsia"/>
        </w:rPr>
        <w:t>。</w:t>
      </w:r>
      <w:r>
        <w:t xml:space="preserve"> </w:t>
      </w:r>
    </w:p>
    <w:p>
      <w:pPr>
        <w:pStyle w:val="18"/>
        <w:kinsoku w:val="0"/>
        <w:overflowPunct w:val="0"/>
        <w:spacing w:line="400" w:lineRule="exact"/>
      </w:pPr>
      <w:r>
        <w:rPr>
          <w:rFonts w:hint="eastAsia"/>
        </w:rPr>
        <w:t>（</w:t>
      </w:r>
      <w:r>
        <w:t>2</w:t>
      </w:r>
      <w:r>
        <w:rPr>
          <w:rFonts w:hint="eastAsia"/>
        </w:rPr>
        <w:t>）工作内容：</w:t>
      </w:r>
      <w:r>
        <w:rPr>
          <w:b/>
          <w:bCs/>
          <w:u w:val="single"/>
        </w:rPr>
        <w:t>/</w:t>
      </w:r>
      <w:r>
        <w:rPr>
          <w:rFonts w:hint="eastAsia"/>
        </w:rPr>
        <w:t>。</w:t>
      </w:r>
      <w:r>
        <w:t xml:space="preserve"> </w:t>
      </w:r>
    </w:p>
    <w:p>
      <w:pPr>
        <w:pStyle w:val="18"/>
        <w:kinsoku w:val="0"/>
        <w:overflowPunct w:val="0"/>
        <w:spacing w:line="400" w:lineRule="exact"/>
      </w:pPr>
      <w:r>
        <w:rPr>
          <w:rFonts w:hint="eastAsia"/>
        </w:rPr>
        <w:t>（</w:t>
      </w:r>
      <w:r>
        <w:t>3</w:t>
      </w:r>
      <w:r>
        <w:rPr>
          <w:rFonts w:hint="eastAsia"/>
        </w:rPr>
        <w:t>）分包金额限额：</w:t>
      </w:r>
      <w:r>
        <w:rPr>
          <w:b/>
          <w:bCs/>
          <w:u w:val="single"/>
        </w:rPr>
        <w:t>/</w:t>
      </w:r>
      <w:r>
        <w:rPr>
          <w:rFonts w:hint="eastAsia"/>
        </w:rPr>
        <w:t>。</w:t>
      </w:r>
      <w:r>
        <w:t xml:space="preserve"> </w:t>
      </w:r>
    </w:p>
    <w:p>
      <w:pPr>
        <w:pStyle w:val="147"/>
        <w:kinsoku w:val="0"/>
        <w:overflowPunct w:val="0"/>
        <w:spacing w:before="0" w:line="400" w:lineRule="exact"/>
        <w:ind w:left="0"/>
        <w:outlineLvl w:val="9"/>
      </w:pPr>
      <w:r>
        <w:t xml:space="preserve">4.5 </w:t>
      </w:r>
      <w:r>
        <w:rPr>
          <w:rFonts w:hint="eastAsia"/>
        </w:rPr>
        <w:t>承包人项目负责人</w:t>
      </w:r>
      <w:r>
        <w:t xml:space="preserve"> </w:t>
      </w:r>
    </w:p>
    <w:p>
      <w:pPr>
        <w:pStyle w:val="147"/>
        <w:kinsoku w:val="0"/>
        <w:overflowPunct w:val="0"/>
        <w:spacing w:before="0" w:line="400" w:lineRule="exact"/>
        <w:ind w:left="0" w:firstLine="420"/>
        <w:outlineLvl w:val="9"/>
        <w:rPr>
          <w:sz w:val="21"/>
        </w:rPr>
      </w:pPr>
      <w:r>
        <w:rPr>
          <w:rFonts w:hint="eastAsia"/>
          <w:b w:val="0"/>
          <w:sz w:val="21"/>
        </w:rPr>
        <w:t>本章</w:t>
      </w:r>
      <w:r>
        <w:rPr>
          <w:b w:val="0"/>
          <w:sz w:val="21"/>
        </w:rPr>
        <w:t xml:space="preserve"> 4.5.5 </w:t>
      </w:r>
      <w:r>
        <w:rPr>
          <w:rFonts w:hint="eastAsia"/>
          <w:b w:val="0"/>
          <w:sz w:val="21"/>
        </w:rPr>
        <w:t>款补充：项目负责人每月驻工地的天数不少于</w:t>
      </w:r>
      <w:r>
        <w:rPr>
          <w:b w:val="0"/>
          <w:sz w:val="21"/>
        </w:rPr>
        <w:t xml:space="preserve"> 22 </w:t>
      </w:r>
      <w:r>
        <w:rPr>
          <w:rFonts w:hint="eastAsia"/>
          <w:b w:val="0"/>
          <w:sz w:val="21"/>
        </w:rPr>
        <w:t>天，每少一天支付违约金</w:t>
      </w:r>
      <w:r>
        <w:rPr>
          <w:b w:val="0"/>
          <w:sz w:val="21"/>
        </w:rPr>
        <w:t xml:space="preserve"> </w:t>
      </w:r>
      <w:r>
        <w:rPr>
          <w:b w:val="0"/>
          <w:bCs w:val="0"/>
          <w:sz w:val="21"/>
          <w:u w:val="single"/>
        </w:rPr>
        <w:t>1000</w:t>
      </w:r>
      <w:r>
        <w:rPr>
          <w:rFonts w:hint="eastAsia"/>
          <w:b w:val="0"/>
          <w:sz w:val="21"/>
        </w:rPr>
        <w:t>元。上述违约金在当月工程进度款中直接扣除，在工地工作天数按监理人实际考勤记录为准。承包人的项目负责人连续</w:t>
      </w:r>
      <w:r>
        <w:rPr>
          <w:b w:val="0"/>
          <w:sz w:val="21"/>
        </w:rPr>
        <w:t xml:space="preserve"> </w:t>
      </w:r>
      <w:r>
        <w:rPr>
          <w:b w:val="0"/>
          <w:bCs w:val="0"/>
          <w:sz w:val="21"/>
          <w:u w:val="single"/>
        </w:rPr>
        <w:t xml:space="preserve">3 </w:t>
      </w:r>
      <w:r>
        <w:rPr>
          <w:rFonts w:hint="eastAsia"/>
          <w:b w:val="0"/>
          <w:sz w:val="21"/>
        </w:rPr>
        <w:t>个月及以上每月驻工地的天数少于</w:t>
      </w:r>
      <w:r>
        <w:rPr>
          <w:b w:val="0"/>
          <w:sz w:val="21"/>
        </w:rPr>
        <w:t xml:space="preserve"> </w:t>
      </w:r>
      <w:r>
        <w:rPr>
          <w:b w:val="0"/>
          <w:bCs w:val="0"/>
          <w:sz w:val="21"/>
          <w:u w:val="single"/>
        </w:rPr>
        <w:t xml:space="preserve">22 </w:t>
      </w:r>
      <w:r>
        <w:rPr>
          <w:rFonts w:hint="eastAsia"/>
          <w:b w:val="0"/>
          <w:sz w:val="21"/>
        </w:rPr>
        <w:t>天，发包人有权解除合同。</w:t>
      </w:r>
      <w:r>
        <w:rPr>
          <w:b w:val="0"/>
          <w:sz w:val="21"/>
        </w:rPr>
        <w:t xml:space="preserve"> </w:t>
      </w:r>
    </w:p>
    <w:p>
      <w:pPr>
        <w:pStyle w:val="147"/>
        <w:kinsoku w:val="0"/>
        <w:overflowPunct w:val="0"/>
        <w:spacing w:before="0" w:line="400" w:lineRule="exact"/>
        <w:ind w:left="0"/>
        <w:outlineLvl w:val="9"/>
        <w:rPr>
          <w:b w:val="0"/>
          <w:bCs w:val="0"/>
        </w:rPr>
      </w:pPr>
      <w:r>
        <w:t xml:space="preserve">4.6 </w:t>
      </w:r>
      <w:r>
        <w:rPr>
          <w:rFonts w:hint="eastAsia"/>
        </w:rPr>
        <w:t>承包人人员的管理</w:t>
      </w:r>
      <w:r>
        <w:t xml:space="preserve"> </w:t>
      </w:r>
    </w:p>
    <w:p>
      <w:pPr>
        <w:pStyle w:val="18"/>
        <w:kinsoku w:val="0"/>
        <w:overflowPunct w:val="0"/>
        <w:spacing w:line="400" w:lineRule="exact"/>
        <w:ind w:firstLine="420"/>
      </w:pPr>
      <w:r>
        <w:rPr>
          <w:rFonts w:hint="eastAsia"/>
        </w:rPr>
        <w:t>本章</w:t>
      </w:r>
      <w:r>
        <w:t xml:space="preserve"> 4.6.3 </w:t>
      </w:r>
      <w:r>
        <w:rPr>
          <w:rFonts w:hint="eastAsia"/>
        </w:rPr>
        <w:t>款补充：</w:t>
      </w:r>
      <w:r>
        <w:t xml:space="preserve"> </w:t>
      </w:r>
    </w:p>
    <w:p>
      <w:pPr>
        <w:pStyle w:val="18"/>
        <w:kinsoku w:val="0"/>
        <w:overflowPunct w:val="0"/>
        <w:spacing w:line="400" w:lineRule="exact"/>
        <w:ind w:firstLine="420"/>
      </w:pPr>
      <w:r>
        <w:rPr>
          <w:rFonts w:hint="eastAsia"/>
        </w:rPr>
        <w:t>项目技术负责人每月驻工地时间不得少于</w:t>
      </w:r>
      <w:r>
        <w:t xml:space="preserve"> </w:t>
      </w:r>
      <w:r>
        <w:rPr>
          <w:b/>
          <w:bCs/>
          <w:u w:val="single"/>
        </w:rPr>
        <w:t xml:space="preserve">22 </w:t>
      </w:r>
      <w:r>
        <w:rPr>
          <w:rFonts w:hint="eastAsia"/>
        </w:rPr>
        <w:t>天，每少一天支付违约金</w:t>
      </w:r>
      <w:r>
        <w:t xml:space="preserve"> </w:t>
      </w:r>
      <w:r>
        <w:rPr>
          <w:b/>
          <w:bCs/>
          <w:u w:val="single"/>
        </w:rPr>
        <w:t xml:space="preserve">1000 </w:t>
      </w:r>
      <w:r>
        <w:rPr>
          <w:rFonts w:hint="eastAsia"/>
        </w:rPr>
        <w:t>元。</w:t>
      </w:r>
      <w:r>
        <w:t xml:space="preserve"> </w:t>
      </w:r>
      <w:r>
        <w:rPr>
          <w:rFonts w:hint="eastAsia"/>
        </w:rPr>
        <w:t>上述违约金在当月工程进度款中直接扣除，在工地工作天数按监理人实际考勤记录为准。</w:t>
      </w:r>
    </w:p>
    <w:p>
      <w:pPr>
        <w:pStyle w:val="18"/>
        <w:kinsoku w:val="0"/>
        <w:overflowPunct w:val="0"/>
        <w:spacing w:line="400" w:lineRule="exact"/>
        <w:ind w:firstLine="420"/>
      </w:pPr>
      <w:r>
        <w:rPr>
          <w:rFonts w:hint="eastAsia"/>
        </w:rPr>
        <w:t>本章</w:t>
      </w:r>
      <w:r>
        <w:t xml:space="preserve"> 4.6.4 </w:t>
      </w:r>
      <w:r>
        <w:rPr>
          <w:rFonts w:hint="eastAsia"/>
        </w:rPr>
        <w:t>款补充如下：质检员、施工员、专职安全员每月每人驻工地时间不得少于</w:t>
      </w:r>
      <w:r>
        <w:t xml:space="preserve"> </w:t>
      </w:r>
      <w:r>
        <w:rPr>
          <w:b/>
          <w:bCs/>
          <w:u w:val="single"/>
        </w:rPr>
        <w:t xml:space="preserve">22 </w:t>
      </w:r>
      <w:r>
        <w:rPr>
          <w:rFonts w:hint="eastAsia"/>
        </w:rPr>
        <w:t>天，每少一天支付违约金</w:t>
      </w:r>
      <w:r>
        <w:t xml:space="preserve"> </w:t>
      </w:r>
      <w:r>
        <w:rPr>
          <w:b/>
          <w:bCs/>
          <w:u w:val="single"/>
        </w:rPr>
        <w:t>1000</w:t>
      </w:r>
      <w:r>
        <w:rPr>
          <w:rFonts w:hint="eastAsia"/>
        </w:rPr>
        <w:t>元。</w:t>
      </w:r>
      <w:r>
        <w:t xml:space="preserve"> </w:t>
      </w:r>
      <w:r>
        <w:rPr>
          <w:rFonts w:hint="eastAsia"/>
        </w:rPr>
        <w:t>上述违约金在当月工程进度款中直接扣除，在工地工作天数按监理人实际考勤记录为准。</w:t>
      </w:r>
      <w:r>
        <w:t xml:space="preserve"> </w:t>
      </w:r>
    </w:p>
    <w:p>
      <w:pPr>
        <w:pStyle w:val="147"/>
        <w:kinsoku w:val="0"/>
        <w:overflowPunct w:val="0"/>
        <w:spacing w:before="0" w:line="400" w:lineRule="exact"/>
        <w:ind w:left="0"/>
        <w:outlineLvl w:val="9"/>
        <w:rPr>
          <w:b w:val="0"/>
          <w:bCs w:val="0"/>
        </w:rPr>
      </w:pPr>
      <w:r>
        <w:t xml:space="preserve">4.7 </w:t>
      </w:r>
      <w:r>
        <w:rPr>
          <w:rFonts w:hint="eastAsia"/>
        </w:rPr>
        <w:t>撤换承包人项目负责人和其他人员</w:t>
      </w:r>
      <w:r>
        <w:t xml:space="preserve"> </w:t>
      </w:r>
    </w:p>
    <w:p>
      <w:pPr>
        <w:pStyle w:val="18"/>
        <w:kinsoku w:val="0"/>
        <w:overflowPunct w:val="0"/>
        <w:spacing w:line="400" w:lineRule="exact"/>
        <w:ind w:firstLine="420"/>
      </w:pPr>
      <w:r>
        <w:rPr>
          <w:rFonts w:hint="eastAsia"/>
        </w:rPr>
        <w:t>本款补充：项目负责人、技术负责人不得擅自更换。若承包人擅自更换的，除每人次需支付</w:t>
      </w:r>
      <w:r>
        <w:t xml:space="preserve"> 10 </w:t>
      </w:r>
      <w:r>
        <w:rPr>
          <w:rFonts w:hint="eastAsia"/>
        </w:rPr>
        <w:t>万元的违约金外，发包人有权将其作为不良行为记录上报水行政主管部门；情节特别严重的，发包人有权中</w:t>
      </w:r>
      <w:r>
        <w:t xml:space="preserve"> </w:t>
      </w:r>
      <w:r>
        <w:rPr>
          <w:rFonts w:hint="eastAsia"/>
        </w:rPr>
        <w:t>止合同。在合同工程未通过完工验收或合同解除前，项目负责人、技术负责人确需更换的，应征得发包人、原项目负责人备案主管部门同意，且更换后的人员不得低于原投标承诺人员所具有的资格</w:t>
      </w:r>
      <w:r>
        <w:t xml:space="preserve"> </w:t>
      </w:r>
      <w:r>
        <w:rPr>
          <w:rFonts w:hint="eastAsia"/>
        </w:rPr>
        <w:t>和业绩条件。</w:t>
      </w:r>
      <w:r>
        <w:t xml:space="preserve"> </w:t>
      </w:r>
    </w:p>
    <w:p>
      <w:pPr>
        <w:pStyle w:val="18"/>
        <w:kinsoku w:val="0"/>
        <w:overflowPunct w:val="0"/>
        <w:spacing w:line="400" w:lineRule="exact"/>
        <w:ind w:firstLine="420"/>
      </w:pPr>
      <w:r>
        <w:rPr>
          <w:rFonts w:hint="eastAsia"/>
        </w:rPr>
        <w:t>承包人的安全员、质量员、施工员等人员擅自调换每一人次需支付违约金</w:t>
      </w:r>
      <w:r>
        <w:t xml:space="preserve"> </w:t>
      </w:r>
      <w:r>
        <w:rPr>
          <w:b/>
          <w:bCs/>
          <w:u w:val="single"/>
        </w:rPr>
        <w:t xml:space="preserve">5 </w:t>
      </w:r>
      <w:r>
        <w:rPr>
          <w:rFonts w:hint="eastAsia"/>
        </w:rPr>
        <w:t>万元。违约金在工</w:t>
      </w:r>
      <w:r>
        <w:t xml:space="preserve"> </w:t>
      </w:r>
      <w:r>
        <w:rPr>
          <w:rFonts w:hint="eastAsia"/>
        </w:rPr>
        <w:t>程进度付款中扣除。</w:t>
      </w:r>
      <w:r>
        <w:t xml:space="preserve"> </w:t>
      </w:r>
    </w:p>
    <w:p>
      <w:pPr>
        <w:pStyle w:val="147"/>
        <w:kinsoku w:val="0"/>
        <w:overflowPunct w:val="0"/>
        <w:spacing w:before="0" w:line="400" w:lineRule="exact"/>
        <w:ind w:left="0"/>
        <w:outlineLvl w:val="9"/>
        <w:rPr>
          <w:b w:val="0"/>
          <w:bCs w:val="0"/>
        </w:rPr>
      </w:pPr>
      <w:r>
        <w:t xml:space="preserve">4.11 </w:t>
      </w:r>
      <w:r>
        <w:rPr>
          <w:rFonts w:hint="eastAsia"/>
        </w:rPr>
        <w:t>不利物质条件</w:t>
      </w:r>
      <w:r>
        <w:t xml:space="preserve"> </w:t>
      </w:r>
    </w:p>
    <w:p>
      <w:pPr>
        <w:pStyle w:val="18"/>
        <w:kinsoku w:val="0"/>
        <w:overflowPunct w:val="0"/>
        <w:spacing w:line="400" w:lineRule="exact"/>
      </w:pPr>
      <w:r>
        <w:rPr>
          <w:b/>
          <w:bCs/>
        </w:rPr>
        <w:t xml:space="preserve">4.11.1 </w:t>
      </w:r>
      <w:r>
        <w:rPr>
          <w:rFonts w:hint="eastAsia"/>
        </w:rPr>
        <w:t>不利物质条件的范围：</w:t>
      </w:r>
      <w:r>
        <w:rPr>
          <w:rFonts w:hint="eastAsia"/>
          <w:b/>
          <w:bCs/>
          <w:u w:val="single"/>
        </w:rPr>
        <w:t>施工中遇到文物或古迹</w:t>
      </w:r>
      <w:r>
        <w:rPr>
          <w:rFonts w:hint="eastAsia"/>
        </w:rPr>
        <w:t>。</w:t>
      </w:r>
      <w:r>
        <w:t xml:space="preserve"> </w:t>
      </w:r>
    </w:p>
    <w:p>
      <w:pPr>
        <w:pStyle w:val="18"/>
        <w:kinsoku w:val="0"/>
        <w:overflowPunct w:val="0"/>
        <w:spacing w:line="400" w:lineRule="exact"/>
      </w:pPr>
      <w:r>
        <w:t xml:space="preserve">5 </w:t>
      </w:r>
      <w:r>
        <w:rPr>
          <w:rFonts w:hint="eastAsia"/>
        </w:rPr>
        <w:t>材料和工程设备</w:t>
      </w:r>
      <w:r>
        <w:t xml:space="preserve"> </w:t>
      </w:r>
    </w:p>
    <w:p>
      <w:pPr>
        <w:pStyle w:val="147"/>
        <w:kinsoku w:val="0"/>
        <w:overflowPunct w:val="0"/>
        <w:spacing w:before="0" w:line="400" w:lineRule="exact"/>
        <w:ind w:left="0"/>
        <w:outlineLvl w:val="9"/>
        <w:rPr>
          <w:b w:val="0"/>
          <w:bCs w:val="0"/>
        </w:rPr>
      </w:pPr>
      <w:r>
        <w:t xml:space="preserve">5.2 </w:t>
      </w:r>
      <w:r>
        <w:rPr>
          <w:rFonts w:hint="eastAsia"/>
        </w:rPr>
        <w:t>发包人提供的材料和工程设备</w:t>
      </w:r>
      <w:r>
        <w:t xml:space="preserve"> </w:t>
      </w:r>
    </w:p>
    <w:p>
      <w:pPr>
        <w:pStyle w:val="18"/>
        <w:kinsoku w:val="0"/>
        <w:overflowPunct w:val="0"/>
        <w:spacing w:line="400" w:lineRule="exact"/>
      </w:pPr>
      <w:r>
        <w:rPr>
          <w:b/>
          <w:bCs/>
        </w:rPr>
        <w:t xml:space="preserve">5.2.1 </w:t>
      </w:r>
      <w:r>
        <w:rPr>
          <w:rFonts w:hint="eastAsia"/>
        </w:rPr>
        <w:t>发包人提供的材料和工程设备见下表。</w:t>
      </w:r>
      <w:r>
        <w:t xml:space="preserve"> </w:t>
      </w:r>
    </w:p>
    <w:p>
      <w:pPr>
        <w:pStyle w:val="156"/>
        <w:kinsoku w:val="0"/>
        <w:overflowPunct w:val="0"/>
        <w:spacing w:before="0" w:line="400" w:lineRule="exact"/>
        <w:ind w:left="0"/>
        <w:outlineLvl w:val="9"/>
        <w:rPr>
          <w:b w:val="0"/>
          <w:bCs w:val="0"/>
          <w:sz w:val="12"/>
          <w:szCs w:val="12"/>
        </w:rPr>
      </w:pPr>
      <w:r>
        <w:rPr>
          <w:rFonts w:hint="eastAsia"/>
        </w:rPr>
        <w:t>发包人提供的材料表（参考格式）</w:t>
      </w:r>
      <w:r>
        <w:rPr>
          <w:w w:val="99"/>
        </w:rPr>
        <w:t xml:space="preserve"> </w:t>
      </w:r>
    </w:p>
    <w:tbl>
      <w:tblPr>
        <w:tblStyle w:val="36"/>
        <w:tblW w:w="0" w:type="auto"/>
        <w:tblInd w:w="111" w:type="dxa"/>
        <w:tblLayout w:type="fixed"/>
        <w:tblCellMar>
          <w:top w:w="0" w:type="dxa"/>
          <w:left w:w="0" w:type="dxa"/>
          <w:bottom w:w="0" w:type="dxa"/>
          <w:right w:w="0" w:type="dxa"/>
        </w:tblCellMar>
      </w:tblPr>
      <w:tblGrid>
        <w:gridCol w:w="847"/>
        <w:gridCol w:w="1272"/>
        <w:gridCol w:w="1271"/>
        <w:gridCol w:w="890"/>
        <w:gridCol w:w="1205"/>
        <w:gridCol w:w="1205"/>
        <w:gridCol w:w="1604"/>
        <w:gridCol w:w="883"/>
      </w:tblGrid>
      <w:tr>
        <w:tblPrEx>
          <w:tblCellMar>
            <w:top w:w="0" w:type="dxa"/>
            <w:left w:w="0" w:type="dxa"/>
            <w:bottom w:w="0" w:type="dxa"/>
            <w:right w:w="0" w:type="dxa"/>
          </w:tblCellMar>
        </w:tblPrEx>
        <w:trPr>
          <w:trHeight w:val="578" w:hRule="exact"/>
        </w:trPr>
        <w:tc>
          <w:tcPr>
            <w:tcW w:w="8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序号</w:t>
            </w:r>
            <w:r>
              <w:rPr>
                <w:rFonts w:ascii="宋体" w:cs="宋体"/>
                <w:sz w:val="21"/>
                <w:szCs w:val="21"/>
              </w:rPr>
              <w:t xml:space="preserve"> </w:t>
            </w:r>
          </w:p>
        </w:tc>
        <w:tc>
          <w:tcPr>
            <w:tcW w:w="127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材料名称</w:t>
            </w:r>
            <w:r>
              <w:rPr>
                <w:rFonts w:ascii="宋体" w:cs="宋体"/>
                <w:sz w:val="21"/>
                <w:szCs w:val="21"/>
              </w:rPr>
              <w:t xml:space="preserve"> </w:t>
            </w:r>
          </w:p>
        </w:tc>
        <w:tc>
          <w:tcPr>
            <w:tcW w:w="127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材料规格</w:t>
            </w:r>
            <w:r>
              <w:rPr>
                <w:rFonts w:ascii="宋体" w:cs="宋体"/>
                <w:sz w:val="21"/>
                <w:szCs w:val="21"/>
              </w:rPr>
              <w:t xml:space="preserve"> </w:t>
            </w:r>
          </w:p>
        </w:tc>
        <w:tc>
          <w:tcPr>
            <w:tcW w:w="89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数量</w:t>
            </w: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交货地点</w:t>
            </w: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交货方式</w:t>
            </w: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计划交货日期</w:t>
            </w: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备注</w:t>
            </w:r>
            <w:r>
              <w:rPr>
                <w:rFonts w:ascii="宋体" w:cs="宋体"/>
                <w:sz w:val="21"/>
                <w:szCs w:val="21"/>
              </w:rPr>
              <w:t xml:space="preserve"> </w:t>
            </w:r>
          </w:p>
        </w:tc>
      </w:tr>
      <w:tr>
        <w:tblPrEx>
          <w:tblCellMar>
            <w:top w:w="0" w:type="dxa"/>
            <w:left w:w="0" w:type="dxa"/>
            <w:bottom w:w="0" w:type="dxa"/>
            <w:right w:w="0" w:type="dxa"/>
          </w:tblCellMar>
        </w:tblPrEx>
        <w:trPr>
          <w:trHeight w:val="576" w:hRule="exact"/>
        </w:trPr>
        <w:tc>
          <w:tcPr>
            <w:tcW w:w="8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27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7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9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r>
        <w:tblPrEx>
          <w:tblCellMar>
            <w:top w:w="0" w:type="dxa"/>
            <w:left w:w="0" w:type="dxa"/>
            <w:bottom w:w="0" w:type="dxa"/>
            <w:right w:w="0" w:type="dxa"/>
          </w:tblCellMar>
        </w:tblPrEx>
        <w:trPr>
          <w:trHeight w:val="576" w:hRule="exact"/>
        </w:trPr>
        <w:tc>
          <w:tcPr>
            <w:tcW w:w="8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27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7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9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r>
        <w:tblPrEx>
          <w:tblCellMar>
            <w:top w:w="0" w:type="dxa"/>
            <w:left w:w="0" w:type="dxa"/>
            <w:bottom w:w="0" w:type="dxa"/>
            <w:right w:w="0" w:type="dxa"/>
          </w:tblCellMar>
        </w:tblPrEx>
        <w:trPr>
          <w:trHeight w:val="578" w:hRule="exact"/>
        </w:trPr>
        <w:tc>
          <w:tcPr>
            <w:tcW w:w="8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27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7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9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0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bl>
    <w:p>
      <w:pPr>
        <w:pStyle w:val="18"/>
        <w:kinsoku w:val="0"/>
        <w:overflowPunct w:val="0"/>
        <w:spacing w:line="400" w:lineRule="exact"/>
        <w:rPr>
          <w:b/>
          <w:bCs/>
          <w:sz w:val="12"/>
          <w:szCs w:val="12"/>
        </w:rPr>
      </w:pPr>
      <w:r>
        <w:rPr>
          <w:rFonts w:hint="eastAsia"/>
          <w:b/>
          <w:bCs/>
        </w:rPr>
        <w:t>发包人提供的工程设备表（参考格式）</w:t>
      </w:r>
      <w:r>
        <w:rPr>
          <w:b/>
          <w:bCs/>
          <w:w w:val="99"/>
        </w:rPr>
        <w:t xml:space="preserve"> </w:t>
      </w:r>
    </w:p>
    <w:tbl>
      <w:tblPr>
        <w:tblStyle w:val="36"/>
        <w:tblW w:w="0" w:type="auto"/>
        <w:tblInd w:w="111" w:type="dxa"/>
        <w:tblLayout w:type="fixed"/>
        <w:tblCellMar>
          <w:top w:w="0" w:type="dxa"/>
          <w:left w:w="0" w:type="dxa"/>
          <w:bottom w:w="0" w:type="dxa"/>
          <w:right w:w="0" w:type="dxa"/>
        </w:tblCellMar>
      </w:tblPr>
      <w:tblGrid>
        <w:gridCol w:w="715"/>
        <w:gridCol w:w="1721"/>
        <w:gridCol w:w="1292"/>
        <w:gridCol w:w="718"/>
        <w:gridCol w:w="1150"/>
        <w:gridCol w:w="1094"/>
        <w:gridCol w:w="1604"/>
        <w:gridCol w:w="883"/>
      </w:tblGrid>
      <w:tr>
        <w:tblPrEx>
          <w:tblCellMar>
            <w:top w:w="0" w:type="dxa"/>
            <w:left w:w="0" w:type="dxa"/>
            <w:bottom w:w="0" w:type="dxa"/>
            <w:right w:w="0" w:type="dxa"/>
          </w:tblCellMar>
        </w:tblPrEx>
        <w:trPr>
          <w:trHeight w:val="576" w:hRule="exact"/>
        </w:trPr>
        <w:tc>
          <w:tcPr>
            <w:tcW w:w="71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序号</w:t>
            </w:r>
            <w:r>
              <w:rPr>
                <w:rFonts w:ascii="宋体" w:cs="宋体"/>
                <w:sz w:val="21"/>
                <w:szCs w:val="21"/>
              </w:rPr>
              <w:t xml:space="preserve"> </w:t>
            </w:r>
          </w:p>
        </w:tc>
        <w:tc>
          <w:tcPr>
            <w:tcW w:w="172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工程设备名称</w:t>
            </w:r>
            <w:r>
              <w:rPr>
                <w:rFonts w:ascii="宋体" w:cs="宋体"/>
                <w:sz w:val="21"/>
                <w:szCs w:val="21"/>
              </w:rPr>
              <w:t xml:space="preserve"> </w:t>
            </w:r>
          </w:p>
        </w:tc>
        <w:tc>
          <w:tcPr>
            <w:tcW w:w="129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型号及规格</w:t>
            </w: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数量</w:t>
            </w: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交货地点</w:t>
            </w:r>
            <w:r>
              <w:rPr>
                <w:rFonts w:ascii="宋体" w:cs="宋体"/>
                <w:sz w:val="21"/>
                <w:szCs w:val="21"/>
              </w:rPr>
              <w:t xml:space="preserve"> </w:t>
            </w:r>
          </w:p>
        </w:tc>
        <w:tc>
          <w:tcPr>
            <w:tcW w:w="10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交货方式</w:t>
            </w: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计划交货日期</w:t>
            </w: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备注</w:t>
            </w:r>
            <w:r>
              <w:rPr>
                <w:rFonts w:ascii="宋体" w:cs="宋体"/>
                <w:sz w:val="21"/>
                <w:szCs w:val="21"/>
              </w:rPr>
              <w:t xml:space="preserve"> </w:t>
            </w:r>
          </w:p>
        </w:tc>
      </w:tr>
      <w:tr>
        <w:tblPrEx>
          <w:tblCellMar>
            <w:top w:w="0" w:type="dxa"/>
            <w:left w:w="0" w:type="dxa"/>
            <w:bottom w:w="0" w:type="dxa"/>
            <w:right w:w="0" w:type="dxa"/>
          </w:tblCellMar>
        </w:tblPrEx>
        <w:trPr>
          <w:trHeight w:val="579" w:hRule="exact"/>
        </w:trPr>
        <w:tc>
          <w:tcPr>
            <w:tcW w:w="71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72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9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0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r>
        <w:tblPrEx>
          <w:tblCellMar>
            <w:top w:w="0" w:type="dxa"/>
            <w:left w:w="0" w:type="dxa"/>
            <w:bottom w:w="0" w:type="dxa"/>
            <w:right w:w="0" w:type="dxa"/>
          </w:tblCellMar>
        </w:tblPrEx>
        <w:trPr>
          <w:trHeight w:val="576" w:hRule="exact"/>
        </w:trPr>
        <w:tc>
          <w:tcPr>
            <w:tcW w:w="71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72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9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0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r>
        <w:tblPrEx>
          <w:tblCellMar>
            <w:top w:w="0" w:type="dxa"/>
            <w:left w:w="0" w:type="dxa"/>
            <w:bottom w:w="0" w:type="dxa"/>
            <w:right w:w="0" w:type="dxa"/>
          </w:tblCellMar>
        </w:tblPrEx>
        <w:trPr>
          <w:trHeight w:val="578" w:hRule="exact"/>
        </w:trPr>
        <w:tc>
          <w:tcPr>
            <w:tcW w:w="715"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721"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9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0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60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883"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bl>
    <w:p>
      <w:pPr>
        <w:pStyle w:val="18"/>
        <w:kinsoku w:val="0"/>
        <w:overflowPunct w:val="0"/>
        <w:spacing w:line="400" w:lineRule="exact"/>
      </w:pPr>
      <w:r>
        <w:t>6</w:t>
      </w:r>
      <w:r>
        <w:rPr>
          <w:spacing w:val="-57"/>
        </w:rPr>
        <w:t xml:space="preserve"> </w:t>
      </w:r>
      <w:r>
        <w:rPr>
          <w:rFonts w:hint="eastAsia"/>
        </w:rPr>
        <w:t>施工设备和临时设施</w:t>
      </w:r>
      <w:r>
        <w:t xml:space="preserve"> </w:t>
      </w:r>
    </w:p>
    <w:p>
      <w:pPr>
        <w:pStyle w:val="147"/>
        <w:kinsoku w:val="0"/>
        <w:overflowPunct w:val="0"/>
        <w:spacing w:before="0" w:line="400" w:lineRule="exact"/>
        <w:ind w:left="0"/>
        <w:outlineLvl w:val="9"/>
        <w:rPr>
          <w:b w:val="0"/>
          <w:bCs w:val="0"/>
        </w:rPr>
      </w:pPr>
      <w:r>
        <w:t>6.2</w:t>
      </w:r>
      <w:r>
        <w:rPr>
          <w:spacing w:val="-64"/>
        </w:rPr>
        <w:t xml:space="preserve"> </w:t>
      </w:r>
      <w:r>
        <w:rPr>
          <w:rFonts w:hint="eastAsia"/>
        </w:rPr>
        <w:t>发包人提供的施工设备和临时设施</w:t>
      </w:r>
      <w:r>
        <w:rPr>
          <w:w w:val="99"/>
        </w:rPr>
        <w:t xml:space="preserve"> </w:t>
      </w:r>
    </w:p>
    <w:p>
      <w:pPr>
        <w:pStyle w:val="18"/>
        <w:kinsoku w:val="0"/>
        <w:overflowPunct w:val="0"/>
        <w:spacing w:line="400" w:lineRule="exact"/>
      </w:pPr>
      <w:r>
        <w:rPr>
          <w:rFonts w:hint="eastAsia"/>
        </w:rPr>
        <w:t>（</w:t>
      </w:r>
      <w:r>
        <w:t>1</w:t>
      </w:r>
      <w:r>
        <w:rPr>
          <w:rFonts w:hint="eastAsia"/>
        </w:rPr>
        <w:t>）发包人提供的施工设备见下表。</w:t>
      </w:r>
      <w:r>
        <w:t xml:space="preserve"> </w:t>
      </w:r>
    </w:p>
    <w:p>
      <w:pPr>
        <w:pStyle w:val="156"/>
        <w:kinsoku w:val="0"/>
        <w:overflowPunct w:val="0"/>
        <w:spacing w:before="0" w:line="400" w:lineRule="exact"/>
        <w:ind w:left="0"/>
        <w:outlineLvl w:val="9"/>
        <w:rPr>
          <w:b w:val="0"/>
          <w:bCs w:val="0"/>
          <w:sz w:val="12"/>
          <w:szCs w:val="12"/>
        </w:rPr>
      </w:pPr>
      <w:r>
        <w:rPr>
          <w:rFonts w:hint="eastAsia"/>
        </w:rPr>
        <w:t>发包人提供的施工设备表（参考格式）</w:t>
      </w:r>
      <w:r>
        <w:rPr>
          <w:w w:val="99"/>
        </w:rPr>
        <w:t xml:space="preserve"> </w:t>
      </w:r>
    </w:p>
    <w:tbl>
      <w:tblPr>
        <w:tblStyle w:val="36"/>
        <w:tblW w:w="0" w:type="auto"/>
        <w:tblInd w:w="111" w:type="dxa"/>
        <w:tblLayout w:type="fixed"/>
        <w:tblCellMar>
          <w:top w:w="0" w:type="dxa"/>
          <w:left w:w="0" w:type="dxa"/>
          <w:bottom w:w="0" w:type="dxa"/>
          <w:right w:w="0" w:type="dxa"/>
        </w:tblCellMar>
      </w:tblPr>
      <w:tblGrid>
        <w:gridCol w:w="747"/>
        <w:gridCol w:w="1687"/>
        <w:gridCol w:w="1294"/>
        <w:gridCol w:w="1150"/>
        <w:gridCol w:w="718"/>
        <w:gridCol w:w="1147"/>
        <w:gridCol w:w="1517"/>
        <w:gridCol w:w="917"/>
      </w:tblGrid>
      <w:tr>
        <w:tblPrEx>
          <w:tblCellMar>
            <w:top w:w="0" w:type="dxa"/>
            <w:left w:w="0" w:type="dxa"/>
            <w:bottom w:w="0" w:type="dxa"/>
            <w:right w:w="0" w:type="dxa"/>
          </w:tblCellMar>
        </w:tblPrEx>
        <w:trPr>
          <w:trHeight w:val="576" w:hRule="exact"/>
        </w:trPr>
        <w:tc>
          <w:tcPr>
            <w:tcW w:w="7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序号</w:t>
            </w:r>
            <w:r>
              <w:rPr>
                <w:rFonts w:ascii="宋体" w:cs="宋体"/>
                <w:sz w:val="21"/>
                <w:szCs w:val="21"/>
              </w:rPr>
              <w:t xml:space="preserve"> </w:t>
            </w:r>
          </w:p>
        </w:tc>
        <w:tc>
          <w:tcPr>
            <w:tcW w:w="168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施工设备名称</w:t>
            </w:r>
            <w:r>
              <w:rPr>
                <w:rFonts w:ascii="宋体" w:cs="宋体"/>
                <w:sz w:val="21"/>
                <w:szCs w:val="21"/>
              </w:rPr>
              <w:t xml:space="preserve"> </w:t>
            </w:r>
          </w:p>
        </w:tc>
        <w:tc>
          <w:tcPr>
            <w:tcW w:w="12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型号及规格</w:t>
            </w: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设备状况</w:t>
            </w: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数量</w:t>
            </w:r>
            <w:r>
              <w:rPr>
                <w:rFonts w:ascii="宋体" w:cs="宋体"/>
                <w:sz w:val="21"/>
                <w:szCs w:val="21"/>
              </w:rPr>
              <w:t xml:space="preserve"> </w:t>
            </w:r>
          </w:p>
        </w:tc>
        <w:tc>
          <w:tcPr>
            <w:tcW w:w="11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移交地点</w:t>
            </w:r>
            <w:r>
              <w:rPr>
                <w:rFonts w:ascii="宋体" w:cs="宋体"/>
                <w:sz w:val="21"/>
                <w:szCs w:val="21"/>
              </w:rPr>
              <w:t xml:space="preserve"> </w:t>
            </w:r>
          </w:p>
        </w:tc>
        <w:tc>
          <w:tcPr>
            <w:tcW w:w="15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计划交货日期</w:t>
            </w:r>
            <w:r>
              <w:rPr>
                <w:rFonts w:ascii="宋体" w:cs="宋体"/>
                <w:sz w:val="21"/>
                <w:szCs w:val="21"/>
              </w:rPr>
              <w:t xml:space="preserve"> </w:t>
            </w:r>
          </w:p>
        </w:tc>
        <w:tc>
          <w:tcPr>
            <w:tcW w:w="9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备注</w:t>
            </w:r>
            <w:r>
              <w:rPr>
                <w:rFonts w:ascii="宋体" w:cs="宋体"/>
                <w:sz w:val="21"/>
                <w:szCs w:val="21"/>
              </w:rPr>
              <w:t xml:space="preserve"> </w:t>
            </w:r>
          </w:p>
        </w:tc>
      </w:tr>
      <w:tr>
        <w:tblPrEx>
          <w:tblCellMar>
            <w:top w:w="0" w:type="dxa"/>
            <w:left w:w="0" w:type="dxa"/>
            <w:bottom w:w="0" w:type="dxa"/>
            <w:right w:w="0" w:type="dxa"/>
          </w:tblCellMar>
        </w:tblPrEx>
        <w:trPr>
          <w:trHeight w:val="578" w:hRule="exact"/>
        </w:trPr>
        <w:tc>
          <w:tcPr>
            <w:tcW w:w="7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68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1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5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9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r>
        <w:tblPrEx>
          <w:tblCellMar>
            <w:top w:w="0" w:type="dxa"/>
            <w:left w:w="0" w:type="dxa"/>
            <w:bottom w:w="0" w:type="dxa"/>
            <w:right w:w="0" w:type="dxa"/>
          </w:tblCellMar>
        </w:tblPrEx>
        <w:trPr>
          <w:trHeight w:val="576" w:hRule="exact"/>
        </w:trPr>
        <w:tc>
          <w:tcPr>
            <w:tcW w:w="7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68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1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5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9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r>
        <w:tblPrEx>
          <w:tblCellMar>
            <w:top w:w="0" w:type="dxa"/>
            <w:left w:w="0" w:type="dxa"/>
            <w:bottom w:w="0" w:type="dxa"/>
            <w:right w:w="0" w:type="dxa"/>
          </w:tblCellMar>
        </w:tblPrEx>
        <w:trPr>
          <w:trHeight w:val="576" w:hRule="exact"/>
        </w:trPr>
        <w:tc>
          <w:tcPr>
            <w:tcW w:w="7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68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294"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150"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718"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c>
          <w:tcPr>
            <w:tcW w:w="114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15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sz w:val="21"/>
                <w:szCs w:val="21"/>
              </w:rPr>
              <w:t xml:space="preserve">/ </w:t>
            </w:r>
          </w:p>
        </w:tc>
        <w:tc>
          <w:tcPr>
            <w:tcW w:w="9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sz w:val="21"/>
                <w:szCs w:val="21"/>
              </w:rPr>
              <w:t xml:space="preserve">/ </w:t>
            </w:r>
          </w:p>
        </w:tc>
      </w:tr>
    </w:tbl>
    <w:p>
      <w:pPr>
        <w:pStyle w:val="18"/>
        <w:kinsoku w:val="0"/>
        <w:overflowPunct w:val="0"/>
        <w:spacing w:line="400" w:lineRule="exact"/>
      </w:pPr>
      <w:r>
        <w:rPr>
          <w:rFonts w:hint="eastAsia"/>
          <w:b/>
          <w:bCs/>
        </w:rPr>
        <w:t>注</w:t>
      </w:r>
      <w:r>
        <w:rPr>
          <w:rFonts w:hint="eastAsia"/>
        </w:rPr>
        <w:t>：设备状况栏内填写该设备的新旧程度、购进时间、已使用小时数和最近一次大修时间</w:t>
      </w:r>
      <w:r>
        <w:t xml:space="preserve"> </w:t>
      </w:r>
    </w:p>
    <w:p>
      <w:pPr>
        <w:pStyle w:val="18"/>
        <w:kinsoku w:val="0"/>
        <w:overflowPunct w:val="0"/>
        <w:spacing w:line="400" w:lineRule="exact"/>
      </w:pPr>
      <w:r>
        <w:rPr>
          <w:rFonts w:hint="eastAsia"/>
        </w:rPr>
        <w:t>（</w:t>
      </w:r>
      <w:r>
        <w:t>2</w:t>
      </w:r>
      <w:r>
        <w:rPr>
          <w:rFonts w:hint="eastAsia"/>
        </w:rPr>
        <w:t>）发包人提供的临时设施：</w:t>
      </w:r>
      <w:r>
        <w:rPr>
          <w:u w:val="single"/>
        </w:rPr>
        <w:t>/</w:t>
      </w:r>
      <w:r>
        <w:rPr>
          <w:rFonts w:hint="eastAsia"/>
        </w:rPr>
        <w:t>。</w:t>
      </w:r>
      <w:r>
        <w:t xml:space="preserve"> </w:t>
      </w:r>
    </w:p>
    <w:p>
      <w:pPr>
        <w:pStyle w:val="18"/>
        <w:kinsoku w:val="0"/>
        <w:overflowPunct w:val="0"/>
        <w:spacing w:line="400" w:lineRule="exact"/>
      </w:pPr>
      <w:r>
        <w:t>7</w:t>
      </w:r>
      <w:r>
        <w:rPr>
          <w:spacing w:val="-1"/>
        </w:rPr>
        <w:t xml:space="preserve"> </w:t>
      </w:r>
      <w:r>
        <w:rPr>
          <w:rFonts w:hint="eastAsia"/>
        </w:rPr>
        <w:t>交通运输</w:t>
      </w:r>
      <w:r>
        <w:t xml:space="preserve"> </w:t>
      </w:r>
    </w:p>
    <w:p>
      <w:pPr>
        <w:pStyle w:val="18"/>
        <w:kinsoku w:val="0"/>
        <w:overflowPunct w:val="0"/>
        <w:spacing w:line="400" w:lineRule="exact"/>
        <w:ind w:hanging="32"/>
      </w:pPr>
      <w:r>
        <w:rPr>
          <w:b/>
          <w:bCs/>
        </w:rPr>
        <w:t>7.1</w:t>
      </w:r>
      <w:r>
        <w:rPr>
          <w:b/>
          <w:bCs/>
          <w:spacing w:val="120"/>
        </w:rPr>
        <w:t xml:space="preserve"> </w:t>
      </w:r>
      <w:r>
        <w:rPr>
          <w:rFonts w:hint="eastAsia"/>
          <w:b/>
          <w:bCs/>
        </w:rPr>
        <w:t>道路通行权和场外设施</w:t>
      </w:r>
      <w:r>
        <w:rPr>
          <w:b/>
          <w:bCs/>
          <w:w w:val="99"/>
        </w:rPr>
        <w:t xml:space="preserve"> </w:t>
      </w:r>
      <w:r>
        <w:rPr>
          <w:rFonts w:hint="eastAsia"/>
        </w:rPr>
        <w:t>道路通行权和场外设施的约定：</w:t>
      </w:r>
      <w:r>
        <w:rPr>
          <w:u w:val="single"/>
        </w:rPr>
        <w:t>/</w:t>
      </w:r>
      <w:r>
        <w:rPr>
          <w:rFonts w:hint="eastAsia"/>
        </w:rPr>
        <w:t>。</w:t>
      </w:r>
      <w:r>
        <w:t xml:space="preserve"> </w:t>
      </w:r>
    </w:p>
    <w:p>
      <w:pPr>
        <w:pStyle w:val="18"/>
        <w:kinsoku w:val="0"/>
        <w:overflowPunct w:val="0"/>
        <w:spacing w:line="400" w:lineRule="exact"/>
        <w:ind w:hanging="32"/>
      </w:pPr>
      <w:r>
        <w:rPr>
          <w:rFonts w:hint="eastAsia"/>
          <w:b/>
          <w:bCs/>
        </w:rPr>
        <w:t>本章</w:t>
      </w:r>
      <w:r>
        <w:rPr>
          <w:b/>
          <w:bCs/>
          <w:spacing w:val="-55"/>
        </w:rPr>
        <w:t xml:space="preserve"> </w:t>
      </w:r>
      <w:r>
        <w:rPr>
          <w:b/>
          <w:bCs/>
        </w:rPr>
        <w:t>7.2.1</w:t>
      </w:r>
      <w:r>
        <w:rPr>
          <w:b/>
          <w:bCs/>
          <w:spacing w:val="-55"/>
        </w:rPr>
        <w:t xml:space="preserve"> </w:t>
      </w:r>
      <w:r>
        <w:rPr>
          <w:rFonts w:hint="eastAsia"/>
          <w:b/>
          <w:bCs/>
        </w:rPr>
        <w:t>款补充：</w:t>
      </w:r>
      <w:r>
        <w:rPr>
          <w:b/>
          <w:bCs/>
          <w:w w:val="99"/>
        </w:rPr>
        <w:t xml:space="preserve"> </w:t>
      </w:r>
    </w:p>
    <w:p>
      <w:pPr>
        <w:pStyle w:val="156"/>
        <w:kinsoku w:val="0"/>
        <w:overflowPunct w:val="0"/>
        <w:spacing w:before="0" w:line="400" w:lineRule="exact"/>
        <w:ind w:left="0" w:firstLine="480"/>
        <w:outlineLvl w:val="9"/>
        <w:rPr>
          <w:b w:val="0"/>
          <w:bCs w:val="0"/>
        </w:rPr>
      </w:pPr>
      <w:r>
        <w:rPr>
          <w:rFonts w:hint="eastAsia"/>
        </w:rPr>
        <w:t>场内施工道路的维修、养护和管理的期限直至工程完工。</w:t>
      </w:r>
      <w:r>
        <w:rPr>
          <w:w w:val="99"/>
        </w:rPr>
        <w:t xml:space="preserve"> </w:t>
      </w:r>
    </w:p>
    <w:p>
      <w:pPr>
        <w:pStyle w:val="18"/>
        <w:kinsoku w:val="0"/>
        <w:overflowPunct w:val="0"/>
        <w:spacing w:line="400" w:lineRule="exact"/>
      </w:pPr>
      <w:r>
        <w:t xml:space="preserve">8 </w:t>
      </w:r>
      <w:r>
        <w:rPr>
          <w:spacing w:val="8"/>
        </w:rPr>
        <w:t xml:space="preserve"> </w:t>
      </w:r>
      <w:r>
        <w:rPr>
          <w:rFonts w:hint="eastAsia"/>
          <w:spacing w:val="-3"/>
        </w:rPr>
        <w:t>测量放线</w:t>
      </w:r>
      <w:r>
        <w:t xml:space="preserve"> </w:t>
      </w:r>
    </w:p>
    <w:p>
      <w:pPr>
        <w:pStyle w:val="147"/>
        <w:kinsoku w:val="0"/>
        <w:overflowPunct w:val="0"/>
        <w:spacing w:before="0" w:line="400" w:lineRule="exact"/>
        <w:ind w:left="0"/>
        <w:outlineLvl w:val="9"/>
        <w:rPr>
          <w:b w:val="0"/>
          <w:bCs w:val="0"/>
        </w:rPr>
      </w:pPr>
      <w:r>
        <w:t>8.1</w:t>
      </w:r>
      <w:r>
        <w:rPr>
          <w:spacing w:val="119"/>
        </w:rPr>
        <w:t xml:space="preserve"> </w:t>
      </w:r>
      <w:r>
        <w:rPr>
          <w:rFonts w:hint="eastAsia"/>
        </w:rPr>
        <w:t>施工控制网</w:t>
      </w:r>
      <w:r>
        <w:rPr>
          <w:w w:val="99"/>
        </w:rPr>
        <w:t xml:space="preserve"> </w:t>
      </w:r>
    </w:p>
    <w:p>
      <w:pPr>
        <w:pStyle w:val="18"/>
        <w:kinsoku w:val="0"/>
        <w:overflowPunct w:val="0"/>
        <w:spacing w:line="400" w:lineRule="exact"/>
      </w:pPr>
      <w:r>
        <w:rPr>
          <w:b/>
          <w:bCs/>
        </w:rPr>
        <w:t>8.1.1</w:t>
      </w:r>
      <w:r>
        <w:rPr>
          <w:b/>
          <w:bCs/>
          <w:spacing w:val="-58"/>
        </w:rPr>
        <w:t xml:space="preserve"> </w:t>
      </w:r>
      <w:r>
        <w:rPr>
          <w:rFonts w:hint="eastAsia"/>
        </w:rPr>
        <w:t>施工控制网的约定：</w:t>
      </w:r>
      <w:r>
        <w:rPr>
          <w:u w:val="single"/>
        </w:rPr>
        <w:t>/</w:t>
      </w:r>
      <w:r>
        <w:rPr>
          <w:rFonts w:hint="eastAsia"/>
        </w:rPr>
        <w:t>。</w:t>
      </w:r>
      <w:r>
        <w:t xml:space="preserve"> </w:t>
      </w:r>
    </w:p>
    <w:p>
      <w:pPr>
        <w:pStyle w:val="18"/>
        <w:kinsoku w:val="0"/>
        <w:overflowPunct w:val="0"/>
        <w:spacing w:line="400" w:lineRule="exact"/>
      </w:pPr>
      <w:r>
        <w:t>9</w:t>
      </w:r>
      <w:r>
        <w:rPr>
          <w:rFonts w:hint="eastAsia"/>
          <w:spacing w:val="98"/>
        </w:rPr>
        <w:t xml:space="preserve"> </w:t>
      </w:r>
      <w:r>
        <w:rPr>
          <w:rFonts w:hint="eastAsia"/>
        </w:rPr>
        <w:t>施工安全、治安保卫和环境保护</w:t>
      </w:r>
      <w:r>
        <w:t xml:space="preserve"> </w:t>
      </w:r>
    </w:p>
    <w:p>
      <w:pPr>
        <w:pStyle w:val="147"/>
        <w:kinsoku w:val="0"/>
        <w:overflowPunct w:val="0"/>
        <w:spacing w:before="0" w:line="400" w:lineRule="exact"/>
        <w:ind w:left="0"/>
        <w:outlineLvl w:val="9"/>
        <w:rPr>
          <w:b w:val="0"/>
          <w:bCs w:val="0"/>
        </w:rPr>
      </w:pPr>
      <w:r>
        <w:t>9.1</w:t>
      </w:r>
      <w:r>
        <w:rPr>
          <w:spacing w:val="117"/>
        </w:rPr>
        <w:t xml:space="preserve"> </w:t>
      </w:r>
      <w:r>
        <w:rPr>
          <w:rFonts w:hint="eastAsia"/>
        </w:rPr>
        <w:t>发包人的施工安全责任</w:t>
      </w:r>
      <w:r>
        <w:rPr>
          <w:w w:val="99"/>
        </w:rPr>
        <w:t xml:space="preserve"> </w:t>
      </w:r>
    </w:p>
    <w:p>
      <w:pPr>
        <w:pStyle w:val="18"/>
        <w:kinsoku w:val="0"/>
        <w:overflowPunct w:val="0"/>
        <w:spacing w:line="400" w:lineRule="exact"/>
      </w:pPr>
      <w:r>
        <w:rPr>
          <w:b/>
          <w:bCs/>
        </w:rPr>
        <w:t>9.1.4</w:t>
      </w:r>
      <w:r>
        <w:rPr>
          <w:b/>
          <w:bCs/>
          <w:spacing w:val="-59"/>
        </w:rPr>
        <w:t xml:space="preserve"> </w:t>
      </w:r>
      <w:r>
        <w:rPr>
          <w:rFonts w:hint="eastAsia"/>
        </w:rPr>
        <w:t>发包人提供</w:t>
      </w:r>
      <w:r>
        <w:rPr>
          <w:rFonts w:hint="eastAsia"/>
          <w:b/>
          <w:bCs/>
          <w:u w:val="single"/>
        </w:rPr>
        <w:t>工程区域内的水文、地质</w:t>
      </w:r>
      <w:r>
        <w:rPr>
          <w:rFonts w:hint="eastAsia"/>
        </w:rPr>
        <w:t>资料，其余资料由承包人负责收集。</w:t>
      </w:r>
      <w:r>
        <w:t xml:space="preserve"> </w:t>
      </w:r>
    </w:p>
    <w:p>
      <w:pPr>
        <w:pStyle w:val="147"/>
        <w:kinsoku w:val="0"/>
        <w:overflowPunct w:val="0"/>
        <w:spacing w:before="0" w:line="400" w:lineRule="exact"/>
        <w:ind w:left="0"/>
        <w:outlineLvl w:val="9"/>
        <w:rPr>
          <w:b w:val="0"/>
          <w:bCs w:val="0"/>
        </w:rPr>
      </w:pPr>
      <w:r>
        <w:t>9.2</w:t>
      </w:r>
      <w:r>
        <w:rPr>
          <w:spacing w:val="117"/>
        </w:rPr>
        <w:t xml:space="preserve"> </w:t>
      </w:r>
      <w:r>
        <w:rPr>
          <w:rFonts w:hint="eastAsia"/>
        </w:rPr>
        <w:t>承包人的施工安全责任</w:t>
      </w:r>
      <w:r>
        <w:rPr>
          <w:w w:val="99"/>
        </w:rPr>
        <w:t xml:space="preserve"> </w:t>
      </w:r>
    </w:p>
    <w:p>
      <w:pPr>
        <w:pStyle w:val="18"/>
        <w:kinsoku w:val="0"/>
        <w:overflowPunct w:val="0"/>
        <w:spacing w:line="400" w:lineRule="exact"/>
      </w:pPr>
      <w:r>
        <w:rPr>
          <w:b/>
          <w:bCs/>
        </w:rPr>
        <w:t xml:space="preserve">9.2.12 </w:t>
      </w:r>
      <w:r>
        <w:rPr>
          <w:rFonts w:hint="eastAsia"/>
        </w:rPr>
        <w:t>下列工程应编制专项施工方案：</w:t>
      </w:r>
      <w:r>
        <w:rPr>
          <w:rFonts w:hint="eastAsia"/>
          <w:b/>
          <w:bCs/>
          <w:u w:val="single"/>
        </w:rPr>
        <w:t>施工导流、度汛应急、深基坑专项施工方案。其中深</w:t>
      </w:r>
      <w:r>
        <w:rPr>
          <w:b/>
          <w:bCs/>
        </w:rPr>
        <w:t xml:space="preserve"> </w:t>
      </w:r>
      <w:r>
        <w:rPr>
          <w:rFonts w:hint="eastAsia"/>
          <w:b/>
          <w:bCs/>
          <w:u w:val="single"/>
        </w:rPr>
        <w:t>基坑工程、度汛方案或其他按规定需组织专家论证的专项施工方案</w:t>
      </w:r>
      <w:r>
        <w:rPr>
          <w:rFonts w:hint="eastAsia"/>
        </w:rPr>
        <w:t>应组织专家论证和审查。</w:t>
      </w:r>
    </w:p>
    <w:p>
      <w:pPr>
        <w:pStyle w:val="18"/>
        <w:kinsoku w:val="0"/>
        <w:overflowPunct w:val="0"/>
        <w:spacing w:line="400" w:lineRule="exact"/>
      </w:pPr>
      <w:r>
        <w:rPr>
          <w:b/>
          <w:bCs/>
        </w:rPr>
        <w:t>9.7</w:t>
      </w:r>
      <w:r>
        <w:rPr>
          <w:b/>
          <w:bCs/>
          <w:spacing w:val="118"/>
        </w:rPr>
        <w:t xml:space="preserve"> </w:t>
      </w:r>
      <w:r>
        <w:rPr>
          <w:rFonts w:hint="eastAsia"/>
          <w:b/>
          <w:bCs/>
        </w:rPr>
        <w:t>文明工地</w:t>
      </w:r>
      <w:r>
        <w:rPr>
          <w:b/>
          <w:bCs/>
          <w:w w:val="99"/>
        </w:rPr>
        <w:t xml:space="preserve"> </w:t>
      </w:r>
    </w:p>
    <w:p>
      <w:pPr>
        <w:pStyle w:val="18"/>
        <w:kinsoku w:val="0"/>
        <w:overflowPunct w:val="0"/>
        <w:spacing w:line="400" w:lineRule="exact"/>
      </w:pPr>
      <w:r>
        <w:rPr>
          <w:rFonts w:hint="eastAsia"/>
        </w:rPr>
        <w:t>本合同文明工地的约定</w:t>
      </w:r>
      <w:r>
        <w:rPr>
          <w:rFonts w:hint="eastAsia"/>
          <w:b/>
          <w:bCs/>
          <w:u w:val="single"/>
        </w:rPr>
        <w:t>按文明标化工地施工，执行浙江省、金华等相关文明标化工地文件</w:t>
      </w:r>
      <w:r>
        <w:rPr>
          <w:rFonts w:hint="eastAsia"/>
        </w:rPr>
        <w:t>。</w:t>
      </w:r>
      <w:r>
        <w:t xml:space="preserve"> </w:t>
      </w:r>
    </w:p>
    <w:p>
      <w:pPr>
        <w:pStyle w:val="18"/>
        <w:kinsoku w:val="0"/>
        <w:overflowPunct w:val="0"/>
        <w:spacing w:line="400" w:lineRule="exact"/>
      </w:pPr>
      <w:r>
        <w:t>11</w:t>
      </w:r>
      <w:r>
        <w:rPr>
          <w:spacing w:val="102"/>
        </w:rPr>
        <w:t xml:space="preserve"> </w:t>
      </w:r>
      <w:r>
        <w:rPr>
          <w:rFonts w:hint="eastAsia"/>
        </w:rPr>
        <w:t>开工和竣工（完工）</w:t>
      </w:r>
      <w:r>
        <w:t xml:space="preserve"> </w:t>
      </w:r>
    </w:p>
    <w:p>
      <w:pPr>
        <w:pStyle w:val="147"/>
        <w:kinsoku w:val="0"/>
        <w:overflowPunct w:val="0"/>
        <w:spacing w:before="0" w:line="400" w:lineRule="exact"/>
        <w:ind w:left="0"/>
        <w:outlineLvl w:val="9"/>
        <w:rPr>
          <w:b w:val="0"/>
          <w:bCs w:val="0"/>
        </w:rPr>
      </w:pPr>
      <w:r>
        <w:t>11.4</w:t>
      </w:r>
      <w:r>
        <w:rPr>
          <w:spacing w:val="119"/>
        </w:rPr>
        <w:t xml:space="preserve"> </w:t>
      </w:r>
      <w:r>
        <w:rPr>
          <w:rFonts w:hint="eastAsia"/>
        </w:rPr>
        <w:t>异常恶劣的气候条件</w:t>
      </w:r>
      <w:r>
        <w:rPr>
          <w:w w:val="99"/>
        </w:rPr>
        <w:t xml:space="preserve"> </w:t>
      </w:r>
    </w:p>
    <w:p>
      <w:pPr>
        <w:pStyle w:val="18"/>
        <w:kinsoku w:val="0"/>
        <w:overflowPunct w:val="0"/>
        <w:spacing w:line="400" w:lineRule="exact"/>
      </w:pPr>
      <w:r>
        <w:rPr>
          <w:b/>
          <w:bCs/>
        </w:rPr>
        <w:t>11.4.3</w:t>
      </w:r>
      <w:r>
        <w:rPr>
          <w:b/>
          <w:bCs/>
          <w:spacing w:val="-56"/>
        </w:rPr>
        <w:t xml:space="preserve"> </w:t>
      </w:r>
      <w:r>
        <w:rPr>
          <w:rFonts w:hint="eastAsia"/>
        </w:rPr>
        <w:t>本合同工程界定异常恶劣气候条件的范围为：</w:t>
      </w:r>
      <w:r>
        <w:t xml:space="preserve"> </w:t>
      </w:r>
    </w:p>
    <w:p>
      <w:pPr>
        <w:pStyle w:val="18"/>
        <w:kinsoku w:val="0"/>
        <w:overflowPunct w:val="0"/>
        <w:spacing w:line="400" w:lineRule="exact"/>
      </w:pPr>
      <w:r>
        <w:rPr>
          <w:rFonts w:hint="eastAsia"/>
        </w:rPr>
        <w:t>（</w:t>
      </w:r>
      <w:r>
        <w:t>1</w:t>
      </w:r>
      <w:r>
        <w:rPr>
          <w:rFonts w:hint="eastAsia"/>
        </w:rPr>
        <w:t>）日降雨量大于</w:t>
      </w:r>
      <w:r>
        <w:rPr>
          <w:spacing w:val="-55"/>
        </w:rPr>
        <w:t xml:space="preserve"> </w:t>
      </w:r>
      <w:r>
        <w:rPr>
          <w:b/>
          <w:bCs/>
          <w:u w:val="single"/>
        </w:rPr>
        <w:t>50</w:t>
      </w:r>
      <w:r>
        <w:t>mm</w:t>
      </w:r>
      <w:r>
        <w:rPr>
          <w:spacing w:val="-54"/>
        </w:rPr>
        <w:t xml:space="preserve"> </w:t>
      </w:r>
      <w:r>
        <w:rPr>
          <w:rFonts w:hint="eastAsia"/>
        </w:rPr>
        <w:t>的雨日超过</w:t>
      </w:r>
      <w:r>
        <w:rPr>
          <w:spacing w:val="-55"/>
        </w:rPr>
        <w:t xml:space="preserve"> </w:t>
      </w:r>
      <w:r>
        <w:rPr>
          <w:b/>
          <w:bCs/>
          <w:u w:val="single"/>
        </w:rPr>
        <w:t>1</w:t>
      </w:r>
      <w:r>
        <w:rPr>
          <w:b/>
          <w:bCs/>
          <w:spacing w:val="-51"/>
          <w:u w:val="single"/>
        </w:rPr>
        <w:t xml:space="preserve"> </w:t>
      </w:r>
      <w:r>
        <w:rPr>
          <w:rFonts w:hint="eastAsia"/>
          <w:spacing w:val="-3"/>
        </w:rPr>
        <w:t>天。</w:t>
      </w:r>
      <w:r>
        <w:t xml:space="preserve"> </w:t>
      </w:r>
    </w:p>
    <w:p>
      <w:pPr>
        <w:pStyle w:val="18"/>
        <w:kinsoku w:val="0"/>
        <w:overflowPunct w:val="0"/>
        <w:spacing w:line="400" w:lineRule="exact"/>
      </w:pPr>
      <w:r>
        <w:rPr>
          <w:rFonts w:hint="eastAsia"/>
        </w:rPr>
        <w:t>（</w:t>
      </w:r>
      <w:r>
        <w:t>2</w:t>
      </w:r>
      <w:r>
        <w:rPr>
          <w:rFonts w:hint="eastAsia"/>
        </w:rPr>
        <w:t>）风速大于</w:t>
      </w:r>
      <w:r>
        <w:rPr>
          <w:spacing w:val="-56"/>
        </w:rPr>
        <w:t xml:space="preserve"> </w:t>
      </w:r>
      <w:r>
        <w:rPr>
          <w:b/>
          <w:bCs/>
          <w:u w:val="single"/>
        </w:rPr>
        <w:t>17</w:t>
      </w:r>
      <w:r>
        <w:t>m/s</w:t>
      </w:r>
      <w:r>
        <w:rPr>
          <w:spacing w:val="-56"/>
        </w:rPr>
        <w:t xml:space="preserve"> </w:t>
      </w:r>
      <w:r>
        <w:rPr>
          <w:rFonts w:hint="eastAsia"/>
        </w:rPr>
        <w:t>的</w:t>
      </w:r>
      <w:r>
        <w:rPr>
          <w:spacing w:val="-55"/>
        </w:rPr>
        <w:t xml:space="preserve"> </w:t>
      </w:r>
      <w:r>
        <w:rPr>
          <w:b/>
          <w:bCs/>
          <w:u w:val="single"/>
        </w:rPr>
        <w:t>7</w:t>
      </w:r>
      <w:r>
        <w:rPr>
          <w:b/>
          <w:bCs/>
          <w:spacing w:val="-55"/>
          <w:u w:val="single"/>
        </w:rPr>
        <w:t xml:space="preserve"> </w:t>
      </w:r>
      <w:r>
        <w:rPr>
          <w:rFonts w:hint="eastAsia"/>
        </w:rPr>
        <w:t>级以上台风灾害。</w:t>
      </w:r>
      <w:r>
        <w:t xml:space="preserve"> </w:t>
      </w:r>
    </w:p>
    <w:p>
      <w:pPr>
        <w:pStyle w:val="18"/>
        <w:kinsoku w:val="0"/>
        <w:overflowPunct w:val="0"/>
        <w:spacing w:line="400" w:lineRule="exact"/>
      </w:pPr>
      <w:r>
        <w:rPr>
          <w:rFonts w:hint="eastAsia"/>
        </w:rPr>
        <w:t>（</w:t>
      </w:r>
      <w:r>
        <w:t>3</w:t>
      </w:r>
      <w:r>
        <w:rPr>
          <w:rFonts w:hint="eastAsia"/>
        </w:rPr>
        <w:t>）日气温超过</w:t>
      </w:r>
      <w:r>
        <w:rPr>
          <w:spacing w:val="-56"/>
        </w:rPr>
        <w:t xml:space="preserve"> </w:t>
      </w:r>
      <w:r>
        <w:rPr>
          <w:b/>
          <w:bCs/>
          <w:u w:val="single"/>
        </w:rPr>
        <w:t>40</w:t>
      </w:r>
      <w:r>
        <w:rPr>
          <w:rFonts w:hint="eastAsia"/>
        </w:rPr>
        <w:t>℃的高温大于</w:t>
      </w:r>
      <w:r>
        <w:rPr>
          <w:spacing w:val="-56"/>
        </w:rPr>
        <w:t xml:space="preserve"> </w:t>
      </w:r>
      <w:r>
        <w:rPr>
          <w:b/>
          <w:bCs/>
          <w:u w:val="single"/>
        </w:rPr>
        <w:t>3</w:t>
      </w:r>
      <w:r>
        <w:rPr>
          <w:b/>
          <w:bCs/>
          <w:spacing w:val="-55"/>
          <w:u w:val="single"/>
        </w:rPr>
        <w:t xml:space="preserve"> </w:t>
      </w:r>
      <w:r>
        <w:rPr>
          <w:rFonts w:hint="eastAsia"/>
        </w:rPr>
        <w:t>天。</w:t>
      </w:r>
      <w:r>
        <w:t xml:space="preserve"> </w:t>
      </w:r>
    </w:p>
    <w:p>
      <w:pPr>
        <w:pStyle w:val="18"/>
        <w:kinsoku w:val="0"/>
        <w:overflowPunct w:val="0"/>
        <w:spacing w:line="400" w:lineRule="exact"/>
      </w:pPr>
      <w:r>
        <w:rPr>
          <w:rFonts w:hint="eastAsia"/>
        </w:rPr>
        <w:t>（</w:t>
      </w:r>
      <w:r>
        <w:t>4</w:t>
      </w:r>
      <w:r>
        <w:rPr>
          <w:rFonts w:hint="eastAsia"/>
        </w:rPr>
        <w:t>）日气温低于</w:t>
      </w:r>
      <w:r>
        <w:rPr>
          <w:b/>
          <w:bCs/>
          <w:u w:val="single"/>
        </w:rPr>
        <w:t>-5</w:t>
      </w:r>
      <w:r>
        <w:rPr>
          <w:rFonts w:hint="eastAsia"/>
        </w:rPr>
        <w:t>℃的严寒大于</w:t>
      </w:r>
      <w:r>
        <w:rPr>
          <w:spacing w:val="-56"/>
        </w:rPr>
        <w:t xml:space="preserve"> </w:t>
      </w:r>
      <w:r>
        <w:rPr>
          <w:b/>
          <w:bCs/>
          <w:u w:val="single"/>
        </w:rPr>
        <w:t>3</w:t>
      </w:r>
      <w:r>
        <w:rPr>
          <w:b/>
          <w:bCs/>
          <w:spacing w:val="-53"/>
          <w:u w:val="single"/>
        </w:rPr>
        <w:t xml:space="preserve"> </w:t>
      </w:r>
      <w:r>
        <w:rPr>
          <w:rFonts w:hint="eastAsia"/>
          <w:spacing w:val="-3"/>
        </w:rPr>
        <w:t>天。</w:t>
      </w:r>
      <w:r>
        <w:t xml:space="preserve"> </w:t>
      </w:r>
    </w:p>
    <w:p>
      <w:pPr>
        <w:pStyle w:val="18"/>
        <w:kinsoku w:val="0"/>
        <w:overflowPunct w:val="0"/>
        <w:spacing w:line="400" w:lineRule="exact"/>
      </w:pPr>
      <w:r>
        <w:rPr>
          <w:rFonts w:hint="eastAsia"/>
        </w:rPr>
        <w:t>（</w:t>
      </w:r>
      <w:r>
        <w:t>5</w:t>
      </w:r>
      <w:r>
        <w:rPr>
          <w:rFonts w:hint="eastAsia"/>
        </w:rPr>
        <w:t>）造成工程损失的冰雹和大雪灾害：</w:t>
      </w:r>
      <w:r>
        <w:rPr>
          <w:rFonts w:hint="eastAsia"/>
          <w:b/>
          <w:bCs/>
          <w:u w:val="single"/>
        </w:rPr>
        <w:t>冰雹和日降雪量超过</w:t>
      </w:r>
      <w:r>
        <w:rPr>
          <w:b/>
          <w:bCs/>
          <w:spacing w:val="-57"/>
          <w:u w:val="single"/>
        </w:rPr>
        <w:t xml:space="preserve"> </w:t>
      </w:r>
      <w:r>
        <w:rPr>
          <w:b/>
          <w:bCs/>
          <w:u w:val="single"/>
        </w:rPr>
        <w:t>10mm</w:t>
      </w:r>
      <w:r>
        <w:rPr>
          <w:b/>
          <w:bCs/>
          <w:spacing w:val="-58"/>
          <w:u w:val="single"/>
        </w:rPr>
        <w:t xml:space="preserve"> </w:t>
      </w:r>
      <w:r>
        <w:rPr>
          <w:rFonts w:hint="eastAsia"/>
          <w:b/>
          <w:bCs/>
          <w:u w:val="single"/>
        </w:rPr>
        <w:t>以上的天气</w:t>
      </w:r>
      <w:r>
        <w:rPr>
          <w:rFonts w:hint="eastAsia"/>
        </w:rPr>
        <w:t>。</w:t>
      </w:r>
      <w:r>
        <w:t xml:space="preserve"> </w:t>
      </w:r>
    </w:p>
    <w:p>
      <w:pPr>
        <w:pStyle w:val="18"/>
        <w:kinsoku w:val="0"/>
        <w:overflowPunct w:val="0"/>
        <w:spacing w:line="400" w:lineRule="exact"/>
      </w:pPr>
      <w:r>
        <w:rPr>
          <w:rFonts w:hint="eastAsia"/>
        </w:rPr>
        <w:t>（</w:t>
      </w:r>
      <w:r>
        <w:t>6</w:t>
      </w:r>
      <w:r>
        <w:rPr>
          <w:rFonts w:hint="eastAsia"/>
        </w:rPr>
        <w:t>）其他异常恶劣气候灾害。</w:t>
      </w:r>
      <w:r>
        <w:t xml:space="preserve"> </w:t>
      </w:r>
    </w:p>
    <w:p>
      <w:pPr>
        <w:pStyle w:val="147"/>
        <w:kinsoku w:val="0"/>
        <w:overflowPunct w:val="0"/>
        <w:spacing w:before="0" w:line="400" w:lineRule="exact"/>
        <w:ind w:left="0"/>
        <w:outlineLvl w:val="9"/>
        <w:rPr>
          <w:b w:val="0"/>
          <w:bCs w:val="0"/>
        </w:rPr>
      </w:pPr>
      <w:r>
        <w:t>11.5</w:t>
      </w:r>
      <w:r>
        <w:rPr>
          <w:spacing w:val="118"/>
        </w:rPr>
        <w:t xml:space="preserve"> </w:t>
      </w:r>
      <w:r>
        <w:rPr>
          <w:rFonts w:hint="eastAsia"/>
        </w:rPr>
        <w:t>承包人的工期延误</w:t>
      </w:r>
      <w:r>
        <w:rPr>
          <w:w w:val="99"/>
        </w:rPr>
        <w:t xml:space="preserve"> </w:t>
      </w:r>
    </w:p>
    <w:p>
      <w:pPr>
        <w:pStyle w:val="18"/>
        <w:kinsoku w:val="0"/>
        <w:overflowPunct w:val="0"/>
        <w:spacing w:line="400" w:lineRule="exact"/>
        <w:rPr>
          <w:sz w:val="12"/>
          <w:szCs w:val="12"/>
        </w:rPr>
      </w:pPr>
      <w:r>
        <w:rPr>
          <w:rFonts w:hint="eastAsia"/>
          <w:spacing w:val="-8"/>
        </w:rPr>
        <w:t>（</w:t>
      </w:r>
      <w:r>
        <w:rPr>
          <w:spacing w:val="-8"/>
        </w:rPr>
        <w:t>1</w:t>
      </w:r>
      <w:r>
        <w:rPr>
          <w:rFonts w:hint="eastAsia"/>
          <w:spacing w:val="-8"/>
        </w:rPr>
        <w:t>）逾期完工违约金表（参考格式）。</w:t>
      </w:r>
      <w:r>
        <w:t xml:space="preserve"> </w:t>
      </w:r>
    </w:p>
    <w:tbl>
      <w:tblPr>
        <w:tblStyle w:val="36"/>
        <w:tblW w:w="0" w:type="auto"/>
        <w:tblInd w:w="111" w:type="dxa"/>
        <w:tblLayout w:type="fixed"/>
        <w:tblCellMar>
          <w:top w:w="0" w:type="dxa"/>
          <w:left w:w="0" w:type="dxa"/>
          <w:bottom w:w="0" w:type="dxa"/>
          <w:right w:w="0" w:type="dxa"/>
        </w:tblCellMar>
      </w:tblPr>
      <w:tblGrid>
        <w:gridCol w:w="927"/>
        <w:gridCol w:w="2516"/>
        <w:gridCol w:w="3402"/>
        <w:gridCol w:w="2217"/>
      </w:tblGrid>
      <w:tr>
        <w:tblPrEx>
          <w:tblCellMar>
            <w:top w:w="0" w:type="dxa"/>
            <w:left w:w="0" w:type="dxa"/>
            <w:bottom w:w="0" w:type="dxa"/>
            <w:right w:w="0" w:type="dxa"/>
          </w:tblCellMar>
        </w:tblPrEx>
        <w:trPr>
          <w:trHeight w:val="576" w:hRule="exact"/>
        </w:trPr>
        <w:tc>
          <w:tcPr>
            <w:tcW w:w="92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序号</w:t>
            </w:r>
            <w:r>
              <w:rPr>
                <w:rFonts w:ascii="宋体" w:cs="宋体"/>
                <w:sz w:val="21"/>
                <w:szCs w:val="21"/>
              </w:rPr>
              <w:t xml:space="preserve"> </w:t>
            </w:r>
          </w:p>
        </w:tc>
        <w:tc>
          <w:tcPr>
            <w:tcW w:w="2516"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项目及其说明</w:t>
            </w:r>
            <w:r>
              <w:rPr>
                <w:rFonts w:ascii="宋体" w:cs="宋体"/>
                <w:sz w:val="21"/>
                <w:szCs w:val="21"/>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要求完工日期</w:t>
            </w:r>
            <w:r>
              <w:rPr>
                <w:rFonts w:ascii="宋体" w:cs="宋体"/>
                <w:sz w:val="21"/>
                <w:szCs w:val="21"/>
              </w:rPr>
              <w:t xml:space="preserve"> </w:t>
            </w:r>
          </w:p>
        </w:tc>
        <w:tc>
          <w:tcPr>
            <w:tcW w:w="22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sz w:val="21"/>
                <w:szCs w:val="21"/>
              </w:rPr>
              <w:t>违约金（元</w:t>
            </w:r>
            <w:r>
              <w:rPr>
                <w:rFonts w:ascii="宋体" w:cs="宋体"/>
                <w:sz w:val="21"/>
                <w:szCs w:val="21"/>
              </w:rPr>
              <w:t>/</w:t>
            </w:r>
            <w:r>
              <w:rPr>
                <w:rFonts w:hint="eastAsia" w:ascii="宋体" w:cs="宋体"/>
                <w:sz w:val="21"/>
                <w:szCs w:val="21"/>
              </w:rPr>
              <w:t>天）</w:t>
            </w:r>
            <w:r>
              <w:rPr>
                <w:rFonts w:ascii="宋体" w:cs="宋体"/>
                <w:sz w:val="21"/>
                <w:szCs w:val="21"/>
              </w:rPr>
              <w:t xml:space="preserve"> </w:t>
            </w:r>
          </w:p>
        </w:tc>
      </w:tr>
      <w:tr>
        <w:tblPrEx>
          <w:tblCellMar>
            <w:top w:w="0" w:type="dxa"/>
            <w:left w:w="0" w:type="dxa"/>
            <w:bottom w:w="0" w:type="dxa"/>
            <w:right w:w="0" w:type="dxa"/>
          </w:tblCellMar>
        </w:tblPrEx>
        <w:trPr>
          <w:trHeight w:val="576" w:hRule="exact"/>
        </w:trPr>
        <w:tc>
          <w:tcPr>
            <w:tcW w:w="92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ascii="宋体" w:cs="宋体"/>
                <w:b/>
                <w:bCs/>
                <w:sz w:val="21"/>
                <w:szCs w:val="21"/>
              </w:rPr>
              <w:t xml:space="preserve">1 </w:t>
            </w:r>
          </w:p>
        </w:tc>
        <w:tc>
          <w:tcPr>
            <w:tcW w:w="2516"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pPr>
            <w:r>
              <w:rPr>
                <w:rFonts w:hint="eastAsia" w:ascii="宋体" w:cs="宋体"/>
                <w:b/>
                <w:bCs/>
                <w:sz w:val="21"/>
                <w:szCs w:val="21"/>
              </w:rPr>
              <w:t>全部工程</w:t>
            </w:r>
            <w:r>
              <w:rPr>
                <w:rFonts w:ascii="宋体" w:cs="宋体"/>
                <w:b/>
                <w:bCs/>
                <w:w w:val="99"/>
                <w:sz w:val="21"/>
                <w:szCs w:val="21"/>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ind w:left="84" w:leftChars="35"/>
            </w:pPr>
            <w:r>
              <w:rPr>
                <w:rFonts w:hint="eastAsia" w:ascii="宋体" w:cs="宋体"/>
                <w:b/>
                <w:bCs/>
                <w:sz w:val="21"/>
                <w:szCs w:val="21"/>
              </w:rPr>
              <w:t>2020年10月底前完成</w:t>
            </w:r>
            <w:r>
              <w:rPr>
                <w:rFonts w:ascii="宋体" w:cs="宋体"/>
                <w:b/>
                <w:bCs/>
                <w:w w:val="99"/>
                <w:sz w:val="21"/>
                <w:szCs w:val="21"/>
              </w:rPr>
              <w:t xml:space="preserve"> </w:t>
            </w:r>
          </w:p>
        </w:tc>
        <w:tc>
          <w:tcPr>
            <w:tcW w:w="2217" w:type="dxa"/>
            <w:tcBorders>
              <w:top w:val="single" w:color="000000" w:sz="4" w:space="0"/>
              <w:left w:val="single" w:color="000000" w:sz="4" w:space="0"/>
              <w:bottom w:val="single" w:color="000000" w:sz="4" w:space="0"/>
              <w:right w:val="single" w:color="000000" w:sz="4" w:space="0"/>
            </w:tcBorders>
          </w:tcPr>
          <w:p>
            <w:pPr>
              <w:pStyle w:val="164"/>
              <w:kinsoku w:val="0"/>
              <w:overflowPunct w:val="0"/>
              <w:spacing w:line="400" w:lineRule="exact"/>
              <w:jc w:val="center"/>
            </w:pPr>
            <w:r>
              <w:rPr>
                <w:rFonts w:ascii="宋体" w:cs="宋体"/>
                <w:b/>
                <w:bCs/>
                <w:sz w:val="21"/>
                <w:szCs w:val="21"/>
              </w:rPr>
              <w:t xml:space="preserve">2000 </w:t>
            </w:r>
          </w:p>
        </w:tc>
      </w:tr>
    </w:tbl>
    <w:p>
      <w:pPr>
        <w:pStyle w:val="18"/>
        <w:kinsoku w:val="0"/>
        <w:overflowPunct w:val="0"/>
        <w:spacing w:line="400" w:lineRule="exact"/>
        <w:rPr>
          <w:b/>
          <w:bCs/>
        </w:rPr>
      </w:pPr>
      <w:r>
        <w:t>11.6</w:t>
      </w:r>
      <w:r>
        <w:rPr>
          <w:spacing w:val="119"/>
        </w:rPr>
        <w:t xml:space="preserve"> </w:t>
      </w:r>
      <w:r>
        <w:rPr>
          <w:rFonts w:hint="eastAsia"/>
        </w:rPr>
        <w:t>工期提前</w:t>
      </w:r>
      <w:r>
        <w:rPr>
          <w:w w:val="99"/>
        </w:rPr>
        <w:t xml:space="preserve"> </w:t>
      </w:r>
    </w:p>
    <w:p>
      <w:pPr>
        <w:pStyle w:val="18"/>
        <w:kinsoku w:val="0"/>
        <w:overflowPunct w:val="0"/>
        <w:spacing w:line="400" w:lineRule="exact"/>
      </w:pPr>
      <w:r>
        <w:rPr>
          <w:rFonts w:hint="eastAsia"/>
        </w:rPr>
        <w:t>工期提前的奖金约定：</w:t>
      </w:r>
      <w:r>
        <w:rPr>
          <w:b/>
          <w:bCs/>
          <w:u w:val="single"/>
        </w:rPr>
        <w:t>/</w:t>
      </w:r>
      <w:r>
        <w:rPr>
          <w:rFonts w:hint="eastAsia"/>
        </w:rPr>
        <w:t>。</w:t>
      </w:r>
      <w:r>
        <w:t xml:space="preserve"> </w:t>
      </w:r>
    </w:p>
    <w:p>
      <w:pPr>
        <w:pStyle w:val="18"/>
        <w:kinsoku w:val="0"/>
        <w:overflowPunct w:val="0"/>
        <w:spacing w:line="400" w:lineRule="exact"/>
      </w:pPr>
      <w:r>
        <w:t>12</w:t>
      </w:r>
      <w:r>
        <w:rPr>
          <w:spacing w:val="-44"/>
        </w:rPr>
        <w:t xml:space="preserve"> </w:t>
      </w:r>
      <w:r>
        <w:rPr>
          <w:rFonts w:hint="eastAsia"/>
          <w:spacing w:val="-3"/>
        </w:rPr>
        <w:t>暂停施工</w:t>
      </w:r>
      <w:r>
        <w:t xml:space="preserve"> </w:t>
      </w:r>
    </w:p>
    <w:p>
      <w:pPr>
        <w:pStyle w:val="147"/>
        <w:kinsoku w:val="0"/>
        <w:overflowPunct w:val="0"/>
        <w:spacing w:before="0" w:line="400" w:lineRule="exact"/>
        <w:ind w:left="0"/>
        <w:outlineLvl w:val="9"/>
        <w:rPr>
          <w:b w:val="0"/>
          <w:bCs w:val="0"/>
        </w:rPr>
      </w:pPr>
      <w:r>
        <w:t>12.1</w:t>
      </w:r>
      <w:r>
        <w:rPr>
          <w:spacing w:val="118"/>
        </w:rPr>
        <w:t xml:space="preserve"> </w:t>
      </w:r>
      <w:r>
        <w:rPr>
          <w:rFonts w:hint="eastAsia"/>
        </w:rPr>
        <w:t>承包人暂停施工的责任</w:t>
      </w:r>
      <w:r>
        <w:rPr>
          <w:w w:val="99"/>
        </w:rPr>
        <w:t xml:space="preserve"> </w:t>
      </w:r>
    </w:p>
    <w:p>
      <w:pPr>
        <w:pStyle w:val="18"/>
        <w:kinsoku w:val="0"/>
        <w:overflowPunct w:val="0"/>
        <w:spacing w:line="360" w:lineRule="exact"/>
        <w:ind w:firstLine="420"/>
      </w:pPr>
      <w:r>
        <w:rPr>
          <w:rFonts w:hint="eastAsia"/>
        </w:rPr>
        <w:t>因下列暂停施工增加的费用和（或）工期延误由承包人承担：</w:t>
      </w:r>
    </w:p>
    <w:p>
      <w:pPr>
        <w:pStyle w:val="18"/>
        <w:kinsoku w:val="0"/>
        <w:overflowPunct w:val="0"/>
        <w:spacing w:line="360" w:lineRule="exact"/>
        <w:ind w:firstLine="420"/>
      </w:pPr>
      <w:r>
        <w:rPr>
          <w:rFonts w:hint="eastAsia"/>
        </w:rPr>
        <w:t>(1）承包人违约引起的暂停施工；</w:t>
      </w:r>
    </w:p>
    <w:p>
      <w:pPr>
        <w:pStyle w:val="18"/>
        <w:kinsoku w:val="0"/>
        <w:overflowPunct w:val="0"/>
        <w:spacing w:line="360" w:lineRule="exact"/>
        <w:ind w:firstLine="420"/>
      </w:pPr>
      <w:r>
        <w:rPr>
          <w:rFonts w:hint="eastAsia"/>
        </w:rPr>
        <w:t>(2）由于承包人原因为工程合理施工和安全保障所必需的暂停施工；</w:t>
      </w:r>
    </w:p>
    <w:p>
      <w:pPr>
        <w:pStyle w:val="18"/>
        <w:kinsoku w:val="0"/>
        <w:overflowPunct w:val="0"/>
        <w:spacing w:line="360" w:lineRule="exact"/>
        <w:ind w:firstLine="420"/>
      </w:pPr>
      <w:r>
        <w:rPr>
          <w:rFonts w:hint="eastAsia"/>
        </w:rPr>
        <w:t>(3）承包人擅自暂停施工；</w:t>
      </w:r>
    </w:p>
    <w:p>
      <w:pPr>
        <w:pStyle w:val="18"/>
        <w:kinsoku w:val="0"/>
        <w:overflowPunct w:val="0"/>
        <w:spacing w:line="360" w:lineRule="exact"/>
        <w:ind w:firstLine="420"/>
      </w:pPr>
      <w:r>
        <w:rPr>
          <w:rFonts w:hint="eastAsia"/>
        </w:rPr>
        <w:t>(4）承包人其他原因引起的暂停施工；</w:t>
      </w:r>
    </w:p>
    <w:p>
      <w:pPr>
        <w:spacing w:line="360" w:lineRule="exact"/>
        <w:ind w:firstLine="420"/>
      </w:pPr>
      <w:r>
        <w:rPr>
          <w:rFonts w:hint="eastAsia" w:ascii="宋体" w:cs="宋体"/>
          <w:szCs w:val="21"/>
        </w:rPr>
        <w:t>(5）专用合同条款约定由承包人承担的其他暂停施工</w:t>
      </w:r>
    </w:p>
    <w:p>
      <w:pPr>
        <w:pStyle w:val="147"/>
        <w:kinsoku w:val="0"/>
        <w:overflowPunct w:val="0"/>
        <w:spacing w:before="0" w:line="400" w:lineRule="exact"/>
        <w:ind w:left="0"/>
        <w:outlineLvl w:val="9"/>
        <w:rPr>
          <w:b w:val="0"/>
          <w:bCs w:val="0"/>
        </w:rPr>
      </w:pPr>
      <w:r>
        <w:t>12.2</w:t>
      </w:r>
      <w:r>
        <w:rPr>
          <w:spacing w:val="118"/>
        </w:rPr>
        <w:t xml:space="preserve"> </w:t>
      </w:r>
      <w:r>
        <w:rPr>
          <w:rFonts w:hint="eastAsia"/>
        </w:rPr>
        <w:t>发包人暂停施工的责任</w:t>
      </w:r>
      <w:r>
        <w:rPr>
          <w:w w:val="99"/>
        </w:rPr>
        <w:t xml:space="preserve"> </w:t>
      </w:r>
    </w:p>
    <w:p>
      <w:pPr>
        <w:pStyle w:val="18"/>
        <w:kinsoku w:val="0"/>
        <w:overflowPunct w:val="0"/>
        <w:spacing w:line="400" w:lineRule="exact"/>
        <w:ind w:firstLine="420"/>
      </w:pPr>
      <w:r>
        <w:rPr>
          <w:rFonts w:hint="eastAsia"/>
        </w:rPr>
        <w:t>（</w:t>
      </w:r>
      <w:r>
        <w:t>3</w:t>
      </w:r>
      <w:r>
        <w:rPr>
          <w:rFonts w:hint="eastAsia"/>
        </w:rPr>
        <w:t>）发包人承担暂停施工责任的其它情形：</w:t>
      </w:r>
      <w:r>
        <w:rPr>
          <w:b/>
          <w:bCs/>
          <w:u w:val="single"/>
        </w:rPr>
        <w:t>/</w:t>
      </w:r>
      <w:r>
        <w:rPr>
          <w:rFonts w:hint="eastAsia"/>
        </w:rPr>
        <w:t>。</w:t>
      </w:r>
      <w:r>
        <w:t xml:space="preserve"> </w:t>
      </w:r>
    </w:p>
    <w:p>
      <w:pPr>
        <w:pStyle w:val="18"/>
        <w:kinsoku w:val="0"/>
        <w:overflowPunct w:val="0"/>
        <w:spacing w:line="400" w:lineRule="exact"/>
      </w:pPr>
      <w:r>
        <w:t xml:space="preserve">13 </w:t>
      </w:r>
      <w:r>
        <w:rPr>
          <w:spacing w:val="9"/>
        </w:rPr>
        <w:t xml:space="preserve"> </w:t>
      </w:r>
      <w:r>
        <w:rPr>
          <w:rFonts w:hint="eastAsia"/>
          <w:spacing w:val="-3"/>
        </w:rPr>
        <w:t>工程质量</w:t>
      </w:r>
      <w:r>
        <w:t xml:space="preserve"> </w:t>
      </w:r>
    </w:p>
    <w:p>
      <w:pPr>
        <w:pStyle w:val="147"/>
        <w:kinsoku w:val="0"/>
        <w:overflowPunct w:val="0"/>
        <w:spacing w:before="0" w:line="400" w:lineRule="exact"/>
        <w:ind w:left="0"/>
        <w:outlineLvl w:val="9"/>
        <w:rPr>
          <w:b w:val="0"/>
          <w:bCs w:val="0"/>
        </w:rPr>
      </w:pPr>
      <w:r>
        <w:t>13.7</w:t>
      </w:r>
      <w:r>
        <w:rPr>
          <w:spacing w:val="119"/>
        </w:rPr>
        <w:t xml:space="preserve"> </w:t>
      </w:r>
      <w:r>
        <w:rPr>
          <w:rFonts w:hint="eastAsia"/>
        </w:rPr>
        <w:t>质量评定</w:t>
      </w:r>
      <w:r>
        <w:rPr>
          <w:w w:val="99"/>
        </w:rPr>
        <w:t xml:space="preserve"> </w:t>
      </w:r>
    </w:p>
    <w:p>
      <w:pPr>
        <w:pStyle w:val="18"/>
        <w:kinsoku w:val="0"/>
        <w:overflowPunct w:val="0"/>
        <w:spacing w:line="400" w:lineRule="exact"/>
        <w:rPr>
          <w:sz w:val="18"/>
          <w:szCs w:val="18"/>
        </w:rPr>
      </w:pPr>
      <w:r>
        <w:rPr>
          <w:b/>
          <w:bCs/>
        </w:rPr>
        <w:t>13.7.7</w:t>
      </w:r>
      <w:r>
        <w:rPr>
          <w:b/>
          <w:bCs/>
          <w:spacing w:val="-61"/>
        </w:rPr>
        <w:t xml:space="preserve"> </w:t>
      </w:r>
      <w:r>
        <w:rPr>
          <w:rFonts w:hint="eastAsia"/>
        </w:rPr>
        <w:t>工程质量等级标准为</w:t>
      </w:r>
      <w:r>
        <w:rPr>
          <w:rFonts w:hint="eastAsia"/>
          <w:b/>
          <w:bCs/>
          <w:u w:val="single"/>
        </w:rPr>
        <w:t>合格</w:t>
      </w:r>
      <w:r>
        <w:rPr>
          <w:rFonts w:hint="eastAsia"/>
        </w:rPr>
        <w:t>。达到优良的奖金为</w:t>
      </w:r>
      <w:r>
        <w:rPr>
          <w:b/>
          <w:bCs/>
          <w:u w:val="single"/>
        </w:rPr>
        <w:t>/</w:t>
      </w:r>
      <w:r>
        <w:rPr>
          <w:rFonts w:hint="eastAsia"/>
        </w:rPr>
        <w:t>。</w:t>
      </w:r>
      <w:r>
        <w:t xml:space="preserve"> </w:t>
      </w:r>
    </w:p>
    <w:p>
      <w:pPr>
        <w:pStyle w:val="18"/>
        <w:kinsoku w:val="0"/>
        <w:overflowPunct w:val="0"/>
        <w:spacing w:line="400" w:lineRule="exact"/>
      </w:pPr>
      <w:r>
        <w:t>14</w:t>
      </w:r>
      <w:r>
        <w:rPr>
          <w:spacing w:val="103"/>
        </w:rPr>
        <w:t xml:space="preserve"> </w:t>
      </w:r>
      <w:r>
        <w:rPr>
          <w:rFonts w:hint="eastAsia"/>
        </w:rPr>
        <w:t>试验和检验</w:t>
      </w:r>
      <w:r>
        <w:t xml:space="preserve"> </w:t>
      </w:r>
    </w:p>
    <w:p>
      <w:pPr>
        <w:pStyle w:val="147"/>
        <w:kinsoku w:val="0"/>
        <w:overflowPunct w:val="0"/>
        <w:spacing w:before="0" w:line="400" w:lineRule="exact"/>
        <w:ind w:left="0"/>
        <w:outlineLvl w:val="9"/>
        <w:rPr>
          <w:b w:val="0"/>
          <w:bCs w:val="0"/>
        </w:rPr>
      </w:pPr>
      <w:r>
        <w:t>14.1</w:t>
      </w:r>
      <w:r>
        <w:rPr>
          <w:spacing w:val="-63"/>
        </w:rPr>
        <w:t xml:space="preserve"> </w:t>
      </w:r>
      <w:r>
        <w:rPr>
          <w:rFonts w:hint="eastAsia"/>
        </w:rPr>
        <w:t>材料、工程设备和工程的试验和检验</w:t>
      </w:r>
      <w:r>
        <w:rPr>
          <w:w w:val="99"/>
        </w:rPr>
        <w:t xml:space="preserve"> </w:t>
      </w:r>
    </w:p>
    <w:p>
      <w:pPr>
        <w:pStyle w:val="18"/>
        <w:kinsoku w:val="0"/>
        <w:overflowPunct w:val="0"/>
        <w:spacing w:line="400" w:lineRule="exact"/>
      </w:pPr>
      <w:r>
        <w:rPr>
          <w:b/>
          <w:bCs/>
        </w:rPr>
        <w:t>14.1.5</w:t>
      </w:r>
      <w:r>
        <w:rPr>
          <w:b/>
          <w:bCs/>
          <w:spacing w:val="12"/>
        </w:rPr>
        <w:t xml:space="preserve"> </w:t>
      </w:r>
      <w:r>
        <w:rPr>
          <w:rFonts w:hint="eastAsia"/>
          <w:spacing w:val="-2"/>
        </w:rPr>
        <w:t>水工金属结构、启闭机及机电产品进场后的交货检查和验收中，承包人负责为</w:t>
      </w:r>
      <w:r>
        <w:rPr>
          <w:b/>
          <w:bCs/>
          <w:spacing w:val="-2"/>
          <w:u w:val="single"/>
        </w:rPr>
        <w:t>/</w:t>
      </w:r>
      <w:r>
        <w:rPr>
          <w:rFonts w:hint="eastAsia"/>
          <w:spacing w:val="-2"/>
        </w:rPr>
        <w:t>。</w:t>
      </w:r>
      <w:r>
        <w:t xml:space="preserve"> </w:t>
      </w:r>
    </w:p>
    <w:p>
      <w:pPr>
        <w:pStyle w:val="18"/>
        <w:kinsoku w:val="0"/>
        <w:overflowPunct w:val="0"/>
        <w:spacing w:line="400" w:lineRule="exact"/>
      </w:pPr>
      <w:r>
        <w:rPr>
          <w:b/>
          <w:bCs/>
        </w:rPr>
        <w:t>14.1.6</w:t>
      </w:r>
      <w:r>
        <w:rPr>
          <w:b/>
          <w:bCs/>
          <w:spacing w:val="-3"/>
        </w:rPr>
        <w:t xml:space="preserve"> </w:t>
      </w:r>
      <w:r>
        <w:rPr>
          <w:rFonts w:hint="eastAsia"/>
          <w:spacing w:val="-3"/>
        </w:rPr>
        <w:t>本工程实行见证取样的试块、试件及有关材料：</w:t>
      </w:r>
      <w:r>
        <w:rPr>
          <w:rFonts w:hint="eastAsia"/>
          <w:b/>
          <w:bCs/>
          <w:spacing w:val="-3"/>
          <w:u w:val="single"/>
        </w:rPr>
        <w:t>砂、碎石、水泥、钢筋、混凝土试块、</w:t>
      </w:r>
      <w:r>
        <w:rPr>
          <w:b/>
          <w:bCs/>
        </w:rPr>
        <w:t xml:space="preserve"> </w:t>
      </w:r>
      <w:r>
        <w:rPr>
          <w:rFonts w:hint="eastAsia"/>
          <w:b/>
          <w:bCs/>
          <w:u w:val="single"/>
        </w:rPr>
        <w:t>钢筋焊接试件等，具体按监理人的要求执行</w:t>
      </w:r>
      <w:r>
        <w:rPr>
          <w:rFonts w:hint="eastAsia"/>
        </w:rPr>
        <w:t>。</w:t>
      </w:r>
      <w:r>
        <w:t xml:space="preserve"> </w:t>
      </w:r>
    </w:p>
    <w:p>
      <w:pPr>
        <w:pStyle w:val="147"/>
        <w:kinsoku w:val="0"/>
        <w:overflowPunct w:val="0"/>
        <w:spacing w:before="0" w:line="400" w:lineRule="exact"/>
        <w:ind w:left="0" w:right="101"/>
        <w:outlineLvl w:val="9"/>
        <w:rPr>
          <w:b w:val="0"/>
          <w:bCs w:val="0"/>
        </w:rPr>
      </w:pPr>
      <w:r>
        <w:t>15.5</w:t>
      </w:r>
      <w:r>
        <w:rPr>
          <w:spacing w:val="119"/>
        </w:rPr>
        <w:t xml:space="preserve"> </w:t>
      </w:r>
      <w:r>
        <w:rPr>
          <w:rFonts w:hint="eastAsia"/>
        </w:rPr>
        <w:t>承包人的合理化建议</w:t>
      </w:r>
      <w:r>
        <w:rPr>
          <w:w w:val="99"/>
        </w:rPr>
        <w:t xml:space="preserve"> </w:t>
      </w:r>
    </w:p>
    <w:p>
      <w:pPr>
        <w:pStyle w:val="18"/>
        <w:kinsoku w:val="0"/>
        <w:overflowPunct w:val="0"/>
        <w:spacing w:line="400" w:lineRule="exact"/>
        <w:ind w:right="101"/>
      </w:pPr>
      <w:r>
        <w:rPr>
          <w:b/>
          <w:bCs/>
        </w:rPr>
        <w:t>15.5.2</w:t>
      </w:r>
      <w:r>
        <w:rPr>
          <w:b/>
          <w:bCs/>
          <w:spacing w:val="-58"/>
        </w:rPr>
        <w:t xml:space="preserve"> </w:t>
      </w:r>
      <w:r>
        <w:rPr>
          <w:rFonts w:hint="eastAsia"/>
        </w:rPr>
        <w:t>承包人实现合理化建议的奖励金额为：</w:t>
      </w:r>
      <w:r>
        <w:rPr>
          <w:b/>
          <w:bCs/>
          <w:u w:val="single"/>
        </w:rPr>
        <w:t>/</w:t>
      </w:r>
      <w:r>
        <w:rPr>
          <w:rFonts w:hint="eastAsia"/>
        </w:rPr>
        <w:t>。</w:t>
      </w:r>
      <w:r>
        <w:t xml:space="preserve"> </w:t>
      </w:r>
    </w:p>
    <w:p>
      <w:pPr>
        <w:pStyle w:val="147"/>
        <w:kinsoku w:val="0"/>
        <w:overflowPunct w:val="0"/>
        <w:spacing w:before="0" w:line="400" w:lineRule="exact"/>
        <w:ind w:left="0" w:right="101"/>
        <w:outlineLvl w:val="9"/>
        <w:rPr>
          <w:b w:val="0"/>
          <w:bCs w:val="0"/>
        </w:rPr>
      </w:pPr>
      <w:r>
        <w:t>15.8</w:t>
      </w:r>
      <w:r>
        <w:rPr>
          <w:spacing w:val="118"/>
        </w:rPr>
        <w:t xml:space="preserve"> </w:t>
      </w:r>
      <w:r>
        <w:rPr>
          <w:rFonts w:hint="eastAsia"/>
        </w:rPr>
        <w:t>暂估价</w:t>
      </w:r>
      <w:r>
        <w:rPr>
          <w:w w:val="99"/>
        </w:rPr>
        <w:t xml:space="preserve"> </w:t>
      </w:r>
    </w:p>
    <w:p>
      <w:pPr>
        <w:pStyle w:val="18"/>
        <w:kinsoku w:val="0"/>
        <w:overflowPunct w:val="0"/>
        <w:spacing w:line="400" w:lineRule="exact"/>
        <w:ind w:right="101"/>
      </w:pPr>
      <w:r>
        <w:rPr>
          <w:b/>
          <w:bCs/>
        </w:rPr>
        <w:t>15.8.1</w:t>
      </w:r>
      <w:r>
        <w:rPr>
          <w:rFonts w:hint="eastAsia"/>
        </w:rPr>
        <w:t>（</w:t>
      </w:r>
      <w:r>
        <w:t>1</w:t>
      </w:r>
      <w:r>
        <w:rPr>
          <w:rFonts w:hint="eastAsia"/>
        </w:rPr>
        <w:t>）发包人和承包人组织招标的暂估价项目：</w:t>
      </w:r>
      <w:r>
        <w:rPr>
          <w:b/>
          <w:bCs/>
          <w:u w:val="single"/>
        </w:rPr>
        <w:t>/</w:t>
      </w:r>
      <w:r>
        <w:rPr>
          <w:rFonts w:hint="eastAsia"/>
        </w:rPr>
        <w:t>；发包人组织招标的暂估价项目：</w:t>
      </w:r>
      <w:r>
        <w:rPr>
          <w:b/>
          <w:bCs/>
          <w:u w:val="single"/>
        </w:rPr>
        <w:t>/</w:t>
      </w:r>
      <w:r>
        <w:rPr>
          <w:rFonts w:hint="eastAsia"/>
        </w:rPr>
        <w:t>。</w:t>
      </w:r>
      <w:r>
        <w:t xml:space="preserve"> </w:t>
      </w:r>
    </w:p>
    <w:p>
      <w:pPr>
        <w:pStyle w:val="18"/>
        <w:kinsoku w:val="0"/>
        <w:overflowPunct w:val="0"/>
        <w:spacing w:line="400" w:lineRule="exact"/>
        <w:ind w:left="534" w:right="101"/>
      </w:pPr>
      <w:r>
        <w:rPr>
          <w:rFonts w:hint="eastAsia"/>
          <w:spacing w:val="-4"/>
        </w:rPr>
        <w:t>（</w:t>
      </w:r>
      <w:r>
        <w:rPr>
          <w:spacing w:val="-4"/>
        </w:rPr>
        <w:t>2</w:t>
      </w:r>
      <w:r>
        <w:rPr>
          <w:rFonts w:hint="eastAsia"/>
          <w:spacing w:val="-4"/>
        </w:rPr>
        <w:t>）发包人和承包人以招标方式选择暂估价项目供应商或分包人时，双方的权利义务系：</w:t>
      </w:r>
      <w:r>
        <w:rPr>
          <w:b/>
          <w:bCs/>
          <w:spacing w:val="-4"/>
          <w:u w:val="single"/>
        </w:rPr>
        <w:t>/</w:t>
      </w:r>
      <w:r>
        <w:rPr>
          <w:rFonts w:hint="eastAsia"/>
          <w:spacing w:val="-4"/>
        </w:rPr>
        <w:t>。</w:t>
      </w:r>
      <w:r>
        <w:t xml:space="preserve"> </w:t>
      </w:r>
    </w:p>
    <w:p>
      <w:pPr>
        <w:pStyle w:val="18"/>
        <w:kinsoku w:val="0"/>
        <w:overflowPunct w:val="0"/>
        <w:spacing w:line="400" w:lineRule="exact"/>
        <w:ind w:left="567" w:right="101"/>
      </w:pPr>
      <w:r>
        <w:t>16</w:t>
      </w:r>
      <w:r>
        <w:rPr>
          <w:spacing w:val="-44"/>
        </w:rPr>
        <w:t xml:space="preserve"> </w:t>
      </w:r>
      <w:r>
        <w:rPr>
          <w:rFonts w:hint="eastAsia"/>
          <w:spacing w:val="-3"/>
        </w:rPr>
        <w:t>价格调整</w:t>
      </w:r>
      <w:r>
        <w:t xml:space="preserve"> </w:t>
      </w:r>
    </w:p>
    <w:p>
      <w:pPr>
        <w:pStyle w:val="147"/>
        <w:kinsoku w:val="0"/>
        <w:overflowPunct w:val="0"/>
        <w:spacing w:before="0" w:line="400" w:lineRule="exact"/>
        <w:ind w:left="114" w:right="101"/>
        <w:outlineLvl w:val="9"/>
        <w:rPr>
          <w:b w:val="0"/>
          <w:bCs w:val="0"/>
          <w:sz w:val="22"/>
          <w:szCs w:val="22"/>
        </w:rPr>
      </w:pPr>
      <w:r>
        <w:t>16.1</w:t>
      </w:r>
      <w:r>
        <w:rPr>
          <w:spacing w:val="119"/>
        </w:rPr>
        <w:t xml:space="preserve"> </w:t>
      </w:r>
      <w:r>
        <w:rPr>
          <w:rFonts w:hint="eastAsia"/>
        </w:rPr>
        <w:t>物价波动引起的价格调整</w:t>
      </w:r>
      <w:r>
        <w:rPr>
          <w:w w:val="99"/>
        </w:rPr>
        <w:t xml:space="preserve"> </w:t>
      </w:r>
    </w:p>
    <w:p>
      <w:pPr>
        <w:pStyle w:val="18"/>
        <w:kinsoku w:val="0"/>
        <w:overflowPunct w:val="0"/>
        <w:spacing w:line="400" w:lineRule="exact"/>
        <w:ind w:right="238" w:firstLine="525"/>
      </w:pPr>
      <w:r>
        <w:rPr>
          <w:rFonts w:hint="eastAsia" w:hAnsi="宋体"/>
        </w:rPr>
        <w:t>不调整</w:t>
      </w:r>
      <w:r>
        <w:rPr>
          <w:rFonts w:hint="eastAsia"/>
        </w:rPr>
        <w:t>。</w:t>
      </w:r>
    </w:p>
    <w:p>
      <w:pPr>
        <w:pStyle w:val="18"/>
        <w:kinsoku w:val="0"/>
        <w:overflowPunct w:val="0"/>
        <w:spacing w:line="400" w:lineRule="exact"/>
        <w:ind w:left="567" w:right="101"/>
      </w:pPr>
      <w:r>
        <w:t>17</w:t>
      </w:r>
      <w:r>
        <w:rPr>
          <w:spacing w:val="103"/>
        </w:rPr>
        <w:t xml:space="preserve"> </w:t>
      </w:r>
      <w:r>
        <w:rPr>
          <w:rFonts w:hint="eastAsia"/>
        </w:rPr>
        <w:t>计量与支付</w:t>
      </w:r>
      <w:r>
        <w:t xml:space="preserve"> </w:t>
      </w:r>
    </w:p>
    <w:p>
      <w:pPr>
        <w:pStyle w:val="147"/>
        <w:kinsoku w:val="0"/>
        <w:overflowPunct w:val="0"/>
        <w:spacing w:before="0" w:line="400" w:lineRule="exact"/>
        <w:ind w:left="114" w:right="101"/>
        <w:outlineLvl w:val="9"/>
        <w:rPr>
          <w:b w:val="0"/>
          <w:bCs w:val="0"/>
        </w:rPr>
      </w:pPr>
      <w:r>
        <w:t>17.2</w:t>
      </w:r>
      <w:r>
        <w:rPr>
          <w:spacing w:val="118"/>
        </w:rPr>
        <w:t xml:space="preserve"> </w:t>
      </w:r>
      <w:r>
        <w:rPr>
          <w:rFonts w:hint="eastAsia"/>
        </w:rPr>
        <w:t>预付款</w:t>
      </w:r>
      <w:r>
        <w:rPr>
          <w:w w:val="99"/>
        </w:rPr>
        <w:t xml:space="preserve"> </w:t>
      </w:r>
    </w:p>
    <w:p>
      <w:pPr>
        <w:pStyle w:val="18"/>
        <w:kinsoku w:val="0"/>
        <w:overflowPunct w:val="0"/>
        <w:spacing w:line="400" w:lineRule="exact"/>
        <w:ind w:left="534" w:right="101"/>
      </w:pPr>
      <w:r>
        <w:rPr>
          <w:rFonts w:hint="eastAsia"/>
        </w:rPr>
        <w:t>本工程合同签订生效7天内后支付合同总价20%预付款。</w:t>
      </w:r>
    </w:p>
    <w:p>
      <w:pPr>
        <w:pStyle w:val="18"/>
        <w:kinsoku w:val="0"/>
        <w:overflowPunct w:val="0"/>
        <w:spacing w:line="400" w:lineRule="exact"/>
        <w:ind w:left="534" w:right="101"/>
      </w:pPr>
      <w:r>
        <w:rPr>
          <w:rFonts w:hint="eastAsia"/>
        </w:rPr>
        <w:t>（开工令签发之前的已实施完成工程和服务：经水管单位审核后10天内由中标单位按已完成工程量的50%支付给已实施单位，最后结算以审计为准）。</w:t>
      </w:r>
    </w:p>
    <w:p>
      <w:pPr>
        <w:pStyle w:val="18"/>
        <w:kinsoku w:val="0"/>
        <w:overflowPunct w:val="0"/>
        <w:spacing w:line="400" w:lineRule="exact"/>
        <w:ind w:left="534" w:right="101"/>
      </w:pPr>
      <w:r>
        <w:rPr>
          <w:rFonts w:hint="eastAsia"/>
        </w:rPr>
        <w:t>其中已实施的服务工程量计算，按该项目中标价按月分摊结算。</w:t>
      </w:r>
    </w:p>
    <w:p>
      <w:pPr>
        <w:pStyle w:val="147"/>
        <w:kinsoku w:val="0"/>
        <w:overflowPunct w:val="0"/>
        <w:spacing w:before="0" w:line="400" w:lineRule="exact"/>
        <w:ind w:left="114" w:right="101"/>
        <w:outlineLvl w:val="9"/>
        <w:rPr>
          <w:b w:val="0"/>
          <w:bCs w:val="0"/>
          <w:color w:val="FF0000"/>
          <w:highlight w:val="none"/>
        </w:rPr>
      </w:pPr>
      <w:r>
        <w:rPr>
          <w:color w:val="FF0000"/>
          <w:highlight w:val="none"/>
        </w:rPr>
        <w:t>17.3</w:t>
      </w:r>
      <w:r>
        <w:rPr>
          <w:color w:val="FF0000"/>
          <w:spacing w:val="117"/>
          <w:highlight w:val="none"/>
        </w:rPr>
        <w:t xml:space="preserve"> </w:t>
      </w:r>
      <w:r>
        <w:rPr>
          <w:rFonts w:hint="eastAsia"/>
          <w:color w:val="FF0000"/>
          <w:highlight w:val="none"/>
        </w:rPr>
        <w:t>工程进度付款</w:t>
      </w:r>
      <w:r>
        <w:rPr>
          <w:color w:val="FF0000"/>
          <w:w w:val="99"/>
          <w:highlight w:val="none"/>
        </w:rPr>
        <w:t xml:space="preserve"> </w:t>
      </w:r>
    </w:p>
    <w:p>
      <w:pPr>
        <w:pStyle w:val="18"/>
        <w:kinsoku w:val="0"/>
        <w:overflowPunct w:val="0"/>
        <w:spacing w:line="400" w:lineRule="exact"/>
        <w:ind w:right="101" w:firstLine="422"/>
        <w:rPr>
          <w:color w:val="FF0000"/>
          <w:highlight w:val="none"/>
        </w:rPr>
      </w:pPr>
      <w:r>
        <w:rPr>
          <w:b/>
          <w:bCs/>
          <w:color w:val="FF0000"/>
          <w:highlight w:val="none"/>
        </w:rPr>
        <w:t>17.3.2</w:t>
      </w:r>
      <w:r>
        <w:rPr>
          <w:b/>
          <w:bCs/>
          <w:color w:val="FF0000"/>
          <w:spacing w:val="-55"/>
          <w:highlight w:val="none"/>
        </w:rPr>
        <w:t xml:space="preserve"> </w:t>
      </w:r>
      <w:r>
        <w:rPr>
          <w:rFonts w:hint="eastAsia"/>
          <w:color w:val="FF0000"/>
          <w:highlight w:val="none"/>
        </w:rPr>
        <w:t>承包人在每个付款周期末向监理人提交进度付款申请单的份数</w:t>
      </w:r>
      <w:r>
        <w:rPr>
          <w:color w:val="FF0000"/>
          <w:spacing w:val="-57"/>
          <w:highlight w:val="none"/>
        </w:rPr>
        <w:t xml:space="preserve"> </w:t>
      </w:r>
      <w:r>
        <w:rPr>
          <w:b/>
          <w:bCs/>
          <w:color w:val="FF0000"/>
          <w:highlight w:val="none"/>
          <w:u w:val="single"/>
        </w:rPr>
        <w:t>5</w:t>
      </w:r>
      <w:r>
        <w:rPr>
          <w:b/>
          <w:bCs/>
          <w:color w:val="FF0000"/>
          <w:spacing w:val="-56"/>
          <w:highlight w:val="none"/>
          <w:u w:val="single"/>
        </w:rPr>
        <w:t xml:space="preserve"> </w:t>
      </w:r>
      <w:r>
        <w:rPr>
          <w:rFonts w:hint="eastAsia"/>
          <w:color w:val="FF0000"/>
          <w:highlight w:val="none"/>
        </w:rPr>
        <w:t>份。</w:t>
      </w:r>
      <w:r>
        <w:rPr>
          <w:color w:val="FF0000"/>
          <w:highlight w:val="none"/>
        </w:rPr>
        <w:t xml:space="preserve"> </w:t>
      </w:r>
    </w:p>
    <w:p>
      <w:pPr>
        <w:pStyle w:val="18"/>
        <w:kinsoku w:val="0"/>
        <w:overflowPunct w:val="0"/>
        <w:spacing w:line="400" w:lineRule="exact"/>
        <w:ind w:right="-190" w:rightChars="-79" w:firstLine="480" w:firstLineChars="200"/>
        <w:rPr>
          <w:rFonts w:hAnsi="宋体"/>
          <w:color w:val="FF0000"/>
          <w:highlight w:val="none"/>
        </w:rPr>
      </w:pPr>
      <w:r>
        <w:rPr>
          <w:rFonts w:hint="eastAsia" w:hAnsi="宋体"/>
          <w:color w:val="FF0000"/>
          <w:highlight w:val="none"/>
        </w:rPr>
        <w:t>17.3.3以下所述的合同价款在付款计算时应扣除乔木、灌木等绿化种植项目的价款及暂列金额</w:t>
      </w:r>
      <w:r>
        <w:rPr>
          <w:rFonts w:hAnsi="宋体"/>
          <w:color w:val="FF0000"/>
          <w:highlight w:val="none"/>
        </w:rPr>
        <w:t>合同签订、承包人递交履约</w:t>
      </w:r>
      <w:r>
        <w:rPr>
          <w:rFonts w:hint="eastAsia" w:hAnsi="宋体"/>
          <w:color w:val="FF0000"/>
          <w:highlight w:val="none"/>
        </w:rPr>
        <w:t>保证金</w:t>
      </w:r>
      <w:r>
        <w:rPr>
          <w:rFonts w:hAnsi="宋体"/>
          <w:color w:val="FF0000"/>
          <w:highlight w:val="none"/>
        </w:rPr>
        <w:t>且主要管理人员、主要施工机械进场后</w:t>
      </w:r>
      <w:r>
        <w:rPr>
          <w:rFonts w:hint="eastAsia" w:hAnsi="宋体"/>
          <w:color w:val="FF0000"/>
          <w:highlight w:val="none"/>
        </w:rPr>
        <w:t>，</w:t>
      </w:r>
      <w:r>
        <w:rPr>
          <w:rFonts w:hAnsi="宋体"/>
          <w:color w:val="FF0000"/>
          <w:highlight w:val="none"/>
        </w:rPr>
        <w:t>发包人</w:t>
      </w:r>
      <w:r>
        <w:rPr>
          <w:rFonts w:hint="eastAsia" w:hAnsi="宋体"/>
          <w:color w:val="FF0000"/>
          <w:highlight w:val="none"/>
        </w:rPr>
        <w:t>支付本</w:t>
      </w:r>
      <w:r>
        <w:rPr>
          <w:rFonts w:hAnsi="宋体"/>
          <w:color w:val="FF0000"/>
          <w:highlight w:val="none"/>
        </w:rPr>
        <w:t>标段</w:t>
      </w:r>
      <w:r>
        <w:rPr>
          <w:rFonts w:hint="eastAsia" w:hAnsi="宋体"/>
          <w:color w:val="FF0000"/>
          <w:highlight w:val="none"/>
        </w:rPr>
        <w:t>签约合同价的</w:t>
      </w:r>
      <w:r>
        <w:rPr>
          <w:rFonts w:hAnsi="宋体"/>
          <w:color w:val="FF0000"/>
          <w:highlight w:val="none"/>
        </w:rPr>
        <w:t>20%作为预付款</w:t>
      </w:r>
      <w:r>
        <w:rPr>
          <w:rFonts w:hint="eastAsia" w:hAnsi="宋体"/>
          <w:color w:val="FF0000"/>
          <w:highlight w:val="none"/>
        </w:rPr>
        <w:t>（</w:t>
      </w:r>
      <w:r>
        <w:rPr>
          <w:rFonts w:hAnsi="宋体"/>
          <w:color w:val="FF0000"/>
          <w:highlight w:val="none"/>
        </w:rPr>
        <w:t>含安全文明施工措施费）</w:t>
      </w:r>
      <w:r>
        <w:rPr>
          <w:rFonts w:hint="eastAsia" w:hAnsi="宋体"/>
          <w:color w:val="FF0000"/>
          <w:highlight w:val="none"/>
        </w:rPr>
        <w:t>；施工过程中按每月实际完成合格工程量的70%支付，竣工验收合格后支付至合同价的80%（含预付款），其余工程款待整个工程竣工验收质量合格并做好技术交接手续，竣工结算经审计部门审定扣留2.5%的质量保修金（质量保修期为壹年）后一个月内结清。</w:t>
      </w:r>
    </w:p>
    <w:p>
      <w:pPr>
        <w:pStyle w:val="18"/>
        <w:kinsoku w:val="0"/>
        <w:overflowPunct w:val="0"/>
        <w:spacing w:line="400" w:lineRule="exact"/>
        <w:ind w:right="-190" w:rightChars="-79"/>
        <w:rPr>
          <w:rFonts w:hAnsi="宋体"/>
          <w:color w:val="FF0000"/>
          <w:highlight w:val="none"/>
        </w:rPr>
      </w:pPr>
      <w:r>
        <w:rPr>
          <w:rFonts w:hint="eastAsia" w:hAnsi="宋体"/>
          <w:color w:val="FF0000"/>
          <w:highlight w:val="none"/>
        </w:rPr>
        <w:tab/>
      </w:r>
      <w:r>
        <w:rPr>
          <w:rFonts w:hint="eastAsia" w:hAnsi="宋体"/>
          <w:color w:val="FF0000"/>
          <w:highlight w:val="none"/>
        </w:rPr>
        <w:t>根据金市财建【2016】183号文（金华市财政局、金华市审计局关于加强市本级政府投资项目结算审价监督管理的意见），若本工程列入金华市重点检查项目，在重点审查结果未出具前，工程款支付至结算审定价的90%。</w:t>
      </w:r>
    </w:p>
    <w:p>
      <w:pPr>
        <w:pStyle w:val="18"/>
        <w:kinsoku w:val="0"/>
        <w:overflowPunct w:val="0"/>
        <w:spacing w:line="400" w:lineRule="exact"/>
        <w:ind w:firstLine="420"/>
        <w:rPr>
          <w:rFonts w:hAnsi="宋体"/>
          <w:color w:val="FF0000"/>
          <w:highlight w:val="none"/>
        </w:rPr>
      </w:pPr>
      <w:r>
        <w:rPr>
          <w:rFonts w:hint="eastAsia" w:hAnsi="宋体"/>
          <w:color w:val="FF0000"/>
          <w:highlight w:val="none"/>
        </w:rPr>
        <w:t>17.3.4乔木、灌木等绿化种植项目工程款支付方法为：</w:t>
      </w:r>
    </w:p>
    <w:p>
      <w:pPr>
        <w:pStyle w:val="18"/>
        <w:kinsoku w:val="0"/>
        <w:overflowPunct w:val="0"/>
        <w:spacing w:line="400" w:lineRule="exact"/>
        <w:rPr>
          <w:rFonts w:hAnsi="宋体"/>
          <w:color w:val="FF0000"/>
          <w:highlight w:val="none"/>
        </w:rPr>
      </w:pPr>
      <w:r>
        <w:rPr>
          <w:rFonts w:hint="eastAsia" w:hAnsi="宋体"/>
          <w:color w:val="FF0000"/>
          <w:highlight w:val="none"/>
        </w:rPr>
        <w:t>中标单位在全部种植完毕后，经验收合格后付该分项中标工程款的70%，决算审计后付至审计后总工程款的80%。在一年养护期满后，经发包方验收合格(苗木保存率85%以上，通过补植成活率100%)后，再支付审计后总工程款的10%(无息)。余款(总工程款的10%)在一年养护期满经验收合格后(保存率95%以上，通过补植成活率100%，保存率未能达到要求的，则延长养护期半年)，一次性付清(无息)。</w:t>
      </w:r>
    </w:p>
    <w:p>
      <w:pPr>
        <w:pStyle w:val="18"/>
        <w:kinsoku w:val="0"/>
        <w:overflowPunct w:val="0"/>
        <w:spacing w:line="400" w:lineRule="exact"/>
        <w:ind w:firstLine="420"/>
        <w:rPr>
          <w:rFonts w:hAnsi="宋体"/>
          <w:color w:val="FF0000"/>
          <w:highlight w:val="none"/>
        </w:rPr>
      </w:pPr>
      <w:r>
        <w:rPr>
          <w:rFonts w:hint="eastAsia" w:hAnsi="宋体"/>
          <w:color w:val="FF0000"/>
          <w:highlight w:val="none"/>
        </w:rPr>
        <w:t>17.3.5</w:t>
      </w:r>
      <w:r>
        <w:rPr>
          <w:rFonts w:hAnsi="宋体"/>
          <w:color w:val="FF0000"/>
          <w:highlight w:val="none"/>
        </w:rPr>
        <w:t>进度付款申请单的提交</w:t>
      </w:r>
    </w:p>
    <w:p>
      <w:pPr>
        <w:spacing w:line="400" w:lineRule="exact"/>
        <w:rPr>
          <w:color w:val="FF0000"/>
          <w:highlight w:val="none"/>
        </w:rPr>
      </w:pPr>
      <w:r>
        <w:rPr>
          <w:rFonts w:hAnsi="宋体"/>
          <w:color w:val="FF0000"/>
          <w:highlight w:val="none"/>
        </w:rPr>
        <w:t>单价合同进度付款申请单提交的约定</w:t>
      </w:r>
      <w:r>
        <w:rPr>
          <w:rFonts w:hint="eastAsia" w:hAnsi="宋体"/>
          <w:color w:val="FF0000"/>
          <w:highlight w:val="none"/>
        </w:rPr>
        <w:t>：每月25日由施工单位提供当月完成的工程数量及下月计划，经监理工程师签证后，于28日前报发包人。</w:t>
      </w:r>
    </w:p>
    <w:p>
      <w:pPr>
        <w:pStyle w:val="147"/>
        <w:kinsoku w:val="0"/>
        <w:overflowPunct w:val="0"/>
        <w:spacing w:before="0" w:line="400" w:lineRule="exact"/>
        <w:ind w:left="114" w:right="101"/>
        <w:outlineLvl w:val="9"/>
        <w:rPr>
          <w:b w:val="0"/>
          <w:bCs w:val="0"/>
          <w:color w:val="FF0000"/>
          <w:highlight w:val="none"/>
        </w:rPr>
      </w:pPr>
      <w:r>
        <w:rPr>
          <w:color w:val="FF0000"/>
          <w:highlight w:val="none"/>
        </w:rPr>
        <w:t>17.4</w:t>
      </w:r>
      <w:r>
        <w:rPr>
          <w:color w:val="FF0000"/>
          <w:spacing w:val="118"/>
          <w:highlight w:val="none"/>
        </w:rPr>
        <w:t xml:space="preserve"> </w:t>
      </w:r>
      <w:r>
        <w:rPr>
          <w:rFonts w:hint="eastAsia"/>
          <w:color w:val="FF0000"/>
          <w:highlight w:val="none"/>
        </w:rPr>
        <w:t>质量保证金</w:t>
      </w:r>
      <w:r>
        <w:rPr>
          <w:color w:val="FF0000"/>
          <w:w w:val="99"/>
          <w:highlight w:val="none"/>
        </w:rPr>
        <w:t xml:space="preserve"> </w:t>
      </w:r>
    </w:p>
    <w:p>
      <w:pPr>
        <w:pStyle w:val="18"/>
        <w:kinsoku w:val="0"/>
        <w:overflowPunct w:val="0"/>
        <w:spacing w:line="400" w:lineRule="exact"/>
        <w:ind w:right="101" w:firstLine="422"/>
        <w:rPr>
          <w:color w:val="FF0000"/>
          <w:highlight w:val="none"/>
        </w:rPr>
      </w:pPr>
      <w:r>
        <w:rPr>
          <w:rFonts w:hint="eastAsia" w:hAnsi="宋体"/>
          <w:bCs/>
          <w:color w:val="FF0000"/>
          <w:highlight w:val="none"/>
        </w:rPr>
        <w:t>17.4.1关于是否留质量保证金的约定：工程结算经有关部门审定后留结算价的2.5%作为质量保证金。质量保证金在工程竣工验收合格满一年扣除产生的相应费用后无息退还。</w:t>
      </w:r>
    </w:p>
    <w:p>
      <w:pPr>
        <w:pStyle w:val="18"/>
        <w:kinsoku w:val="0"/>
        <w:overflowPunct w:val="0"/>
        <w:spacing w:line="400" w:lineRule="exact"/>
        <w:ind w:right="101" w:firstLine="422"/>
        <w:rPr>
          <w:b/>
          <w:bCs/>
          <w:color w:val="FF0000"/>
          <w:highlight w:val="none"/>
        </w:rPr>
      </w:pPr>
      <w:r>
        <w:rPr>
          <w:color w:val="FF0000"/>
          <w:highlight w:val="none"/>
        </w:rPr>
        <w:t>17.5</w:t>
      </w:r>
      <w:r>
        <w:rPr>
          <w:color w:val="FF0000"/>
          <w:spacing w:val="118"/>
          <w:highlight w:val="none"/>
        </w:rPr>
        <w:t xml:space="preserve"> </w:t>
      </w:r>
      <w:r>
        <w:rPr>
          <w:rFonts w:hint="eastAsia"/>
          <w:color w:val="FF0000"/>
          <w:highlight w:val="none"/>
        </w:rPr>
        <w:t>竣工结算（完工结算）</w:t>
      </w:r>
      <w:r>
        <w:rPr>
          <w:color w:val="FF0000"/>
          <w:w w:val="99"/>
          <w:highlight w:val="none"/>
        </w:rPr>
        <w:t xml:space="preserve"> </w:t>
      </w:r>
    </w:p>
    <w:p>
      <w:pPr>
        <w:pStyle w:val="18"/>
        <w:kinsoku w:val="0"/>
        <w:overflowPunct w:val="0"/>
        <w:spacing w:line="400" w:lineRule="exact"/>
        <w:ind w:left="536" w:right="101"/>
        <w:rPr>
          <w:highlight w:val="none"/>
        </w:rPr>
      </w:pPr>
      <w:r>
        <w:rPr>
          <w:b/>
          <w:bCs/>
          <w:highlight w:val="none"/>
        </w:rPr>
        <w:t>17.5.1</w:t>
      </w:r>
      <w:r>
        <w:rPr>
          <w:b/>
          <w:bCs/>
          <w:spacing w:val="-55"/>
          <w:highlight w:val="none"/>
        </w:rPr>
        <w:t xml:space="preserve"> </w:t>
      </w:r>
      <w:r>
        <w:rPr>
          <w:rFonts w:hint="eastAsia"/>
          <w:highlight w:val="none"/>
        </w:rPr>
        <w:t>竣工（完工）付款申请单</w:t>
      </w:r>
      <w:r>
        <w:rPr>
          <w:highlight w:val="none"/>
        </w:rPr>
        <w:t xml:space="preserve"> </w:t>
      </w:r>
    </w:p>
    <w:p>
      <w:pPr>
        <w:pStyle w:val="18"/>
        <w:kinsoku w:val="0"/>
        <w:overflowPunct w:val="0"/>
        <w:spacing w:line="400" w:lineRule="exact"/>
        <w:ind w:left="534" w:right="101"/>
        <w:rPr>
          <w:highlight w:val="none"/>
        </w:rPr>
      </w:pPr>
      <w:r>
        <w:rPr>
          <w:rFonts w:hint="eastAsia"/>
          <w:highlight w:val="none"/>
        </w:rPr>
        <w:t>承包人应提交完工付款申请单一式</w:t>
      </w:r>
      <w:r>
        <w:rPr>
          <w:spacing w:val="-56"/>
          <w:highlight w:val="none"/>
        </w:rPr>
        <w:t xml:space="preserve"> </w:t>
      </w:r>
      <w:r>
        <w:rPr>
          <w:b/>
          <w:bCs/>
          <w:highlight w:val="none"/>
          <w:u w:val="single"/>
        </w:rPr>
        <w:t>5</w:t>
      </w:r>
      <w:r>
        <w:rPr>
          <w:b/>
          <w:bCs/>
          <w:spacing w:val="-55"/>
          <w:highlight w:val="none"/>
          <w:u w:val="single"/>
        </w:rPr>
        <w:t xml:space="preserve"> </w:t>
      </w:r>
      <w:r>
        <w:rPr>
          <w:rFonts w:hint="eastAsia"/>
          <w:highlight w:val="none"/>
        </w:rPr>
        <w:t>份。</w:t>
      </w:r>
      <w:r>
        <w:rPr>
          <w:highlight w:val="none"/>
        </w:rPr>
        <w:t xml:space="preserve"> </w:t>
      </w:r>
    </w:p>
    <w:p>
      <w:pPr>
        <w:pStyle w:val="147"/>
        <w:kinsoku w:val="0"/>
        <w:overflowPunct w:val="0"/>
        <w:spacing w:before="0" w:line="400" w:lineRule="exact"/>
        <w:ind w:left="114" w:right="101"/>
        <w:outlineLvl w:val="9"/>
        <w:rPr>
          <w:b w:val="0"/>
          <w:bCs w:val="0"/>
          <w:highlight w:val="none"/>
        </w:rPr>
      </w:pPr>
      <w:r>
        <w:rPr>
          <w:highlight w:val="none"/>
        </w:rPr>
        <w:t>17.6</w:t>
      </w:r>
      <w:r>
        <w:rPr>
          <w:spacing w:val="119"/>
          <w:highlight w:val="none"/>
        </w:rPr>
        <w:t xml:space="preserve"> </w:t>
      </w:r>
      <w:r>
        <w:rPr>
          <w:rFonts w:hint="eastAsia"/>
          <w:highlight w:val="none"/>
        </w:rPr>
        <w:t>最终结清</w:t>
      </w:r>
      <w:r>
        <w:rPr>
          <w:w w:val="99"/>
          <w:highlight w:val="none"/>
        </w:rPr>
        <w:t xml:space="preserve"> </w:t>
      </w:r>
    </w:p>
    <w:p>
      <w:pPr>
        <w:pStyle w:val="18"/>
        <w:kinsoku w:val="0"/>
        <w:overflowPunct w:val="0"/>
        <w:spacing w:line="400" w:lineRule="exact"/>
        <w:ind w:left="536"/>
        <w:rPr>
          <w:highlight w:val="none"/>
        </w:rPr>
      </w:pPr>
      <w:r>
        <w:rPr>
          <w:b/>
          <w:bCs/>
          <w:highlight w:val="none"/>
        </w:rPr>
        <w:t>17.6.1</w:t>
      </w:r>
      <w:r>
        <w:rPr>
          <w:b/>
          <w:bCs/>
          <w:spacing w:val="-56"/>
          <w:highlight w:val="none"/>
        </w:rPr>
        <w:t xml:space="preserve"> </w:t>
      </w:r>
      <w:r>
        <w:rPr>
          <w:rFonts w:hint="eastAsia"/>
          <w:highlight w:val="none"/>
        </w:rPr>
        <w:t>最终结清申请单</w:t>
      </w:r>
      <w:r>
        <w:rPr>
          <w:highlight w:val="none"/>
        </w:rPr>
        <w:t xml:space="preserve"> </w:t>
      </w:r>
    </w:p>
    <w:p>
      <w:pPr>
        <w:pStyle w:val="18"/>
        <w:kinsoku w:val="0"/>
        <w:overflowPunct w:val="0"/>
        <w:spacing w:line="400" w:lineRule="exact"/>
        <w:ind w:left="534"/>
        <w:rPr>
          <w:highlight w:val="none"/>
        </w:rPr>
      </w:pPr>
      <w:r>
        <w:rPr>
          <w:rFonts w:hint="eastAsia"/>
          <w:highlight w:val="none"/>
        </w:rPr>
        <w:t>承包人应提交最终结清申请单一式</w:t>
      </w:r>
      <w:r>
        <w:rPr>
          <w:spacing w:val="-56"/>
          <w:highlight w:val="none"/>
        </w:rPr>
        <w:t xml:space="preserve"> </w:t>
      </w:r>
      <w:r>
        <w:rPr>
          <w:b/>
          <w:bCs/>
          <w:highlight w:val="none"/>
          <w:u w:val="single"/>
        </w:rPr>
        <w:t>5</w:t>
      </w:r>
      <w:r>
        <w:rPr>
          <w:b/>
          <w:bCs/>
          <w:spacing w:val="-55"/>
          <w:highlight w:val="none"/>
          <w:u w:val="single"/>
        </w:rPr>
        <w:t xml:space="preserve"> </w:t>
      </w:r>
      <w:r>
        <w:rPr>
          <w:rFonts w:hint="eastAsia"/>
          <w:highlight w:val="none"/>
        </w:rPr>
        <w:t>份。</w:t>
      </w:r>
      <w:r>
        <w:rPr>
          <w:highlight w:val="none"/>
        </w:rPr>
        <w:t xml:space="preserve"> </w:t>
      </w:r>
    </w:p>
    <w:p>
      <w:pPr>
        <w:pStyle w:val="147"/>
        <w:kinsoku w:val="0"/>
        <w:overflowPunct w:val="0"/>
        <w:spacing w:before="0" w:line="400" w:lineRule="exact"/>
        <w:ind w:left="114" w:right="101"/>
        <w:outlineLvl w:val="9"/>
        <w:rPr>
          <w:b w:val="0"/>
          <w:bCs w:val="0"/>
          <w:highlight w:val="none"/>
        </w:rPr>
      </w:pPr>
      <w:r>
        <w:rPr>
          <w:highlight w:val="none"/>
        </w:rPr>
        <w:t>17.7</w:t>
      </w:r>
      <w:r>
        <w:rPr>
          <w:spacing w:val="117"/>
          <w:highlight w:val="none"/>
        </w:rPr>
        <w:t xml:space="preserve"> </w:t>
      </w:r>
      <w:r>
        <w:rPr>
          <w:rFonts w:hint="eastAsia"/>
          <w:highlight w:val="none"/>
        </w:rPr>
        <w:t>竣工财务决算</w:t>
      </w:r>
      <w:r>
        <w:rPr>
          <w:w w:val="99"/>
          <w:highlight w:val="none"/>
        </w:rPr>
        <w:t xml:space="preserve"> </w:t>
      </w:r>
    </w:p>
    <w:p>
      <w:pPr>
        <w:pStyle w:val="18"/>
        <w:kinsoku w:val="0"/>
        <w:overflowPunct w:val="0"/>
        <w:spacing w:line="400" w:lineRule="exact"/>
        <w:ind w:left="534" w:right="101"/>
        <w:rPr>
          <w:highlight w:val="none"/>
        </w:rPr>
      </w:pPr>
      <w:r>
        <w:rPr>
          <w:rFonts w:hint="eastAsia"/>
          <w:highlight w:val="none"/>
        </w:rPr>
        <w:t>承包人应为竣工财务决算编制提供的资料：</w:t>
      </w:r>
      <w:r>
        <w:rPr>
          <w:rFonts w:hint="eastAsia"/>
          <w:b/>
          <w:bCs/>
          <w:highlight w:val="none"/>
          <w:u w:val="single"/>
        </w:rPr>
        <w:t>财务决算所需的一切资料</w:t>
      </w:r>
      <w:r>
        <w:rPr>
          <w:rFonts w:hint="eastAsia"/>
          <w:highlight w:val="none"/>
        </w:rPr>
        <w:t>。</w:t>
      </w:r>
      <w:r>
        <w:rPr>
          <w:highlight w:val="none"/>
        </w:rPr>
        <w:t xml:space="preserve"> </w:t>
      </w:r>
    </w:p>
    <w:p>
      <w:pPr>
        <w:pStyle w:val="18"/>
        <w:kinsoku w:val="0"/>
        <w:overflowPunct w:val="0"/>
        <w:spacing w:line="400" w:lineRule="exact"/>
        <w:ind w:left="567" w:right="101"/>
        <w:rPr>
          <w:highlight w:val="none"/>
        </w:rPr>
      </w:pPr>
      <w:r>
        <w:rPr>
          <w:highlight w:val="none"/>
        </w:rPr>
        <w:t xml:space="preserve">18 </w:t>
      </w:r>
      <w:r>
        <w:rPr>
          <w:spacing w:val="9"/>
          <w:highlight w:val="none"/>
        </w:rPr>
        <w:t xml:space="preserve"> </w:t>
      </w:r>
      <w:r>
        <w:rPr>
          <w:rFonts w:hint="eastAsia"/>
          <w:spacing w:val="-3"/>
          <w:highlight w:val="none"/>
        </w:rPr>
        <w:t>工程验收</w:t>
      </w:r>
      <w:r>
        <w:rPr>
          <w:highlight w:val="none"/>
        </w:rPr>
        <w:t xml:space="preserve"> </w:t>
      </w:r>
    </w:p>
    <w:p>
      <w:pPr>
        <w:pStyle w:val="147"/>
        <w:kinsoku w:val="0"/>
        <w:overflowPunct w:val="0"/>
        <w:spacing w:before="0" w:line="400" w:lineRule="exact"/>
        <w:ind w:left="114" w:right="101"/>
        <w:outlineLvl w:val="9"/>
        <w:rPr>
          <w:b w:val="0"/>
          <w:bCs w:val="0"/>
          <w:highlight w:val="none"/>
        </w:rPr>
      </w:pPr>
      <w:r>
        <w:rPr>
          <w:highlight w:val="none"/>
        </w:rPr>
        <w:t>18.1</w:t>
      </w:r>
      <w:r>
        <w:rPr>
          <w:spacing w:val="117"/>
          <w:highlight w:val="none"/>
        </w:rPr>
        <w:t xml:space="preserve"> </w:t>
      </w:r>
      <w:r>
        <w:rPr>
          <w:rFonts w:hint="eastAsia"/>
          <w:highlight w:val="none"/>
        </w:rPr>
        <w:t>验收工作分类</w:t>
      </w:r>
      <w:r>
        <w:rPr>
          <w:w w:val="99"/>
          <w:highlight w:val="none"/>
        </w:rPr>
        <w:t xml:space="preserve"> </w:t>
      </w:r>
    </w:p>
    <w:p>
      <w:pPr>
        <w:pStyle w:val="18"/>
        <w:kinsoku w:val="0"/>
        <w:overflowPunct w:val="0"/>
        <w:spacing w:line="400" w:lineRule="exact"/>
        <w:ind w:right="207" w:firstLine="420"/>
        <w:rPr>
          <w:highlight w:val="none"/>
        </w:rPr>
      </w:pPr>
      <w:r>
        <w:rPr>
          <w:rFonts w:hint="eastAsia"/>
          <w:spacing w:val="-4"/>
          <w:highlight w:val="none"/>
        </w:rPr>
        <w:t>本项目工程类由法人组织完工验收，服务类由各水管单位考核验收</w:t>
      </w:r>
      <w:r>
        <w:rPr>
          <w:rFonts w:hint="eastAsia"/>
          <w:highlight w:val="none"/>
        </w:rPr>
        <w:t>。</w:t>
      </w:r>
      <w:r>
        <w:rPr>
          <w:highlight w:val="none"/>
        </w:rPr>
        <w:t xml:space="preserve"> </w:t>
      </w:r>
    </w:p>
    <w:p>
      <w:pPr>
        <w:pStyle w:val="147"/>
        <w:kinsoku w:val="0"/>
        <w:overflowPunct w:val="0"/>
        <w:spacing w:before="0" w:line="400" w:lineRule="exact"/>
        <w:ind w:left="114" w:right="101"/>
        <w:outlineLvl w:val="9"/>
        <w:rPr>
          <w:w w:val="99"/>
          <w:highlight w:val="none"/>
        </w:rPr>
      </w:pPr>
      <w:r>
        <w:rPr>
          <w:highlight w:val="none"/>
        </w:rPr>
        <w:t>18.2</w:t>
      </w:r>
      <w:r>
        <w:rPr>
          <w:spacing w:val="117"/>
          <w:highlight w:val="none"/>
        </w:rPr>
        <w:t xml:space="preserve"> </w:t>
      </w:r>
      <w:r>
        <w:rPr>
          <w:rFonts w:hint="eastAsia"/>
          <w:highlight w:val="none"/>
        </w:rPr>
        <w:t>分部工程验收</w:t>
      </w:r>
      <w:r>
        <w:rPr>
          <w:w w:val="99"/>
          <w:highlight w:val="none"/>
        </w:rPr>
        <w:t xml:space="preserve"> </w:t>
      </w:r>
    </w:p>
    <w:p>
      <w:pPr>
        <w:pStyle w:val="147"/>
        <w:kinsoku w:val="0"/>
        <w:overflowPunct w:val="0"/>
        <w:spacing w:before="0" w:line="400" w:lineRule="exact"/>
        <w:ind w:left="114" w:right="101"/>
        <w:outlineLvl w:val="9"/>
        <w:rPr>
          <w:w w:val="99"/>
          <w:highlight w:val="none"/>
        </w:rPr>
      </w:pPr>
    </w:p>
    <w:p>
      <w:pPr>
        <w:pStyle w:val="18"/>
        <w:kinsoku w:val="0"/>
        <w:overflowPunct w:val="0"/>
        <w:spacing w:line="400" w:lineRule="exact"/>
        <w:ind w:left="567"/>
        <w:rPr>
          <w:highlight w:val="none"/>
        </w:rPr>
      </w:pPr>
      <w:r>
        <w:rPr>
          <w:highlight w:val="none"/>
        </w:rPr>
        <w:t>19</w:t>
      </w:r>
      <w:r>
        <w:rPr>
          <w:spacing w:val="102"/>
          <w:highlight w:val="none"/>
        </w:rPr>
        <w:t xml:space="preserve"> </w:t>
      </w:r>
      <w:r>
        <w:rPr>
          <w:rFonts w:hint="eastAsia"/>
          <w:highlight w:val="none"/>
        </w:rPr>
        <w:t>缺陷责任与保修责任</w:t>
      </w:r>
      <w:r>
        <w:rPr>
          <w:highlight w:val="none"/>
        </w:rPr>
        <w:t xml:space="preserve"> </w:t>
      </w:r>
    </w:p>
    <w:p>
      <w:pPr>
        <w:pStyle w:val="147"/>
        <w:kinsoku w:val="0"/>
        <w:overflowPunct w:val="0"/>
        <w:spacing w:before="0" w:line="400" w:lineRule="exact"/>
        <w:ind w:left="156" w:right="3687"/>
        <w:jc w:val="center"/>
        <w:outlineLvl w:val="9"/>
        <w:rPr>
          <w:b w:val="0"/>
          <w:bCs w:val="0"/>
          <w:highlight w:val="none"/>
        </w:rPr>
      </w:pPr>
      <w:r>
        <w:rPr>
          <w:highlight w:val="none"/>
        </w:rPr>
        <w:t>19.1</w:t>
      </w:r>
      <w:r>
        <w:rPr>
          <w:spacing w:val="118"/>
          <w:highlight w:val="none"/>
        </w:rPr>
        <w:t xml:space="preserve"> </w:t>
      </w:r>
      <w:r>
        <w:rPr>
          <w:rFonts w:hint="eastAsia"/>
          <w:highlight w:val="none"/>
        </w:rPr>
        <w:t>缺陷责任期（工程质量保修期）的起算时间</w:t>
      </w:r>
      <w:r>
        <w:rPr>
          <w:w w:val="99"/>
          <w:highlight w:val="none"/>
        </w:rPr>
        <w:t xml:space="preserve"> </w:t>
      </w:r>
    </w:p>
    <w:p>
      <w:pPr>
        <w:pStyle w:val="18"/>
        <w:kinsoku w:val="0"/>
        <w:overflowPunct w:val="0"/>
        <w:spacing w:line="400" w:lineRule="exact"/>
        <w:ind w:left="534"/>
        <w:rPr>
          <w:sz w:val="18"/>
          <w:szCs w:val="18"/>
          <w:highlight w:val="none"/>
        </w:rPr>
      </w:pPr>
      <w:r>
        <w:rPr>
          <w:rFonts w:hint="eastAsia"/>
          <w:highlight w:val="none"/>
        </w:rPr>
        <w:t>本工程缺陷责任期（工程质量保修期）为</w:t>
      </w:r>
      <w:r>
        <w:rPr>
          <w:rFonts w:hint="eastAsia"/>
          <w:highlight w:val="none"/>
          <w:u w:val="single"/>
        </w:rPr>
        <w:t xml:space="preserve"> 1</w:t>
      </w:r>
      <w:r>
        <w:rPr>
          <w:rFonts w:hint="eastAsia"/>
          <w:b/>
          <w:bCs/>
          <w:highlight w:val="none"/>
          <w:u w:val="single"/>
        </w:rPr>
        <w:t xml:space="preserve"> </w:t>
      </w:r>
      <w:r>
        <w:rPr>
          <w:rFonts w:hint="eastAsia"/>
          <w:highlight w:val="none"/>
        </w:rPr>
        <w:t>年。</w:t>
      </w:r>
      <w:r>
        <w:rPr>
          <w:highlight w:val="none"/>
        </w:rPr>
        <w:t xml:space="preserve"> </w:t>
      </w:r>
    </w:p>
    <w:p>
      <w:pPr>
        <w:pStyle w:val="18"/>
        <w:kinsoku w:val="0"/>
        <w:overflowPunct w:val="0"/>
        <w:spacing w:line="400" w:lineRule="exact"/>
        <w:ind w:left="567"/>
        <w:rPr>
          <w:highlight w:val="none"/>
        </w:rPr>
      </w:pPr>
      <w:r>
        <w:rPr>
          <w:highlight w:val="none"/>
        </w:rPr>
        <w:t xml:space="preserve">20 </w:t>
      </w:r>
      <w:r>
        <w:rPr>
          <w:spacing w:val="3"/>
          <w:highlight w:val="none"/>
        </w:rPr>
        <w:t xml:space="preserve"> </w:t>
      </w:r>
      <w:r>
        <w:rPr>
          <w:rFonts w:hint="eastAsia"/>
          <w:spacing w:val="-3"/>
          <w:highlight w:val="none"/>
        </w:rPr>
        <w:t>保险</w:t>
      </w:r>
      <w:r>
        <w:rPr>
          <w:highlight w:val="none"/>
        </w:rPr>
        <w:t xml:space="preserve"> </w:t>
      </w:r>
    </w:p>
    <w:p>
      <w:pPr>
        <w:pStyle w:val="18"/>
        <w:kinsoku w:val="0"/>
        <w:overflowPunct w:val="0"/>
        <w:spacing w:line="400" w:lineRule="exact"/>
        <w:ind w:left="534" w:hanging="420"/>
        <w:rPr>
          <w:b/>
          <w:bCs/>
          <w:w w:val="99"/>
          <w:highlight w:val="none"/>
        </w:rPr>
      </w:pPr>
      <w:r>
        <w:rPr>
          <w:b/>
          <w:bCs/>
          <w:highlight w:val="none"/>
        </w:rPr>
        <w:t>20.1</w:t>
      </w:r>
      <w:r>
        <w:rPr>
          <w:b/>
          <w:bCs/>
          <w:spacing w:val="119"/>
          <w:highlight w:val="none"/>
        </w:rPr>
        <w:t xml:space="preserve"> </w:t>
      </w:r>
      <w:r>
        <w:rPr>
          <w:rFonts w:hint="eastAsia"/>
          <w:b/>
          <w:bCs/>
          <w:highlight w:val="none"/>
        </w:rPr>
        <w:t>工程保险</w:t>
      </w:r>
      <w:r>
        <w:rPr>
          <w:b/>
          <w:bCs/>
          <w:w w:val="99"/>
          <w:highlight w:val="none"/>
        </w:rPr>
        <w:t xml:space="preserve"> </w:t>
      </w:r>
    </w:p>
    <w:p>
      <w:pPr>
        <w:pStyle w:val="18"/>
        <w:kinsoku w:val="0"/>
        <w:overflowPunct w:val="0"/>
        <w:spacing w:line="400" w:lineRule="exact"/>
        <w:ind w:left="534" w:hanging="114"/>
        <w:rPr>
          <w:highlight w:val="none"/>
        </w:rPr>
      </w:pPr>
      <w:r>
        <w:rPr>
          <w:rFonts w:hint="eastAsia"/>
          <w:highlight w:val="none"/>
        </w:rPr>
        <w:t>建筑工程一切险和（或）安装工程一切险投保人：</w:t>
      </w:r>
      <w:r>
        <w:rPr>
          <w:rFonts w:hint="eastAsia"/>
          <w:b/>
          <w:bCs/>
          <w:highlight w:val="none"/>
          <w:u w:val="single"/>
        </w:rPr>
        <w:t>由承包人以发包人和承包人的名义投保</w:t>
      </w:r>
      <w:r>
        <w:rPr>
          <w:rFonts w:hint="eastAsia"/>
          <w:highlight w:val="none"/>
        </w:rPr>
        <w:t>；</w:t>
      </w:r>
    </w:p>
    <w:p>
      <w:pPr>
        <w:pStyle w:val="18"/>
        <w:kinsoku w:val="0"/>
        <w:overflowPunct w:val="0"/>
        <w:spacing w:line="400" w:lineRule="exact"/>
        <w:ind w:left="534" w:hanging="114"/>
        <w:rPr>
          <w:spacing w:val="-3"/>
          <w:highlight w:val="none"/>
        </w:rPr>
      </w:pPr>
      <w:r>
        <w:rPr>
          <w:rFonts w:hint="eastAsia"/>
          <w:spacing w:val="-3"/>
          <w:highlight w:val="none"/>
        </w:rPr>
        <w:t>投保内容：</w:t>
      </w:r>
      <w:r>
        <w:rPr>
          <w:rFonts w:hint="eastAsia"/>
          <w:b/>
          <w:bCs/>
          <w:spacing w:val="-3"/>
          <w:highlight w:val="none"/>
          <w:u w:val="single"/>
        </w:rPr>
        <w:t>为本合同工程的永久工程、临时工程和设备及已运至施工工地用于永久工程的材料</w:t>
      </w:r>
    </w:p>
    <w:p>
      <w:pPr>
        <w:pStyle w:val="18"/>
        <w:kinsoku w:val="0"/>
        <w:overflowPunct w:val="0"/>
        <w:spacing w:line="400" w:lineRule="exact"/>
        <w:rPr>
          <w:highlight w:val="none"/>
        </w:rPr>
      </w:pPr>
      <w:r>
        <w:rPr>
          <w:rFonts w:hint="eastAsia"/>
          <w:b/>
          <w:bCs/>
          <w:highlight w:val="none"/>
          <w:u w:val="single"/>
        </w:rPr>
        <w:t>和设备</w:t>
      </w:r>
      <w:r>
        <w:rPr>
          <w:rFonts w:hint="eastAsia"/>
          <w:highlight w:val="none"/>
        </w:rPr>
        <w:t>；</w:t>
      </w:r>
      <w:r>
        <w:rPr>
          <w:highlight w:val="none"/>
        </w:rPr>
        <w:t xml:space="preserve"> </w:t>
      </w:r>
    </w:p>
    <w:p>
      <w:pPr>
        <w:pStyle w:val="156"/>
        <w:kinsoku w:val="0"/>
        <w:overflowPunct w:val="0"/>
        <w:spacing w:before="0" w:line="400" w:lineRule="exact"/>
        <w:ind w:firstLine="472"/>
        <w:outlineLvl w:val="9"/>
        <w:rPr>
          <w:b w:val="0"/>
          <w:bCs w:val="0"/>
          <w:highlight w:val="none"/>
        </w:rPr>
      </w:pPr>
      <w:r>
        <w:rPr>
          <w:rFonts w:hint="eastAsia"/>
          <w:b w:val="0"/>
          <w:bCs w:val="0"/>
          <w:spacing w:val="-4"/>
          <w:highlight w:val="none"/>
        </w:rPr>
        <w:t>保险金额、保险费率和保险期限：</w:t>
      </w:r>
      <w:r>
        <w:rPr>
          <w:rFonts w:hint="eastAsia"/>
          <w:spacing w:val="-4"/>
          <w:highlight w:val="none"/>
          <w:u w:val="single"/>
        </w:rPr>
        <w:t>保险金额按保险人规定，保险费率由承包人与保险人协商确定，保险期限开工日起直至本合同工程签发缺陷责任终止证书止（即合同工期＋缺陷责任期）</w:t>
      </w:r>
      <w:r>
        <w:rPr>
          <w:rFonts w:hint="eastAsia"/>
          <w:b w:val="0"/>
          <w:bCs w:val="0"/>
          <w:spacing w:val="-4"/>
          <w:highlight w:val="none"/>
        </w:rPr>
        <w:t>。</w:t>
      </w:r>
      <w:r>
        <w:rPr>
          <w:w w:val="99"/>
          <w:highlight w:val="none"/>
        </w:rPr>
        <w:t xml:space="preserve"> </w:t>
      </w:r>
    </w:p>
    <w:p>
      <w:pPr>
        <w:pStyle w:val="18"/>
        <w:kinsoku w:val="0"/>
        <w:overflowPunct w:val="0"/>
        <w:spacing w:line="400" w:lineRule="exact"/>
        <w:ind w:left="536"/>
        <w:rPr>
          <w:highlight w:val="none"/>
        </w:rPr>
      </w:pPr>
      <w:r>
        <w:rPr>
          <w:rFonts w:hint="eastAsia"/>
          <w:b/>
          <w:bCs/>
          <w:highlight w:val="none"/>
          <w:u w:val="single"/>
        </w:rPr>
        <w:t>承包人在确定保险人前须经发包人同意。</w:t>
      </w:r>
      <w:r>
        <w:rPr>
          <w:highlight w:val="none"/>
        </w:rPr>
        <w:t xml:space="preserve"> </w:t>
      </w:r>
    </w:p>
    <w:p>
      <w:pPr>
        <w:pStyle w:val="18"/>
        <w:kinsoku w:val="0"/>
        <w:overflowPunct w:val="0"/>
        <w:spacing w:line="400" w:lineRule="exact"/>
        <w:rPr>
          <w:highlight w:val="none"/>
        </w:rPr>
      </w:pPr>
      <w:r>
        <w:rPr>
          <w:b/>
          <w:bCs/>
          <w:highlight w:val="none"/>
        </w:rPr>
        <w:t>20.4</w:t>
      </w:r>
      <w:r>
        <w:rPr>
          <w:b/>
          <w:bCs/>
          <w:spacing w:val="117"/>
          <w:highlight w:val="none"/>
        </w:rPr>
        <w:t xml:space="preserve"> </w:t>
      </w:r>
      <w:r>
        <w:rPr>
          <w:rFonts w:hint="eastAsia"/>
          <w:b/>
          <w:bCs/>
          <w:highlight w:val="none"/>
        </w:rPr>
        <w:t>第三者责任险</w:t>
      </w:r>
      <w:r>
        <w:rPr>
          <w:b/>
          <w:bCs/>
          <w:w w:val="99"/>
          <w:highlight w:val="none"/>
        </w:rPr>
        <w:t xml:space="preserve"> </w:t>
      </w:r>
    </w:p>
    <w:p>
      <w:pPr>
        <w:pStyle w:val="18"/>
        <w:kinsoku w:val="0"/>
        <w:overflowPunct w:val="0"/>
        <w:spacing w:line="400" w:lineRule="exact"/>
        <w:ind w:left="534" w:firstLine="2"/>
        <w:rPr>
          <w:spacing w:val="-7"/>
          <w:highlight w:val="none"/>
        </w:rPr>
      </w:pPr>
      <w:r>
        <w:rPr>
          <w:b/>
          <w:bCs/>
          <w:highlight w:val="none"/>
        </w:rPr>
        <w:t>20.4.2</w:t>
      </w:r>
      <w:r>
        <w:rPr>
          <w:b/>
          <w:bCs/>
          <w:spacing w:val="-54"/>
          <w:highlight w:val="none"/>
        </w:rPr>
        <w:t xml:space="preserve"> </w:t>
      </w:r>
      <w:r>
        <w:rPr>
          <w:rFonts w:hint="eastAsia"/>
          <w:highlight w:val="none"/>
        </w:rPr>
        <w:t>第三者责任险保险费率：</w:t>
      </w:r>
      <w:r>
        <w:rPr>
          <w:rFonts w:hint="eastAsia"/>
          <w:b/>
          <w:bCs/>
          <w:highlight w:val="none"/>
          <w:u w:val="single"/>
        </w:rPr>
        <w:t>由承包人与保险人协商确定</w:t>
      </w:r>
      <w:r>
        <w:rPr>
          <w:rFonts w:hint="eastAsia"/>
          <w:highlight w:val="none"/>
        </w:rPr>
        <w:t>；</w:t>
      </w:r>
      <w:r>
        <w:rPr>
          <w:highlight w:val="none"/>
        </w:rPr>
        <w:t xml:space="preserve"> </w:t>
      </w:r>
      <w:r>
        <w:rPr>
          <w:rFonts w:hint="eastAsia"/>
          <w:highlight w:val="none"/>
        </w:rPr>
        <w:t>第三者责任险保险金额：</w:t>
      </w:r>
      <w:r>
        <w:rPr>
          <w:rFonts w:hint="eastAsia"/>
          <w:b/>
          <w:bCs/>
          <w:highlight w:val="none"/>
          <w:u w:val="single"/>
        </w:rPr>
        <w:t>不低于</w:t>
      </w:r>
      <w:r>
        <w:rPr>
          <w:b/>
          <w:bCs/>
          <w:highlight w:val="none"/>
          <w:u w:val="single"/>
        </w:rPr>
        <w:t xml:space="preserve"> 100</w:t>
      </w:r>
      <w:r>
        <w:rPr>
          <w:b/>
          <w:bCs/>
          <w:spacing w:val="-30"/>
          <w:highlight w:val="none"/>
          <w:u w:val="single"/>
        </w:rPr>
        <w:t xml:space="preserve"> </w:t>
      </w:r>
      <w:r>
        <w:rPr>
          <w:rFonts w:hint="eastAsia"/>
          <w:b/>
          <w:bCs/>
          <w:spacing w:val="-7"/>
          <w:highlight w:val="none"/>
          <w:u w:val="single"/>
        </w:rPr>
        <w:t>万元</w:t>
      </w:r>
      <w:r>
        <w:rPr>
          <w:b/>
          <w:bCs/>
          <w:spacing w:val="-7"/>
          <w:highlight w:val="none"/>
          <w:u w:val="single"/>
        </w:rPr>
        <w:t>/</w:t>
      </w:r>
      <w:r>
        <w:rPr>
          <w:rFonts w:hint="eastAsia"/>
          <w:b/>
          <w:bCs/>
          <w:spacing w:val="-7"/>
          <w:highlight w:val="none"/>
          <w:u w:val="single"/>
        </w:rPr>
        <w:t>年，事故次数不限（不计免赔额）</w:t>
      </w:r>
      <w:r>
        <w:rPr>
          <w:rFonts w:hint="eastAsia"/>
          <w:spacing w:val="-7"/>
          <w:highlight w:val="none"/>
        </w:rPr>
        <w:t>；</w:t>
      </w:r>
      <w:r>
        <w:rPr>
          <w:spacing w:val="-7"/>
          <w:highlight w:val="none"/>
        </w:rPr>
        <w:t xml:space="preserve"> </w:t>
      </w:r>
    </w:p>
    <w:p>
      <w:pPr>
        <w:pStyle w:val="147"/>
        <w:kinsoku w:val="0"/>
        <w:overflowPunct w:val="0"/>
        <w:spacing w:before="0" w:line="400" w:lineRule="exact"/>
        <w:ind w:left="114"/>
        <w:outlineLvl w:val="9"/>
        <w:rPr>
          <w:b w:val="0"/>
          <w:bCs w:val="0"/>
          <w:highlight w:val="none"/>
        </w:rPr>
      </w:pPr>
      <w:r>
        <w:rPr>
          <w:highlight w:val="none"/>
        </w:rPr>
        <w:t>20.5</w:t>
      </w:r>
      <w:r>
        <w:rPr>
          <w:spacing w:val="119"/>
          <w:highlight w:val="none"/>
        </w:rPr>
        <w:t xml:space="preserve"> </w:t>
      </w:r>
      <w:r>
        <w:rPr>
          <w:rFonts w:hint="eastAsia"/>
          <w:highlight w:val="none"/>
        </w:rPr>
        <w:t>其他保险</w:t>
      </w:r>
      <w:r>
        <w:rPr>
          <w:w w:val="99"/>
          <w:highlight w:val="none"/>
        </w:rPr>
        <w:t xml:space="preserve"> </w:t>
      </w:r>
    </w:p>
    <w:p>
      <w:pPr>
        <w:pStyle w:val="18"/>
        <w:tabs>
          <w:tab w:val="left" w:pos="3008"/>
          <w:tab w:val="left" w:pos="3488"/>
          <w:tab w:val="left" w:pos="4002"/>
          <w:tab w:val="left" w:pos="4480"/>
        </w:tabs>
        <w:kinsoku w:val="0"/>
        <w:overflowPunct w:val="0"/>
        <w:spacing w:line="400" w:lineRule="exact"/>
        <w:ind w:left="534" w:right="4389" w:firstLine="60"/>
        <w:rPr>
          <w:highlight w:val="none"/>
        </w:rPr>
      </w:pPr>
      <w:r>
        <w:rPr>
          <w:rFonts w:hint="eastAsia"/>
          <w:spacing w:val="-2"/>
          <w:highlight w:val="none"/>
        </w:rPr>
        <w:t>需要投保的其他内容：</w:t>
      </w:r>
      <w:r>
        <w:rPr>
          <w:spacing w:val="-2"/>
          <w:highlight w:val="none"/>
          <w:u w:val="single"/>
        </w:rPr>
        <w:tab/>
      </w:r>
      <w:r>
        <w:rPr>
          <w:highlight w:val="none"/>
          <w:u w:val="single"/>
        </w:rPr>
        <w:t>/</w:t>
      </w:r>
      <w:r>
        <w:rPr>
          <w:highlight w:val="none"/>
          <w:u w:val="single"/>
        </w:rPr>
        <w:tab/>
      </w:r>
      <w:r>
        <w:rPr>
          <w:rFonts w:hint="eastAsia"/>
          <w:highlight w:val="none"/>
        </w:rPr>
        <w:t>；</w:t>
      </w:r>
      <w:r>
        <w:rPr>
          <w:highlight w:val="none"/>
        </w:rPr>
        <w:t xml:space="preserve"> </w:t>
      </w:r>
    </w:p>
    <w:p>
      <w:pPr>
        <w:pStyle w:val="18"/>
        <w:tabs>
          <w:tab w:val="left" w:pos="3008"/>
          <w:tab w:val="left" w:pos="3488"/>
          <w:tab w:val="left" w:pos="4002"/>
          <w:tab w:val="left" w:pos="4480"/>
        </w:tabs>
        <w:kinsoku w:val="0"/>
        <w:overflowPunct w:val="0"/>
        <w:spacing w:line="400" w:lineRule="exact"/>
        <w:ind w:left="534" w:right="4389" w:firstLine="60"/>
        <w:rPr>
          <w:highlight w:val="none"/>
        </w:rPr>
      </w:pPr>
      <w:r>
        <w:rPr>
          <w:rFonts w:hint="eastAsia"/>
          <w:spacing w:val="-2"/>
          <w:highlight w:val="none"/>
        </w:rPr>
        <w:t>保险金额、保险费率和保险期限：</w:t>
      </w:r>
      <w:r>
        <w:rPr>
          <w:spacing w:val="-2"/>
          <w:highlight w:val="none"/>
          <w:u w:val="single"/>
        </w:rPr>
        <w:tab/>
      </w:r>
      <w:r>
        <w:rPr>
          <w:highlight w:val="none"/>
          <w:u w:val="single"/>
        </w:rPr>
        <w:t>/</w:t>
      </w:r>
      <w:r>
        <w:rPr>
          <w:highlight w:val="none"/>
          <w:u w:val="single"/>
        </w:rPr>
        <w:tab/>
      </w:r>
      <w:r>
        <w:rPr>
          <w:rFonts w:hint="eastAsia"/>
          <w:spacing w:val="-3"/>
          <w:highlight w:val="none"/>
        </w:rPr>
        <w:t>。</w:t>
      </w:r>
      <w:r>
        <w:rPr>
          <w:highlight w:val="none"/>
        </w:rPr>
        <w:t xml:space="preserve"> </w:t>
      </w:r>
    </w:p>
    <w:p>
      <w:pPr>
        <w:pStyle w:val="147"/>
        <w:kinsoku w:val="0"/>
        <w:overflowPunct w:val="0"/>
        <w:spacing w:before="0" w:line="400" w:lineRule="exact"/>
        <w:ind w:left="114"/>
        <w:outlineLvl w:val="9"/>
        <w:rPr>
          <w:b w:val="0"/>
          <w:bCs w:val="0"/>
          <w:highlight w:val="none"/>
        </w:rPr>
      </w:pPr>
      <w:r>
        <w:rPr>
          <w:highlight w:val="none"/>
        </w:rPr>
        <w:t>20.6</w:t>
      </w:r>
      <w:r>
        <w:rPr>
          <w:spacing w:val="118"/>
          <w:highlight w:val="none"/>
        </w:rPr>
        <w:t xml:space="preserve"> </w:t>
      </w:r>
      <w:r>
        <w:rPr>
          <w:rFonts w:hint="eastAsia"/>
          <w:highlight w:val="none"/>
        </w:rPr>
        <w:t>对各项保险的一般要求</w:t>
      </w:r>
      <w:r>
        <w:rPr>
          <w:w w:val="99"/>
          <w:highlight w:val="none"/>
        </w:rPr>
        <w:t xml:space="preserve"> </w:t>
      </w:r>
    </w:p>
    <w:p>
      <w:pPr>
        <w:pStyle w:val="18"/>
        <w:kinsoku w:val="0"/>
        <w:overflowPunct w:val="0"/>
        <w:spacing w:line="400" w:lineRule="exact"/>
        <w:ind w:left="142" w:firstLine="278"/>
        <w:rPr>
          <w:highlight w:val="none"/>
        </w:rPr>
      </w:pPr>
      <w:r>
        <w:rPr>
          <w:b/>
          <w:bCs/>
          <w:highlight w:val="none"/>
        </w:rPr>
        <w:t>20.6.1</w:t>
      </w:r>
      <w:r>
        <w:rPr>
          <w:b/>
          <w:bCs/>
          <w:spacing w:val="-54"/>
          <w:highlight w:val="none"/>
        </w:rPr>
        <w:t xml:space="preserve"> </w:t>
      </w:r>
      <w:r>
        <w:rPr>
          <w:rFonts w:hint="eastAsia"/>
          <w:highlight w:val="none"/>
        </w:rPr>
        <w:t>保险凭证：承包人提交保险凭证的期限：保险手续办理完毕后</w:t>
      </w:r>
      <w:r>
        <w:rPr>
          <w:spacing w:val="-57"/>
          <w:highlight w:val="none"/>
        </w:rPr>
        <w:t xml:space="preserve"> </w:t>
      </w:r>
      <w:r>
        <w:rPr>
          <w:b/>
          <w:bCs/>
          <w:highlight w:val="none"/>
          <w:u w:val="single"/>
        </w:rPr>
        <w:t>14</w:t>
      </w:r>
      <w:r>
        <w:rPr>
          <w:b/>
          <w:bCs/>
          <w:spacing w:val="-53"/>
          <w:highlight w:val="none"/>
          <w:u w:val="single"/>
        </w:rPr>
        <w:t xml:space="preserve"> </w:t>
      </w:r>
      <w:r>
        <w:rPr>
          <w:rFonts w:hint="eastAsia"/>
          <w:highlight w:val="none"/>
        </w:rPr>
        <w:t>天内提交；</w:t>
      </w:r>
      <w:r>
        <w:rPr>
          <w:highlight w:val="none"/>
        </w:rPr>
        <w:t xml:space="preserve"> </w:t>
      </w:r>
      <w:r>
        <w:rPr>
          <w:rFonts w:hint="eastAsia"/>
          <w:highlight w:val="none"/>
        </w:rPr>
        <w:t>保险条件：</w:t>
      </w:r>
      <w:r>
        <w:rPr>
          <w:rFonts w:hint="eastAsia"/>
          <w:b/>
          <w:bCs/>
          <w:highlight w:val="none"/>
          <w:u w:val="single"/>
        </w:rPr>
        <w:t>满足合同条款的规定</w:t>
      </w:r>
      <w:r>
        <w:rPr>
          <w:rFonts w:hint="eastAsia"/>
          <w:highlight w:val="none"/>
        </w:rPr>
        <w:t>。</w:t>
      </w:r>
      <w:r>
        <w:rPr>
          <w:highlight w:val="none"/>
        </w:rPr>
        <w:t xml:space="preserve"> </w:t>
      </w:r>
    </w:p>
    <w:p>
      <w:pPr>
        <w:pStyle w:val="18"/>
        <w:kinsoku w:val="0"/>
        <w:overflowPunct w:val="0"/>
        <w:spacing w:line="400" w:lineRule="exact"/>
        <w:ind w:left="142" w:firstLine="278"/>
        <w:rPr>
          <w:sz w:val="18"/>
          <w:szCs w:val="18"/>
          <w:highlight w:val="none"/>
        </w:rPr>
      </w:pPr>
      <w:r>
        <w:rPr>
          <w:b/>
          <w:bCs/>
          <w:highlight w:val="none"/>
        </w:rPr>
        <w:t>20.6.4</w:t>
      </w:r>
      <w:r>
        <w:rPr>
          <w:b/>
          <w:bCs/>
          <w:spacing w:val="-53"/>
          <w:highlight w:val="none"/>
        </w:rPr>
        <w:t xml:space="preserve"> </w:t>
      </w:r>
      <w:r>
        <w:rPr>
          <w:rFonts w:hint="eastAsia"/>
          <w:highlight w:val="none"/>
        </w:rPr>
        <w:t>保险金不足的补偿</w:t>
      </w:r>
      <w:r>
        <w:rPr>
          <w:highlight w:val="none"/>
        </w:rPr>
        <w:t xml:space="preserve"> </w:t>
      </w:r>
      <w:r>
        <w:rPr>
          <w:rFonts w:hint="eastAsia"/>
          <w:highlight w:val="none"/>
        </w:rPr>
        <w:t>承包人负责补偿的范围与金额：</w:t>
      </w:r>
      <w:r>
        <w:rPr>
          <w:rFonts w:hint="eastAsia"/>
          <w:b/>
          <w:bCs/>
          <w:highlight w:val="none"/>
          <w:u w:val="single"/>
        </w:rPr>
        <w:t>承包人原因引起的损失，由承包人承担</w:t>
      </w:r>
      <w:r>
        <w:rPr>
          <w:rFonts w:hint="eastAsia"/>
          <w:highlight w:val="none"/>
        </w:rPr>
        <w:t>；发包人负责补偿的范围与金额：</w:t>
      </w:r>
      <w:r>
        <w:rPr>
          <w:rFonts w:hint="eastAsia"/>
          <w:b/>
          <w:bCs/>
          <w:highlight w:val="none"/>
          <w:u w:val="single"/>
        </w:rPr>
        <w:t>/。</w:t>
      </w:r>
    </w:p>
    <w:p>
      <w:pPr>
        <w:pStyle w:val="18"/>
        <w:kinsoku w:val="0"/>
        <w:overflowPunct w:val="0"/>
        <w:spacing w:line="400" w:lineRule="exact"/>
        <w:ind w:left="156" w:right="7259"/>
        <w:jc w:val="center"/>
        <w:rPr>
          <w:highlight w:val="none"/>
        </w:rPr>
      </w:pPr>
      <w:r>
        <w:rPr>
          <w:highlight w:val="none"/>
        </w:rPr>
        <w:t xml:space="preserve">22 </w:t>
      </w:r>
      <w:r>
        <w:rPr>
          <w:spacing w:val="3"/>
          <w:highlight w:val="none"/>
        </w:rPr>
        <w:t xml:space="preserve"> </w:t>
      </w:r>
      <w:r>
        <w:rPr>
          <w:rFonts w:hint="eastAsia"/>
          <w:spacing w:val="-3"/>
          <w:highlight w:val="none"/>
        </w:rPr>
        <w:t>违约</w:t>
      </w:r>
      <w:r>
        <w:rPr>
          <w:highlight w:val="none"/>
        </w:rPr>
        <w:t xml:space="preserve"> </w:t>
      </w:r>
    </w:p>
    <w:p>
      <w:pPr>
        <w:pStyle w:val="147"/>
        <w:kinsoku w:val="0"/>
        <w:overflowPunct w:val="0"/>
        <w:spacing w:before="0" w:line="400" w:lineRule="exact"/>
        <w:ind w:left="156" w:right="7062"/>
        <w:jc w:val="center"/>
        <w:outlineLvl w:val="9"/>
        <w:rPr>
          <w:b w:val="0"/>
          <w:bCs w:val="0"/>
          <w:highlight w:val="none"/>
        </w:rPr>
      </w:pPr>
      <w:r>
        <w:rPr>
          <w:highlight w:val="none"/>
        </w:rPr>
        <w:t>22.1</w:t>
      </w:r>
      <w:r>
        <w:rPr>
          <w:rFonts w:hint="eastAsia"/>
          <w:highlight w:val="none"/>
        </w:rPr>
        <w:t>承包人违约</w:t>
      </w:r>
      <w:r>
        <w:rPr>
          <w:w w:val="99"/>
          <w:highlight w:val="none"/>
        </w:rPr>
        <w:t xml:space="preserve"> </w:t>
      </w:r>
    </w:p>
    <w:p>
      <w:pPr>
        <w:pStyle w:val="156"/>
        <w:kinsoku w:val="0"/>
        <w:overflowPunct w:val="0"/>
        <w:spacing w:before="0" w:line="400" w:lineRule="exact"/>
        <w:ind w:left="536" w:right="-24"/>
        <w:outlineLvl w:val="9"/>
        <w:rPr>
          <w:b w:val="0"/>
          <w:bCs w:val="0"/>
          <w:highlight w:val="none"/>
        </w:rPr>
      </w:pPr>
      <w:r>
        <w:rPr>
          <w:highlight w:val="none"/>
        </w:rPr>
        <w:t>22.1.1</w:t>
      </w:r>
      <w:r>
        <w:rPr>
          <w:spacing w:val="103"/>
          <w:highlight w:val="none"/>
        </w:rPr>
        <w:t xml:space="preserve"> </w:t>
      </w:r>
      <w:r>
        <w:rPr>
          <w:rFonts w:hint="eastAsia"/>
          <w:highlight w:val="none"/>
        </w:rPr>
        <w:t>承包人违约的情形本项增加：</w:t>
      </w:r>
      <w:r>
        <w:rPr>
          <w:spacing w:val="-3"/>
          <w:w w:val="99"/>
          <w:highlight w:val="none"/>
        </w:rPr>
        <w:t xml:space="preserve"> </w:t>
      </w:r>
      <w:r>
        <w:rPr>
          <w:w w:val="99"/>
          <w:highlight w:val="none"/>
        </w:rPr>
        <w:t xml:space="preserve"> </w:t>
      </w:r>
    </w:p>
    <w:p>
      <w:pPr>
        <w:pStyle w:val="18"/>
        <w:kinsoku w:val="0"/>
        <w:overflowPunct w:val="0"/>
        <w:spacing w:line="400" w:lineRule="exact"/>
        <w:ind w:left="536"/>
        <w:rPr>
          <w:highlight w:val="none"/>
        </w:rPr>
      </w:pPr>
      <w:r>
        <w:rPr>
          <w:rFonts w:hint="eastAsia"/>
          <w:b/>
          <w:bCs/>
          <w:highlight w:val="none"/>
        </w:rPr>
        <w:t>（</w:t>
      </w:r>
      <w:r>
        <w:rPr>
          <w:b/>
          <w:bCs/>
          <w:highlight w:val="none"/>
        </w:rPr>
        <w:t>8</w:t>
      </w:r>
      <w:r>
        <w:rPr>
          <w:rFonts w:hint="eastAsia"/>
          <w:b/>
          <w:bCs/>
          <w:highlight w:val="none"/>
        </w:rPr>
        <w:t>）承包人未按未按招标文件的要求进行安全、文明施工。</w:t>
      </w:r>
      <w:r>
        <w:rPr>
          <w:b/>
          <w:bCs/>
          <w:w w:val="99"/>
          <w:highlight w:val="none"/>
        </w:rPr>
        <w:t xml:space="preserve"> </w:t>
      </w:r>
    </w:p>
    <w:p>
      <w:pPr>
        <w:pStyle w:val="18"/>
        <w:kinsoku w:val="0"/>
        <w:overflowPunct w:val="0"/>
        <w:spacing w:line="400" w:lineRule="exact"/>
        <w:ind w:left="536"/>
        <w:rPr>
          <w:highlight w:val="none"/>
        </w:rPr>
      </w:pPr>
      <w:r>
        <w:rPr>
          <w:rFonts w:hint="eastAsia"/>
          <w:b/>
          <w:bCs/>
          <w:highlight w:val="none"/>
        </w:rPr>
        <w:t>（</w:t>
      </w:r>
      <w:r>
        <w:rPr>
          <w:b/>
          <w:bCs/>
          <w:highlight w:val="none"/>
        </w:rPr>
        <w:t>9</w:t>
      </w:r>
      <w:r>
        <w:rPr>
          <w:rFonts w:hint="eastAsia"/>
          <w:b/>
          <w:bCs/>
          <w:highlight w:val="none"/>
        </w:rPr>
        <w:t>）承包人未按合同约定时间及时在规定期限内上交竣工资料。</w:t>
      </w:r>
      <w:r>
        <w:rPr>
          <w:b/>
          <w:bCs/>
          <w:w w:val="99"/>
          <w:highlight w:val="none"/>
        </w:rPr>
        <w:t xml:space="preserve"> </w:t>
      </w:r>
    </w:p>
    <w:p>
      <w:pPr>
        <w:pStyle w:val="18"/>
        <w:kinsoku w:val="0"/>
        <w:overflowPunct w:val="0"/>
        <w:spacing w:line="400" w:lineRule="exact"/>
        <w:ind w:left="536"/>
        <w:rPr>
          <w:highlight w:val="none"/>
        </w:rPr>
      </w:pPr>
      <w:r>
        <w:rPr>
          <w:rFonts w:hint="eastAsia"/>
          <w:b/>
          <w:bCs/>
          <w:highlight w:val="none"/>
        </w:rPr>
        <w:t>（</w:t>
      </w:r>
      <w:r>
        <w:rPr>
          <w:b/>
          <w:bCs/>
          <w:highlight w:val="none"/>
        </w:rPr>
        <w:t>10</w:t>
      </w:r>
      <w:r>
        <w:rPr>
          <w:rFonts w:hint="eastAsia"/>
          <w:b/>
          <w:bCs/>
          <w:highlight w:val="none"/>
        </w:rPr>
        <w:t>）连续三个月未完成监理人批准的施工月度计划。</w:t>
      </w:r>
      <w:r>
        <w:rPr>
          <w:b/>
          <w:bCs/>
          <w:w w:val="99"/>
          <w:highlight w:val="none"/>
        </w:rPr>
        <w:t xml:space="preserve"> </w:t>
      </w:r>
    </w:p>
    <w:p>
      <w:pPr>
        <w:pStyle w:val="18"/>
        <w:kinsoku w:val="0"/>
        <w:overflowPunct w:val="0"/>
        <w:spacing w:line="400" w:lineRule="exact"/>
        <w:ind w:left="536" w:right="2552"/>
        <w:rPr>
          <w:b/>
          <w:bCs/>
          <w:w w:val="99"/>
          <w:highlight w:val="none"/>
        </w:rPr>
      </w:pPr>
      <w:r>
        <w:rPr>
          <w:rFonts w:hint="eastAsia"/>
          <w:b/>
          <w:bCs/>
          <w:highlight w:val="none"/>
        </w:rPr>
        <w:t>（</w:t>
      </w:r>
      <w:r>
        <w:rPr>
          <w:b/>
          <w:bCs/>
          <w:highlight w:val="none"/>
        </w:rPr>
        <w:t>11</w:t>
      </w:r>
      <w:r>
        <w:rPr>
          <w:rFonts w:hint="eastAsia"/>
          <w:b/>
          <w:bCs/>
          <w:highlight w:val="none"/>
        </w:rPr>
        <w:t>）项目经理和技术负责人连续三个月未按要求到岗的。</w:t>
      </w:r>
      <w:r>
        <w:rPr>
          <w:b/>
          <w:bCs/>
          <w:w w:val="99"/>
          <w:highlight w:val="none"/>
        </w:rPr>
        <w:t xml:space="preserve"> </w:t>
      </w:r>
    </w:p>
    <w:p>
      <w:pPr>
        <w:pStyle w:val="18"/>
        <w:kinsoku w:val="0"/>
        <w:overflowPunct w:val="0"/>
        <w:spacing w:line="400" w:lineRule="exact"/>
        <w:ind w:left="536" w:right="2552"/>
        <w:rPr>
          <w:highlight w:val="none"/>
        </w:rPr>
      </w:pPr>
      <w:r>
        <w:rPr>
          <w:b/>
          <w:bCs/>
          <w:highlight w:val="none"/>
        </w:rPr>
        <w:t>22.1.2</w:t>
      </w:r>
      <w:r>
        <w:rPr>
          <w:b/>
          <w:bCs/>
          <w:spacing w:val="103"/>
          <w:highlight w:val="none"/>
        </w:rPr>
        <w:t xml:space="preserve"> </w:t>
      </w:r>
      <w:r>
        <w:rPr>
          <w:rFonts w:hint="eastAsia"/>
          <w:b/>
          <w:bCs/>
          <w:highlight w:val="none"/>
        </w:rPr>
        <w:t>对承包人违约的处理</w:t>
      </w:r>
      <w:r>
        <w:rPr>
          <w:b/>
          <w:bCs/>
          <w:w w:val="99"/>
          <w:highlight w:val="none"/>
        </w:rPr>
        <w:t xml:space="preserve"> </w:t>
      </w:r>
    </w:p>
    <w:p>
      <w:pPr>
        <w:pStyle w:val="18"/>
        <w:kinsoku w:val="0"/>
        <w:overflowPunct w:val="0"/>
        <w:spacing w:line="400" w:lineRule="exact"/>
        <w:ind w:firstLine="422"/>
      </w:pPr>
      <w:r>
        <w:rPr>
          <w:rFonts w:hint="eastAsia"/>
          <w:b/>
          <w:bCs/>
        </w:rPr>
        <w:t>（1）承包人发生第</w:t>
      </w:r>
      <w:r>
        <w:rPr>
          <w:b/>
          <w:bCs/>
          <w:spacing w:val="-8"/>
        </w:rPr>
        <w:t xml:space="preserve"> </w:t>
      </w:r>
      <w:r>
        <w:rPr>
          <w:b/>
          <w:bCs/>
        </w:rPr>
        <w:t>22.1.1(8)</w:t>
      </w:r>
      <w:r>
        <w:rPr>
          <w:rFonts w:hint="eastAsia"/>
          <w:b/>
          <w:bCs/>
        </w:rPr>
        <w:t>目约定的违约情形时，若发现问题且情节较轻，发包人第一次</w:t>
      </w:r>
      <w:r>
        <w:rPr>
          <w:b/>
          <w:bCs/>
        </w:rPr>
        <w:t xml:space="preserve"> </w:t>
      </w:r>
      <w:r>
        <w:rPr>
          <w:rFonts w:hint="eastAsia"/>
          <w:b/>
          <w:bCs/>
        </w:rPr>
        <w:t>警告，并限期整改，情节较重的，扣除</w:t>
      </w:r>
      <w:r>
        <w:rPr>
          <w:b/>
          <w:bCs/>
          <w:spacing w:val="-29"/>
        </w:rPr>
        <w:t xml:space="preserve"> </w:t>
      </w:r>
      <w:r>
        <w:rPr>
          <w:b/>
          <w:bCs/>
        </w:rPr>
        <w:t>1000</w:t>
      </w:r>
      <w:r>
        <w:rPr>
          <w:b/>
          <w:bCs/>
          <w:spacing w:val="-27"/>
        </w:rPr>
        <w:t xml:space="preserve"> </w:t>
      </w:r>
      <w:r>
        <w:rPr>
          <w:rFonts w:hint="eastAsia"/>
          <w:b/>
          <w:bCs/>
        </w:rPr>
        <w:t>至</w:t>
      </w:r>
      <w:r>
        <w:rPr>
          <w:b/>
          <w:bCs/>
          <w:spacing w:val="-30"/>
        </w:rPr>
        <w:t xml:space="preserve"> </w:t>
      </w:r>
      <w:r>
        <w:rPr>
          <w:b/>
          <w:bCs/>
        </w:rPr>
        <w:t>5000</w:t>
      </w:r>
      <w:r>
        <w:rPr>
          <w:b/>
          <w:bCs/>
          <w:spacing w:val="-30"/>
        </w:rPr>
        <w:t xml:space="preserve"> </w:t>
      </w:r>
      <w:r>
        <w:rPr>
          <w:rFonts w:hint="eastAsia"/>
          <w:b/>
          <w:bCs/>
        </w:rPr>
        <w:t>元整的文明施工费（具体按发包人制定的相关制度执行）；被二次发现问题，扣除</w:t>
      </w:r>
      <w:r>
        <w:rPr>
          <w:b/>
          <w:bCs/>
          <w:spacing w:val="-56"/>
        </w:rPr>
        <w:t xml:space="preserve"> </w:t>
      </w:r>
      <w:r>
        <w:rPr>
          <w:b/>
          <w:bCs/>
        </w:rPr>
        <w:t>5000</w:t>
      </w:r>
      <w:r>
        <w:rPr>
          <w:b/>
          <w:bCs/>
          <w:spacing w:val="-56"/>
        </w:rPr>
        <w:t xml:space="preserve"> </w:t>
      </w:r>
      <w:r>
        <w:rPr>
          <w:rFonts w:hint="eastAsia"/>
          <w:b/>
          <w:bCs/>
        </w:rPr>
        <w:t>元整的文明施工费，若再次发生，加倍扣罚。若由于施工不文明、不安全、市场行为不规范等被媒体曝光或被有关管理部门检查通报，每次扣除承包</w:t>
      </w:r>
      <w:r>
        <w:rPr>
          <w:b/>
          <w:bCs/>
          <w:spacing w:val="-14"/>
        </w:rPr>
        <w:t xml:space="preserve"> </w:t>
      </w:r>
      <w:r>
        <w:rPr>
          <w:rFonts w:hint="eastAsia"/>
          <w:b/>
          <w:bCs/>
        </w:rPr>
        <w:t>人</w:t>
      </w:r>
      <w:r>
        <w:rPr>
          <w:b/>
          <w:bCs/>
          <w:spacing w:val="-54"/>
        </w:rPr>
        <w:t xml:space="preserve"> </w:t>
      </w:r>
      <w:r>
        <w:rPr>
          <w:b/>
          <w:bCs/>
        </w:rPr>
        <w:t>30000</w:t>
      </w:r>
      <w:r>
        <w:rPr>
          <w:b/>
          <w:bCs/>
          <w:spacing w:val="-54"/>
        </w:rPr>
        <w:t xml:space="preserve"> </w:t>
      </w:r>
      <w:r>
        <w:rPr>
          <w:rFonts w:hint="eastAsia"/>
          <w:b/>
          <w:bCs/>
        </w:rPr>
        <w:t>元整。</w:t>
      </w:r>
      <w:r>
        <w:rPr>
          <w:b/>
          <w:bCs/>
          <w:w w:val="99"/>
        </w:rPr>
        <w:t xml:space="preserve"> </w:t>
      </w:r>
    </w:p>
    <w:p>
      <w:pPr>
        <w:pStyle w:val="18"/>
        <w:kinsoku w:val="0"/>
        <w:overflowPunct w:val="0"/>
        <w:spacing w:line="400" w:lineRule="exact"/>
        <w:ind w:firstLine="422"/>
      </w:pPr>
      <w:r>
        <w:rPr>
          <w:rFonts w:hint="eastAsia"/>
          <w:b/>
          <w:bCs/>
        </w:rPr>
        <w:t>（2）承包人发生第</w:t>
      </w:r>
      <w:r>
        <w:rPr>
          <w:b/>
          <w:bCs/>
          <w:spacing w:val="-8"/>
        </w:rPr>
        <w:t xml:space="preserve"> </w:t>
      </w:r>
      <w:r>
        <w:rPr>
          <w:b/>
          <w:bCs/>
        </w:rPr>
        <w:t>22.1.1</w:t>
      </w:r>
      <w:r>
        <w:rPr>
          <w:rFonts w:hint="eastAsia"/>
          <w:b/>
          <w:bCs/>
        </w:rPr>
        <w:t>（</w:t>
      </w:r>
      <w:r>
        <w:rPr>
          <w:b/>
          <w:bCs/>
        </w:rPr>
        <w:t>9</w:t>
      </w:r>
      <w:r>
        <w:rPr>
          <w:rFonts w:hint="eastAsia"/>
          <w:b/>
          <w:bCs/>
        </w:rPr>
        <w:t>）目约定的违约情形时，上交竣工资料每延迟一天，在应支付</w:t>
      </w:r>
      <w:r>
        <w:rPr>
          <w:b/>
          <w:bCs/>
        </w:rPr>
        <w:t xml:space="preserve"> </w:t>
      </w:r>
      <w:r>
        <w:rPr>
          <w:rFonts w:hint="eastAsia"/>
          <w:b/>
          <w:bCs/>
        </w:rPr>
        <w:t>工程款内扣罚</w:t>
      </w:r>
      <w:r>
        <w:rPr>
          <w:b/>
          <w:bCs/>
          <w:spacing w:val="-55"/>
        </w:rPr>
        <w:t xml:space="preserve"> </w:t>
      </w:r>
      <w:r>
        <w:rPr>
          <w:b/>
          <w:bCs/>
        </w:rPr>
        <w:t>1000</w:t>
      </w:r>
      <w:r>
        <w:rPr>
          <w:b/>
          <w:bCs/>
          <w:spacing w:val="-55"/>
        </w:rPr>
        <w:t xml:space="preserve"> </w:t>
      </w:r>
      <w:r>
        <w:rPr>
          <w:rFonts w:hint="eastAsia"/>
          <w:b/>
          <w:bCs/>
        </w:rPr>
        <w:t>元整。</w:t>
      </w:r>
      <w:r>
        <w:rPr>
          <w:b/>
          <w:bCs/>
          <w:w w:val="99"/>
        </w:rPr>
        <w:t xml:space="preserve"> </w:t>
      </w:r>
    </w:p>
    <w:p>
      <w:pPr>
        <w:pStyle w:val="18"/>
        <w:kinsoku w:val="0"/>
        <w:overflowPunct w:val="0"/>
        <w:spacing w:line="400" w:lineRule="exact"/>
        <w:ind w:firstLine="422"/>
        <w:rPr>
          <w:sz w:val="13"/>
          <w:szCs w:val="13"/>
        </w:rPr>
      </w:pPr>
      <w:r>
        <w:rPr>
          <w:rFonts w:hint="eastAsia"/>
          <w:b/>
          <w:bCs/>
        </w:rPr>
        <w:t>（3）承包人发生第</w:t>
      </w:r>
      <w:r>
        <w:rPr>
          <w:b/>
          <w:bCs/>
        </w:rPr>
        <w:t xml:space="preserve"> 22.1.1</w:t>
      </w:r>
      <w:r>
        <w:rPr>
          <w:b/>
          <w:bCs/>
          <w:spacing w:val="-12"/>
        </w:rPr>
        <w:t xml:space="preserve"> </w:t>
      </w:r>
      <w:r>
        <w:rPr>
          <w:rFonts w:hint="eastAsia"/>
          <w:b/>
          <w:bCs/>
        </w:rPr>
        <w:t>（</w:t>
      </w:r>
      <w:r>
        <w:rPr>
          <w:b/>
          <w:bCs/>
        </w:rPr>
        <w:t>10</w:t>
      </w:r>
      <w:r>
        <w:rPr>
          <w:rFonts w:hint="eastAsia"/>
          <w:b/>
          <w:bCs/>
        </w:rPr>
        <w:t>）、（</w:t>
      </w:r>
      <w:r>
        <w:rPr>
          <w:b/>
          <w:bCs/>
        </w:rPr>
        <w:t>11</w:t>
      </w:r>
      <w:r>
        <w:rPr>
          <w:rFonts w:hint="eastAsia"/>
          <w:b/>
          <w:bCs/>
        </w:rPr>
        <w:t>）目约定的情形时，发包人按照不良行为记录上报省水利厅。</w:t>
      </w:r>
      <w:r>
        <w:t xml:space="preserve"> </w:t>
      </w:r>
    </w:p>
    <w:p>
      <w:pPr>
        <w:pStyle w:val="18"/>
        <w:kinsoku w:val="0"/>
        <w:overflowPunct w:val="0"/>
        <w:spacing w:line="400" w:lineRule="exact"/>
        <w:ind w:left="567"/>
      </w:pPr>
      <w:r>
        <w:t>24</w:t>
      </w:r>
      <w:r>
        <w:rPr>
          <w:spacing w:val="103"/>
        </w:rPr>
        <w:t xml:space="preserve"> </w:t>
      </w:r>
      <w:r>
        <w:rPr>
          <w:rFonts w:hint="eastAsia"/>
        </w:rPr>
        <w:t>争议的解决</w:t>
      </w:r>
      <w:r>
        <w:t xml:space="preserve"> </w:t>
      </w:r>
    </w:p>
    <w:p>
      <w:pPr>
        <w:pStyle w:val="147"/>
        <w:kinsoku w:val="0"/>
        <w:overflowPunct w:val="0"/>
        <w:spacing w:before="0" w:line="400" w:lineRule="exact"/>
        <w:ind w:left="114"/>
        <w:jc w:val="both"/>
        <w:outlineLvl w:val="9"/>
        <w:rPr>
          <w:b w:val="0"/>
          <w:bCs w:val="0"/>
        </w:rPr>
      </w:pPr>
      <w:r>
        <w:t>24.1</w:t>
      </w:r>
      <w:r>
        <w:rPr>
          <w:spacing w:val="118"/>
        </w:rPr>
        <w:t xml:space="preserve"> </w:t>
      </w:r>
      <w:r>
        <w:rPr>
          <w:rFonts w:hint="eastAsia"/>
        </w:rPr>
        <w:t>争议的解决方式</w:t>
      </w:r>
      <w:r>
        <w:rPr>
          <w:w w:val="99"/>
        </w:rPr>
        <w:t xml:space="preserve"> </w:t>
      </w:r>
    </w:p>
    <w:p>
      <w:pPr>
        <w:pStyle w:val="18"/>
        <w:kinsoku w:val="0"/>
        <w:overflowPunct w:val="0"/>
        <w:spacing w:line="400" w:lineRule="exact"/>
        <w:ind w:firstLine="420"/>
      </w:pPr>
      <w:r>
        <w:rPr>
          <w:rFonts w:hint="eastAsia"/>
          <w:spacing w:val="-4"/>
        </w:rPr>
        <w:t>合同当事人友好协商解决不成、不愿提请争议评审或不接受争议评审组意见的，约定的合同争</w:t>
      </w:r>
      <w:r>
        <w:t xml:space="preserve"> </w:t>
      </w:r>
      <w:r>
        <w:rPr>
          <w:rFonts w:hint="eastAsia"/>
        </w:rPr>
        <w:t>议解决方式：</w:t>
      </w:r>
      <w:r>
        <w:rPr>
          <w:rFonts w:hint="eastAsia"/>
          <w:b/>
          <w:bCs/>
          <w:u w:val="single"/>
        </w:rPr>
        <w:t>提交仲裁，提交仲裁机构为金华仲裁委员会。</w:t>
      </w:r>
    </w:p>
    <w:p>
      <w:pPr>
        <w:pStyle w:val="147"/>
        <w:kinsoku w:val="0"/>
        <w:overflowPunct w:val="0"/>
        <w:spacing w:before="0" w:line="400" w:lineRule="exact"/>
        <w:ind w:left="114"/>
        <w:jc w:val="both"/>
        <w:outlineLvl w:val="9"/>
        <w:rPr>
          <w:b w:val="0"/>
          <w:bCs w:val="0"/>
        </w:rPr>
      </w:pPr>
      <w:r>
        <w:t>24.2</w:t>
      </w:r>
      <w:r>
        <w:rPr>
          <w:spacing w:val="119"/>
        </w:rPr>
        <w:t xml:space="preserve"> </w:t>
      </w:r>
      <w:r>
        <w:rPr>
          <w:rFonts w:hint="eastAsia"/>
        </w:rPr>
        <w:t>友好解决</w:t>
      </w:r>
      <w:r>
        <w:rPr>
          <w:w w:val="99"/>
        </w:rPr>
        <w:t xml:space="preserve"> </w:t>
      </w:r>
    </w:p>
    <w:p>
      <w:pPr>
        <w:pStyle w:val="18"/>
        <w:kinsoku w:val="0"/>
        <w:overflowPunct w:val="0"/>
        <w:spacing w:line="400" w:lineRule="exact"/>
        <w:ind w:firstLine="420"/>
      </w:pPr>
      <w:r>
        <w:rPr>
          <w:rFonts w:hint="eastAsia"/>
          <w:spacing w:val="-4"/>
        </w:rPr>
        <w:t>合同当事人可以就争议请第三方或省水行政主管部门进行调解，调解达成协议的，经双</w:t>
      </w:r>
      <w:r>
        <w:t xml:space="preserve"> </w:t>
      </w:r>
      <w:r>
        <w:rPr>
          <w:rFonts w:hint="eastAsia"/>
        </w:rPr>
        <w:t>方签字并盖章后作为合同补充文件，双方均应遵照执行。</w:t>
      </w:r>
      <w:r>
        <w:t xml:space="preserve"> </w:t>
      </w:r>
    </w:p>
    <w:p>
      <w:pPr>
        <w:pStyle w:val="147"/>
        <w:kinsoku w:val="0"/>
        <w:overflowPunct w:val="0"/>
        <w:spacing w:before="0" w:line="400" w:lineRule="exact"/>
        <w:ind w:left="114"/>
        <w:jc w:val="both"/>
        <w:outlineLvl w:val="9"/>
        <w:rPr>
          <w:b w:val="0"/>
          <w:bCs w:val="0"/>
        </w:rPr>
      </w:pPr>
      <w:r>
        <w:t>24.3</w:t>
      </w:r>
      <w:r>
        <w:rPr>
          <w:spacing w:val="119"/>
        </w:rPr>
        <w:t xml:space="preserve"> </w:t>
      </w:r>
      <w:r>
        <w:rPr>
          <w:rFonts w:hint="eastAsia"/>
        </w:rPr>
        <w:t>争议评审</w:t>
      </w:r>
      <w:r>
        <w:rPr>
          <w:w w:val="99"/>
        </w:rPr>
        <w:t xml:space="preserve"> </w:t>
      </w:r>
    </w:p>
    <w:p>
      <w:pPr>
        <w:pStyle w:val="18"/>
        <w:kinsoku w:val="0"/>
        <w:overflowPunct w:val="0"/>
        <w:spacing w:line="400" w:lineRule="exact"/>
        <w:ind w:left="536"/>
      </w:pPr>
      <w:r>
        <w:rPr>
          <w:b/>
          <w:bCs/>
        </w:rPr>
        <w:t>24.3.7</w:t>
      </w:r>
      <w:r>
        <w:rPr>
          <w:rFonts w:hint="eastAsia"/>
          <w:spacing w:val="-2"/>
        </w:rPr>
        <w:t>发包人或承包人不接受评审意见，可请省水行政主管部门进行调解。</w:t>
      </w:r>
      <w:r>
        <w:t xml:space="preserve"> </w:t>
      </w:r>
    </w:p>
    <w:p>
      <w:pPr>
        <w:pStyle w:val="18"/>
        <w:kinsoku w:val="0"/>
        <w:overflowPunct w:val="0"/>
        <w:spacing w:line="400" w:lineRule="exact"/>
        <w:ind w:left="567"/>
      </w:pPr>
      <w:r>
        <w:t xml:space="preserve">25 </w:t>
      </w:r>
      <w:r>
        <w:rPr>
          <w:spacing w:val="9"/>
        </w:rPr>
        <w:t xml:space="preserve"> </w:t>
      </w:r>
      <w:r>
        <w:rPr>
          <w:rFonts w:hint="eastAsia"/>
          <w:spacing w:val="-3"/>
        </w:rPr>
        <w:t>合同类型</w:t>
      </w:r>
      <w:r>
        <w:t xml:space="preserve"> </w:t>
      </w:r>
    </w:p>
    <w:p>
      <w:pPr>
        <w:pStyle w:val="156"/>
        <w:kinsoku w:val="0"/>
        <w:overflowPunct w:val="0"/>
        <w:spacing w:before="0" w:line="400" w:lineRule="exact"/>
        <w:outlineLvl w:val="9"/>
        <w:rPr>
          <w:sz w:val="15"/>
          <w:szCs w:val="15"/>
        </w:rPr>
      </w:pPr>
      <w:r>
        <w:rPr>
          <w:b w:val="0"/>
          <w:bCs w:val="0"/>
        </w:rPr>
        <w:t>25.1</w:t>
      </w:r>
      <w:r>
        <w:rPr>
          <w:b w:val="0"/>
          <w:bCs w:val="0"/>
          <w:spacing w:val="-4"/>
        </w:rPr>
        <w:t xml:space="preserve"> </w:t>
      </w:r>
      <w:r>
        <w:rPr>
          <w:rFonts w:hint="eastAsia"/>
        </w:rPr>
        <w:t>本合同永久工程采用单价承包，在合同执行期内，单价不变；在工程竣工结算时，施</w:t>
      </w:r>
      <w:r>
        <w:t xml:space="preserve"> </w:t>
      </w:r>
      <w:r>
        <w:rPr>
          <w:rFonts w:hint="eastAsia"/>
          <w:spacing w:val="-1"/>
        </w:rPr>
        <w:t>工临时工程（暨措施项目）的结算金额按投标报价包干不得调整。</w:t>
      </w:r>
      <w:r>
        <w:rPr>
          <w:b w:val="0"/>
          <w:bCs w:val="0"/>
        </w:rPr>
        <w:t xml:space="preserve"> </w:t>
      </w:r>
    </w:p>
    <w:p>
      <w:pPr>
        <w:pStyle w:val="18"/>
        <w:kinsoku w:val="0"/>
        <w:overflowPunct w:val="0"/>
        <w:spacing w:line="400" w:lineRule="exact"/>
        <w:ind w:firstLine="527"/>
        <w:rPr>
          <w:rFonts w:hAnsi="宋体"/>
          <w:spacing w:val="-3"/>
        </w:rPr>
      </w:pPr>
      <w:r>
        <w:rPr>
          <w:rFonts w:hint="eastAsia"/>
          <w:b/>
          <w:bCs/>
        </w:rPr>
        <w:t>其他项目清单计价表中的安全施工费实行标外管理。</w:t>
      </w:r>
      <w:r>
        <w:t>“</w:t>
      </w:r>
      <w:r>
        <w:rPr>
          <w:rFonts w:hint="eastAsia"/>
        </w:rPr>
        <w:t>安全施工费</w:t>
      </w:r>
      <w:r>
        <w:t>”</w:t>
      </w:r>
      <w:r>
        <w:rPr>
          <w:rFonts w:hint="eastAsia"/>
        </w:rPr>
        <w:t>的使用范围按国家、《浙</w:t>
      </w:r>
      <w:r>
        <w:t xml:space="preserve"> </w:t>
      </w:r>
      <w:r>
        <w:rPr>
          <w:rFonts w:hint="eastAsia"/>
          <w:spacing w:val="-2"/>
        </w:rPr>
        <w:t>江省水利水</w:t>
      </w:r>
      <w:r>
        <w:rPr>
          <w:rFonts w:hint="eastAsia" w:hAnsi="宋体"/>
          <w:spacing w:val="-2"/>
        </w:rPr>
        <w:t>电工程设计概（预）算编制规定（</w:t>
      </w:r>
      <w:r>
        <w:rPr>
          <w:rFonts w:hAnsi="宋体"/>
          <w:spacing w:val="-2"/>
        </w:rPr>
        <w:t>2010</w:t>
      </w:r>
      <w:r>
        <w:rPr>
          <w:rFonts w:hint="eastAsia" w:hAnsi="宋体"/>
          <w:spacing w:val="-2"/>
        </w:rPr>
        <w:t>）》补充规定</w:t>
      </w:r>
      <w:r>
        <w:rPr>
          <w:rFonts w:hAnsi="宋体"/>
          <w:spacing w:val="-2"/>
        </w:rPr>
        <w:t>(</w:t>
      </w:r>
      <w:r>
        <w:rPr>
          <w:rFonts w:hint="eastAsia" w:hAnsi="宋体"/>
          <w:spacing w:val="-2"/>
        </w:rPr>
        <w:t>一</w:t>
      </w:r>
      <w:r>
        <w:rPr>
          <w:rFonts w:hAnsi="宋体"/>
          <w:spacing w:val="-2"/>
        </w:rPr>
        <w:t>)</w:t>
      </w:r>
      <w:r>
        <w:rPr>
          <w:rFonts w:hint="eastAsia" w:hAnsi="宋体"/>
          <w:spacing w:val="-2"/>
        </w:rPr>
        <w:t>和省有关规定及本工程设计图</w:t>
      </w:r>
      <w:r>
        <w:rPr>
          <w:rFonts w:hAnsi="宋体"/>
          <w:spacing w:val="-25"/>
        </w:rPr>
        <w:t xml:space="preserve"> </w:t>
      </w:r>
      <w:r>
        <w:rPr>
          <w:rFonts w:hint="eastAsia" w:hAnsi="宋体"/>
        </w:rPr>
        <w:t>纸明确的安全、文明施工要求。发包人将在第一次支付工程款时扣押该笔费用，在工程是实施</w:t>
      </w:r>
      <w:r>
        <w:rPr>
          <w:rFonts w:hAnsi="宋体"/>
        </w:rPr>
        <w:t xml:space="preserve"> </w:t>
      </w:r>
      <w:r>
        <w:rPr>
          <w:rFonts w:hint="eastAsia" w:hAnsi="宋体"/>
          <w:spacing w:val="-3"/>
        </w:rPr>
        <w:t>时，按承包人提交的安全文明防护设施（包括视频、考勤系统）凭证按实拨付，拨付的总额最高不</w:t>
      </w:r>
    </w:p>
    <w:p>
      <w:pPr>
        <w:spacing w:line="400" w:lineRule="exact"/>
        <w:ind w:firstLine="456" w:firstLineChars="200"/>
        <w:rPr>
          <w:rFonts w:ascii="宋体" w:hAnsi="宋体"/>
          <w:b/>
          <w:szCs w:val="21"/>
        </w:rPr>
      </w:pPr>
      <w:r>
        <w:rPr>
          <w:rFonts w:hint="eastAsia" w:hAnsi="宋体"/>
          <w:spacing w:val="-6"/>
        </w:rPr>
        <w:t>超过《工程量清单》所列安全施工费用。</w:t>
      </w:r>
    </w:p>
    <w:p>
      <w:pPr>
        <w:spacing w:line="400" w:lineRule="exact"/>
        <w:ind w:firstLine="482" w:firstLineChars="200"/>
        <w:rPr>
          <w:rFonts w:ascii="宋体" w:hAnsi="宋体"/>
          <w:b/>
          <w:szCs w:val="21"/>
        </w:rPr>
      </w:pPr>
      <w:r>
        <w:rPr>
          <w:rFonts w:hint="eastAsia" w:ascii="宋体" w:hAnsi="宋体"/>
          <w:b/>
          <w:szCs w:val="21"/>
        </w:rPr>
        <w:t>26.补充</w:t>
      </w:r>
    </w:p>
    <w:p>
      <w:pPr>
        <w:spacing w:line="400" w:lineRule="exact"/>
        <w:ind w:firstLine="480" w:firstLineChars="200"/>
        <w:rPr>
          <w:rFonts w:ascii="宋体" w:hAnsi="宋体"/>
          <w:szCs w:val="21"/>
        </w:rPr>
      </w:pPr>
      <w:r>
        <w:rPr>
          <w:rFonts w:hint="eastAsia" w:ascii="宋体" w:hAnsi="宋体"/>
          <w:szCs w:val="21"/>
        </w:rPr>
        <w:t>26.1苗木必须严格按设计图纸中规定的品种、规格等要求种植，不得任意更换品种、规格，并符合国家规定的相关标准及规范；</w:t>
      </w:r>
    </w:p>
    <w:p>
      <w:pPr>
        <w:spacing w:line="400" w:lineRule="exact"/>
        <w:ind w:firstLine="480" w:firstLineChars="200"/>
        <w:rPr>
          <w:rFonts w:ascii="宋体" w:hAnsi="宋体"/>
          <w:szCs w:val="21"/>
        </w:rPr>
      </w:pPr>
      <w:r>
        <w:rPr>
          <w:rFonts w:hint="eastAsia" w:ascii="宋体" w:hAnsi="宋体"/>
          <w:szCs w:val="21"/>
        </w:rPr>
        <w:t>26.2苗木质量要求：</w:t>
      </w:r>
    </w:p>
    <w:p>
      <w:pPr>
        <w:spacing w:line="400" w:lineRule="exact"/>
        <w:ind w:firstLine="480" w:firstLineChars="200"/>
        <w:rPr>
          <w:rFonts w:ascii="宋体" w:hAnsi="宋体"/>
          <w:szCs w:val="21"/>
          <w:u w:val="single"/>
        </w:rPr>
      </w:pPr>
      <w:r>
        <w:rPr>
          <w:rFonts w:hint="eastAsia" w:ascii="宋体" w:hAnsi="宋体"/>
          <w:szCs w:val="21"/>
          <w:u w:val="single"/>
        </w:rPr>
        <w:t>（1）植物规格质量与发包人提供的工程量清单要求相符，必须选用株形优良的苗木，不用病苗、畸形苗、严重损伤苗木。</w:t>
      </w:r>
    </w:p>
    <w:p>
      <w:pPr>
        <w:spacing w:line="400" w:lineRule="exact"/>
        <w:ind w:firstLine="480" w:firstLineChars="200"/>
        <w:rPr>
          <w:rFonts w:ascii="宋体" w:hAnsi="宋体"/>
          <w:szCs w:val="21"/>
          <w:u w:val="single"/>
        </w:rPr>
      </w:pPr>
      <w:r>
        <w:rPr>
          <w:rFonts w:hint="eastAsia" w:ascii="宋体" w:hAnsi="宋体"/>
          <w:szCs w:val="21"/>
          <w:u w:val="single"/>
        </w:rPr>
        <w:t>（2）苗木种植前须经发包人、监理人验收合格后方能种植，不合格的苗木无条件清退出场；</w:t>
      </w:r>
    </w:p>
    <w:p>
      <w:pPr>
        <w:spacing w:line="400" w:lineRule="exact"/>
        <w:ind w:firstLine="480" w:firstLineChars="200"/>
        <w:rPr>
          <w:rFonts w:ascii="宋体" w:hAnsi="宋体"/>
          <w:szCs w:val="21"/>
        </w:rPr>
      </w:pPr>
      <w:r>
        <w:rPr>
          <w:rFonts w:hint="eastAsia" w:ascii="宋体" w:hAnsi="宋体"/>
          <w:szCs w:val="21"/>
        </w:rPr>
        <w:t>26.3种植土质量要求：</w:t>
      </w:r>
    </w:p>
    <w:p>
      <w:pPr>
        <w:spacing w:line="400" w:lineRule="exact"/>
        <w:ind w:firstLine="480" w:firstLineChars="200"/>
        <w:rPr>
          <w:rFonts w:ascii="宋体" w:hAnsi="宋体"/>
          <w:szCs w:val="21"/>
          <w:u w:val="single"/>
        </w:rPr>
      </w:pPr>
      <w:r>
        <w:rPr>
          <w:rFonts w:hint="eastAsia" w:ascii="宋体" w:hAnsi="宋体"/>
          <w:szCs w:val="21"/>
          <w:u w:val="single"/>
        </w:rPr>
        <w:t>（1）种植土必须采用优质土，不含砂石杂质，不利种植的土质不得使用；</w:t>
      </w:r>
    </w:p>
    <w:p>
      <w:pPr>
        <w:spacing w:line="400" w:lineRule="exact"/>
        <w:ind w:firstLine="480" w:firstLineChars="200"/>
        <w:rPr>
          <w:rFonts w:ascii="宋体" w:hAnsi="宋体"/>
          <w:szCs w:val="21"/>
          <w:u w:val="single"/>
        </w:rPr>
      </w:pPr>
      <w:r>
        <w:rPr>
          <w:rFonts w:hint="eastAsia" w:ascii="宋体" w:hAnsi="宋体"/>
          <w:szCs w:val="21"/>
          <w:u w:val="single"/>
        </w:rPr>
        <w:t>（2）种植土覆盖必须严格按照设计要求施工。</w:t>
      </w:r>
    </w:p>
    <w:p>
      <w:pPr>
        <w:spacing w:line="400" w:lineRule="exact"/>
        <w:ind w:firstLine="480" w:firstLineChars="200"/>
        <w:rPr>
          <w:rFonts w:ascii="宋体" w:hAnsi="宋体"/>
          <w:szCs w:val="21"/>
          <w:u w:val="single"/>
        </w:rPr>
      </w:pPr>
      <w:r>
        <w:rPr>
          <w:rFonts w:hint="eastAsia" w:ascii="宋体" w:hAnsi="宋体"/>
          <w:szCs w:val="21"/>
        </w:rPr>
        <w:t>26.4苗木养护期限：</w:t>
      </w:r>
      <w:r>
        <w:rPr>
          <w:rFonts w:hint="eastAsia" w:ascii="宋体" w:hAnsi="宋体"/>
          <w:szCs w:val="21"/>
          <w:u w:val="single"/>
        </w:rPr>
        <w:t>1年。</w:t>
      </w:r>
    </w:p>
    <w:p>
      <w:pPr>
        <w:spacing w:line="400" w:lineRule="exact"/>
        <w:ind w:firstLine="480" w:firstLineChars="200"/>
        <w:rPr>
          <w:rFonts w:ascii="宋体" w:hAnsi="宋体"/>
          <w:szCs w:val="21"/>
          <w:u w:val="single"/>
        </w:rPr>
      </w:pPr>
      <w:r>
        <w:rPr>
          <w:rFonts w:hint="eastAsia" w:ascii="宋体" w:hAnsi="宋体"/>
          <w:szCs w:val="21"/>
          <w:u w:val="single"/>
        </w:rPr>
        <w:t>26.4.1承包人应按招标人要求对苗木等进行保养维护，确保苗木种植当季成活率 95%以上，未成活部分应及时补栽补种，自通过竣工验收两年后的成活率必须达到 100%。两年的绿化养护期不计任何养护费用，承包人应按招标人要求进行养护，应随叫随到（4小时内必须到场），未按招标人要求的，招标人有权从质量保修金中扣除相应违约金（每次扣除质量保修金的1%），承包人在投标报价中综合考虑该项费用。观赏植物的按有关绿地养护质量标准养护细则进行养护。</w:t>
      </w:r>
    </w:p>
    <w:p>
      <w:pPr>
        <w:spacing w:line="400" w:lineRule="exact"/>
        <w:ind w:firstLine="480" w:firstLineChars="200"/>
        <w:rPr>
          <w:sz w:val="17"/>
          <w:szCs w:val="17"/>
        </w:rPr>
      </w:pPr>
      <w:r>
        <w:rPr>
          <w:rFonts w:hint="eastAsia" w:ascii="宋体" w:hAnsi="宋体"/>
          <w:szCs w:val="21"/>
        </w:rPr>
        <w:t>26.4.</w:t>
      </w:r>
      <w:r>
        <w:rPr>
          <w:rFonts w:hint="eastAsia" w:ascii="宋体" w:hAnsi="宋体"/>
          <w:szCs w:val="21"/>
          <w:u w:val="single"/>
        </w:rPr>
        <w:t>2</w:t>
      </w:r>
      <w:r>
        <w:rPr>
          <w:rFonts w:ascii="宋体" w:hAnsi="宋体"/>
          <w:szCs w:val="21"/>
          <w:u w:val="single"/>
        </w:rPr>
        <w:t>乔木、灌木、草坪及时修剪，保证整齐、美观，及时清除杂草、杂物、垃圾，保证绿地清洁卫生，所有垃圾必须进入环卫专业处理系统，不得自行处置。</w:t>
      </w:r>
    </w:p>
    <w:p>
      <w:pPr>
        <w:pStyle w:val="171"/>
        <w:tabs>
          <w:tab w:val="left" w:pos="3918"/>
        </w:tabs>
        <w:kinsoku w:val="0"/>
        <w:overflowPunct w:val="0"/>
        <w:outlineLvl w:val="9"/>
        <w:sectPr>
          <w:pgSz w:w="11910" w:h="16840"/>
          <w:pgMar w:top="1580" w:right="1360" w:bottom="1240" w:left="1360" w:header="0" w:footer="1054" w:gutter="0"/>
          <w:cols w:space="720" w:num="1"/>
        </w:sectPr>
      </w:pPr>
      <w:r>
        <w:br w:type="page"/>
      </w:r>
    </w:p>
    <w:p>
      <w:pPr>
        <w:pStyle w:val="171"/>
        <w:kinsoku w:val="0"/>
        <w:overflowPunct w:val="0"/>
        <w:spacing w:line="397" w:lineRule="exact"/>
        <w:ind w:left="0" w:leftChars="0" w:firstLine="0" w:firstLineChars="0"/>
        <w:outlineLvl w:val="9"/>
        <w:rPr>
          <w:rFonts w:hint="default" w:eastAsia="宋体"/>
          <w:spacing w:val="2"/>
          <w:lang w:val="en-US" w:eastAsia="zh-CN"/>
        </w:rPr>
      </w:pPr>
      <w:r>
        <w:rPr>
          <w:rFonts w:hint="eastAsia"/>
          <w:spacing w:val="2"/>
          <w:lang w:val="en-US" w:eastAsia="zh-CN"/>
        </w:rPr>
        <w:t>第三节 合同附件格式</w:t>
      </w:r>
    </w:p>
    <w:p>
      <w:pPr>
        <w:pStyle w:val="171"/>
        <w:kinsoku w:val="0"/>
        <w:overflowPunct w:val="0"/>
        <w:spacing w:line="397" w:lineRule="exact"/>
        <w:ind w:left="0" w:leftChars="0" w:firstLine="0" w:firstLineChars="0"/>
        <w:outlineLvl w:val="9"/>
        <w:rPr>
          <w:b w:val="0"/>
          <w:bCs w:val="0"/>
        </w:rPr>
      </w:pPr>
      <w:r>
        <w:rPr>
          <w:rFonts w:hint="eastAsia"/>
          <w:spacing w:val="2"/>
        </w:rPr>
        <w:t>附件一：合同协议书</w:t>
      </w:r>
      <w:r>
        <w:rPr>
          <w:w w:val="98"/>
        </w:rPr>
        <w:t xml:space="preserve"> </w:t>
      </w:r>
    </w:p>
    <w:p>
      <w:pPr>
        <w:pStyle w:val="18"/>
        <w:kinsoku w:val="0"/>
        <w:overflowPunct w:val="0"/>
        <w:spacing w:before="4"/>
        <w:rPr>
          <w:b/>
          <w:bCs/>
          <w:sz w:val="44"/>
          <w:szCs w:val="44"/>
        </w:rPr>
      </w:pPr>
      <w:r>
        <w:br w:type="column"/>
      </w:r>
    </w:p>
    <w:p>
      <w:pPr>
        <w:pStyle w:val="18"/>
        <w:kinsoku w:val="0"/>
        <w:overflowPunct w:val="0"/>
        <w:rPr>
          <w:sz w:val="44"/>
          <w:szCs w:val="44"/>
        </w:rPr>
      </w:pPr>
      <w:r>
        <w:rPr>
          <w:rFonts w:hint="eastAsia"/>
          <w:b/>
          <w:bCs/>
          <w:sz w:val="44"/>
          <w:szCs w:val="44"/>
        </w:rPr>
        <w:t>合同协议书</w:t>
      </w:r>
      <w:r>
        <w:rPr>
          <w:b/>
          <w:bCs/>
          <w:w w:val="99"/>
          <w:sz w:val="44"/>
          <w:szCs w:val="44"/>
        </w:rPr>
        <w:t xml:space="preserve"> </w:t>
      </w:r>
    </w:p>
    <w:p>
      <w:pPr>
        <w:pStyle w:val="18"/>
        <w:kinsoku w:val="0"/>
        <w:overflowPunct w:val="0"/>
        <w:rPr>
          <w:sz w:val="44"/>
          <w:szCs w:val="44"/>
        </w:rPr>
        <w:sectPr>
          <w:pgSz w:w="11910" w:h="16840"/>
          <w:pgMar w:top="1540" w:right="1360" w:bottom="1240" w:left="1360" w:header="0" w:footer="1054" w:gutter="0"/>
          <w:cols w:equalWidth="0" w:num="2">
            <w:col w:w="3167" w:space="208"/>
            <w:col w:w="5815"/>
          </w:cols>
        </w:sectPr>
      </w:pPr>
    </w:p>
    <w:p>
      <w:pPr>
        <w:pStyle w:val="18"/>
        <w:kinsoku w:val="0"/>
        <w:overflowPunct w:val="0"/>
        <w:spacing w:before="8"/>
        <w:rPr>
          <w:b/>
          <w:bCs/>
        </w:rPr>
      </w:pPr>
    </w:p>
    <w:p>
      <w:pPr>
        <w:pStyle w:val="18"/>
        <w:kinsoku w:val="0"/>
        <w:overflowPunct w:val="0"/>
        <w:spacing w:before="36" w:line="355" w:lineRule="auto"/>
        <w:ind w:firstLine="420"/>
        <w:rPr>
          <w:rFonts w:hAnsi="宋体"/>
        </w:rPr>
      </w:pPr>
      <w:r>
        <w:rPr>
          <w:rFonts w:hint="eastAsia" w:hAnsi="宋体"/>
          <w:spacing w:val="-13"/>
        </w:rPr>
        <w:t>（发包人名称，以下简称“发包人”）为实施（项目名称），已接受（承包人名称，以下简称“承</w:t>
      </w:r>
      <w:r>
        <w:rPr>
          <w:rFonts w:hAnsi="宋体"/>
        </w:rPr>
        <w:t xml:space="preserve"> </w:t>
      </w:r>
      <w:r>
        <w:rPr>
          <w:rFonts w:hint="eastAsia" w:hAnsi="宋体"/>
          <w:spacing w:val="-7"/>
        </w:rPr>
        <w:t>包人”）对（项目名称）（标段名称）的投标。发包人和承包人共同达成如下协议。</w:t>
      </w:r>
      <w:r>
        <w:rPr>
          <w:rFonts w:hAnsi="宋体"/>
        </w:rPr>
        <w:t xml:space="preserve"> </w:t>
      </w:r>
    </w:p>
    <w:p>
      <w:pPr>
        <w:pStyle w:val="18"/>
        <w:kinsoku w:val="0"/>
        <w:overflowPunct w:val="0"/>
        <w:spacing w:before="32"/>
        <w:ind w:left="534"/>
        <w:rPr>
          <w:rFonts w:hAnsi="宋体"/>
        </w:rPr>
      </w:pPr>
      <w:r>
        <w:rPr>
          <w:rFonts w:hAnsi="宋体"/>
        </w:rPr>
        <w:t>1.</w:t>
      </w:r>
      <w:r>
        <w:rPr>
          <w:rFonts w:hint="eastAsia" w:hAnsi="宋体"/>
        </w:rPr>
        <w:t>本协议书与下列文件一起构成合同文件：</w:t>
      </w:r>
      <w:r>
        <w:rPr>
          <w:rFonts w:hAnsi="宋体"/>
        </w:rPr>
        <w:t xml:space="preserve"> </w:t>
      </w:r>
    </w:p>
    <w:p>
      <w:pPr>
        <w:pStyle w:val="18"/>
        <w:kinsoku w:val="0"/>
        <w:overflowPunct w:val="0"/>
        <w:ind w:left="534"/>
        <w:rPr>
          <w:rFonts w:hAnsi="宋体"/>
        </w:rPr>
      </w:pPr>
      <w:r>
        <w:rPr>
          <w:rFonts w:hint="eastAsia" w:hAnsi="宋体"/>
        </w:rPr>
        <w:t>（</w:t>
      </w:r>
      <w:r>
        <w:rPr>
          <w:rFonts w:hAnsi="宋体"/>
        </w:rPr>
        <w:t>1</w:t>
      </w:r>
      <w:r>
        <w:rPr>
          <w:rFonts w:hint="eastAsia" w:hAnsi="宋体"/>
        </w:rPr>
        <w:t>）中标通知书；</w:t>
      </w:r>
      <w:r>
        <w:rPr>
          <w:rFonts w:hAnsi="宋体"/>
        </w:rPr>
        <w:t xml:space="preserve"> </w:t>
      </w:r>
    </w:p>
    <w:p>
      <w:pPr>
        <w:pStyle w:val="18"/>
        <w:kinsoku w:val="0"/>
        <w:overflowPunct w:val="0"/>
        <w:spacing w:before="135"/>
        <w:ind w:left="534"/>
        <w:rPr>
          <w:rFonts w:hAnsi="宋体"/>
        </w:rPr>
      </w:pPr>
      <w:r>
        <w:rPr>
          <w:rFonts w:hint="eastAsia" w:hAnsi="宋体"/>
        </w:rPr>
        <w:t>（</w:t>
      </w:r>
      <w:r>
        <w:rPr>
          <w:rFonts w:hAnsi="宋体"/>
        </w:rPr>
        <w:t>2</w:t>
      </w:r>
      <w:r>
        <w:rPr>
          <w:rFonts w:hint="eastAsia" w:hAnsi="宋体"/>
        </w:rPr>
        <w:t>）投标函及投标函附录；</w:t>
      </w:r>
      <w:r>
        <w:rPr>
          <w:rFonts w:hAnsi="宋体"/>
        </w:rPr>
        <w:t xml:space="preserve"> </w:t>
      </w:r>
    </w:p>
    <w:p>
      <w:pPr>
        <w:pStyle w:val="18"/>
        <w:kinsoku w:val="0"/>
        <w:overflowPunct w:val="0"/>
        <w:ind w:left="534"/>
        <w:rPr>
          <w:rFonts w:hAnsi="宋体"/>
        </w:rPr>
      </w:pPr>
      <w:r>
        <w:rPr>
          <w:rFonts w:hint="eastAsia" w:hAnsi="宋体"/>
        </w:rPr>
        <w:t>（</w:t>
      </w:r>
      <w:r>
        <w:rPr>
          <w:rFonts w:hAnsi="宋体"/>
        </w:rPr>
        <w:t>3</w:t>
      </w:r>
      <w:r>
        <w:rPr>
          <w:rFonts w:hint="eastAsia" w:hAnsi="宋体"/>
        </w:rPr>
        <w:t>）专用合同条款；</w:t>
      </w:r>
      <w:r>
        <w:rPr>
          <w:rFonts w:hAnsi="宋体"/>
        </w:rPr>
        <w:t xml:space="preserve"> </w:t>
      </w:r>
    </w:p>
    <w:p>
      <w:pPr>
        <w:pStyle w:val="18"/>
        <w:kinsoku w:val="0"/>
        <w:overflowPunct w:val="0"/>
        <w:ind w:left="534"/>
        <w:rPr>
          <w:rFonts w:hAnsi="宋体"/>
        </w:rPr>
      </w:pPr>
      <w:r>
        <w:rPr>
          <w:rFonts w:hint="eastAsia" w:hAnsi="宋体"/>
        </w:rPr>
        <w:t>（</w:t>
      </w:r>
      <w:r>
        <w:rPr>
          <w:rFonts w:hAnsi="宋体"/>
        </w:rPr>
        <w:t>4</w:t>
      </w:r>
      <w:r>
        <w:rPr>
          <w:rFonts w:hint="eastAsia" w:hAnsi="宋体"/>
        </w:rPr>
        <w:t>）通用合同条款；</w:t>
      </w:r>
      <w:r>
        <w:rPr>
          <w:rFonts w:hAnsi="宋体"/>
        </w:rPr>
        <w:t xml:space="preserve"> </w:t>
      </w:r>
    </w:p>
    <w:p>
      <w:pPr>
        <w:pStyle w:val="18"/>
        <w:kinsoku w:val="0"/>
        <w:overflowPunct w:val="0"/>
        <w:ind w:left="534"/>
        <w:rPr>
          <w:rFonts w:hAnsi="宋体"/>
        </w:rPr>
      </w:pPr>
      <w:r>
        <w:rPr>
          <w:rFonts w:hint="eastAsia" w:hAnsi="宋体"/>
          <w:spacing w:val="-8"/>
        </w:rPr>
        <w:t>（</w:t>
      </w:r>
      <w:r>
        <w:rPr>
          <w:rFonts w:hAnsi="宋体"/>
          <w:spacing w:val="-8"/>
        </w:rPr>
        <w:t>5</w:t>
      </w:r>
      <w:r>
        <w:rPr>
          <w:rFonts w:hint="eastAsia" w:hAnsi="宋体"/>
          <w:spacing w:val="-8"/>
        </w:rPr>
        <w:t>）技术标准和要求（合同技术条款）；</w:t>
      </w:r>
      <w:r>
        <w:rPr>
          <w:rFonts w:hAnsi="宋体"/>
        </w:rPr>
        <w:t xml:space="preserve"> </w:t>
      </w:r>
    </w:p>
    <w:p>
      <w:pPr>
        <w:pStyle w:val="18"/>
        <w:kinsoku w:val="0"/>
        <w:overflowPunct w:val="0"/>
        <w:ind w:left="534"/>
        <w:rPr>
          <w:rFonts w:hAnsi="宋体"/>
        </w:rPr>
      </w:pPr>
      <w:r>
        <w:rPr>
          <w:rFonts w:hint="eastAsia" w:hAnsi="宋体"/>
        </w:rPr>
        <w:t>（</w:t>
      </w:r>
      <w:r>
        <w:rPr>
          <w:rFonts w:hAnsi="宋体"/>
        </w:rPr>
        <w:t>6</w:t>
      </w:r>
      <w:r>
        <w:rPr>
          <w:rFonts w:hint="eastAsia" w:hAnsi="宋体"/>
        </w:rPr>
        <w:t>）图纸；</w:t>
      </w:r>
      <w:r>
        <w:rPr>
          <w:rFonts w:hAnsi="宋体"/>
        </w:rPr>
        <w:t xml:space="preserve"> </w:t>
      </w:r>
    </w:p>
    <w:p>
      <w:pPr>
        <w:pStyle w:val="18"/>
        <w:kinsoku w:val="0"/>
        <w:overflowPunct w:val="0"/>
        <w:spacing w:before="135"/>
        <w:ind w:left="534"/>
        <w:rPr>
          <w:rFonts w:hAnsi="宋体"/>
        </w:rPr>
      </w:pPr>
      <w:r>
        <w:rPr>
          <w:rFonts w:hint="eastAsia" w:hAnsi="宋体"/>
        </w:rPr>
        <w:t>（</w:t>
      </w:r>
      <w:r>
        <w:rPr>
          <w:rFonts w:hAnsi="宋体"/>
        </w:rPr>
        <w:t>7</w:t>
      </w:r>
      <w:r>
        <w:rPr>
          <w:rFonts w:hint="eastAsia" w:hAnsi="宋体"/>
        </w:rPr>
        <w:t>）已标价工程量清单；</w:t>
      </w:r>
      <w:r>
        <w:rPr>
          <w:rFonts w:hAnsi="宋体"/>
        </w:rPr>
        <w:t xml:space="preserve"> </w:t>
      </w:r>
    </w:p>
    <w:p>
      <w:pPr>
        <w:pStyle w:val="18"/>
        <w:kinsoku w:val="0"/>
        <w:overflowPunct w:val="0"/>
        <w:spacing w:line="355" w:lineRule="auto"/>
        <w:ind w:left="534"/>
        <w:rPr>
          <w:rFonts w:hAnsi="宋体"/>
        </w:rPr>
      </w:pPr>
      <w:r>
        <w:rPr>
          <w:rFonts w:hint="eastAsia" w:hAnsi="宋体"/>
        </w:rPr>
        <w:t>（</w:t>
      </w:r>
      <w:r>
        <w:rPr>
          <w:rFonts w:hAnsi="宋体"/>
        </w:rPr>
        <w:t>8</w:t>
      </w:r>
      <w:r>
        <w:rPr>
          <w:rFonts w:hint="eastAsia" w:hAnsi="宋体"/>
        </w:rPr>
        <w:t>）</w:t>
      </w:r>
      <w:r>
        <w:rPr>
          <w:rFonts w:hAnsi="宋体"/>
          <w:spacing w:val="-3"/>
        </w:rPr>
        <w:t xml:space="preserve"> </w:t>
      </w:r>
      <w:r>
        <w:rPr>
          <w:rFonts w:hint="eastAsia" w:hAnsi="宋体"/>
        </w:rPr>
        <w:t>其他合同文件。</w:t>
      </w:r>
      <w:r>
        <w:rPr>
          <w:rFonts w:hAnsi="宋体"/>
        </w:rPr>
        <w:t xml:space="preserve"> 2.</w:t>
      </w:r>
      <w:r>
        <w:rPr>
          <w:rFonts w:hint="eastAsia" w:hAnsi="宋体"/>
        </w:rPr>
        <w:t>上述文件互相补充和解释，如有不明确或不一致之外，以合同约定次序在先者为准。</w:t>
      </w:r>
      <w:r>
        <w:rPr>
          <w:rFonts w:hAnsi="宋体"/>
        </w:rPr>
        <w:t xml:space="preserve"> </w:t>
      </w:r>
    </w:p>
    <w:p>
      <w:pPr>
        <w:pStyle w:val="18"/>
        <w:kinsoku w:val="0"/>
        <w:overflowPunct w:val="0"/>
        <w:spacing w:before="32"/>
        <w:ind w:left="534"/>
        <w:rPr>
          <w:rFonts w:hAnsi="宋体"/>
        </w:rPr>
      </w:pPr>
      <w:r>
        <w:rPr>
          <w:rFonts w:hAnsi="宋体"/>
          <w:spacing w:val="-7"/>
        </w:rPr>
        <w:t>3.</w:t>
      </w:r>
      <w:r>
        <w:rPr>
          <w:rFonts w:hint="eastAsia" w:hAnsi="宋体"/>
          <w:spacing w:val="-7"/>
        </w:rPr>
        <w:t xml:space="preserve">签约合同价： </w:t>
      </w:r>
      <w:r>
        <w:rPr>
          <w:rFonts w:hint="eastAsia" w:hAnsi="宋体"/>
          <w:spacing w:val="-7"/>
          <w:u w:val="single"/>
        </w:rPr>
        <w:t xml:space="preserve">              </w:t>
      </w:r>
      <w:r>
        <w:rPr>
          <w:rFonts w:hint="eastAsia" w:hAnsi="宋体"/>
          <w:spacing w:val="-7"/>
        </w:rPr>
        <w:t xml:space="preserve"> 人民币（大写）元（¥</w:t>
      </w:r>
      <w:r>
        <w:rPr>
          <w:rFonts w:hint="eastAsia" w:hAnsi="宋体"/>
          <w:spacing w:val="-7"/>
          <w:u w:val="single"/>
        </w:rPr>
        <w:t xml:space="preserve">                </w:t>
      </w:r>
      <w:r>
        <w:rPr>
          <w:rFonts w:hint="eastAsia" w:hAnsi="宋体"/>
          <w:spacing w:val="-7"/>
        </w:rPr>
        <w:t>）。</w:t>
      </w:r>
      <w:r>
        <w:rPr>
          <w:rFonts w:hAnsi="宋体"/>
        </w:rPr>
        <w:t xml:space="preserve"> </w:t>
      </w:r>
    </w:p>
    <w:p>
      <w:pPr>
        <w:pStyle w:val="18"/>
        <w:kinsoku w:val="0"/>
        <w:overflowPunct w:val="0"/>
        <w:ind w:left="534"/>
        <w:rPr>
          <w:rFonts w:hAnsi="宋体"/>
        </w:rPr>
      </w:pPr>
      <w:r>
        <w:rPr>
          <w:rFonts w:hAnsi="宋体"/>
          <w:spacing w:val="-7"/>
        </w:rPr>
        <w:t>4.</w:t>
      </w:r>
      <w:r>
        <w:rPr>
          <w:rFonts w:hint="eastAsia" w:hAnsi="宋体"/>
          <w:spacing w:val="-7"/>
        </w:rPr>
        <w:t>承包人项目负责人：</w:t>
      </w:r>
      <w:r>
        <w:rPr>
          <w:rFonts w:hAnsi="宋体"/>
          <w:spacing w:val="-7"/>
        </w:rPr>
        <w:t>,</w:t>
      </w:r>
      <w:r>
        <w:rPr>
          <w:rFonts w:hint="eastAsia" w:hAnsi="宋体"/>
          <w:spacing w:val="-7"/>
        </w:rPr>
        <w:t>项目技术负责人：。</w:t>
      </w:r>
      <w:r>
        <w:rPr>
          <w:rFonts w:hAnsi="宋体"/>
        </w:rPr>
        <w:t xml:space="preserve"> </w:t>
      </w:r>
    </w:p>
    <w:p>
      <w:pPr>
        <w:pStyle w:val="18"/>
        <w:kinsoku w:val="0"/>
        <w:overflowPunct w:val="0"/>
        <w:spacing w:before="135"/>
        <w:ind w:left="534"/>
        <w:rPr>
          <w:rFonts w:hAnsi="宋体"/>
        </w:rPr>
      </w:pPr>
      <w:r>
        <w:rPr>
          <w:rFonts w:hAnsi="宋体"/>
        </w:rPr>
        <w:t>5.</w:t>
      </w:r>
      <w:r>
        <w:rPr>
          <w:rFonts w:hint="eastAsia" w:hAnsi="宋体"/>
        </w:rPr>
        <w:t>工程质量符合标准。</w:t>
      </w:r>
      <w:r>
        <w:rPr>
          <w:rFonts w:hAnsi="宋体"/>
        </w:rPr>
        <w:t xml:space="preserve"> </w:t>
      </w:r>
    </w:p>
    <w:p>
      <w:pPr>
        <w:pStyle w:val="18"/>
        <w:kinsoku w:val="0"/>
        <w:overflowPunct w:val="0"/>
        <w:ind w:left="534"/>
        <w:rPr>
          <w:rFonts w:hAnsi="宋体"/>
        </w:rPr>
      </w:pPr>
      <w:r>
        <w:rPr>
          <w:rFonts w:hAnsi="宋体"/>
        </w:rPr>
        <w:t>6.</w:t>
      </w:r>
      <w:r>
        <w:rPr>
          <w:rFonts w:hint="eastAsia" w:hAnsi="宋体"/>
        </w:rPr>
        <w:t>承包人承诺按合同约定承担工程的实施、完成及缺陷修复。</w:t>
      </w:r>
      <w:r>
        <w:rPr>
          <w:rFonts w:hAnsi="宋体"/>
        </w:rPr>
        <w:t xml:space="preserve"> </w:t>
      </w:r>
    </w:p>
    <w:p>
      <w:pPr>
        <w:pStyle w:val="18"/>
        <w:kinsoku w:val="0"/>
        <w:overflowPunct w:val="0"/>
        <w:ind w:left="534"/>
        <w:rPr>
          <w:rFonts w:hAnsi="宋体"/>
        </w:rPr>
      </w:pPr>
      <w:r>
        <w:rPr>
          <w:rFonts w:hAnsi="宋体"/>
        </w:rPr>
        <w:t>7.</w:t>
      </w:r>
      <w:r>
        <w:rPr>
          <w:rFonts w:hint="eastAsia" w:hAnsi="宋体"/>
        </w:rPr>
        <w:t>发包人承诺按合同约定的条件、时间和方式向承包人支付合同价款。</w:t>
      </w:r>
      <w:r>
        <w:rPr>
          <w:rFonts w:hAnsi="宋体"/>
        </w:rPr>
        <w:t xml:space="preserve"> </w:t>
      </w:r>
    </w:p>
    <w:p>
      <w:pPr>
        <w:pStyle w:val="18"/>
        <w:kinsoku w:val="0"/>
        <w:overflowPunct w:val="0"/>
        <w:ind w:left="534"/>
        <w:rPr>
          <w:rFonts w:hAnsi="宋体"/>
        </w:rPr>
      </w:pPr>
      <w:r>
        <w:rPr>
          <w:rFonts w:hAnsi="宋体"/>
        </w:rPr>
        <w:t>8.</w:t>
      </w:r>
      <w:r>
        <w:rPr>
          <w:rFonts w:hint="eastAsia" w:hAnsi="宋体"/>
        </w:rPr>
        <w:t>承包人承诺执行监理人开工通知，计划工期为</w:t>
      </w:r>
      <w:r>
        <w:rPr>
          <w:rFonts w:hAnsi="宋体"/>
          <w:u w:val="single"/>
        </w:rPr>
        <w:t xml:space="preserve">   </w:t>
      </w:r>
      <w:r>
        <w:rPr>
          <w:rFonts w:hAnsi="宋体"/>
          <w:spacing w:val="97"/>
          <w:u w:val="single"/>
        </w:rPr>
        <w:t xml:space="preserve"> </w:t>
      </w:r>
      <w:r>
        <w:rPr>
          <w:rFonts w:hint="eastAsia" w:hAnsi="宋体"/>
        </w:rPr>
        <w:t>日历天。</w:t>
      </w:r>
      <w:r>
        <w:rPr>
          <w:rFonts w:hAnsi="宋体"/>
        </w:rPr>
        <w:t xml:space="preserve"> </w:t>
      </w:r>
    </w:p>
    <w:p>
      <w:pPr>
        <w:pStyle w:val="18"/>
        <w:kinsoku w:val="0"/>
        <w:overflowPunct w:val="0"/>
        <w:spacing w:before="135"/>
        <w:ind w:left="534"/>
        <w:rPr>
          <w:rFonts w:hAnsi="宋体"/>
        </w:rPr>
      </w:pPr>
      <w:r>
        <w:rPr>
          <w:rFonts w:hAnsi="宋体"/>
        </w:rPr>
        <w:t>9.</w:t>
      </w:r>
      <w:r>
        <w:rPr>
          <w:rFonts w:hint="eastAsia" w:hAnsi="宋体"/>
        </w:rPr>
        <w:t>本协议书正本一式</w:t>
      </w:r>
      <w:r>
        <w:rPr>
          <w:rFonts w:hint="eastAsia" w:hAnsi="宋体"/>
          <w:u w:val="single"/>
        </w:rPr>
        <w:t>贰</w:t>
      </w:r>
      <w:r>
        <w:rPr>
          <w:rFonts w:hint="eastAsia" w:hAnsi="宋体"/>
        </w:rPr>
        <w:t>份，合同双方各执</w:t>
      </w:r>
      <w:r>
        <w:rPr>
          <w:rFonts w:hAnsi="宋体"/>
        </w:rPr>
        <w:t xml:space="preserve"> </w:t>
      </w:r>
      <w:r>
        <w:rPr>
          <w:rFonts w:hint="eastAsia" w:hAnsi="宋体"/>
          <w:u w:val="single"/>
        </w:rPr>
        <w:t>壹</w:t>
      </w:r>
      <w:r>
        <w:rPr>
          <w:rFonts w:hAnsi="宋体"/>
          <w:spacing w:val="-8"/>
          <w:u w:val="single"/>
        </w:rPr>
        <w:t xml:space="preserve"> </w:t>
      </w:r>
      <w:r>
        <w:rPr>
          <w:rFonts w:hint="eastAsia" w:hAnsi="宋体"/>
        </w:rPr>
        <w:t>份，副本</w:t>
      </w:r>
      <w:r>
        <w:rPr>
          <w:rFonts w:hint="eastAsia" w:hAnsi="宋体"/>
          <w:u w:val="single"/>
        </w:rPr>
        <w:t>玖</w:t>
      </w:r>
      <w:r>
        <w:rPr>
          <w:rFonts w:hint="eastAsia" w:hAnsi="宋体"/>
        </w:rPr>
        <w:t>份，双方各执份。</w:t>
      </w:r>
      <w:r>
        <w:rPr>
          <w:rFonts w:hAnsi="宋体"/>
        </w:rPr>
        <w:t xml:space="preserve"> </w:t>
      </w:r>
    </w:p>
    <w:p>
      <w:pPr>
        <w:pStyle w:val="18"/>
        <w:kinsoku w:val="0"/>
        <w:overflowPunct w:val="0"/>
        <w:ind w:left="601" w:hanging="68"/>
        <w:rPr>
          <w:rFonts w:hAnsi="宋体"/>
        </w:rPr>
      </w:pPr>
      <w:r>
        <w:rPr>
          <w:rFonts w:hAnsi="宋体"/>
        </w:rPr>
        <w:t>10.</w:t>
      </w:r>
      <w:r>
        <w:rPr>
          <w:rFonts w:hAnsi="宋体"/>
          <w:spacing w:val="-7"/>
        </w:rPr>
        <w:t xml:space="preserve"> </w:t>
      </w:r>
      <w:r>
        <w:rPr>
          <w:rFonts w:hint="eastAsia" w:hAnsi="宋体"/>
        </w:rPr>
        <w:t>合同未尽事宜，双方另行签订补充协议。补充协议是合同的组成部分。</w:t>
      </w:r>
      <w:r>
        <w:rPr>
          <w:rFonts w:hAnsi="宋体"/>
        </w:rPr>
        <w:t xml:space="preserve"> </w:t>
      </w:r>
    </w:p>
    <w:p>
      <w:pPr>
        <w:pStyle w:val="18"/>
        <w:kinsoku w:val="0"/>
        <w:overflowPunct w:val="0"/>
        <w:spacing w:before="13"/>
        <w:rPr>
          <w:rFonts w:hAnsi="宋体"/>
        </w:rPr>
      </w:pPr>
    </w:p>
    <w:p>
      <w:pPr>
        <w:spacing w:line="440" w:lineRule="exact"/>
        <w:ind w:firstLine="573"/>
        <w:rPr>
          <w:rFonts w:ascii="宋体"/>
          <w:szCs w:val="28"/>
        </w:rPr>
      </w:pPr>
      <w:r>
        <w:rPr>
          <w:rFonts w:hint="eastAsia" w:ascii="宋体" w:hAnsi="宋体"/>
          <w:szCs w:val="28"/>
        </w:rPr>
        <w:t>甲方：</w:t>
      </w:r>
      <w:r>
        <w:rPr>
          <w:rFonts w:ascii="宋体" w:hAnsi="宋体"/>
          <w:szCs w:val="28"/>
        </w:rPr>
        <w:t xml:space="preserve">                                         </w:t>
      </w:r>
      <w:r>
        <w:rPr>
          <w:rFonts w:hint="eastAsia" w:ascii="宋体" w:hAnsi="宋体"/>
          <w:szCs w:val="28"/>
        </w:rPr>
        <w:t>乙方：</w:t>
      </w:r>
    </w:p>
    <w:p>
      <w:pPr>
        <w:spacing w:line="440" w:lineRule="exact"/>
        <w:ind w:firstLine="573"/>
        <w:rPr>
          <w:rFonts w:ascii="宋体"/>
          <w:szCs w:val="28"/>
        </w:rPr>
      </w:pPr>
      <w:r>
        <w:rPr>
          <w:rFonts w:hint="eastAsia" w:ascii="宋体" w:hAnsi="宋体"/>
          <w:szCs w:val="28"/>
        </w:rPr>
        <w:t>法定代表人：</w:t>
      </w:r>
      <w:r>
        <w:rPr>
          <w:rFonts w:ascii="宋体" w:hAnsi="宋体"/>
          <w:szCs w:val="28"/>
        </w:rPr>
        <w:t xml:space="preserve">                                 </w:t>
      </w:r>
      <w:r>
        <w:rPr>
          <w:rFonts w:hint="eastAsia" w:ascii="宋体" w:hAnsi="宋体"/>
          <w:szCs w:val="28"/>
        </w:rPr>
        <w:t>法定代表人：</w:t>
      </w:r>
    </w:p>
    <w:p>
      <w:pPr>
        <w:spacing w:line="440" w:lineRule="exact"/>
        <w:ind w:firstLine="573"/>
        <w:rPr>
          <w:rFonts w:ascii="宋体"/>
          <w:szCs w:val="28"/>
        </w:rPr>
      </w:pPr>
      <w:r>
        <w:rPr>
          <w:rFonts w:ascii="宋体" w:hAnsi="宋体"/>
          <w:szCs w:val="28"/>
        </w:rPr>
        <w:t xml:space="preserve">        </w:t>
      </w:r>
      <w:r>
        <w:rPr>
          <w:rFonts w:hint="eastAsia" w:ascii="宋体" w:hAnsi="宋体"/>
          <w:szCs w:val="28"/>
        </w:rPr>
        <w:t>或</w:t>
      </w:r>
      <w:r>
        <w:rPr>
          <w:rFonts w:ascii="宋体" w:hAnsi="宋体"/>
          <w:szCs w:val="28"/>
        </w:rPr>
        <w:t xml:space="preserve">                                  </w:t>
      </w:r>
      <w:r>
        <w:rPr>
          <w:rFonts w:hint="eastAsia" w:ascii="宋体" w:hAnsi="宋体"/>
          <w:szCs w:val="28"/>
        </w:rPr>
        <w:t>或</w:t>
      </w:r>
    </w:p>
    <w:p>
      <w:pPr>
        <w:spacing w:line="440" w:lineRule="exact"/>
        <w:ind w:firstLine="573"/>
        <w:rPr>
          <w:rFonts w:ascii="宋体"/>
          <w:szCs w:val="28"/>
        </w:rPr>
      </w:pPr>
      <w:r>
        <w:rPr>
          <w:rFonts w:hint="eastAsia" w:ascii="宋体" w:hAnsi="宋体"/>
          <w:szCs w:val="28"/>
        </w:rPr>
        <w:t>其授权的代理人：</w:t>
      </w:r>
      <w:r>
        <w:rPr>
          <w:rFonts w:ascii="宋体" w:hAnsi="宋体"/>
          <w:szCs w:val="28"/>
        </w:rPr>
        <w:t xml:space="preserve">                            </w:t>
      </w:r>
      <w:r>
        <w:rPr>
          <w:rFonts w:hint="eastAsia" w:ascii="宋体" w:hAnsi="宋体"/>
          <w:szCs w:val="28"/>
        </w:rPr>
        <w:t>其授权的代理人：</w:t>
      </w:r>
    </w:p>
    <w:p>
      <w:pPr>
        <w:spacing w:line="440" w:lineRule="exact"/>
        <w:ind w:firstLine="573"/>
        <w:rPr>
          <w:rFonts w:ascii="宋体"/>
          <w:szCs w:val="28"/>
        </w:rPr>
      </w:pPr>
      <w:r>
        <w:rPr>
          <w:rFonts w:hint="eastAsia" w:ascii="宋体" w:hAnsi="宋体"/>
          <w:szCs w:val="28"/>
        </w:rPr>
        <w:t>地址：</w:t>
      </w:r>
      <w:r>
        <w:rPr>
          <w:rFonts w:ascii="宋体" w:hAnsi="宋体"/>
          <w:szCs w:val="28"/>
        </w:rPr>
        <w:t xml:space="preserve">                                      </w:t>
      </w:r>
      <w:r>
        <w:rPr>
          <w:rFonts w:hint="eastAsia" w:ascii="宋体" w:hAnsi="宋体"/>
          <w:szCs w:val="28"/>
        </w:rPr>
        <w:t>地址：</w:t>
      </w:r>
    </w:p>
    <w:p>
      <w:pPr>
        <w:spacing w:line="440" w:lineRule="exact"/>
        <w:ind w:firstLine="573"/>
        <w:rPr>
          <w:rFonts w:ascii="宋体"/>
          <w:szCs w:val="28"/>
        </w:rPr>
      </w:pPr>
      <w:r>
        <w:rPr>
          <w:rFonts w:hint="eastAsia" w:ascii="宋体" w:hAnsi="宋体"/>
          <w:szCs w:val="28"/>
        </w:rPr>
        <w:t>电话：</w:t>
      </w:r>
      <w:r>
        <w:rPr>
          <w:rFonts w:ascii="宋体" w:hAnsi="宋体"/>
          <w:szCs w:val="28"/>
        </w:rPr>
        <w:t xml:space="preserve">                                      </w:t>
      </w:r>
      <w:r>
        <w:rPr>
          <w:rFonts w:hint="eastAsia" w:ascii="宋体" w:hAnsi="宋体"/>
          <w:szCs w:val="28"/>
        </w:rPr>
        <w:t>电话：</w:t>
      </w:r>
    </w:p>
    <w:p>
      <w:pPr>
        <w:spacing w:line="440" w:lineRule="exact"/>
        <w:ind w:firstLine="573"/>
        <w:rPr>
          <w:rFonts w:ascii="宋体"/>
          <w:szCs w:val="28"/>
        </w:rPr>
      </w:pPr>
      <w:r>
        <w:rPr>
          <w:rFonts w:hint="eastAsia" w:ascii="宋体" w:hAnsi="宋体"/>
          <w:szCs w:val="28"/>
        </w:rPr>
        <w:t>日期：</w:t>
      </w:r>
      <w:r>
        <w:rPr>
          <w:rFonts w:ascii="宋体" w:hAnsi="宋体"/>
          <w:szCs w:val="28"/>
        </w:rPr>
        <w:t xml:space="preserve">                                      </w:t>
      </w:r>
      <w:r>
        <w:rPr>
          <w:rFonts w:hint="eastAsia" w:ascii="宋体" w:hAnsi="宋体"/>
          <w:szCs w:val="28"/>
        </w:rPr>
        <w:t>日期：</w:t>
      </w:r>
    </w:p>
    <w:p>
      <w:pPr>
        <w:spacing w:line="440" w:lineRule="exact"/>
        <w:ind w:firstLine="573"/>
        <w:rPr>
          <w:rFonts w:ascii="宋体"/>
          <w:szCs w:val="28"/>
        </w:rPr>
      </w:pPr>
      <w:r>
        <w:rPr>
          <w:rFonts w:hint="eastAsia" w:ascii="宋体" w:hAnsi="宋体"/>
          <w:szCs w:val="28"/>
        </w:rPr>
        <w:t>甲方监督单位：</w:t>
      </w:r>
      <w:r>
        <w:rPr>
          <w:rFonts w:ascii="宋体" w:hAnsi="宋体"/>
          <w:szCs w:val="28"/>
        </w:rPr>
        <w:t xml:space="preserve">                           </w:t>
      </w:r>
      <w:r>
        <w:rPr>
          <w:rFonts w:hint="eastAsia" w:ascii="宋体" w:hAnsi="宋体"/>
          <w:szCs w:val="28"/>
        </w:rPr>
        <w:t>乙方监督单位：</w:t>
      </w:r>
    </w:p>
    <w:p>
      <w:pPr>
        <w:pStyle w:val="18"/>
        <w:tabs>
          <w:tab w:val="left" w:pos="891"/>
          <w:tab w:val="left" w:pos="1359"/>
        </w:tabs>
        <w:kinsoku w:val="0"/>
        <w:overflowPunct w:val="0"/>
        <w:spacing w:line="291" w:lineRule="exact"/>
        <w:ind w:left="426"/>
        <w:sectPr>
          <w:type w:val="continuous"/>
          <w:pgSz w:w="11910" w:h="16840"/>
          <w:pgMar w:top="1600" w:right="1360" w:bottom="1260" w:left="1360" w:header="720" w:footer="720" w:gutter="0"/>
          <w:cols w:space="720" w:num="1"/>
        </w:sectPr>
      </w:pPr>
    </w:p>
    <w:p>
      <w:pPr>
        <w:pStyle w:val="171"/>
        <w:kinsoku w:val="0"/>
        <w:overflowPunct w:val="0"/>
        <w:spacing w:line="405" w:lineRule="exact"/>
        <w:ind w:left="114" w:right="101"/>
        <w:outlineLvl w:val="9"/>
        <w:rPr>
          <w:b w:val="0"/>
          <w:bCs w:val="0"/>
        </w:rPr>
      </w:pPr>
      <w:r>
        <w:rPr>
          <w:rFonts w:hint="eastAsia"/>
        </w:rPr>
        <w:t>附件二：工程廉政责任书（格式）</w:t>
      </w:r>
      <w:r>
        <w:rPr>
          <w:w w:val="98"/>
        </w:rPr>
        <w:t xml:space="preserve"> </w:t>
      </w:r>
    </w:p>
    <w:p>
      <w:pPr>
        <w:pStyle w:val="151"/>
        <w:kinsoku w:val="0"/>
        <w:overflowPunct w:val="0"/>
        <w:spacing w:before="0" w:line="363" w:lineRule="exact"/>
        <w:ind w:left="1143" w:right="1103"/>
        <w:jc w:val="center"/>
        <w:outlineLvl w:val="9"/>
      </w:pPr>
      <w:r>
        <w:rPr>
          <w:rFonts w:hint="eastAsia"/>
        </w:rPr>
        <w:t>（本格式为工程廉政责任书标准格式，投标人不需填写）</w:t>
      </w:r>
      <w:r>
        <w:t xml:space="preserve"> </w:t>
      </w:r>
    </w:p>
    <w:p>
      <w:pPr>
        <w:pStyle w:val="18"/>
        <w:kinsoku w:val="0"/>
        <w:overflowPunct w:val="0"/>
        <w:spacing w:before="154"/>
        <w:ind w:left="1143" w:right="1024"/>
        <w:jc w:val="center"/>
        <w:rPr>
          <w:sz w:val="44"/>
          <w:szCs w:val="44"/>
        </w:rPr>
      </w:pPr>
      <w:r>
        <w:rPr>
          <w:rFonts w:hint="eastAsia"/>
          <w:b/>
          <w:bCs/>
          <w:sz w:val="44"/>
          <w:szCs w:val="44"/>
        </w:rPr>
        <w:t>工程廉政责任书</w:t>
      </w:r>
      <w:r>
        <w:rPr>
          <w:b/>
          <w:bCs/>
          <w:w w:val="99"/>
          <w:sz w:val="44"/>
          <w:szCs w:val="44"/>
        </w:rPr>
        <w:t xml:space="preserve"> </w:t>
      </w:r>
    </w:p>
    <w:p>
      <w:pPr>
        <w:pStyle w:val="18"/>
        <w:kinsoku w:val="0"/>
        <w:overflowPunct w:val="0"/>
        <w:spacing w:before="319" w:line="355" w:lineRule="auto"/>
        <w:ind w:left="534" w:right="101"/>
      </w:pPr>
      <w:r>
        <w:t xml:space="preserve"> </w:t>
      </w:r>
      <w:r>
        <w:rPr>
          <w:rFonts w:hint="eastAsia"/>
        </w:rPr>
        <w:t>为加</w:t>
      </w:r>
      <w:r>
        <w:rPr>
          <w:rFonts w:hint="eastAsia"/>
          <w:spacing w:val="-3"/>
        </w:rPr>
        <w:t>强</w:t>
      </w:r>
      <w:r>
        <w:rPr>
          <w:rFonts w:hint="eastAsia"/>
        </w:rPr>
        <w:t>工</w:t>
      </w:r>
      <w:r>
        <w:rPr>
          <w:rFonts w:hint="eastAsia"/>
          <w:spacing w:val="-3"/>
        </w:rPr>
        <w:t>程</w:t>
      </w:r>
      <w:r>
        <w:rPr>
          <w:rFonts w:hint="eastAsia"/>
        </w:rPr>
        <w:t>建</w:t>
      </w:r>
      <w:r>
        <w:rPr>
          <w:rFonts w:hint="eastAsia"/>
          <w:spacing w:val="-3"/>
        </w:rPr>
        <w:t>设</w:t>
      </w:r>
      <w:r>
        <w:rPr>
          <w:rFonts w:hint="eastAsia"/>
        </w:rPr>
        <w:t>中</w:t>
      </w:r>
      <w:r>
        <w:rPr>
          <w:rFonts w:hint="eastAsia"/>
          <w:spacing w:val="-3"/>
        </w:rPr>
        <w:t>的</w:t>
      </w:r>
      <w:r>
        <w:rPr>
          <w:rFonts w:hint="eastAsia"/>
        </w:rPr>
        <w:t>廉</w:t>
      </w:r>
      <w:r>
        <w:rPr>
          <w:rFonts w:hint="eastAsia"/>
          <w:spacing w:val="-3"/>
        </w:rPr>
        <w:t>政</w:t>
      </w:r>
      <w:r>
        <w:rPr>
          <w:rFonts w:hint="eastAsia"/>
        </w:rPr>
        <w:t>建设</w:t>
      </w:r>
      <w:r>
        <w:rPr>
          <w:rFonts w:hint="eastAsia"/>
          <w:spacing w:val="-92"/>
        </w:rPr>
        <w:t>，</w:t>
      </w:r>
      <w:r>
        <w:rPr>
          <w:rFonts w:hint="eastAsia"/>
        </w:rPr>
        <w:t>保</w:t>
      </w:r>
      <w:r>
        <w:rPr>
          <w:rFonts w:hint="eastAsia"/>
          <w:spacing w:val="-3"/>
        </w:rPr>
        <w:t>证</w:t>
      </w:r>
      <w:r>
        <w:rPr>
          <w:rFonts w:hint="eastAsia"/>
        </w:rPr>
        <w:t>工</w:t>
      </w:r>
      <w:r>
        <w:rPr>
          <w:rFonts w:hint="eastAsia"/>
          <w:spacing w:val="-3"/>
        </w:rPr>
        <w:t>程</w:t>
      </w:r>
      <w:r>
        <w:rPr>
          <w:rFonts w:hint="eastAsia"/>
        </w:rPr>
        <w:t>建</w:t>
      </w:r>
      <w:r>
        <w:rPr>
          <w:rFonts w:hint="eastAsia"/>
          <w:spacing w:val="-3"/>
        </w:rPr>
        <w:t>设</w:t>
      </w:r>
      <w:r>
        <w:rPr>
          <w:rFonts w:hint="eastAsia"/>
        </w:rPr>
        <w:t>高</w:t>
      </w:r>
      <w:r>
        <w:rPr>
          <w:rFonts w:hint="eastAsia"/>
          <w:spacing w:val="-3"/>
        </w:rPr>
        <w:t>效优</w:t>
      </w:r>
      <w:r>
        <w:rPr>
          <w:rFonts w:hint="eastAsia"/>
        </w:rPr>
        <w:t>质完</w:t>
      </w:r>
      <w:r>
        <w:rPr>
          <w:rFonts w:hint="eastAsia"/>
          <w:spacing w:val="-3"/>
        </w:rPr>
        <w:t>成</w:t>
      </w:r>
      <w:r>
        <w:rPr>
          <w:rFonts w:hint="eastAsia"/>
          <w:spacing w:val="-89"/>
        </w:rPr>
        <w:t>，</w:t>
      </w:r>
      <w:r>
        <w:rPr>
          <w:rFonts w:hint="eastAsia"/>
          <w:spacing w:val="-3"/>
        </w:rPr>
        <w:t>保</w:t>
      </w:r>
      <w:r>
        <w:rPr>
          <w:rFonts w:hint="eastAsia"/>
        </w:rPr>
        <w:t>证</w:t>
      </w:r>
      <w:r>
        <w:rPr>
          <w:rFonts w:hint="eastAsia"/>
          <w:spacing w:val="-3"/>
        </w:rPr>
        <w:t>建</w:t>
      </w:r>
      <w:r>
        <w:rPr>
          <w:rFonts w:hint="eastAsia"/>
        </w:rPr>
        <w:t>设</w:t>
      </w:r>
      <w:r>
        <w:rPr>
          <w:rFonts w:hint="eastAsia"/>
          <w:spacing w:val="-3"/>
        </w:rPr>
        <w:t>资</w:t>
      </w:r>
      <w:r>
        <w:rPr>
          <w:rFonts w:hint="eastAsia"/>
        </w:rPr>
        <w:t>金</w:t>
      </w:r>
      <w:r>
        <w:rPr>
          <w:rFonts w:hint="eastAsia"/>
          <w:spacing w:val="-3"/>
        </w:rPr>
        <w:t>的安</w:t>
      </w:r>
      <w:r>
        <w:rPr>
          <w:rFonts w:hint="eastAsia"/>
        </w:rPr>
        <w:t>全和</w:t>
      </w:r>
      <w:r>
        <w:rPr>
          <w:rFonts w:hint="eastAsia"/>
          <w:spacing w:val="-3"/>
        </w:rPr>
        <w:t>有</w:t>
      </w:r>
      <w:r>
        <w:rPr>
          <w:rFonts w:hint="eastAsia"/>
        </w:rPr>
        <w:t>效</w:t>
      </w:r>
      <w:r>
        <w:rPr>
          <w:rFonts w:hint="eastAsia"/>
          <w:spacing w:val="-3"/>
        </w:rPr>
        <w:t>使</w:t>
      </w:r>
      <w:r>
        <w:rPr>
          <w:rFonts w:hint="eastAsia"/>
        </w:rPr>
        <w:t>用</w:t>
      </w:r>
      <w:r>
        <w:rPr>
          <w:u w:val="single"/>
        </w:rPr>
        <w:t xml:space="preserve"> </w:t>
      </w:r>
      <w:r>
        <w:rPr>
          <w:u w:val="single"/>
        </w:rPr>
        <w:tab/>
      </w:r>
      <w:r>
        <w:rPr>
          <w:rFonts w:hint="eastAsia"/>
          <w:spacing w:val="-11"/>
          <w:u w:val="single"/>
        </w:rPr>
        <w:t>（</w:t>
      </w:r>
      <w:r>
        <w:rPr>
          <w:rFonts w:hint="eastAsia"/>
          <w:spacing w:val="-11"/>
        </w:rPr>
        <w:t>项目名称）的发包人</w:t>
      </w:r>
      <w:r>
        <w:rPr>
          <w:spacing w:val="-11"/>
          <w:u w:val="single"/>
        </w:rPr>
        <w:tab/>
      </w:r>
      <w:r>
        <w:rPr>
          <w:rFonts w:hint="eastAsia"/>
          <w:spacing w:val="-11"/>
          <w:u w:val="single"/>
        </w:rPr>
        <w:t>（</w:t>
      </w:r>
      <w:r>
        <w:rPr>
          <w:rFonts w:hint="eastAsia"/>
          <w:spacing w:val="-11"/>
        </w:rPr>
        <w:t>以下称甲方）与承包人</w:t>
      </w:r>
      <w:r>
        <w:rPr>
          <w:u w:val="single"/>
        </w:rPr>
        <w:t xml:space="preserve"> </w:t>
      </w:r>
      <w:r>
        <w:rPr>
          <w:rFonts w:hint="eastAsia"/>
          <w:u w:val="single"/>
        </w:rPr>
        <w:t xml:space="preserve">                </w:t>
      </w:r>
      <w:r>
        <w:rPr>
          <w:rFonts w:hint="eastAsia"/>
        </w:rPr>
        <w:t>（以下称乙方）</w:t>
      </w:r>
      <w:r>
        <w:t>,</w:t>
      </w:r>
      <w:r>
        <w:rPr>
          <w:rFonts w:hint="eastAsia"/>
        </w:rPr>
        <w:t>特订立如下责任书。</w:t>
      </w:r>
      <w:r>
        <w:t xml:space="preserve"> </w:t>
      </w:r>
      <w:r>
        <w:rPr>
          <w:rFonts w:hint="eastAsia"/>
        </w:rPr>
        <w:t>第一条甲乙双方的权利和义务</w:t>
      </w:r>
    </w:p>
    <w:p>
      <w:pPr>
        <w:pStyle w:val="18"/>
        <w:kinsoku w:val="0"/>
        <w:overflowPunct w:val="0"/>
        <w:spacing w:before="35"/>
        <w:ind w:left="534" w:right="101"/>
      </w:pPr>
      <w:r>
        <w:rPr>
          <w:rFonts w:hint="eastAsia"/>
        </w:rPr>
        <w:t>（一）严格遵守党和国家工程建设的有关法律法规及水利部门的有关规定。</w:t>
      </w:r>
      <w:r>
        <w:t xml:space="preserve"> </w:t>
      </w:r>
    </w:p>
    <w:p>
      <w:pPr>
        <w:pStyle w:val="18"/>
        <w:kinsoku w:val="0"/>
        <w:overflowPunct w:val="0"/>
        <w:ind w:left="534" w:right="101"/>
      </w:pPr>
      <w:r>
        <w:rPr>
          <w:rFonts w:hint="eastAsia"/>
        </w:rPr>
        <w:t>（二）严格执行的合同文件，自觉按合同办事。</w:t>
      </w:r>
      <w:r>
        <w:t xml:space="preserve"> </w:t>
      </w:r>
    </w:p>
    <w:p>
      <w:pPr>
        <w:pStyle w:val="18"/>
        <w:kinsoku w:val="0"/>
        <w:overflowPunct w:val="0"/>
        <w:spacing w:line="355" w:lineRule="auto"/>
        <w:ind w:right="101" w:firstLine="420"/>
      </w:pPr>
      <w:r>
        <w:rPr>
          <w:rFonts w:hint="eastAsia"/>
          <w:spacing w:val="-4"/>
        </w:rPr>
        <w:t>（三）双方的业务活动坚持公开、公平、公正、诚信、透明的原则（除法律认定的商业秘密和</w:t>
      </w:r>
      <w:r>
        <w:t xml:space="preserve"> </w:t>
      </w:r>
      <w:r>
        <w:rPr>
          <w:rFonts w:hint="eastAsia"/>
          <w:spacing w:val="-5"/>
        </w:rPr>
        <w:t>合同文件另有规定之外），不得损害国家和集体利益，违反工程建设管理规定。</w:t>
      </w:r>
      <w:r>
        <w:t xml:space="preserve"> </w:t>
      </w:r>
    </w:p>
    <w:p>
      <w:pPr>
        <w:pStyle w:val="18"/>
        <w:kinsoku w:val="0"/>
        <w:overflowPunct w:val="0"/>
        <w:spacing w:before="34" w:line="355" w:lineRule="auto"/>
        <w:ind w:right="101" w:firstLine="420"/>
      </w:pPr>
      <w:r>
        <w:rPr>
          <w:rFonts w:hint="eastAsia"/>
          <w:spacing w:val="-4"/>
        </w:rPr>
        <w:t>（四）建立健全廉政制度、监督制度和处罚制度，开展廉政教育，设立廉政告示牌，公布举报</w:t>
      </w:r>
      <w:r>
        <w:t xml:space="preserve"> </w:t>
      </w:r>
      <w:r>
        <w:rPr>
          <w:rFonts w:hint="eastAsia"/>
        </w:rPr>
        <w:t>电话。</w:t>
      </w:r>
      <w:r>
        <w:t xml:space="preserve"> </w:t>
      </w:r>
    </w:p>
    <w:p>
      <w:pPr>
        <w:pStyle w:val="18"/>
        <w:kinsoku w:val="0"/>
        <w:overflowPunct w:val="0"/>
        <w:spacing w:before="32"/>
        <w:ind w:left="534" w:right="101"/>
      </w:pPr>
      <w:r>
        <w:rPr>
          <w:rFonts w:hint="eastAsia"/>
        </w:rPr>
        <w:t>（五）发现对方在业务活动中有违反廉政规定的行为，有及时提醒对方纠正的权利和义务。</w:t>
      </w:r>
      <w:r>
        <w:t xml:space="preserve"> </w:t>
      </w:r>
    </w:p>
    <w:p>
      <w:pPr>
        <w:pStyle w:val="18"/>
        <w:kinsoku w:val="0"/>
        <w:overflowPunct w:val="0"/>
        <w:spacing w:line="355" w:lineRule="auto"/>
        <w:ind w:right="101" w:firstLine="420"/>
      </w:pPr>
      <w:r>
        <w:rPr>
          <w:rFonts w:hint="eastAsia"/>
          <w:spacing w:val="-4"/>
        </w:rPr>
        <w:t>（六）发现对方严重违反本责任书义务条款的行为，有向其上级有关部门举报、建议给予处理</w:t>
      </w:r>
      <w:r>
        <w:t xml:space="preserve"> </w:t>
      </w:r>
      <w:r>
        <w:rPr>
          <w:rFonts w:hint="eastAsia"/>
        </w:rPr>
        <w:t>并要求告知处理结果的权利。</w:t>
      </w:r>
      <w:r>
        <w:t xml:space="preserve"> </w:t>
      </w:r>
    </w:p>
    <w:p>
      <w:pPr>
        <w:pStyle w:val="18"/>
        <w:kinsoku w:val="0"/>
        <w:overflowPunct w:val="0"/>
        <w:spacing w:before="34"/>
        <w:ind w:left="534" w:right="101"/>
      </w:pPr>
      <w:r>
        <w:rPr>
          <w:rFonts w:hint="eastAsia"/>
        </w:rPr>
        <w:t>第二条甲方的义务</w:t>
      </w:r>
      <w:r>
        <w:t xml:space="preserve"> </w:t>
      </w:r>
    </w:p>
    <w:p>
      <w:pPr>
        <w:pStyle w:val="18"/>
        <w:kinsoku w:val="0"/>
        <w:overflowPunct w:val="0"/>
        <w:spacing w:line="355" w:lineRule="auto"/>
        <w:ind w:right="101" w:firstLine="420"/>
      </w:pPr>
      <w:r>
        <w:rPr>
          <w:rFonts w:hint="eastAsia"/>
          <w:spacing w:val="-4"/>
        </w:rPr>
        <w:t>（一）甲方及其工作人员不得索要或接受乙方的礼金、礼券、有价证券和物品，不得到乙方报</w:t>
      </w:r>
      <w:r>
        <w:t xml:space="preserve"> </w:t>
      </w:r>
      <w:r>
        <w:rPr>
          <w:rFonts w:hint="eastAsia"/>
        </w:rPr>
        <w:t>销任何由甲方或个人支付的费用等。</w:t>
      </w:r>
      <w:r>
        <w:t xml:space="preserve"> </w:t>
      </w:r>
    </w:p>
    <w:p>
      <w:pPr>
        <w:pStyle w:val="18"/>
        <w:kinsoku w:val="0"/>
        <w:overflowPunct w:val="0"/>
        <w:spacing w:before="32"/>
        <w:ind w:left="534" w:right="101"/>
      </w:pPr>
      <w:r>
        <w:rPr>
          <w:rFonts w:hint="eastAsia"/>
        </w:rPr>
        <w:t>（二）申方不得有意刁难，拖延承包商工程款，不得违反规定批拨工程建设费用等。</w:t>
      </w:r>
      <w:r>
        <w:t xml:space="preserve"> </w:t>
      </w:r>
    </w:p>
    <w:p>
      <w:pPr>
        <w:pStyle w:val="18"/>
        <w:kinsoku w:val="0"/>
        <w:overflowPunct w:val="0"/>
        <w:spacing w:line="357" w:lineRule="auto"/>
        <w:ind w:right="101" w:firstLine="420"/>
      </w:pPr>
      <w:r>
        <w:rPr>
          <w:rFonts w:hint="eastAsia"/>
          <w:spacing w:val="-4"/>
        </w:rPr>
        <w:t>（三）甲方工作人员不得参加乙方安排的宴请和娱乐活动；不得接受乙方提供的通信工具、交</w:t>
      </w:r>
      <w:r>
        <w:t xml:space="preserve"> </w:t>
      </w:r>
      <w:r>
        <w:rPr>
          <w:rFonts w:hint="eastAsia"/>
        </w:rPr>
        <w:t>通工具和高档办公用品等。</w:t>
      </w:r>
      <w:r>
        <w:t xml:space="preserve"> </w:t>
      </w:r>
    </w:p>
    <w:p>
      <w:pPr>
        <w:pStyle w:val="18"/>
        <w:kinsoku w:val="0"/>
        <w:overflowPunct w:val="0"/>
        <w:spacing w:before="30" w:line="355" w:lineRule="auto"/>
        <w:ind w:right="101" w:firstLine="420"/>
      </w:pPr>
      <w:r>
        <w:rPr>
          <w:rFonts w:hint="eastAsia"/>
          <w:spacing w:val="-4"/>
        </w:rPr>
        <w:t>（四）甲方及其工作人员不得要求或者接受乙方为其住房装修、操办婚丧嫁娶、安排配偶子女</w:t>
      </w:r>
      <w:r>
        <w:t xml:space="preserve"> </w:t>
      </w:r>
      <w:r>
        <w:rPr>
          <w:rFonts w:hint="eastAsia"/>
        </w:rPr>
        <w:t>的工作以及尚国出境、旅游等。</w:t>
      </w:r>
      <w:r>
        <w:t xml:space="preserve"> </w:t>
      </w:r>
    </w:p>
    <w:p>
      <w:pPr>
        <w:pStyle w:val="18"/>
        <w:kinsoku w:val="0"/>
        <w:overflowPunct w:val="0"/>
        <w:spacing w:before="32" w:line="357" w:lineRule="auto"/>
        <w:ind w:right="101" w:firstLine="420"/>
      </w:pPr>
      <w:r>
        <w:rPr>
          <w:rFonts w:hint="eastAsia"/>
          <w:spacing w:val="-4"/>
        </w:rPr>
        <w:t>（五）甲方工作人员的配偶、子女及下属单位不得从事与甲方工程有关的材料设备供应、工程</w:t>
      </w:r>
      <w:r>
        <w:t xml:space="preserve"> </w:t>
      </w:r>
      <w:r>
        <w:rPr>
          <w:rFonts w:hint="eastAsia"/>
        </w:rPr>
        <w:t>分包、劳务等经济活动。</w:t>
      </w:r>
      <w:r>
        <w:t xml:space="preserve"> </w:t>
      </w:r>
    </w:p>
    <w:p>
      <w:pPr>
        <w:pStyle w:val="18"/>
        <w:kinsoku w:val="0"/>
        <w:overflowPunct w:val="0"/>
        <w:spacing w:before="31" w:line="355" w:lineRule="auto"/>
        <w:ind w:right="101" w:firstLine="420"/>
      </w:pPr>
      <w:r>
        <w:rPr>
          <w:rFonts w:hint="eastAsia"/>
          <w:spacing w:val="-4"/>
        </w:rPr>
        <w:t>（六）甲方及其工作人员不得以任何理由问乙方推荐分包单位，不得要求乙方购买合同规定外</w:t>
      </w:r>
      <w:r>
        <w:t xml:space="preserve"> </w:t>
      </w:r>
      <w:r>
        <w:rPr>
          <w:rFonts w:hint="eastAsia"/>
        </w:rPr>
        <w:t>的材料和设备。</w:t>
      </w:r>
      <w:r>
        <w:t xml:space="preserve"> </w:t>
      </w:r>
    </w:p>
    <w:p>
      <w:pPr>
        <w:pStyle w:val="18"/>
        <w:kinsoku w:val="0"/>
        <w:overflowPunct w:val="0"/>
        <w:spacing w:before="32"/>
        <w:ind w:left="534" w:right="101"/>
      </w:pPr>
      <w:r>
        <w:rPr>
          <w:rFonts w:hint="eastAsia"/>
        </w:rPr>
        <w:t>第三条</w:t>
      </w:r>
      <w:r>
        <w:rPr>
          <w:spacing w:val="9"/>
        </w:rPr>
        <w:t xml:space="preserve"> </w:t>
      </w:r>
      <w:r>
        <w:rPr>
          <w:rFonts w:hint="eastAsia"/>
          <w:spacing w:val="-3"/>
        </w:rPr>
        <w:t>乙方义务</w:t>
      </w:r>
      <w:r>
        <w:t xml:space="preserve"> </w:t>
      </w:r>
    </w:p>
    <w:p>
      <w:pPr>
        <w:pStyle w:val="18"/>
        <w:kinsoku w:val="0"/>
        <w:overflowPunct w:val="0"/>
        <w:ind w:left="534" w:right="101"/>
      </w:pPr>
      <w:r>
        <w:rPr>
          <w:rFonts w:hint="eastAsia"/>
        </w:rPr>
        <w:t>（一）乙方不得以任何理由向甲方及其下作人员行贿或馈赠礼金、礼券、有价证券、礼品。</w:t>
      </w:r>
      <w:r>
        <w:t xml:space="preserve"> </w:t>
      </w:r>
    </w:p>
    <w:p>
      <w:pPr>
        <w:pStyle w:val="18"/>
        <w:kinsoku w:val="0"/>
        <w:overflowPunct w:val="0"/>
        <w:spacing w:before="135"/>
        <w:ind w:left="534" w:right="101"/>
      </w:pPr>
      <w:r>
        <w:rPr>
          <w:rFonts w:hint="eastAsia"/>
        </w:rPr>
        <w:t>（二）乙方不得以任何名义为叫方及其工作人员报销应由甲方单位或个人支付的任何费用。</w:t>
      </w:r>
      <w:r>
        <w:t xml:space="preserve"> </w:t>
      </w:r>
    </w:p>
    <w:p>
      <w:pPr>
        <w:pStyle w:val="18"/>
        <w:kinsoku w:val="0"/>
        <w:overflowPunct w:val="0"/>
        <w:spacing w:before="135"/>
        <w:ind w:left="534" w:right="101"/>
        <w:sectPr>
          <w:pgSz w:w="11910" w:h="16840"/>
          <w:pgMar w:top="1560" w:right="1260" w:bottom="1220" w:left="1360" w:header="0" w:footer="1034" w:gutter="0"/>
          <w:pgNumType w:start="51"/>
          <w:cols w:space="720" w:num="1"/>
        </w:sectPr>
      </w:pPr>
    </w:p>
    <w:p>
      <w:pPr>
        <w:pStyle w:val="18"/>
        <w:kinsoku w:val="0"/>
        <w:overflowPunct w:val="0"/>
        <w:spacing w:before="16"/>
        <w:ind w:left="534" w:right="142"/>
      </w:pPr>
      <w:r>
        <w:rPr>
          <w:rFonts w:hint="eastAsia"/>
        </w:rPr>
        <w:t>（三）乙方不得要求甲方违反规定，批拨、追加工程建设费用等。</w:t>
      </w:r>
      <w:r>
        <w:t xml:space="preserve"> </w:t>
      </w:r>
    </w:p>
    <w:p>
      <w:pPr>
        <w:pStyle w:val="18"/>
        <w:kinsoku w:val="0"/>
        <w:overflowPunct w:val="0"/>
        <w:ind w:left="534" w:right="142"/>
      </w:pPr>
      <w:r>
        <w:rPr>
          <w:rFonts w:hint="eastAsia"/>
        </w:rPr>
        <w:t>（四）乙方不得以任何理由安排甲方工作人员参加宴请及娱乐活动。</w:t>
      </w:r>
      <w:r>
        <w:t xml:space="preserve"> </w:t>
      </w:r>
    </w:p>
    <w:p>
      <w:pPr>
        <w:pStyle w:val="18"/>
        <w:kinsoku w:val="0"/>
        <w:overflowPunct w:val="0"/>
        <w:spacing w:line="355" w:lineRule="auto"/>
        <w:ind w:left="534" w:right="142"/>
      </w:pPr>
      <w:r>
        <w:rPr>
          <w:rFonts w:hint="eastAsia"/>
        </w:rPr>
        <w:t>（五）乙方不得为节方单位和个人购置或提供通信工具、交通工具和高档办公室用品等。</w:t>
      </w:r>
      <w:r>
        <w:t xml:space="preserve"> </w:t>
      </w:r>
      <w:r>
        <w:rPr>
          <w:rFonts w:hint="eastAsia"/>
        </w:rPr>
        <w:t>第四条违约责任</w:t>
      </w:r>
      <w:r>
        <w:t xml:space="preserve"> </w:t>
      </w:r>
    </w:p>
    <w:p>
      <w:pPr>
        <w:pStyle w:val="18"/>
        <w:kinsoku w:val="0"/>
        <w:overflowPunct w:val="0"/>
        <w:spacing w:before="34" w:line="355" w:lineRule="auto"/>
        <w:ind w:right="187" w:firstLine="420"/>
      </w:pPr>
      <w:r>
        <w:rPr>
          <w:rFonts w:hint="eastAsia"/>
          <w:spacing w:val="-4"/>
        </w:rPr>
        <w:t>（—）甲方及其工作人员违反本责任书第一、二条，按管理权限，依据有关规定给予党纪、政</w:t>
      </w:r>
      <w:r>
        <w:t xml:space="preserve"> </w:t>
      </w:r>
      <w:r>
        <w:rPr>
          <w:rFonts w:hint="eastAsia"/>
          <w:spacing w:val="-4"/>
        </w:rPr>
        <w:t>纪或组织处理；涉嫌犯罪的，移送司法机关追究刑事责任；给乙方单位造成经济损失的，应予以赔</w:t>
      </w:r>
      <w:r>
        <w:rPr>
          <w:spacing w:val="-16"/>
        </w:rPr>
        <w:t xml:space="preserve"> </w:t>
      </w:r>
      <w:r>
        <w:rPr>
          <w:rFonts w:hint="eastAsia"/>
        </w:rPr>
        <w:t>偿。</w:t>
      </w:r>
      <w:r>
        <w:t xml:space="preserve"> </w:t>
      </w:r>
    </w:p>
    <w:p>
      <w:pPr>
        <w:pStyle w:val="18"/>
        <w:kinsoku w:val="0"/>
        <w:overflowPunct w:val="0"/>
        <w:spacing w:before="32" w:line="357" w:lineRule="auto"/>
        <w:ind w:right="142" w:firstLine="420"/>
      </w:pPr>
      <w:r>
        <w:rPr>
          <w:rFonts w:hint="eastAsia"/>
          <w:spacing w:val="-2"/>
        </w:rPr>
        <w:t>（二）乙方及其工作人员违反本责任书第一、三条，按管理权限，依据有关规定，给予党纪、</w:t>
      </w:r>
      <w:r>
        <w:t xml:space="preserve"> </w:t>
      </w:r>
      <w:r>
        <w:rPr>
          <w:rFonts w:hint="eastAsia"/>
          <w:spacing w:val="-4"/>
        </w:rPr>
        <w:t>政纪、组织处理或停止承接业务处理；给甲方单位造成经济损失的，应予以赔偿；情节严甲方建议</w:t>
      </w:r>
      <w:r>
        <w:rPr>
          <w:spacing w:val="-15"/>
        </w:rPr>
        <w:t xml:space="preserve"> </w:t>
      </w:r>
      <w:r>
        <w:rPr>
          <w:rFonts w:hint="eastAsia"/>
        </w:rPr>
        <w:t>有关工程建设主管部门给予乙方</w:t>
      </w:r>
      <w:r>
        <w:rPr>
          <w:spacing w:val="-57"/>
        </w:rPr>
        <w:t xml:space="preserve"> </w:t>
      </w:r>
      <w:r>
        <w:t>1</w:t>
      </w:r>
      <w:r>
        <w:rPr>
          <w:rFonts w:hint="eastAsia"/>
        </w:rPr>
        <w:t>～</w:t>
      </w:r>
      <w:r>
        <w:t>3</w:t>
      </w:r>
      <w:r>
        <w:rPr>
          <w:spacing w:val="-57"/>
        </w:rPr>
        <w:t xml:space="preserve"> </w:t>
      </w:r>
      <w:r>
        <w:rPr>
          <w:rFonts w:hint="eastAsia"/>
        </w:rPr>
        <w:t>年内不得参与工程建设项目投标的处罚。</w:t>
      </w:r>
      <w:r>
        <w:t xml:space="preserve"> </w:t>
      </w:r>
    </w:p>
    <w:p>
      <w:pPr>
        <w:pStyle w:val="18"/>
        <w:kinsoku w:val="0"/>
        <w:overflowPunct w:val="0"/>
        <w:spacing w:before="31" w:line="355" w:lineRule="auto"/>
        <w:ind w:left="534" w:right="142"/>
      </w:pPr>
      <w:r>
        <w:rPr>
          <w:rFonts w:hint="eastAsia"/>
        </w:rPr>
        <w:t>第五条</w:t>
      </w:r>
      <w:r>
        <w:t xml:space="preserve"> </w:t>
      </w:r>
      <w:r>
        <w:rPr>
          <w:rFonts w:hint="eastAsia"/>
          <w:spacing w:val="-3"/>
        </w:rPr>
        <w:t>双方约定</w:t>
      </w:r>
      <w:r>
        <w:rPr>
          <w:spacing w:val="-96"/>
        </w:rPr>
        <w:t xml:space="preserve"> </w:t>
      </w:r>
      <w:r>
        <w:rPr>
          <w:rFonts w:hint="eastAsia"/>
          <w:spacing w:val="-4"/>
        </w:rPr>
        <w:t>本责任书由纪检监察机关负责监督执行。纪检监察机关对本责任书执行情况进行抽查。提出属</w:t>
      </w:r>
      <w:r>
        <w:rPr>
          <w:rFonts w:hint="eastAsia"/>
        </w:rPr>
        <w:t>于本责任书规定范围的处理意见。</w:t>
      </w:r>
      <w:r>
        <w:t xml:space="preserve"> </w:t>
      </w:r>
    </w:p>
    <w:p>
      <w:pPr>
        <w:pStyle w:val="18"/>
        <w:kinsoku w:val="0"/>
        <w:overflowPunct w:val="0"/>
        <w:spacing w:before="31" w:line="355" w:lineRule="auto"/>
        <w:ind w:left="534" w:right="142"/>
      </w:pPr>
      <w:r>
        <w:rPr>
          <w:rFonts w:hint="eastAsia"/>
        </w:rPr>
        <w:t>第六条</w:t>
      </w:r>
      <w:r>
        <w:rPr>
          <w:spacing w:val="-6"/>
        </w:rPr>
        <w:t xml:space="preserve"> </w:t>
      </w:r>
      <w:r>
        <w:rPr>
          <w:rFonts w:hint="eastAsia"/>
        </w:rPr>
        <w:t>本责任书有效期同币乙双方签署之日起至该工程项目工程款支付完结时止。</w:t>
      </w:r>
      <w:r>
        <w:t xml:space="preserve"> </w:t>
      </w:r>
    </w:p>
    <w:p>
      <w:pPr>
        <w:pStyle w:val="18"/>
        <w:kinsoku w:val="0"/>
        <w:overflowPunct w:val="0"/>
        <w:spacing w:before="31" w:line="355" w:lineRule="auto"/>
        <w:ind w:left="534" w:right="142"/>
      </w:pPr>
      <w:r>
        <w:rPr>
          <w:rFonts w:hint="eastAsia"/>
        </w:rPr>
        <w:t>第七条</w:t>
      </w:r>
      <w:r>
        <w:rPr>
          <w:rFonts w:hint="eastAsia"/>
          <w:spacing w:val="-4"/>
        </w:rPr>
        <w:t>本责任书作为本工程施工承包合同的附件，与工程施工合同具有同等的法律效力，经</w:t>
      </w:r>
      <w:r>
        <w:rPr>
          <w:rFonts w:hint="eastAsia"/>
        </w:rPr>
        <w:t>甲、乙双方签署后生效。</w:t>
      </w:r>
      <w:r>
        <w:t xml:space="preserve"> </w:t>
      </w:r>
    </w:p>
    <w:p>
      <w:pPr>
        <w:pStyle w:val="18"/>
        <w:kinsoku w:val="0"/>
        <w:overflowPunct w:val="0"/>
        <w:spacing w:before="31" w:line="355" w:lineRule="auto"/>
        <w:ind w:left="534" w:right="142"/>
      </w:pPr>
      <w:r>
        <w:rPr>
          <w:rFonts w:hint="eastAsia"/>
        </w:rPr>
        <w:t>第八条 本责任书甲·乙双方各执一份，送交监督单位一份。</w:t>
      </w:r>
      <w:r>
        <w:t xml:space="preserve"> </w:t>
      </w:r>
    </w:p>
    <w:p>
      <w:pPr>
        <w:pStyle w:val="18"/>
        <w:kinsoku w:val="0"/>
        <w:overflowPunct w:val="0"/>
        <w:ind w:left="534"/>
      </w:pPr>
      <w:r>
        <w:t xml:space="preserve"> </w:t>
      </w:r>
    </w:p>
    <w:p>
      <w:pPr>
        <w:pStyle w:val="18"/>
        <w:kinsoku w:val="0"/>
        <w:overflowPunct w:val="0"/>
        <w:spacing w:before="2"/>
      </w:pPr>
    </w:p>
    <w:p>
      <w:pPr>
        <w:spacing w:line="440" w:lineRule="exact"/>
        <w:ind w:firstLine="573"/>
        <w:rPr>
          <w:rFonts w:ascii="宋体"/>
          <w:szCs w:val="28"/>
        </w:rPr>
      </w:pPr>
      <w:r>
        <w:rPr>
          <w:rFonts w:hint="eastAsia" w:ascii="宋体" w:hAnsi="宋体"/>
          <w:szCs w:val="28"/>
        </w:rPr>
        <w:t>甲方：</w:t>
      </w:r>
      <w:r>
        <w:rPr>
          <w:rFonts w:ascii="宋体" w:hAnsi="宋体"/>
          <w:szCs w:val="28"/>
        </w:rPr>
        <w:t xml:space="preserve">                                         </w:t>
      </w:r>
      <w:r>
        <w:rPr>
          <w:rFonts w:hint="eastAsia" w:ascii="宋体" w:hAnsi="宋体"/>
          <w:szCs w:val="28"/>
        </w:rPr>
        <w:t>乙方：</w:t>
      </w:r>
    </w:p>
    <w:p>
      <w:pPr>
        <w:spacing w:line="440" w:lineRule="exact"/>
        <w:ind w:firstLine="573"/>
        <w:rPr>
          <w:rFonts w:ascii="宋体"/>
          <w:szCs w:val="28"/>
        </w:rPr>
      </w:pPr>
      <w:r>
        <w:rPr>
          <w:rFonts w:hint="eastAsia" w:ascii="宋体" w:hAnsi="宋体"/>
          <w:szCs w:val="28"/>
        </w:rPr>
        <w:t>法定代表人：</w:t>
      </w:r>
      <w:r>
        <w:rPr>
          <w:rFonts w:ascii="宋体" w:hAnsi="宋体"/>
          <w:szCs w:val="28"/>
        </w:rPr>
        <w:t xml:space="preserve">                                 </w:t>
      </w:r>
      <w:r>
        <w:rPr>
          <w:rFonts w:hint="eastAsia" w:ascii="宋体" w:hAnsi="宋体"/>
          <w:szCs w:val="28"/>
        </w:rPr>
        <w:t>法定代表人：</w:t>
      </w:r>
    </w:p>
    <w:p>
      <w:pPr>
        <w:spacing w:line="440" w:lineRule="exact"/>
        <w:ind w:firstLine="573"/>
        <w:rPr>
          <w:rFonts w:ascii="宋体"/>
          <w:szCs w:val="28"/>
        </w:rPr>
      </w:pPr>
      <w:r>
        <w:rPr>
          <w:rFonts w:ascii="宋体" w:hAnsi="宋体"/>
          <w:szCs w:val="28"/>
        </w:rPr>
        <w:t xml:space="preserve">        </w:t>
      </w:r>
      <w:r>
        <w:rPr>
          <w:rFonts w:hint="eastAsia" w:ascii="宋体" w:hAnsi="宋体"/>
          <w:szCs w:val="28"/>
        </w:rPr>
        <w:t>或</w:t>
      </w:r>
      <w:r>
        <w:rPr>
          <w:rFonts w:ascii="宋体" w:hAnsi="宋体"/>
          <w:szCs w:val="28"/>
        </w:rPr>
        <w:t xml:space="preserve">                                  </w:t>
      </w:r>
      <w:r>
        <w:rPr>
          <w:rFonts w:hint="eastAsia" w:ascii="宋体" w:hAnsi="宋体"/>
          <w:szCs w:val="28"/>
        </w:rPr>
        <w:t>或</w:t>
      </w:r>
    </w:p>
    <w:p>
      <w:pPr>
        <w:spacing w:line="440" w:lineRule="exact"/>
        <w:ind w:firstLine="573"/>
        <w:rPr>
          <w:rFonts w:ascii="宋体"/>
          <w:szCs w:val="28"/>
        </w:rPr>
      </w:pPr>
      <w:r>
        <w:rPr>
          <w:rFonts w:hint="eastAsia" w:ascii="宋体" w:hAnsi="宋体"/>
          <w:szCs w:val="28"/>
        </w:rPr>
        <w:t>其授权的代理人：</w:t>
      </w:r>
      <w:r>
        <w:rPr>
          <w:rFonts w:ascii="宋体" w:hAnsi="宋体"/>
          <w:szCs w:val="28"/>
        </w:rPr>
        <w:t xml:space="preserve">                            </w:t>
      </w:r>
      <w:r>
        <w:rPr>
          <w:rFonts w:hint="eastAsia" w:ascii="宋体" w:hAnsi="宋体"/>
          <w:szCs w:val="28"/>
        </w:rPr>
        <w:t>其授权的代理人：</w:t>
      </w:r>
    </w:p>
    <w:p>
      <w:pPr>
        <w:spacing w:line="440" w:lineRule="exact"/>
        <w:ind w:firstLine="573"/>
        <w:rPr>
          <w:rFonts w:ascii="宋体"/>
          <w:szCs w:val="28"/>
        </w:rPr>
      </w:pPr>
      <w:r>
        <w:rPr>
          <w:rFonts w:hint="eastAsia" w:ascii="宋体" w:hAnsi="宋体"/>
          <w:szCs w:val="28"/>
        </w:rPr>
        <w:t>地址：</w:t>
      </w:r>
      <w:r>
        <w:rPr>
          <w:rFonts w:ascii="宋体" w:hAnsi="宋体"/>
          <w:szCs w:val="28"/>
        </w:rPr>
        <w:t xml:space="preserve">                                      </w:t>
      </w:r>
      <w:r>
        <w:rPr>
          <w:rFonts w:hint="eastAsia" w:ascii="宋体" w:hAnsi="宋体"/>
          <w:szCs w:val="28"/>
        </w:rPr>
        <w:t>地址：</w:t>
      </w:r>
    </w:p>
    <w:p>
      <w:pPr>
        <w:spacing w:line="440" w:lineRule="exact"/>
        <w:ind w:firstLine="573"/>
        <w:rPr>
          <w:rFonts w:ascii="宋体"/>
          <w:szCs w:val="28"/>
        </w:rPr>
      </w:pPr>
      <w:r>
        <w:rPr>
          <w:rFonts w:hint="eastAsia" w:ascii="宋体" w:hAnsi="宋体"/>
          <w:szCs w:val="28"/>
        </w:rPr>
        <w:t>电话：</w:t>
      </w:r>
      <w:r>
        <w:rPr>
          <w:rFonts w:ascii="宋体" w:hAnsi="宋体"/>
          <w:szCs w:val="28"/>
        </w:rPr>
        <w:t xml:space="preserve">                                      </w:t>
      </w:r>
      <w:r>
        <w:rPr>
          <w:rFonts w:hint="eastAsia" w:ascii="宋体" w:hAnsi="宋体"/>
          <w:szCs w:val="28"/>
        </w:rPr>
        <w:t>电话：</w:t>
      </w:r>
    </w:p>
    <w:p>
      <w:pPr>
        <w:spacing w:line="440" w:lineRule="exact"/>
        <w:ind w:firstLine="573"/>
        <w:rPr>
          <w:rFonts w:ascii="宋体"/>
          <w:szCs w:val="28"/>
        </w:rPr>
      </w:pPr>
      <w:r>
        <w:rPr>
          <w:rFonts w:hint="eastAsia" w:ascii="宋体" w:hAnsi="宋体"/>
          <w:szCs w:val="28"/>
        </w:rPr>
        <w:t>日期：</w:t>
      </w:r>
      <w:r>
        <w:rPr>
          <w:rFonts w:ascii="宋体" w:hAnsi="宋体"/>
          <w:szCs w:val="28"/>
        </w:rPr>
        <w:t xml:space="preserve">                                      </w:t>
      </w:r>
      <w:r>
        <w:rPr>
          <w:rFonts w:hint="eastAsia" w:ascii="宋体" w:hAnsi="宋体"/>
          <w:szCs w:val="28"/>
        </w:rPr>
        <w:t>日期：</w:t>
      </w:r>
    </w:p>
    <w:p>
      <w:pPr>
        <w:spacing w:line="440" w:lineRule="exact"/>
        <w:ind w:firstLine="573"/>
        <w:rPr>
          <w:rFonts w:ascii="宋体"/>
          <w:szCs w:val="28"/>
        </w:rPr>
      </w:pPr>
      <w:r>
        <w:rPr>
          <w:rFonts w:hint="eastAsia" w:ascii="宋体" w:hAnsi="宋体"/>
          <w:szCs w:val="28"/>
        </w:rPr>
        <w:t>甲方监督单位：</w:t>
      </w:r>
      <w:r>
        <w:rPr>
          <w:rFonts w:ascii="宋体" w:hAnsi="宋体"/>
          <w:szCs w:val="28"/>
        </w:rPr>
        <w:t xml:space="preserve">                           </w:t>
      </w:r>
      <w:r>
        <w:rPr>
          <w:rFonts w:hint="eastAsia" w:ascii="宋体" w:hAnsi="宋体"/>
          <w:szCs w:val="28"/>
        </w:rPr>
        <w:t>乙方监督单位：</w:t>
      </w:r>
    </w:p>
    <w:p>
      <w:pPr>
        <w:pStyle w:val="18"/>
        <w:kinsoku w:val="0"/>
        <w:overflowPunct w:val="0"/>
        <w:ind w:left="627"/>
      </w:pPr>
      <w:r>
        <w:t xml:space="preserve"> </w:t>
      </w:r>
    </w:p>
    <w:p>
      <w:pPr>
        <w:pStyle w:val="171"/>
        <w:kinsoku w:val="0"/>
        <w:overflowPunct w:val="0"/>
        <w:spacing w:line="397" w:lineRule="exact"/>
        <w:ind w:left="114"/>
        <w:outlineLvl w:val="9"/>
        <w:rPr>
          <w:b w:val="0"/>
          <w:bCs w:val="0"/>
        </w:rPr>
      </w:pPr>
      <w:r>
        <w:br w:type="page"/>
      </w:r>
      <w:r>
        <w:rPr>
          <w:rFonts w:hint="eastAsia"/>
        </w:rPr>
        <w:t>附件三：安全生产协议书（格式）</w:t>
      </w:r>
      <w:r>
        <w:rPr>
          <w:w w:val="98"/>
        </w:rPr>
        <w:t xml:space="preserve"> </w:t>
      </w:r>
    </w:p>
    <w:p>
      <w:pPr>
        <w:pStyle w:val="151"/>
        <w:kinsoku w:val="0"/>
        <w:overflowPunct w:val="0"/>
        <w:spacing w:before="206"/>
        <w:ind w:left="1182" w:right="963"/>
        <w:jc w:val="center"/>
        <w:outlineLvl w:val="9"/>
        <w:rPr>
          <w:sz w:val="44"/>
          <w:szCs w:val="44"/>
        </w:rPr>
      </w:pPr>
      <w:r>
        <w:rPr>
          <w:rFonts w:hint="eastAsia"/>
        </w:rPr>
        <w:t>（本格式为安全生产协议书标准格式，投标人不需填）</w:t>
      </w:r>
      <w:r>
        <w:rPr>
          <w:b/>
          <w:bCs/>
          <w:w w:val="99"/>
          <w:sz w:val="44"/>
          <w:szCs w:val="44"/>
        </w:rPr>
        <w:t xml:space="preserve"> </w:t>
      </w:r>
    </w:p>
    <w:p>
      <w:pPr>
        <w:pStyle w:val="18"/>
        <w:kinsoku w:val="0"/>
        <w:overflowPunct w:val="0"/>
        <w:spacing w:before="154"/>
        <w:ind w:left="1182" w:right="963"/>
        <w:jc w:val="center"/>
        <w:rPr>
          <w:sz w:val="44"/>
          <w:szCs w:val="44"/>
        </w:rPr>
      </w:pPr>
      <w:r>
        <w:rPr>
          <w:rFonts w:hint="eastAsia"/>
          <w:b/>
          <w:bCs/>
          <w:sz w:val="44"/>
          <w:szCs w:val="44"/>
        </w:rPr>
        <w:t>安全生产协议书</w:t>
      </w:r>
      <w:r>
        <w:rPr>
          <w:b/>
          <w:bCs/>
          <w:w w:val="99"/>
          <w:sz w:val="44"/>
          <w:szCs w:val="44"/>
        </w:rPr>
        <w:t xml:space="preserve"> </w:t>
      </w:r>
    </w:p>
    <w:p>
      <w:pPr>
        <w:pStyle w:val="18"/>
        <w:kinsoku w:val="0"/>
        <w:overflowPunct w:val="0"/>
        <w:spacing w:line="400" w:lineRule="exact"/>
        <w:ind w:left="534" w:right="110"/>
      </w:pPr>
      <w:r>
        <w:rPr>
          <w:rFonts w:hint="eastAsia"/>
        </w:rPr>
        <w:t>为在（项目名</w:t>
      </w:r>
      <w:r>
        <w:rPr>
          <w:rFonts w:hint="eastAsia"/>
          <w:spacing w:val="-3"/>
        </w:rPr>
        <w:t>称</w:t>
      </w:r>
      <w:r>
        <w:rPr>
          <w:rFonts w:hint="eastAsia"/>
          <w:spacing w:val="-104"/>
        </w:rPr>
        <w:t>）</w:t>
      </w:r>
      <w:r>
        <w:rPr>
          <w:rFonts w:hint="eastAsia"/>
        </w:rPr>
        <w:t>（标</w:t>
      </w:r>
      <w:r>
        <w:rPr>
          <w:rFonts w:hint="eastAsia"/>
          <w:spacing w:val="-3"/>
        </w:rPr>
        <w:t>段名</w:t>
      </w:r>
      <w:r>
        <w:rPr>
          <w:rFonts w:hint="eastAsia"/>
        </w:rPr>
        <w:t>称）施工合同的实施</w:t>
      </w:r>
      <w:r>
        <w:rPr>
          <w:rFonts w:hint="eastAsia"/>
          <w:spacing w:val="-3"/>
        </w:rPr>
        <w:t>过程</w:t>
      </w:r>
      <w:r>
        <w:rPr>
          <w:rFonts w:hint="eastAsia"/>
        </w:rPr>
        <w:t>中创造安全、高效的</w:t>
      </w:r>
      <w:r>
        <w:rPr>
          <w:rFonts w:hint="eastAsia"/>
          <w:spacing w:val="-3"/>
        </w:rPr>
        <w:t>施工</w:t>
      </w:r>
      <w:r>
        <w:rPr>
          <w:rFonts w:hint="eastAsia"/>
        </w:rPr>
        <w:t>环境，切实搞好</w:t>
      </w:r>
    </w:p>
    <w:p>
      <w:pPr>
        <w:pStyle w:val="18"/>
        <w:kinsoku w:val="0"/>
        <w:overflowPunct w:val="0"/>
        <w:spacing w:line="400" w:lineRule="exact"/>
      </w:pPr>
      <w:r>
        <w:rPr>
          <w:rFonts w:hint="eastAsia"/>
          <w:spacing w:val="-8"/>
        </w:rPr>
        <w:t>本项目的安全管理工作，本项目的发包人（以下简称“甲方”）与承包人（以下简称“乙方”），特</w:t>
      </w:r>
      <w:r>
        <w:rPr>
          <w:spacing w:val="-42"/>
        </w:rPr>
        <w:t xml:space="preserve"> </w:t>
      </w:r>
      <w:r>
        <w:rPr>
          <w:rFonts w:hint="eastAsia"/>
        </w:rPr>
        <w:t>此签订安全生产协议书：</w:t>
      </w:r>
      <w:r>
        <w:t xml:space="preserve"> </w:t>
      </w:r>
    </w:p>
    <w:p>
      <w:pPr>
        <w:pStyle w:val="18"/>
        <w:kinsoku w:val="0"/>
        <w:overflowPunct w:val="0"/>
        <w:spacing w:line="400" w:lineRule="exact"/>
        <w:ind w:left="534"/>
      </w:pPr>
      <w:r>
        <w:rPr>
          <w:rFonts w:hint="eastAsia"/>
        </w:rPr>
        <w:t>第一条</w:t>
      </w:r>
      <w:r>
        <w:rPr>
          <w:spacing w:val="9"/>
        </w:rPr>
        <w:t xml:space="preserve"> </w:t>
      </w:r>
      <w:r>
        <w:rPr>
          <w:rFonts w:hint="eastAsia"/>
          <w:spacing w:val="-3"/>
        </w:rPr>
        <w:t>甲方职责</w:t>
      </w:r>
      <w:r>
        <w:t xml:space="preserve"> </w:t>
      </w:r>
    </w:p>
    <w:p>
      <w:pPr>
        <w:pStyle w:val="18"/>
        <w:kinsoku w:val="0"/>
        <w:overflowPunct w:val="0"/>
        <w:spacing w:line="400" w:lineRule="exact"/>
        <w:ind w:left="534"/>
      </w:pPr>
      <w:r>
        <w:rPr>
          <w:rFonts w:hint="eastAsia"/>
        </w:rPr>
        <w:t>（一）遵守国家有关安全生产的法律法规，认真执行工程承包合同中的有关安全要求。</w:t>
      </w:r>
      <w:r>
        <w:t xml:space="preserve"> </w:t>
      </w:r>
    </w:p>
    <w:p>
      <w:pPr>
        <w:pStyle w:val="18"/>
        <w:kinsoku w:val="0"/>
        <w:overflowPunct w:val="0"/>
        <w:spacing w:line="400" w:lineRule="exact"/>
        <w:ind w:right="107" w:firstLine="420"/>
      </w:pPr>
      <w:r>
        <w:rPr>
          <w:rFonts w:hint="eastAsia"/>
          <w:spacing w:val="-4"/>
        </w:rPr>
        <w:t>（二）按照“安全第一、预防为主、综合治理”和坚持“管生产必须管安全”的原则进行安全</w:t>
      </w:r>
      <w:r>
        <w:t xml:space="preserve"> </w:t>
      </w:r>
      <w:r>
        <w:rPr>
          <w:rFonts w:hint="eastAsia"/>
        </w:rPr>
        <w:t>生产管理，做到生产与安全工作同时计划、布置、检查、总结和评比。</w:t>
      </w:r>
      <w:r>
        <w:t xml:space="preserve"> </w:t>
      </w:r>
    </w:p>
    <w:p>
      <w:pPr>
        <w:pStyle w:val="18"/>
        <w:kinsoku w:val="0"/>
        <w:overflowPunct w:val="0"/>
        <w:spacing w:line="400" w:lineRule="exact"/>
        <w:ind w:right="110" w:firstLine="420"/>
      </w:pPr>
      <w:r>
        <w:rPr>
          <w:rFonts w:hint="eastAsia"/>
          <w:spacing w:val="-4"/>
        </w:rPr>
        <w:t>（三）重要的安全设施必须坚持与主体工程“三同时”的原则，即：同时设计、审批，同时施</w:t>
      </w:r>
      <w:r>
        <w:t xml:space="preserve"> </w:t>
      </w:r>
      <w:r>
        <w:rPr>
          <w:rFonts w:hint="eastAsia"/>
        </w:rPr>
        <w:t>工，同时验收、投入使用。</w:t>
      </w:r>
      <w:r>
        <w:t xml:space="preserve"> </w:t>
      </w:r>
    </w:p>
    <w:p>
      <w:pPr>
        <w:pStyle w:val="18"/>
        <w:kinsoku w:val="0"/>
        <w:overflowPunct w:val="0"/>
        <w:spacing w:line="400" w:lineRule="exact"/>
        <w:ind w:left="534"/>
      </w:pPr>
      <w:r>
        <w:rPr>
          <w:rFonts w:hint="eastAsia"/>
        </w:rPr>
        <w:t>（四）定期召开安全生产调度会，及时传达中央及地方有关安全生产的精神。</w:t>
      </w:r>
      <w:r>
        <w:t xml:space="preserve"> </w:t>
      </w:r>
    </w:p>
    <w:p>
      <w:pPr>
        <w:pStyle w:val="18"/>
        <w:kinsoku w:val="0"/>
        <w:overflowPunct w:val="0"/>
        <w:spacing w:line="400" w:lineRule="exact"/>
        <w:ind w:left="534" w:right="587"/>
      </w:pPr>
      <w:r>
        <w:rPr>
          <w:rFonts w:hint="eastAsia"/>
        </w:rPr>
        <w:t>（五）组织对乙方施工现场安全生产检查，监督乙方及时处理发现的各利安全隐患。</w:t>
      </w:r>
      <w:r>
        <w:t xml:space="preserve"> </w:t>
      </w:r>
      <w:r>
        <w:rPr>
          <w:rFonts w:hint="eastAsia"/>
        </w:rPr>
        <w:t>第二条</w:t>
      </w:r>
      <w:r>
        <w:rPr>
          <w:spacing w:val="9"/>
        </w:rPr>
        <w:t xml:space="preserve"> </w:t>
      </w:r>
      <w:r>
        <w:rPr>
          <w:rFonts w:hint="eastAsia"/>
          <w:spacing w:val="-3"/>
        </w:rPr>
        <w:t>乙方职责</w:t>
      </w:r>
      <w:r>
        <w:t xml:space="preserve"> </w:t>
      </w:r>
    </w:p>
    <w:p>
      <w:pPr>
        <w:pStyle w:val="18"/>
        <w:kinsoku w:val="0"/>
        <w:overflowPunct w:val="0"/>
        <w:spacing w:line="400" w:lineRule="exact"/>
        <w:ind w:right="107" w:firstLine="420"/>
      </w:pPr>
      <w:r>
        <w:rPr>
          <w:rFonts w:hint="eastAsia"/>
          <w:spacing w:val="-4"/>
        </w:rPr>
        <w:t>（一）严格遵守国家有关安全生产的法律法规、水利部颁发的有关工程施工安全技术规程的安</w:t>
      </w:r>
      <w:r>
        <w:t xml:space="preserve"> </w:t>
      </w:r>
      <w:r>
        <w:rPr>
          <w:rFonts w:hint="eastAsia"/>
        </w:rPr>
        <w:t>全生产规定，认真执行工程承包合同中的有关安全要求。</w:t>
      </w:r>
      <w:r>
        <w:t xml:space="preserve"> </w:t>
      </w:r>
    </w:p>
    <w:p>
      <w:pPr>
        <w:pStyle w:val="18"/>
        <w:kinsoku w:val="0"/>
        <w:overflowPunct w:val="0"/>
        <w:spacing w:line="400" w:lineRule="exact"/>
        <w:ind w:right="107" w:firstLine="420"/>
      </w:pPr>
      <w:r>
        <w:rPr>
          <w:rFonts w:hint="eastAsia"/>
          <w:spacing w:val="-4"/>
        </w:rPr>
        <w:t>（二）坚持“安全第一，预防为主、综合治理”和“管生产必须管安全”的原则，加强安全生</w:t>
      </w:r>
      <w:r>
        <w:t xml:space="preserve"> </w:t>
      </w:r>
      <w:r>
        <w:rPr>
          <w:rFonts w:hint="eastAsia"/>
          <w:spacing w:val="-4"/>
        </w:rPr>
        <w:t>产宣传教育，增强全员安全生产意识，建立健全各项安全生产的管理机构和安全生产管理制度，配</w:t>
      </w:r>
      <w:r>
        <w:rPr>
          <w:spacing w:val="-16"/>
        </w:rPr>
        <w:t xml:space="preserve"> </w:t>
      </w:r>
      <w:r>
        <w:rPr>
          <w:rFonts w:hint="eastAsia"/>
          <w:spacing w:val="-4"/>
        </w:rPr>
        <w:t>备专职及兼职安全检查人员，有组织有领导地开展安全生产活动。各级领导、工程技术人员、生产</w:t>
      </w:r>
      <w:r>
        <w:rPr>
          <w:spacing w:val="-16"/>
        </w:rPr>
        <w:t xml:space="preserve"> </w:t>
      </w:r>
      <w:r>
        <w:rPr>
          <w:rFonts w:hint="eastAsia"/>
          <w:spacing w:val="-4"/>
        </w:rPr>
        <w:t>管理人员和具体操作人员，必须熟悉和遵守本条款的各项规定，做到生产与安全工作同时计划、布</w:t>
      </w:r>
      <w:r>
        <w:rPr>
          <w:spacing w:val="-16"/>
        </w:rPr>
        <w:t xml:space="preserve"> </w:t>
      </w:r>
      <w:r>
        <w:rPr>
          <w:rFonts w:hint="eastAsia"/>
        </w:rPr>
        <w:t>置、检查、总结和评比。</w:t>
      </w:r>
      <w:r>
        <w:t xml:space="preserve"> </w:t>
      </w:r>
    </w:p>
    <w:p>
      <w:pPr>
        <w:pStyle w:val="18"/>
        <w:kinsoku w:val="0"/>
        <w:overflowPunct w:val="0"/>
        <w:spacing w:line="400" w:lineRule="exact"/>
        <w:ind w:right="107" w:firstLine="420"/>
      </w:pPr>
      <w:r>
        <w:rPr>
          <w:rFonts w:hint="eastAsia"/>
          <w:spacing w:val="-4"/>
        </w:rPr>
        <w:t>（三）建立健全安全生产责任制。从派往项目实施的项目负责人到生产工人（包括临时雇请的</w:t>
      </w:r>
      <w:r>
        <w:t xml:space="preserve"> </w:t>
      </w:r>
      <w:r>
        <w:rPr>
          <w:rFonts w:hint="eastAsia"/>
          <w:spacing w:val="-4"/>
        </w:rPr>
        <w:t>民工）的安全生产管理系统必须做到纵向到底，一环不漏；各职能部门、人员的安全生产责任制做</w:t>
      </w:r>
      <w:r>
        <w:rPr>
          <w:spacing w:val="-15"/>
        </w:rPr>
        <w:t xml:space="preserve"> </w:t>
      </w:r>
      <w:r>
        <w:rPr>
          <w:rFonts w:hint="eastAsia"/>
          <w:spacing w:val="-4"/>
        </w:rPr>
        <w:t>到横向到边，人人有责。项目负责人是安全生产的第一责任人。现场设置的安全机构，应按施工人</w:t>
      </w:r>
      <w:r>
        <w:rPr>
          <w:spacing w:val="-14"/>
        </w:rPr>
        <w:t xml:space="preserve"> </w:t>
      </w:r>
      <w:r>
        <w:rPr>
          <w:rFonts w:hint="eastAsia"/>
        </w:rPr>
        <w:t>员的</w:t>
      </w:r>
      <w:r>
        <w:rPr>
          <w:spacing w:val="25"/>
        </w:rPr>
        <w:t xml:space="preserve"> </w:t>
      </w:r>
      <w:r>
        <w:t>1%</w:t>
      </w:r>
      <w:r>
        <w:rPr>
          <w:rFonts w:hint="eastAsia"/>
        </w:rPr>
        <w:t>～</w:t>
      </w:r>
      <w:r>
        <w:t>3%</w:t>
      </w:r>
      <w:r>
        <w:rPr>
          <w:rFonts w:hint="eastAsia"/>
        </w:rPr>
        <w:t>配备安全员，专职负责所有员工的安全和治安保卫工作及预防事故的发生。安全机构</w:t>
      </w:r>
      <w:r>
        <w:rPr>
          <w:spacing w:val="-102"/>
        </w:rPr>
        <w:t xml:space="preserve"> </w:t>
      </w:r>
      <w:r>
        <w:rPr>
          <w:rFonts w:hint="eastAsia"/>
        </w:rPr>
        <w:t>人员，有权按有关规定发布指令，并采取保护性措施防止事故发生。</w:t>
      </w:r>
      <w:r>
        <w:t xml:space="preserve"> </w:t>
      </w:r>
    </w:p>
    <w:p>
      <w:pPr>
        <w:pStyle w:val="18"/>
        <w:kinsoku w:val="0"/>
        <w:overflowPunct w:val="0"/>
        <w:spacing w:line="400" w:lineRule="exact"/>
        <w:ind w:right="107" w:firstLine="420"/>
      </w:pPr>
      <w:r>
        <w:rPr>
          <w:rFonts w:hint="eastAsia"/>
          <w:spacing w:val="-4"/>
        </w:rPr>
        <w:t>（四）乙方在任何时候都应采取各种合理的预防措施，防止其员工发生任何违法、违禁、暴力</w:t>
      </w:r>
      <w:r>
        <w:t xml:space="preserve"> </w:t>
      </w:r>
      <w:r>
        <w:rPr>
          <w:rFonts w:hint="eastAsia"/>
        </w:rPr>
        <w:t>或妨碍治安的行为。</w:t>
      </w:r>
      <w:r>
        <w:t xml:space="preserve"> </w:t>
      </w:r>
    </w:p>
    <w:p>
      <w:pPr>
        <w:pStyle w:val="18"/>
        <w:kinsoku w:val="0"/>
        <w:overflowPunct w:val="0"/>
        <w:spacing w:line="400" w:lineRule="exact"/>
        <w:ind w:left="534"/>
      </w:pPr>
      <w:r>
        <w:rPr>
          <w:rFonts w:hint="eastAsia"/>
          <w:spacing w:val="-4"/>
        </w:rPr>
        <w:t>（五）乙方必须具有劳动安全管理部门颁发的安全生产证书，参加施工的人员，必须接受安全技术教育，熟知和遵守本工种的各项安全技术操作规程，定期进行安全技术考核，合格者方准上岗</w:t>
      </w:r>
      <w:r>
        <w:rPr>
          <w:spacing w:val="-14"/>
        </w:rPr>
        <w:t xml:space="preserve"> </w:t>
      </w:r>
      <w:r>
        <w:rPr>
          <w:rFonts w:hint="eastAsia"/>
          <w:spacing w:val="-4"/>
        </w:rPr>
        <w:t>操作。对于从事电气、起重、建筑登高架设作业、锅炉、压力容器、焊接、机动车驾驶、爆破等特</w:t>
      </w:r>
      <w:r>
        <w:rPr>
          <w:spacing w:val="-19"/>
        </w:rPr>
        <w:t xml:space="preserve"> </w:t>
      </w:r>
      <w:r>
        <w:rPr>
          <w:rFonts w:hint="eastAsia"/>
          <w:spacing w:val="-4"/>
        </w:rPr>
        <w:t>殊工种的人员，需经过专业培训，获得《安全操作合格证》后，方准持证上岗。施工现场如出现侍</w:t>
      </w:r>
      <w:r>
        <w:rPr>
          <w:spacing w:val="-19"/>
        </w:rPr>
        <w:t xml:space="preserve"> </w:t>
      </w:r>
      <w:r>
        <w:rPr>
          <w:rFonts w:hint="eastAsia"/>
        </w:rPr>
        <w:t>种作业无证操作现象时，项目负责人必须承担管理责任。</w:t>
      </w:r>
      <w:r>
        <w:t xml:space="preserve"> </w:t>
      </w:r>
    </w:p>
    <w:p>
      <w:pPr>
        <w:pStyle w:val="18"/>
        <w:kinsoku w:val="0"/>
        <w:overflowPunct w:val="0"/>
        <w:spacing w:line="400" w:lineRule="exact"/>
        <w:ind w:right="187" w:firstLine="420"/>
      </w:pPr>
      <w:r>
        <w:rPr>
          <w:rFonts w:hint="eastAsia"/>
          <w:spacing w:val="-4"/>
        </w:rPr>
        <w:t>（六）对于易燃易爆的材料除应专门妥善保管之外：还应配备有足够的消防设施，所有施工人</w:t>
      </w:r>
      <w:r>
        <w:t xml:space="preserve"> </w:t>
      </w:r>
      <w:r>
        <w:rPr>
          <w:rFonts w:hint="eastAsia"/>
          <w:spacing w:val="-4"/>
        </w:rPr>
        <w:t>员都应熟悉消防设备的性能和使用方法；乙方不得将任何种类的给予、易货或以其他方式转让给任</w:t>
      </w:r>
      <w:r>
        <w:rPr>
          <w:spacing w:val="-14"/>
        </w:rPr>
        <w:t xml:space="preserve"> </w:t>
      </w:r>
      <w:r>
        <w:rPr>
          <w:rFonts w:hint="eastAsia"/>
        </w:rPr>
        <w:t>何人，或允许、容忍上述同样行为。</w:t>
      </w:r>
      <w:r>
        <w:t xml:space="preserve"> </w:t>
      </w:r>
    </w:p>
    <w:p>
      <w:pPr>
        <w:pStyle w:val="18"/>
        <w:kinsoku w:val="0"/>
        <w:overflowPunct w:val="0"/>
        <w:spacing w:line="400" w:lineRule="exact"/>
        <w:ind w:right="187" w:firstLine="420"/>
      </w:pPr>
      <w:r>
        <w:rPr>
          <w:rFonts w:hint="eastAsia"/>
          <w:spacing w:val="-4"/>
        </w:rPr>
        <w:t>（七）操作人员上岗，必须按规定穿戴防护用品。施工负责人和安全检查员应随时检查劳动防</w:t>
      </w:r>
      <w:r>
        <w:t xml:space="preserve"> </w:t>
      </w:r>
      <w:r>
        <w:rPr>
          <w:rFonts w:hint="eastAsia"/>
        </w:rPr>
        <w:t>护用品的穿戴情况，不按规定穿戴防护用品的人员不得上岗。</w:t>
      </w:r>
      <w:r>
        <w:t xml:space="preserve"> </w:t>
      </w:r>
    </w:p>
    <w:p>
      <w:pPr>
        <w:pStyle w:val="18"/>
        <w:kinsoku w:val="0"/>
        <w:overflowPunct w:val="0"/>
        <w:spacing w:line="400" w:lineRule="exact"/>
        <w:ind w:right="187" w:firstLine="420"/>
      </w:pPr>
      <w:r>
        <w:rPr>
          <w:rFonts w:hint="eastAsia"/>
          <w:spacing w:val="-4"/>
        </w:rPr>
        <w:t>（八）所有施工机具设备和高空作业的设备均应定期检查，并有安全员的签字记录，保证其经</w:t>
      </w:r>
      <w:r>
        <w:t xml:space="preserve"> </w:t>
      </w:r>
      <w:r>
        <w:rPr>
          <w:rFonts w:hint="eastAsia"/>
        </w:rPr>
        <w:t>常处于完好状态；不合格的机具、设备和劳动保护用品严禁使用。</w:t>
      </w:r>
      <w:r>
        <w:t xml:space="preserve"> </w:t>
      </w:r>
    </w:p>
    <w:p>
      <w:pPr>
        <w:pStyle w:val="18"/>
        <w:kinsoku w:val="0"/>
        <w:overflowPunct w:val="0"/>
        <w:spacing w:line="400" w:lineRule="exact"/>
        <w:ind w:right="115" w:firstLine="420"/>
      </w:pPr>
      <w:r>
        <w:rPr>
          <w:rFonts w:hint="eastAsia"/>
          <w:spacing w:val="-2"/>
        </w:rPr>
        <w:t>（九）所有施工申采用新技术，新工艺、新设备、新材料时，必须制定相应的安全技术措施，</w:t>
      </w:r>
      <w:r>
        <w:t xml:space="preserve"> </w:t>
      </w:r>
      <w:r>
        <w:rPr>
          <w:rFonts w:hint="eastAsia"/>
        </w:rPr>
        <w:t>施工现场必须具有相关的安全标志牌。</w:t>
      </w:r>
      <w:r>
        <w:t xml:space="preserve"> </w:t>
      </w:r>
    </w:p>
    <w:p>
      <w:pPr>
        <w:pStyle w:val="18"/>
        <w:kinsoku w:val="0"/>
        <w:overflowPunct w:val="0"/>
        <w:spacing w:line="400" w:lineRule="exact"/>
        <w:ind w:right="115" w:firstLine="420"/>
      </w:pPr>
      <w:r>
        <w:rPr>
          <w:rFonts w:hint="eastAsia"/>
          <w:spacing w:val="-2"/>
        </w:rPr>
        <w:t>（十）乙方必须按照本工程项日特点，组织制定本工程实施中的生产安全事故应急救援预案；</w:t>
      </w:r>
      <w:r>
        <w:t xml:space="preserve"> </w:t>
      </w:r>
      <w:r>
        <w:rPr>
          <w:rFonts w:hint="eastAsia"/>
          <w:spacing w:val="-2"/>
        </w:rPr>
        <w:t>如果发生安全事故，应按照《国务院大于特大安全事故行政责任追究的规定》以及其他有关规定，</w:t>
      </w:r>
      <w:r>
        <w:rPr>
          <w:spacing w:val="-28"/>
        </w:rPr>
        <w:t xml:space="preserve"> </w:t>
      </w:r>
      <w:r>
        <w:rPr>
          <w:rFonts w:hint="eastAsia"/>
        </w:rPr>
        <w:t>及时上报有关部门，并坚持“四不放过”的原则，产肃处理相关责任人。</w:t>
      </w:r>
      <w:r>
        <w:t xml:space="preserve"> </w:t>
      </w:r>
    </w:p>
    <w:p>
      <w:pPr>
        <w:pStyle w:val="18"/>
        <w:kinsoku w:val="0"/>
        <w:overflowPunct w:val="0"/>
        <w:spacing w:line="400" w:lineRule="exact"/>
        <w:ind w:left="534" w:right="142"/>
        <w:rPr>
          <w:spacing w:val="-4"/>
        </w:rPr>
      </w:pPr>
      <w:r>
        <w:rPr>
          <w:rFonts w:hint="eastAsia"/>
        </w:rPr>
        <w:t>第三条</w:t>
      </w:r>
      <w:r>
        <w:t xml:space="preserve"> </w:t>
      </w:r>
      <w:r>
        <w:rPr>
          <w:rFonts w:hint="eastAsia"/>
          <w:spacing w:val="-3"/>
        </w:rPr>
        <w:t>违约责任</w:t>
      </w:r>
      <w:r>
        <w:rPr>
          <w:spacing w:val="-96"/>
        </w:rPr>
        <w:t xml:space="preserve"> </w:t>
      </w:r>
      <w:r>
        <w:rPr>
          <w:rFonts w:hint="eastAsia"/>
          <w:spacing w:val="-4"/>
        </w:rPr>
        <w:t>如因甲方或乙方违约造成安全事故，将依法追究责任，并视事故轻重扣除一定比例的安全保证</w:t>
      </w:r>
    </w:p>
    <w:p>
      <w:pPr>
        <w:pStyle w:val="18"/>
        <w:kinsoku w:val="0"/>
        <w:overflowPunct w:val="0"/>
        <w:spacing w:line="400" w:lineRule="exact"/>
      </w:pPr>
      <w:r>
        <w:rPr>
          <w:rFonts w:hint="eastAsia"/>
        </w:rPr>
        <w:t>金。</w:t>
      </w:r>
      <w:r>
        <w:t xml:space="preserve"> </w:t>
      </w:r>
    </w:p>
    <w:p>
      <w:pPr>
        <w:pStyle w:val="18"/>
        <w:kinsoku w:val="0"/>
        <w:overflowPunct w:val="0"/>
        <w:spacing w:line="400" w:lineRule="exact"/>
        <w:ind w:right="187" w:firstLine="420"/>
        <w:rPr>
          <w:sz w:val="20"/>
          <w:szCs w:val="20"/>
        </w:rPr>
      </w:pPr>
      <w:r>
        <w:rPr>
          <w:rFonts w:hint="eastAsia"/>
          <w:spacing w:val="-4"/>
        </w:rPr>
        <w:t>本合同正本一式二份，副本八份，合同双方各执正本一份，副本四份。由双方法定代表人或其</w:t>
      </w:r>
      <w:r>
        <w:t xml:space="preserve"> </w:t>
      </w:r>
      <w:r>
        <w:rPr>
          <w:rFonts w:hint="eastAsia"/>
        </w:rPr>
        <w:t>授权的代理人签署与加盖公章后生效，全部工程竣工验收后生失效。</w:t>
      </w:r>
      <w:r>
        <w:t xml:space="preserve"> </w:t>
      </w:r>
    </w:p>
    <w:p>
      <w:pPr>
        <w:spacing w:line="440" w:lineRule="exact"/>
        <w:ind w:firstLine="573"/>
        <w:rPr>
          <w:rFonts w:ascii="宋体"/>
          <w:szCs w:val="28"/>
        </w:rPr>
      </w:pPr>
      <w:r>
        <w:rPr>
          <w:rFonts w:hint="eastAsia" w:ascii="宋体" w:hAnsi="宋体"/>
          <w:szCs w:val="28"/>
        </w:rPr>
        <w:t>甲方：</w:t>
      </w:r>
      <w:r>
        <w:rPr>
          <w:rFonts w:ascii="宋体" w:hAnsi="宋体"/>
          <w:szCs w:val="28"/>
        </w:rPr>
        <w:t xml:space="preserve">                                         </w:t>
      </w:r>
      <w:r>
        <w:rPr>
          <w:rFonts w:hint="eastAsia" w:ascii="宋体" w:hAnsi="宋体"/>
          <w:szCs w:val="28"/>
        </w:rPr>
        <w:t>乙方：</w:t>
      </w:r>
    </w:p>
    <w:p>
      <w:pPr>
        <w:spacing w:line="440" w:lineRule="exact"/>
        <w:ind w:firstLine="573"/>
        <w:rPr>
          <w:rFonts w:ascii="宋体"/>
          <w:szCs w:val="28"/>
        </w:rPr>
      </w:pPr>
      <w:r>
        <w:rPr>
          <w:rFonts w:hint="eastAsia" w:ascii="宋体" w:hAnsi="宋体"/>
          <w:szCs w:val="28"/>
        </w:rPr>
        <w:t>法定代表人：</w:t>
      </w:r>
      <w:r>
        <w:rPr>
          <w:rFonts w:ascii="宋体" w:hAnsi="宋体"/>
          <w:szCs w:val="28"/>
        </w:rPr>
        <w:t xml:space="preserve">                                 </w:t>
      </w:r>
      <w:r>
        <w:rPr>
          <w:rFonts w:hint="eastAsia" w:ascii="宋体" w:hAnsi="宋体"/>
          <w:szCs w:val="28"/>
        </w:rPr>
        <w:t>法定代表人：</w:t>
      </w:r>
    </w:p>
    <w:p>
      <w:pPr>
        <w:spacing w:line="440" w:lineRule="exact"/>
        <w:ind w:firstLine="573"/>
        <w:rPr>
          <w:rFonts w:ascii="宋体"/>
          <w:szCs w:val="28"/>
        </w:rPr>
      </w:pPr>
      <w:r>
        <w:rPr>
          <w:rFonts w:ascii="宋体" w:hAnsi="宋体"/>
          <w:szCs w:val="28"/>
        </w:rPr>
        <w:t xml:space="preserve">        </w:t>
      </w:r>
      <w:r>
        <w:rPr>
          <w:rFonts w:hint="eastAsia" w:ascii="宋体" w:hAnsi="宋体"/>
          <w:szCs w:val="28"/>
        </w:rPr>
        <w:t>或</w:t>
      </w:r>
      <w:r>
        <w:rPr>
          <w:rFonts w:ascii="宋体" w:hAnsi="宋体"/>
          <w:szCs w:val="28"/>
        </w:rPr>
        <w:t xml:space="preserve">                                  </w:t>
      </w:r>
      <w:r>
        <w:rPr>
          <w:rFonts w:hint="eastAsia" w:ascii="宋体" w:hAnsi="宋体"/>
          <w:szCs w:val="28"/>
        </w:rPr>
        <w:t>或</w:t>
      </w:r>
    </w:p>
    <w:p>
      <w:pPr>
        <w:spacing w:line="440" w:lineRule="exact"/>
        <w:ind w:firstLine="573"/>
        <w:rPr>
          <w:rFonts w:ascii="宋体"/>
          <w:szCs w:val="28"/>
        </w:rPr>
      </w:pPr>
      <w:r>
        <w:rPr>
          <w:rFonts w:hint="eastAsia" w:ascii="宋体" w:hAnsi="宋体"/>
          <w:szCs w:val="28"/>
        </w:rPr>
        <w:t>其授权的代理人：</w:t>
      </w:r>
      <w:r>
        <w:rPr>
          <w:rFonts w:ascii="宋体" w:hAnsi="宋体"/>
          <w:szCs w:val="28"/>
        </w:rPr>
        <w:t xml:space="preserve">                            </w:t>
      </w:r>
      <w:r>
        <w:rPr>
          <w:rFonts w:hint="eastAsia" w:ascii="宋体" w:hAnsi="宋体"/>
          <w:szCs w:val="28"/>
        </w:rPr>
        <w:t>其授权的代理人：</w:t>
      </w:r>
    </w:p>
    <w:p>
      <w:pPr>
        <w:spacing w:line="440" w:lineRule="exact"/>
        <w:ind w:firstLine="573"/>
        <w:rPr>
          <w:rFonts w:ascii="宋体"/>
          <w:szCs w:val="28"/>
        </w:rPr>
      </w:pPr>
      <w:r>
        <w:rPr>
          <w:rFonts w:hint="eastAsia" w:ascii="宋体" w:hAnsi="宋体"/>
          <w:szCs w:val="28"/>
        </w:rPr>
        <w:t>地址：</w:t>
      </w:r>
      <w:r>
        <w:rPr>
          <w:rFonts w:ascii="宋体" w:hAnsi="宋体"/>
          <w:szCs w:val="28"/>
        </w:rPr>
        <w:t xml:space="preserve">                                      </w:t>
      </w:r>
      <w:r>
        <w:rPr>
          <w:rFonts w:hint="eastAsia" w:ascii="宋体" w:hAnsi="宋体"/>
          <w:szCs w:val="28"/>
        </w:rPr>
        <w:t>地址：</w:t>
      </w:r>
    </w:p>
    <w:p>
      <w:pPr>
        <w:spacing w:line="440" w:lineRule="exact"/>
        <w:ind w:firstLine="573"/>
        <w:rPr>
          <w:rFonts w:ascii="宋体"/>
          <w:szCs w:val="28"/>
        </w:rPr>
      </w:pPr>
      <w:r>
        <w:rPr>
          <w:rFonts w:hint="eastAsia" w:ascii="宋体" w:hAnsi="宋体"/>
          <w:szCs w:val="28"/>
        </w:rPr>
        <w:t>电话：</w:t>
      </w:r>
      <w:r>
        <w:rPr>
          <w:rFonts w:ascii="宋体" w:hAnsi="宋体"/>
          <w:szCs w:val="28"/>
        </w:rPr>
        <w:t xml:space="preserve">                                      </w:t>
      </w:r>
      <w:r>
        <w:rPr>
          <w:rFonts w:hint="eastAsia" w:ascii="宋体" w:hAnsi="宋体"/>
          <w:szCs w:val="28"/>
        </w:rPr>
        <w:t>电话：</w:t>
      </w:r>
    </w:p>
    <w:p>
      <w:pPr>
        <w:pStyle w:val="22"/>
        <w:tabs>
          <w:tab w:val="left" w:pos="1200"/>
          <w:tab w:val="left" w:pos="2472"/>
        </w:tabs>
        <w:snapToGrid w:val="0"/>
        <w:spacing w:before="0" w:after="0"/>
        <w:rPr>
          <w:rFonts w:ascii="仿宋" w:hAnsi="仿宋" w:eastAsia="仿宋" w:cs="仿宋"/>
          <w:b/>
          <w:bCs/>
          <w:sz w:val="21"/>
          <w:szCs w:val="21"/>
        </w:rPr>
      </w:pPr>
      <w:r>
        <w:rPr>
          <w:rFonts w:hint="eastAsia" w:ascii="仿宋" w:hAnsi="仿宋" w:eastAsia="仿宋" w:cs="仿宋"/>
          <w:b/>
          <w:bCs/>
          <w:sz w:val="21"/>
          <w:szCs w:val="21"/>
        </w:rPr>
        <w:t>注：本合同样本仅作参考，招标人与中标人可根据实际项目的情况进行必要的修改。</w:t>
      </w:r>
    </w:p>
    <w:p>
      <w:pPr>
        <w:pStyle w:val="22"/>
        <w:widowControl w:val="0"/>
        <w:adjustRightInd w:val="0"/>
        <w:snapToGrid w:val="0"/>
        <w:jc w:val="center"/>
        <w:rPr>
          <w:rFonts w:cs="宋体"/>
          <w:b/>
          <w:bCs/>
          <w:sz w:val="52"/>
          <w:szCs w:val="52"/>
        </w:rPr>
      </w:pPr>
      <w:r>
        <w:rPr>
          <w:rFonts w:hint="eastAsia" w:cs="宋体"/>
          <w:b/>
          <w:bCs/>
          <w:sz w:val="52"/>
          <w:szCs w:val="52"/>
        </w:rPr>
        <w:br w:type="page"/>
      </w:r>
      <w:r>
        <w:rPr>
          <w:rFonts w:hint="eastAsia" w:cs="宋体"/>
          <w:b/>
          <w:bCs/>
          <w:sz w:val="52"/>
          <w:szCs w:val="52"/>
        </w:rPr>
        <w:t>第七章  投标文件格式</w:t>
      </w:r>
    </w:p>
    <w:p>
      <w:pPr>
        <w:pStyle w:val="22"/>
        <w:widowControl w:val="0"/>
        <w:adjustRightInd w:val="0"/>
        <w:snapToGrid w:val="0"/>
        <w:rPr>
          <w:rFonts w:cs="宋体"/>
          <w:b/>
        </w:rPr>
      </w:pPr>
      <w:r>
        <w:rPr>
          <w:rFonts w:hint="eastAsia" w:cs="宋体"/>
          <w:b/>
        </w:rPr>
        <w:t>一、外包装密封封面格式：（参考）</w:t>
      </w:r>
    </w:p>
    <w:p>
      <w:pPr>
        <w:pStyle w:val="22"/>
        <w:widowControl w:val="0"/>
        <w:adjustRightInd w:val="0"/>
        <w:snapToGrid w:val="0"/>
        <w:jc w:val="center"/>
        <w:rPr>
          <w:rFonts w:cs="宋体"/>
          <w:b/>
        </w:rPr>
      </w:pPr>
    </w:p>
    <w:p>
      <w:pPr>
        <w:pStyle w:val="22"/>
        <w:widowControl w:val="0"/>
        <w:adjustRightInd w:val="0"/>
        <w:snapToGrid w:val="0"/>
        <w:jc w:val="center"/>
        <w:rPr>
          <w:rFonts w:cs="宋体"/>
          <w:b/>
          <w:bCs/>
          <w:sz w:val="52"/>
          <w:szCs w:val="52"/>
        </w:rPr>
      </w:pPr>
      <w:r>
        <w:rPr>
          <w:rFonts w:hint="eastAsia" w:cs="宋体"/>
          <w:bCs/>
        </w:rPr>
        <w:t>投 标 文 件</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项目名称：</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项目编号：</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标段序号（如有）：</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投标文件名称：技术或价格</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投标人名称（盖章）：</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法定代表人或授权代表签字或盖章：</w:t>
      </w:r>
    </w:p>
    <w:p>
      <w:pPr>
        <w:pStyle w:val="9"/>
        <w:snapToGrid w:val="0"/>
        <w:spacing w:before="50" w:after="50"/>
        <w:ind w:firstLine="1036" w:firstLineChars="432"/>
        <w:rPr>
          <w:rFonts w:ascii="宋体" w:hAnsi="宋体" w:cs="宋体"/>
          <w:bCs/>
          <w:sz w:val="24"/>
          <w:szCs w:val="24"/>
        </w:rPr>
      </w:pPr>
      <w:r>
        <w:rPr>
          <w:rFonts w:hint="eastAsia" w:ascii="宋体" w:hAnsi="宋体" w:cs="宋体"/>
          <w:bCs/>
          <w:sz w:val="24"/>
          <w:szCs w:val="24"/>
        </w:rPr>
        <w:t>在  年  月  日  时  分之前不得启封</w:t>
      </w:r>
    </w:p>
    <w:p>
      <w:pPr>
        <w:shd w:val="clear" w:color="auto" w:fill="FFFFFF"/>
        <w:snapToGrid w:val="0"/>
        <w:spacing w:after="50"/>
        <w:rPr>
          <w:rFonts w:ascii="宋体" w:hAnsi="宋体" w:cs="宋体"/>
        </w:rPr>
      </w:pPr>
    </w:p>
    <w:p>
      <w:pPr>
        <w:pStyle w:val="22"/>
        <w:widowControl w:val="0"/>
        <w:adjustRightInd w:val="0"/>
        <w:snapToGrid w:val="0"/>
        <w:rPr>
          <w:rFonts w:cs="宋体"/>
          <w:b/>
        </w:rPr>
      </w:pPr>
      <w:r>
        <w:rPr>
          <w:rFonts w:hint="eastAsia" w:cs="宋体"/>
          <w:b/>
        </w:rPr>
        <w:t xml:space="preserve">  二、技术（价格）文件封面格式：（参考）  </w:t>
      </w:r>
    </w:p>
    <w:p>
      <w:pPr>
        <w:snapToGrid w:val="0"/>
        <w:spacing w:before="120" w:beforeLines="50" w:after="50" w:line="360" w:lineRule="auto"/>
        <w:rPr>
          <w:rFonts w:ascii="宋体" w:hAnsi="宋体" w:cs="宋体"/>
          <w:bCs/>
        </w:rPr>
      </w:pPr>
      <w:r>
        <w:rPr>
          <w:rFonts w:hint="eastAsia" w:ascii="宋体" w:hAnsi="宋体" w:cs="宋体"/>
        </w:rPr>
        <w:t xml:space="preserve">                                                         </w:t>
      </w:r>
      <w:r>
        <w:rPr>
          <w:rFonts w:hint="eastAsia" w:ascii="宋体" w:hAnsi="宋体" w:cs="宋体"/>
          <w:bCs/>
        </w:rPr>
        <w:t>正本或副本</w:t>
      </w:r>
    </w:p>
    <w:p>
      <w:pPr>
        <w:snapToGrid w:val="0"/>
        <w:spacing w:before="120" w:beforeLines="50" w:after="50" w:line="360" w:lineRule="auto"/>
        <w:rPr>
          <w:rFonts w:ascii="宋体" w:hAnsi="宋体" w:cs="宋体"/>
        </w:rPr>
      </w:pPr>
    </w:p>
    <w:p>
      <w:pPr>
        <w:pStyle w:val="22"/>
        <w:widowControl w:val="0"/>
        <w:adjustRightInd w:val="0"/>
        <w:snapToGrid w:val="0"/>
        <w:jc w:val="center"/>
        <w:rPr>
          <w:rFonts w:cs="宋体"/>
          <w:bCs/>
        </w:rPr>
      </w:pPr>
      <w:r>
        <w:rPr>
          <w:rFonts w:hint="eastAsia" w:cs="宋体"/>
          <w:bCs/>
        </w:rPr>
        <w:t>技术文件或价格文件</w:t>
      </w:r>
    </w:p>
    <w:p>
      <w:pPr>
        <w:pStyle w:val="22"/>
        <w:widowControl w:val="0"/>
        <w:adjustRightInd w:val="0"/>
        <w:snapToGrid w:val="0"/>
        <w:jc w:val="center"/>
        <w:rPr>
          <w:rFonts w:cs="宋体"/>
          <w:b/>
          <w:bCs/>
          <w:sz w:val="28"/>
          <w:szCs w:val="52"/>
        </w:rPr>
      </w:pP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项目名称：</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项目编号：</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标段序号（如有）：</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投标人名称（盖章）：</w:t>
      </w:r>
    </w:p>
    <w:p>
      <w:pPr>
        <w:pStyle w:val="9"/>
        <w:snapToGrid w:val="0"/>
        <w:spacing w:before="50" w:after="50"/>
        <w:ind w:firstLine="1020" w:firstLineChars="425"/>
        <w:rPr>
          <w:rFonts w:ascii="宋体" w:hAnsi="宋体" w:cs="宋体"/>
          <w:bCs/>
          <w:sz w:val="24"/>
          <w:szCs w:val="24"/>
        </w:rPr>
      </w:pPr>
      <w:r>
        <w:rPr>
          <w:rFonts w:hint="eastAsia" w:ascii="宋体" w:hAnsi="宋体" w:cs="宋体"/>
          <w:bCs/>
          <w:sz w:val="24"/>
          <w:szCs w:val="24"/>
        </w:rPr>
        <w:t>法定代表人或授权代表签字或盖章：</w:t>
      </w:r>
    </w:p>
    <w:p>
      <w:pPr>
        <w:shd w:val="clear" w:color="auto" w:fill="FFFFFF"/>
        <w:snapToGrid w:val="0"/>
        <w:spacing w:after="50"/>
        <w:ind w:firstLine="900" w:firstLineChars="300"/>
        <w:rPr>
          <w:rFonts w:ascii="宋体" w:hAnsi="宋体" w:cs="宋体"/>
          <w:bCs/>
          <w:sz w:val="30"/>
          <w:szCs w:val="30"/>
        </w:rPr>
      </w:pPr>
    </w:p>
    <w:p>
      <w:pPr>
        <w:shd w:val="clear" w:color="auto" w:fill="FFFFFF"/>
        <w:snapToGrid w:val="0"/>
        <w:spacing w:after="50"/>
        <w:ind w:firstLine="900" w:firstLineChars="300"/>
        <w:rPr>
          <w:rFonts w:ascii="宋体" w:hAnsi="宋体" w:cs="宋体"/>
          <w:bCs/>
          <w:sz w:val="30"/>
          <w:szCs w:val="30"/>
        </w:rPr>
      </w:pPr>
    </w:p>
    <w:p>
      <w:pPr>
        <w:shd w:val="clear" w:color="auto" w:fill="FFFFFF"/>
        <w:snapToGrid w:val="0"/>
        <w:spacing w:after="50"/>
        <w:ind w:firstLine="4080" w:firstLineChars="1700"/>
        <w:rPr>
          <w:rFonts w:ascii="宋体" w:hAnsi="宋体" w:cs="宋体"/>
          <w:szCs w:val="20"/>
        </w:rPr>
      </w:pPr>
      <w:r>
        <w:rPr>
          <w:rFonts w:hint="eastAsia" w:ascii="宋体" w:hAnsi="宋体" w:cs="宋体"/>
          <w:szCs w:val="20"/>
        </w:rPr>
        <w:t> </w:t>
      </w:r>
    </w:p>
    <w:p>
      <w:pPr>
        <w:shd w:val="clear" w:color="auto" w:fill="FFFFFF"/>
        <w:snapToGrid w:val="0"/>
        <w:spacing w:after="50"/>
        <w:ind w:firstLine="645"/>
        <w:jc w:val="center"/>
        <w:rPr>
          <w:rFonts w:ascii="宋体" w:hAnsi="宋体" w:cs="宋体"/>
          <w:b/>
        </w:rPr>
      </w:pPr>
      <w:r>
        <w:rPr>
          <w:rFonts w:hint="eastAsia" w:ascii="宋体" w:hAnsi="宋体" w:cs="宋体"/>
        </w:rPr>
        <w:br w:type="page"/>
      </w:r>
      <w:r>
        <w:rPr>
          <w:rFonts w:hint="eastAsia" w:ascii="宋体" w:hAnsi="宋体" w:cs="宋体"/>
          <w:b/>
          <w:sz w:val="32"/>
        </w:rPr>
        <w:t>评分索引表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745"/>
        <w:gridCol w:w="4947"/>
        <w:gridCol w:w="845"/>
        <w:gridCol w:w="104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76" w:type="dxa"/>
            <w:vAlign w:val="center"/>
          </w:tcPr>
          <w:p>
            <w:pPr>
              <w:jc w:val="center"/>
              <w:rPr>
                <w:rFonts w:ascii="宋体" w:hAnsi="宋体" w:cs="宋体"/>
                <w:bCs/>
                <w:sz w:val="21"/>
                <w:szCs w:val="21"/>
              </w:rPr>
            </w:pPr>
            <w:r>
              <w:rPr>
                <w:rFonts w:hint="eastAsia" w:ascii="宋体" w:hAnsi="宋体" w:cs="宋体"/>
                <w:bCs/>
                <w:sz w:val="21"/>
                <w:szCs w:val="21"/>
              </w:rPr>
              <w:t>序号</w:t>
            </w:r>
          </w:p>
        </w:tc>
        <w:tc>
          <w:tcPr>
            <w:tcW w:w="1745" w:type="dxa"/>
            <w:vAlign w:val="center"/>
          </w:tcPr>
          <w:p>
            <w:pPr>
              <w:jc w:val="center"/>
              <w:rPr>
                <w:rFonts w:ascii="宋体" w:hAnsi="宋体" w:cs="宋体"/>
                <w:bCs/>
                <w:sz w:val="21"/>
                <w:szCs w:val="21"/>
              </w:rPr>
            </w:pPr>
            <w:r>
              <w:rPr>
                <w:rFonts w:hint="eastAsia" w:ascii="宋体" w:hAnsi="宋体" w:cs="宋体"/>
                <w:bCs/>
                <w:sz w:val="21"/>
                <w:szCs w:val="21"/>
              </w:rPr>
              <w:t>项目</w:t>
            </w:r>
          </w:p>
        </w:tc>
        <w:tc>
          <w:tcPr>
            <w:tcW w:w="6838" w:type="dxa"/>
            <w:gridSpan w:val="3"/>
            <w:vAlign w:val="center"/>
          </w:tcPr>
          <w:p>
            <w:pPr>
              <w:jc w:val="center"/>
              <w:rPr>
                <w:rFonts w:ascii="宋体" w:hAnsi="宋体" w:cs="宋体"/>
                <w:bCs/>
                <w:sz w:val="21"/>
                <w:szCs w:val="21"/>
              </w:rPr>
            </w:pPr>
            <w:r>
              <w:rPr>
                <w:rFonts w:hint="eastAsia" w:ascii="宋体" w:hAnsi="宋体" w:cs="宋体"/>
                <w:bCs/>
                <w:sz w:val="21"/>
                <w:szCs w:val="21"/>
              </w:rPr>
              <w:t>审查标准</w:t>
            </w:r>
          </w:p>
        </w:tc>
        <w:tc>
          <w:tcPr>
            <w:tcW w:w="755" w:type="dxa"/>
            <w:vAlign w:val="center"/>
          </w:tcPr>
          <w:p>
            <w:pPr>
              <w:jc w:val="center"/>
              <w:rPr>
                <w:rFonts w:ascii="宋体" w:hAnsi="宋体" w:cs="宋体"/>
                <w:bCs/>
                <w:sz w:val="21"/>
                <w:szCs w:val="21"/>
              </w:rPr>
            </w:pPr>
            <w:r>
              <w:rPr>
                <w:rFonts w:hint="eastAsia" w:ascii="宋体" w:hAnsi="宋体" w:cs="宋体"/>
                <w:bCs/>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76" w:type="dxa"/>
            <w:vMerge w:val="restart"/>
            <w:vAlign w:val="center"/>
          </w:tcPr>
          <w:p>
            <w:pPr>
              <w:jc w:val="center"/>
              <w:rPr>
                <w:rFonts w:ascii="宋体" w:hAnsi="宋体" w:cs="宋体"/>
                <w:bCs/>
                <w:sz w:val="21"/>
                <w:szCs w:val="21"/>
              </w:rPr>
            </w:pPr>
            <w:r>
              <w:rPr>
                <w:rFonts w:hint="eastAsia" w:ascii="宋体" w:hAnsi="宋体" w:cs="宋体"/>
                <w:bCs/>
                <w:sz w:val="21"/>
                <w:szCs w:val="21"/>
              </w:rPr>
              <w:t>1</w:t>
            </w:r>
          </w:p>
        </w:tc>
        <w:tc>
          <w:tcPr>
            <w:tcW w:w="1745" w:type="dxa"/>
            <w:vMerge w:val="restart"/>
            <w:vAlign w:val="center"/>
          </w:tcPr>
          <w:p>
            <w:pPr>
              <w:snapToGrid w:val="0"/>
              <w:jc w:val="center"/>
              <w:rPr>
                <w:rFonts w:ascii="宋体" w:hAnsi="宋体" w:cs="宋体"/>
                <w:b/>
              </w:rPr>
            </w:pPr>
            <w:r>
              <w:rPr>
                <w:rFonts w:hint="eastAsia" w:ascii="宋体" w:hAnsi="宋体" w:cs="宋体"/>
                <w:b/>
              </w:rPr>
              <w:t>资格审查</w:t>
            </w:r>
          </w:p>
        </w:tc>
        <w:tc>
          <w:tcPr>
            <w:tcW w:w="6838" w:type="dxa"/>
            <w:gridSpan w:val="3"/>
            <w:vAlign w:val="center"/>
          </w:tcPr>
          <w:p>
            <w:pPr>
              <w:rPr>
                <w:rFonts w:ascii="宋体" w:hAnsi="宋体" w:cs="宋体"/>
                <w:bCs/>
                <w:sz w:val="21"/>
                <w:szCs w:val="21"/>
                <w:highlight w:val="yellow"/>
              </w:rPr>
            </w:pPr>
            <w:r>
              <w:rPr>
                <w:rFonts w:hint="eastAsia" w:ascii="宋体" w:hAnsi="宋体" w:cs="宋体"/>
                <w:b/>
              </w:rPr>
              <w:t>一、符合《中华人民共和国政府采购法》第二十二条规定的投标人资格条件和浙财采监[2013]24号《关于规范政府采购供应商资格设定及资格审查的通知》第六条规定：</w:t>
            </w:r>
          </w:p>
        </w:tc>
        <w:tc>
          <w:tcPr>
            <w:tcW w:w="755" w:type="dxa"/>
            <w:vAlign w:val="center"/>
          </w:tcPr>
          <w:p>
            <w:pPr>
              <w:tabs>
                <w:tab w:val="left" w:pos="3850"/>
              </w:tabs>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jc w:val="center"/>
        </w:trPr>
        <w:tc>
          <w:tcPr>
            <w:tcW w:w="676" w:type="dxa"/>
            <w:vMerge w:val="continue"/>
            <w:vAlign w:val="center"/>
          </w:tcPr>
          <w:p>
            <w:pPr>
              <w:jc w:val="center"/>
              <w:rPr>
                <w:rFonts w:ascii="宋体" w:hAnsi="宋体" w:cs="宋体"/>
                <w:bCs/>
                <w:sz w:val="21"/>
                <w:szCs w:val="21"/>
              </w:rPr>
            </w:pPr>
          </w:p>
        </w:tc>
        <w:tc>
          <w:tcPr>
            <w:tcW w:w="1745" w:type="dxa"/>
            <w:vMerge w:val="continue"/>
            <w:vAlign w:val="center"/>
          </w:tcPr>
          <w:p>
            <w:pPr>
              <w:widowControl w:val="0"/>
              <w:kinsoku w:val="0"/>
              <w:jc w:val="center"/>
              <w:rPr>
                <w:rFonts w:ascii="宋体" w:hAnsi="宋体" w:cs="宋体"/>
                <w:bCs/>
                <w:sz w:val="21"/>
                <w:szCs w:val="21"/>
              </w:rPr>
            </w:pPr>
          </w:p>
        </w:tc>
        <w:tc>
          <w:tcPr>
            <w:tcW w:w="6838" w:type="dxa"/>
            <w:gridSpan w:val="3"/>
            <w:vAlign w:val="center"/>
          </w:tcPr>
          <w:p>
            <w:pPr>
              <w:adjustRightInd w:val="0"/>
              <w:snapToGrid w:val="0"/>
              <w:rPr>
                <w:rFonts w:ascii="宋体" w:hAnsi="宋体" w:cs="宋体"/>
                <w:b/>
              </w:rPr>
            </w:pPr>
            <w:r>
              <w:rPr>
                <w:rFonts w:hint="eastAsia" w:ascii="宋体" w:hAnsi="宋体" w:cs="宋体"/>
                <w:b/>
              </w:rPr>
              <w:t>（一）具有独立承担民事责任的能力。</w:t>
            </w:r>
          </w:p>
          <w:p>
            <w:pPr>
              <w:adjustRightInd w:val="0"/>
              <w:snapToGrid w:val="0"/>
              <w:rPr>
                <w:rFonts w:ascii="宋体" w:hAnsi="宋体" w:cs="宋体"/>
              </w:rPr>
            </w:pPr>
            <w:r>
              <w:rPr>
                <w:rFonts w:hint="eastAsia" w:ascii="宋体" w:hAnsi="宋体" w:cs="宋体"/>
              </w:rPr>
              <w:t>有效的企业法人营业执照（或法人登记证）或者其他组织的营业执照复印件。</w:t>
            </w:r>
          </w:p>
          <w:p>
            <w:pPr>
              <w:adjustRightInd w:val="0"/>
              <w:snapToGrid w:val="0"/>
              <w:rPr>
                <w:rFonts w:ascii="宋体" w:hAnsi="宋体" w:cs="宋体"/>
              </w:rPr>
            </w:pPr>
            <w:r>
              <w:rPr>
                <w:rFonts w:hint="eastAsia" w:ascii="宋体" w:hAnsi="宋体" w:cs="宋体"/>
              </w:rPr>
              <w:t>注：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w:t>
            </w:r>
          </w:p>
          <w:p>
            <w:pPr>
              <w:tabs>
                <w:tab w:val="left" w:pos="3850"/>
              </w:tabs>
              <w:rPr>
                <w:rFonts w:ascii="宋体" w:hAnsi="宋体" w:cs="宋体"/>
                <w:bCs/>
                <w:sz w:val="21"/>
                <w:szCs w:val="21"/>
              </w:rPr>
            </w:pPr>
            <w:r>
              <w:rPr>
                <w:rFonts w:hint="eastAsia" w:ascii="宋体" w:hAnsi="宋体" w:cs="宋体"/>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tc>
        <w:tc>
          <w:tcPr>
            <w:tcW w:w="755" w:type="dxa"/>
            <w:vAlign w:val="center"/>
          </w:tcPr>
          <w:p>
            <w:pPr>
              <w:tabs>
                <w:tab w:val="left" w:pos="3850"/>
              </w:tabs>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76" w:type="dxa"/>
            <w:vMerge w:val="continue"/>
            <w:vAlign w:val="center"/>
          </w:tcPr>
          <w:p>
            <w:pPr>
              <w:jc w:val="center"/>
              <w:rPr>
                <w:rFonts w:ascii="宋体" w:hAnsi="宋体" w:cs="宋体"/>
                <w:bCs/>
                <w:sz w:val="21"/>
                <w:szCs w:val="21"/>
              </w:rPr>
            </w:pPr>
          </w:p>
        </w:tc>
        <w:tc>
          <w:tcPr>
            <w:tcW w:w="1745" w:type="dxa"/>
            <w:vMerge w:val="continue"/>
            <w:vAlign w:val="center"/>
          </w:tcPr>
          <w:p>
            <w:pPr>
              <w:widowControl w:val="0"/>
              <w:kinsoku w:val="0"/>
              <w:jc w:val="center"/>
              <w:rPr>
                <w:rFonts w:ascii="宋体" w:hAnsi="宋体" w:cs="宋体"/>
                <w:bCs/>
                <w:sz w:val="21"/>
                <w:szCs w:val="21"/>
              </w:rPr>
            </w:pPr>
          </w:p>
        </w:tc>
        <w:tc>
          <w:tcPr>
            <w:tcW w:w="6838" w:type="dxa"/>
            <w:gridSpan w:val="3"/>
            <w:vAlign w:val="center"/>
          </w:tcPr>
          <w:p>
            <w:pPr>
              <w:adjustRightInd w:val="0"/>
              <w:snapToGrid w:val="0"/>
              <w:rPr>
                <w:rFonts w:ascii="宋体" w:hAnsi="宋体" w:cs="宋体"/>
                <w:b/>
              </w:rPr>
            </w:pPr>
            <w:r>
              <w:rPr>
                <w:rFonts w:hint="eastAsia" w:ascii="宋体" w:hAnsi="宋体" w:cs="宋体"/>
                <w:b/>
              </w:rPr>
              <w:t>（二）具有良好的商业信誉和健全的财务会计制度。</w:t>
            </w:r>
          </w:p>
          <w:p>
            <w:pPr>
              <w:adjustRightInd w:val="0"/>
              <w:snapToGrid w:val="0"/>
              <w:rPr>
                <w:rFonts w:ascii="宋体" w:hAnsi="宋体" w:cs="宋体"/>
              </w:rPr>
            </w:pPr>
            <w:r>
              <w:rPr>
                <w:rFonts w:hint="eastAsia" w:ascii="宋体" w:hAnsi="宋体" w:cs="宋体"/>
              </w:rPr>
              <w:t>须提供声明函（后附）</w:t>
            </w:r>
          </w:p>
        </w:tc>
        <w:tc>
          <w:tcPr>
            <w:tcW w:w="755" w:type="dxa"/>
            <w:vAlign w:val="center"/>
          </w:tcPr>
          <w:p>
            <w:pPr>
              <w:tabs>
                <w:tab w:val="left" w:pos="3850"/>
              </w:tabs>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76" w:type="dxa"/>
            <w:vMerge w:val="continue"/>
            <w:vAlign w:val="center"/>
          </w:tcPr>
          <w:p>
            <w:pPr>
              <w:jc w:val="center"/>
              <w:rPr>
                <w:rFonts w:ascii="宋体" w:hAnsi="宋体" w:cs="宋体"/>
                <w:bCs/>
                <w:sz w:val="21"/>
                <w:szCs w:val="21"/>
              </w:rPr>
            </w:pPr>
          </w:p>
        </w:tc>
        <w:tc>
          <w:tcPr>
            <w:tcW w:w="1745" w:type="dxa"/>
            <w:vMerge w:val="continue"/>
            <w:vAlign w:val="center"/>
          </w:tcPr>
          <w:p>
            <w:pPr>
              <w:widowControl w:val="0"/>
              <w:kinsoku w:val="0"/>
              <w:jc w:val="center"/>
              <w:rPr>
                <w:rFonts w:ascii="宋体" w:hAnsi="宋体" w:cs="宋体"/>
                <w:bCs/>
                <w:sz w:val="21"/>
                <w:szCs w:val="21"/>
              </w:rPr>
            </w:pPr>
          </w:p>
        </w:tc>
        <w:tc>
          <w:tcPr>
            <w:tcW w:w="6838" w:type="dxa"/>
            <w:gridSpan w:val="3"/>
            <w:vAlign w:val="center"/>
          </w:tcPr>
          <w:p>
            <w:pPr>
              <w:adjustRightInd w:val="0"/>
              <w:snapToGrid w:val="0"/>
              <w:rPr>
                <w:rFonts w:ascii="宋体" w:hAnsi="宋体" w:cs="宋体"/>
                <w:b/>
              </w:rPr>
            </w:pPr>
            <w:r>
              <w:rPr>
                <w:rFonts w:hint="eastAsia" w:ascii="宋体" w:hAnsi="宋体" w:cs="宋体"/>
                <w:b/>
              </w:rPr>
              <w:t>（三）具有履行合同所必需的设备和专业技术能力。</w:t>
            </w:r>
          </w:p>
          <w:p>
            <w:pPr>
              <w:adjustRightInd w:val="0"/>
              <w:snapToGrid w:val="0"/>
              <w:rPr>
                <w:rFonts w:ascii="宋体" w:hAnsi="宋体" w:cs="宋体"/>
              </w:rPr>
            </w:pPr>
            <w:r>
              <w:rPr>
                <w:rFonts w:hint="eastAsia" w:ascii="宋体" w:hAnsi="宋体" w:cs="宋体"/>
              </w:rPr>
              <w:t>须提供声明函（后附）</w:t>
            </w:r>
          </w:p>
        </w:tc>
        <w:tc>
          <w:tcPr>
            <w:tcW w:w="755" w:type="dxa"/>
            <w:vAlign w:val="center"/>
          </w:tcPr>
          <w:p>
            <w:pPr>
              <w:tabs>
                <w:tab w:val="left" w:pos="3850"/>
              </w:tabs>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6" w:type="dxa"/>
            <w:vMerge w:val="continue"/>
            <w:vAlign w:val="center"/>
          </w:tcPr>
          <w:p>
            <w:pPr>
              <w:jc w:val="center"/>
              <w:rPr>
                <w:rFonts w:ascii="宋体" w:hAnsi="宋体" w:cs="宋体"/>
                <w:bCs/>
                <w:sz w:val="21"/>
                <w:szCs w:val="21"/>
              </w:rPr>
            </w:pPr>
          </w:p>
        </w:tc>
        <w:tc>
          <w:tcPr>
            <w:tcW w:w="1745" w:type="dxa"/>
            <w:vMerge w:val="continue"/>
            <w:vAlign w:val="center"/>
          </w:tcPr>
          <w:p>
            <w:pPr>
              <w:widowControl w:val="0"/>
              <w:kinsoku w:val="0"/>
              <w:jc w:val="center"/>
              <w:rPr>
                <w:rFonts w:ascii="宋体" w:hAnsi="宋体" w:cs="宋体"/>
                <w:sz w:val="21"/>
                <w:szCs w:val="21"/>
              </w:rPr>
            </w:pPr>
          </w:p>
        </w:tc>
        <w:tc>
          <w:tcPr>
            <w:tcW w:w="6838" w:type="dxa"/>
            <w:gridSpan w:val="3"/>
            <w:vAlign w:val="center"/>
          </w:tcPr>
          <w:p>
            <w:pPr>
              <w:adjustRightInd w:val="0"/>
              <w:snapToGrid w:val="0"/>
              <w:rPr>
                <w:rFonts w:ascii="宋体" w:hAnsi="宋体" w:cs="宋体"/>
                <w:b/>
              </w:rPr>
            </w:pPr>
            <w:r>
              <w:rPr>
                <w:rFonts w:hint="eastAsia" w:ascii="宋体" w:hAnsi="宋体" w:cs="宋体"/>
                <w:b/>
              </w:rPr>
              <w:t>（四）有依法缴纳税收和社会保障资金的良好记录。</w:t>
            </w:r>
          </w:p>
          <w:p>
            <w:pPr>
              <w:adjustRightInd w:val="0"/>
              <w:snapToGrid w:val="0"/>
              <w:rPr>
                <w:rFonts w:ascii="宋体" w:hAnsi="宋体" w:cs="宋体"/>
              </w:rPr>
            </w:pPr>
            <w:r>
              <w:rPr>
                <w:rFonts w:hint="eastAsia" w:ascii="宋体" w:hAnsi="宋体" w:cs="宋体"/>
              </w:rPr>
              <w:t>须提供依法缴纳税收和社保费的证明；</w:t>
            </w:r>
          </w:p>
          <w:p>
            <w:pPr>
              <w:adjustRightInd w:val="0"/>
              <w:snapToGrid w:val="0"/>
              <w:rPr>
                <w:rFonts w:ascii="宋体" w:hAnsi="宋体" w:cs="宋体"/>
              </w:rPr>
            </w:pPr>
            <w:r>
              <w:rPr>
                <w:rFonts w:hint="eastAsia" w:ascii="宋体" w:hAnsi="宋体" w:cs="宋体"/>
              </w:rPr>
              <w:t>如依法免税的，应提供相应文件证明其依法免税；</w:t>
            </w:r>
          </w:p>
          <w:p>
            <w:pPr>
              <w:adjustRightInd w:val="0"/>
              <w:snapToGrid w:val="0"/>
              <w:rPr>
                <w:rFonts w:ascii="宋体" w:hAnsi="宋体" w:cs="宋体"/>
              </w:rPr>
            </w:pPr>
            <w:r>
              <w:rPr>
                <w:rFonts w:hint="eastAsia" w:ascii="宋体" w:hAnsi="宋体" w:cs="宋体"/>
              </w:rPr>
              <w:t>如依法不需要缴纳社会保障资金的，应提供相应文件证明其依法不需要缴纳社会保障资金。</w:t>
            </w:r>
          </w:p>
        </w:tc>
        <w:tc>
          <w:tcPr>
            <w:tcW w:w="755" w:type="dxa"/>
            <w:vAlign w:val="center"/>
          </w:tcPr>
          <w:p>
            <w:pPr>
              <w:widowControl w:val="0"/>
              <w:kinsoku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6" w:type="dxa"/>
            <w:vMerge w:val="continue"/>
            <w:vAlign w:val="center"/>
          </w:tcPr>
          <w:p>
            <w:pPr>
              <w:jc w:val="center"/>
              <w:rPr>
                <w:rFonts w:ascii="宋体" w:hAnsi="宋体" w:cs="宋体"/>
                <w:bCs/>
                <w:sz w:val="21"/>
                <w:szCs w:val="21"/>
              </w:rPr>
            </w:pPr>
          </w:p>
        </w:tc>
        <w:tc>
          <w:tcPr>
            <w:tcW w:w="1745" w:type="dxa"/>
            <w:vMerge w:val="continue"/>
            <w:vAlign w:val="center"/>
          </w:tcPr>
          <w:p>
            <w:pPr>
              <w:widowControl w:val="0"/>
              <w:kinsoku w:val="0"/>
              <w:jc w:val="center"/>
              <w:rPr>
                <w:rFonts w:ascii="宋体" w:hAnsi="宋体" w:cs="宋体"/>
                <w:sz w:val="21"/>
                <w:szCs w:val="21"/>
              </w:rPr>
            </w:pPr>
          </w:p>
        </w:tc>
        <w:tc>
          <w:tcPr>
            <w:tcW w:w="6838" w:type="dxa"/>
            <w:gridSpan w:val="3"/>
            <w:vAlign w:val="center"/>
          </w:tcPr>
          <w:p>
            <w:pPr>
              <w:adjustRightInd w:val="0"/>
              <w:snapToGrid w:val="0"/>
              <w:rPr>
                <w:rFonts w:ascii="宋体" w:hAnsi="宋体" w:cs="宋体"/>
              </w:rPr>
            </w:pPr>
            <w:r>
              <w:rPr>
                <w:rFonts w:hint="eastAsia" w:ascii="宋体" w:hAnsi="宋体" w:cs="宋体"/>
                <w:b/>
              </w:rPr>
              <w:t>(五)参加政府采购活动前三年内，在经营活动中没有重大违法记录。</w:t>
            </w:r>
            <w:r>
              <w:rPr>
                <w:rFonts w:hint="eastAsia" w:ascii="宋体" w:hAnsi="宋体" w:cs="宋体"/>
              </w:rPr>
              <w:t>须提供声明函（后附）</w:t>
            </w:r>
          </w:p>
        </w:tc>
        <w:tc>
          <w:tcPr>
            <w:tcW w:w="755" w:type="dxa"/>
            <w:vAlign w:val="center"/>
          </w:tcPr>
          <w:p>
            <w:pPr>
              <w:widowControl w:val="0"/>
              <w:kinsoku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6" w:type="dxa"/>
            <w:vMerge w:val="continue"/>
            <w:vAlign w:val="center"/>
          </w:tcPr>
          <w:p>
            <w:pPr>
              <w:jc w:val="center"/>
              <w:rPr>
                <w:rFonts w:ascii="宋体" w:hAnsi="宋体" w:cs="宋体"/>
                <w:bCs/>
                <w:sz w:val="21"/>
                <w:szCs w:val="21"/>
              </w:rPr>
            </w:pPr>
          </w:p>
        </w:tc>
        <w:tc>
          <w:tcPr>
            <w:tcW w:w="1745" w:type="dxa"/>
            <w:vMerge w:val="continue"/>
            <w:vAlign w:val="center"/>
          </w:tcPr>
          <w:p>
            <w:pPr>
              <w:widowControl w:val="0"/>
              <w:kinsoku w:val="0"/>
              <w:jc w:val="center"/>
              <w:rPr>
                <w:rFonts w:ascii="宋体" w:hAnsi="宋体" w:cs="宋体"/>
                <w:sz w:val="21"/>
                <w:szCs w:val="21"/>
              </w:rPr>
            </w:pPr>
          </w:p>
        </w:tc>
        <w:tc>
          <w:tcPr>
            <w:tcW w:w="6838" w:type="dxa"/>
            <w:gridSpan w:val="3"/>
            <w:vAlign w:val="center"/>
          </w:tcPr>
          <w:p>
            <w:pPr>
              <w:rPr>
                <w:rFonts w:ascii="宋体" w:hAnsi="宋体" w:cs="宋体"/>
                <w:b/>
              </w:rPr>
            </w:pPr>
            <w:r>
              <w:rPr>
                <w:rFonts w:hint="eastAsia" w:ascii="宋体" w:hAnsi="宋体" w:cs="宋体"/>
                <w:b/>
              </w:rPr>
              <w:t>二、法定代表人（负责人）授权委托书（法定代表人或负责人亲自参加的仅须提供身份证复印件）</w:t>
            </w:r>
          </w:p>
        </w:tc>
        <w:tc>
          <w:tcPr>
            <w:tcW w:w="755" w:type="dxa"/>
            <w:vAlign w:val="center"/>
          </w:tcPr>
          <w:p>
            <w:pPr>
              <w:widowControl w:val="0"/>
              <w:kinsoku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6" w:type="dxa"/>
            <w:vMerge w:val="continue"/>
            <w:vAlign w:val="center"/>
          </w:tcPr>
          <w:p>
            <w:pPr>
              <w:jc w:val="center"/>
              <w:rPr>
                <w:rFonts w:ascii="宋体" w:hAnsi="宋体" w:cs="宋体"/>
                <w:bCs/>
                <w:sz w:val="21"/>
                <w:szCs w:val="21"/>
              </w:rPr>
            </w:pPr>
          </w:p>
        </w:tc>
        <w:tc>
          <w:tcPr>
            <w:tcW w:w="1745" w:type="dxa"/>
            <w:vMerge w:val="continue"/>
            <w:vAlign w:val="center"/>
          </w:tcPr>
          <w:p>
            <w:pPr>
              <w:widowControl w:val="0"/>
              <w:kinsoku w:val="0"/>
              <w:jc w:val="center"/>
              <w:rPr>
                <w:rFonts w:ascii="宋体" w:hAnsi="宋体" w:cs="宋体"/>
                <w:sz w:val="21"/>
                <w:szCs w:val="21"/>
              </w:rPr>
            </w:pPr>
          </w:p>
        </w:tc>
        <w:tc>
          <w:tcPr>
            <w:tcW w:w="6838" w:type="dxa"/>
            <w:gridSpan w:val="3"/>
            <w:vAlign w:val="center"/>
          </w:tcPr>
          <w:p>
            <w:pPr>
              <w:rPr>
                <w:rFonts w:ascii="宋体" w:hAnsi="宋体" w:cs="宋体"/>
                <w:b/>
              </w:rPr>
            </w:pPr>
            <w:r>
              <w:rPr>
                <w:rFonts w:hint="eastAsia" w:ascii="宋体" w:hAnsi="宋体" w:cs="宋体"/>
                <w:b/>
              </w:rPr>
              <w:t>三、资格要求中所需要的其他资质证书（如有）</w:t>
            </w:r>
          </w:p>
        </w:tc>
        <w:tc>
          <w:tcPr>
            <w:tcW w:w="755" w:type="dxa"/>
            <w:vAlign w:val="center"/>
          </w:tcPr>
          <w:p>
            <w:pPr>
              <w:widowControl w:val="0"/>
              <w:kinsoku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014" w:type="dxa"/>
            <w:gridSpan w:val="6"/>
            <w:vAlign w:val="center"/>
          </w:tcPr>
          <w:p>
            <w:pPr>
              <w:widowControl w:val="0"/>
              <w:kinsoku w:val="0"/>
              <w:jc w:val="center"/>
              <w:rPr>
                <w:rFonts w:ascii="宋体" w:hAnsi="宋体" w:cs="宋体"/>
                <w:sz w:val="21"/>
                <w:szCs w:val="21"/>
              </w:rPr>
            </w:pPr>
            <w:r>
              <w:rPr>
                <w:rFonts w:hint="eastAsia" w:ascii="宋体" w:hAnsi="宋体" w:cs="宋体"/>
                <w:b/>
              </w:rPr>
              <w:t>注：以上材料投标人有缺漏和不符合项的将会导致无效投标！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6" w:type="dxa"/>
            <w:vAlign w:val="center"/>
          </w:tcPr>
          <w:p>
            <w:pPr>
              <w:jc w:val="center"/>
              <w:rPr>
                <w:rFonts w:ascii="宋体" w:hAnsi="宋体" w:cs="宋体"/>
                <w:bCs/>
                <w:sz w:val="21"/>
                <w:szCs w:val="21"/>
              </w:rPr>
            </w:pPr>
            <w:r>
              <w:rPr>
                <w:rFonts w:hint="eastAsia" w:ascii="宋体" w:hAnsi="宋体" w:cs="宋体"/>
                <w:bCs/>
                <w:sz w:val="21"/>
                <w:szCs w:val="21"/>
              </w:rPr>
              <w:t>序号</w:t>
            </w:r>
          </w:p>
        </w:tc>
        <w:tc>
          <w:tcPr>
            <w:tcW w:w="1745" w:type="dxa"/>
            <w:vAlign w:val="center"/>
          </w:tcPr>
          <w:p>
            <w:pPr>
              <w:jc w:val="center"/>
              <w:rPr>
                <w:rFonts w:ascii="宋体" w:hAnsi="宋体" w:cs="宋体"/>
                <w:bCs/>
                <w:sz w:val="21"/>
                <w:szCs w:val="21"/>
              </w:rPr>
            </w:pPr>
            <w:r>
              <w:rPr>
                <w:rFonts w:hint="eastAsia" w:ascii="宋体" w:hAnsi="宋体" w:cs="宋体"/>
                <w:bCs/>
                <w:sz w:val="21"/>
                <w:szCs w:val="21"/>
              </w:rPr>
              <w:t>项目</w:t>
            </w:r>
          </w:p>
        </w:tc>
        <w:tc>
          <w:tcPr>
            <w:tcW w:w="4947" w:type="dxa"/>
            <w:vAlign w:val="center"/>
          </w:tcPr>
          <w:p>
            <w:pPr>
              <w:jc w:val="center"/>
              <w:rPr>
                <w:rFonts w:ascii="宋体" w:hAnsi="宋体" w:cs="宋体"/>
                <w:bCs/>
                <w:sz w:val="21"/>
                <w:szCs w:val="21"/>
              </w:rPr>
            </w:pPr>
            <w:r>
              <w:rPr>
                <w:rFonts w:hint="eastAsia" w:ascii="宋体" w:hAnsi="宋体" w:cs="宋体"/>
                <w:bCs/>
                <w:sz w:val="21"/>
                <w:szCs w:val="21"/>
              </w:rPr>
              <w:t>评分标准</w:t>
            </w:r>
          </w:p>
        </w:tc>
        <w:tc>
          <w:tcPr>
            <w:tcW w:w="845" w:type="dxa"/>
            <w:vAlign w:val="center"/>
          </w:tcPr>
          <w:p>
            <w:pPr>
              <w:jc w:val="center"/>
              <w:rPr>
                <w:rFonts w:ascii="宋体" w:hAnsi="宋体" w:cs="宋体"/>
                <w:bCs/>
                <w:sz w:val="21"/>
                <w:szCs w:val="21"/>
              </w:rPr>
            </w:pPr>
            <w:r>
              <w:rPr>
                <w:rFonts w:hint="eastAsia" w:ascii="宋体" w:hAnsi="宋体" w:cs="宋体"/>
                <w:bCs/>
                <w:sz w:val="21"/>
                <w:szCs w:val="21"/>
              </w:rPr>
              <w:t>分值</w:t>
            </w:r>
          </w:p>
        </w:tc>
        <w:tc>
          <w:tcPr>
            <w:tcW w:w="1046" w:type="dxa"/>
            <w:vAlign w:val="center"/>
          </w:tcPr>
          <w:p>
            <w:pPr>
              <w:jc w:val="center"/>
              <w:rPr>
                <w:rFonts w:ascii="宋体" w:hAnsi="宋体" w:cs="宋体"/>
                <w:bCs/>
                <w:sz w:val="21"/>
                <w:szCs w:val="21"/>
              </w:rPr>
            </w:pPr>
            <w:r>
              <w:rPr>
                <w:rFonts w:hint="eastAsia" w:ascii="宋体" w:hAnsi="宋体" w:cs="宋体"/>
                <w:bCs/>
                <w:sz w:val="21"/>
                <w:szCs w:val="21"/>
              </w:rPr>
              <w:t>自评分</w:t>
            </w:r>
          </w:p>
        </w:tc>
        <w:tc>
          <w:tcPr>
            <w:tcW w:w="755" w:type="dxa"/>
            <w:vAlign w:val="center"/>
          </w:tcPr>
          <w:p>
            <w:pPr>
              <w:jc w:val="center"/>
              <w:rPr>
                <w:rFonts w:ascii="宋体" w:hAnsi="宋体" w:cs="宋体"/>
                <w:bCs/>
                <w:sz w:val="21"/>
                <w:szCs w:val="21"/>
              </w:rPr>
            </w:pPr>
            <w:r>
              <w:rPr>
                <w:rFonts w:hint="eastAsia" w:ascii="宋体" w:hAnsi="宋体" w:cs="宋体"/>
                <w:bCs/>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6" w:type="dxa"/>
            <w:vAlign w:val="center"/>
          </w:tcPr>
          <w:p>
            <w:pPr>
              <w:jc w:val="center"/>
              <w:rPr>
                <w:rFonts w:ascii="宋体" w:hAnsi="宋体" w:cs="宋体"/>
                <w:bCs/>
                <w:sz w:val="21"/>
                <w:szCs w:val="21"/>
              </w:rPr>
            </w:pPr>
            <w:r>
              <w:rPr>
                <w:rFonts w:hint="eastAsia" w:ascii="宋体" w:hAnsi="宋体" w:cs="宋体"/>
                <w:bCs/>
                <w:sz w:val="21"/>
                <w:szCs w:val="21"/>
              </w:rPr>
              <w:t>1</w:t>
            </w:r>
          </w:p>
        </w:tc>
        <w:tc>
          <w:tcPr>
            <w:tcW w:w="1745" w:type="dxa"/>
            <w:vAlign w:val="center"/>
          </w:tcPr>
          <w:p>
            <w:pPr>
              <w:keepNext/>
              <w:tabs>
                <w:tab w:val="left" w:pos="3808"/>
              </w:tabs>
              <w:adjustRightInd w:val="0"/>
              <w:snapToGrid w:val="0"/>
              <w:spacing w:before="60" w:after="60"/>
              <w:jc w:val="center"/>
              <w:rPr>
                <w:rFonts w:ascii="宋体" w:hAnsi="宋体" w:cs="宋体"/>
                <w:bCs/>
                <w:sz w:val="21"/>
                <w:szCs w:val="21"/>
              </w:rPr>
            </w:pPr>
            <w:r>
              <w:rPr>
                <w:rFonts w:hint="eastAsia" w:ascii="宋体" w:hAnsi="宋体" w:cs="宋体"/>
                <w:bCs/>
                <w:sz w:val="21"/>
                <w:szCs w:val="21"/>
              </w:rPr>
              <w:t>…</w:t>
            </w:r>
          </w:p>
        </w:tc>
        <w:tc>
          <w:tcPr>
            <w:tcW w:w="4947" w:type="dxa"/>
            <w:vAlign w:val="center"/>
          </w:tcPr>
          <w:p>
            <w:pPr>
              <w:keepNext/>
              <w:tabs>
                <w:tab w:val="left" w:pos="3808"/>
              </w:tabs>
              <w:adjustRightInd w:val="0"/>
              <w:snapToGrid w:val="0"/>
              <w:spacing w:before="60" w:after="60"/>
              <w:rPr>
                <w:rFonts w:ascii="宋体" w:hAnsi="宋体" w:cs="宋体"/>
                <w:bCs/>
                <w:sz w:val="21"/>
                <w:szCs w:val="21"/>
              </w:rPr>
            </w:pPr>
            <w:r>
              <w:rPr>
                <w:rFonts w:hint="eastAsia" w:ascii="宋体" w:hAnsi="宋体" w:cs="宋体"/>
                <w:bCs/>
                <w:sz w:val="21"/>
                <w:szCs w:val="21"/>
              </w:rPr>
              <w:t>…（请按技术评分标准填写）</w:t>
            </w:r>
          </w:p>
        </w:tc>
        <w:tc>
          <w:tcPr>
            <w:tcW w:w="845" w:type="dxa"/>
            <w:vAlign w:val="center"/>
          </w:tcPr>
          <w:p>
            <w:pPr>
              <w:keepNext/>
              <w:tabs>
                <w:tab w:val="left" w:pos="3808"/>
              </w:tabs>
              <w:adjustRightInd w:val="0"/>
              <w:snapToGrid w:val="0"/>
              <w:spacing w:before="60" w:after="60"/>
              <w:jc w:val="center"/>
              <w:rPr>
                <w:rFonts w:ascii="宋体" w:hAnsi="宋体" w:cs="宋体"/>
                <w:bCs/>
                <w:spacing w:val="20"/>
                <w:sz w:val="21"/>
                <w:szCs w:val="21"/>
              </w:rPr>
            </w:pPr>
          </w:p>
        </w:tc>
        <w:tc>
          <w:tcPr>
            <w:tcW w:w="1046" w:type="dxa"/>
            <w:vAlign w:val="center"/>
          </w:tcPr>
          <w:p>
            <w:pPr>
              <w:keepNext/>
              <w:tabs>
                <w:tab w:val="left" w:pos="3808"/>
              </w:tabs>
              <w:adjustRightInd w:val="0"/>
              <w:snapToGrid w:val="0"/>
              <w:spacing w:before="60" w:after="60"/>
              <w:jc w:val="center"/>
              <w:rPr>
                <w:rFonts w:ascii="宋体" w:hAnsi="宋体" w:cs="宋体"/>
                <w:bCs/>
                <w:spacing w:val="20"/>
                <w:sz w:val="21"/>
                <w:szCs w:val="21"/>
              </w:rPr>
            </w:pPr>
          </w:p>
        </w:tc>
        <w:tc>
          <w:tcPr>
            <w:tcW w:w="755" w:type="dxa"/>
            <w:vAlign w:val="center"/>
          </w:tcPr>
          <w:p>
            <w:pPr>
              <w:keepNext/>
              <w:tabs>
                <w:tab w:val="left" w:pos="3808"/>
              </w:tabs>
              <w:adjustRightInd w:val="0"/>
              <w:snapToGrid w:val="0"/>
              <w:spacing w:before="60" w:after="60"/>
              <w:jc w:val="center"/>
              <w:rPr>
                <w:rFonts w:ascii="宋体" w:hAnsi="宋体" w:cs="宋体"/>
                <w:bCs/>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6" w:type="dxa"/>
            <w:vAlign w:val="center"/>
          </w:tcPr>
          <w:p>
            <w:pPr>
              <w:jc w:val="center"/>
              <w:rPr>
                <w:rFonts w:ascii="宋体" w:hAnsi="宋体" w:cs="宋体"/>
                <w:bCs/>
                <w:sz w:val="21"/>
                <w:szCs w:val="21"/>
              </w:rPr>
            </w:pPr>
            <w:r>
              <w:rPr>
                <w:rFonts w:hint="eastAsia" w:ascii="宋体" w:hAnsi="宋体" w:cs="宋体"/>
                <w:bCs/>
                <w:sz w:val="21"/>
                <w:szCs w:val="21"/>
              </w:rPr>
              <w:t>2</w:t>
            </w:r>
          </w:p>
        </w:tc>
        <w:tc>
          <w:tcPr>
            <w:tcW w:w="1745" w:type="dxa"/>
            <w:vAlign w:val="center"/>
          </w:tcPr>
          <w:p>
            <w:pPr>
              <w:keepNext/>
              <w:tabs>
                <w:tab w:val="left" w:pos="3808"/>
              </w:tabs>
              <w:adjustRightInd w:val="0"/>
              <w:snapToGrid w:val="0"/>
              <w:spacing w:before="60" w:after="60"/>
              <w:jc w:val="center"/>
              <w:rPr>
                <w:rFonts w:ascii="宋体" w:hAnsi="宋体" w:cs="宋体"/>
                <w:bCs/>
                <w:sz w:val="21"/>
                <w:szCs w:val="21"/>
              </w:rPr>
            </w:pPr>
            <w:r>
              <w:rPr>
                <w:rFonts w:hint="eastAsia" w:ascii="宋体" w:hAnsi="宋体" w:cs="宋体"/>
                <w:bCs/>
                <w:sz w:val="21"/>
                <w:szCs w:val="21"/>
              </w:rPr>
              <w:t>…</w:t>
            </w:r>
          </w:p>
        </w:tc>
        <w:tc>
          <w:tcPr>
            <w:tcW w:w="4947" w:type="dxa"/>
            <w:vAlign w:val="center"/>
          </w:tcPr>
          <w:p>
            <w:pPr>
              <w:keepNext/>
              <w:tabs>
                <w:tab w:val="left" w:pos="3808"/>
              </w:tabs>
              <w:adjustRightInd w:val="0"/>
              <w:snapToGrid w:val="0"/>
              <w:spacing w:before="60" w:after="60"/>
              <w:rPr>
                <w:rFonts w:ascii="宋体" w:hAnsi="宋体" w:cs="宋体"/>
                <w:bCs/>
                <w:sz w:val="21"/>
                <w:szCs w:val="21"/>
              </w:rPr>
            </w:pPr>
            <w:r>
              <w:rPr>
                <w:rFonts w:hint="eastAsia" w:ascii="宋体" w:hAnsi="宋体" w:cs="宋体"/>
                <w:bCs/>
                <w:sz w:val="21"/>
                <w:szCs w:val="21"/>
              </w:rPr>
              <w:t>…</w:t>
            </w:r>
          </w:p>
        </w:tc>
        <w:tc>
          <w:tcPr>
            <w:tcW w:w="845" w:type="dxa"/>
            <w:vAlign w:val="center"/>
          </w:tcPr>
          <w:p>
            <w:pPr>
              <w:keepNext/>
              <w:tabs>
                <w:tab w:val="left" w:pos="3808"/>
              </w:tabs>
              <w:adjustRightInd w:val="0"/>
              <w:snapToGrid w:val="0"/>
              <w:spacing w:before="60" w:after="60"/>
              <w:jc w:val="center"/>
              <w:rPr>
                <w:rFonts w:ascii="宋体" w:hAnsi="宋体" w:cs="宋体"/>
                <w:bCs/>
                <w:spacing w:val="20"/>
                <w:sz w:val="21"/>
                <w:szCs w:val="21"/>
              </w:rPr>
            </w:pPr>
          </w:p>
        </w:tc>
        <w:tc>
          <w:tcPr>
            <w:tcW w:w="1046" w:type="dxa"/>
            <w:vAlign w:val="center"/>
          </w:tcPr>
          <w:p>
            <w:pPr>
              <w:keepNext/>
              <w:tabs>
                <w:tab w:val="left" w:pos="3808"/>
              </w:tabs>
              <w:adjustRightInd w:val="0"/>
              <w:snapToGrid w:val="0"/>
              <w:spacing w:before="60" w:after="60"/>
              <w:jc w:val="center"/>
              <w:rPr>
                <w:rFonts w:ascii="宋体" w:hAnsi="宋体" w:cs="宋体"/>
                <w:bCs/>
                <w:spacing w:val="20"/>
                <w:sz w:val="21"/>
                <w:szCs w:val="21"/>
              </w:rPr>
            </w:pPr>
          </w:p>
        </w:tc>
        <w:tc>
          <w:tcPr>
            <w:tcW w:w="755" w:type="dxa"/>
            <w:vAlign w:val="center"/>
          </w:tcPr>
          <w:p>
            <w:pPr>
              <w:keepNext/>
              <w:tabs>
                <w:tab w:val="left" w:pos="3808"/>
              </w:tabs>
              <w:adjustRightInd w:val="0"/>
              <w:snapToGrid w:val="0"/>
              <w:spacing w:before="60" w:after="60"/>
              <w:jc w:val="center"/>
              <w:rPr>
                <w:rFonts w:ascii="宋体" w:hAnsi="宋体" w:cs="宋体"/>
                <w:bCs/>
                <w:spacing w:val="20"/>
                <w:sz w:val="21"/>
                <w:szCs w:val="21"/>
              </w:rPr>
            </w:pPr>
          </w:p>
        </w:tc>
      </w:tr>
    </w:tbl>
    <w:p>
      <w:pPr>
        <w:shd w:val="clear" w:color="auto" w:fill="FFFFFF"/>
        <w:snapToGrid w:val="0"/>
        <w:spacing w:after="50"/>
        <w:rPr>
          <w:rFonts w:ascii="宋体" w:hAnsi="宋体" w:cs="宋体"/>
          <w:szCs w:val="20"/>
        </w:rPr>
      </w:pPr>
      <w:r>
        <w:rPr>
          <w:rFonts w:hint="eastAsia" w:ascii="宋体" w:hAnsi="宋体" w:cs="宋体"/>
          <w:b/>
          <w:spacing w:val="-4"/>
          <w:sz w:val="21"/>
          <w:szCs w:val="21"/>
        </w:rPr>
        <w:t>备注：该表格仅为方便评标之用，表格放置在技术文件目录的前页，以方便评标委员会进行评审。</w:t>
      </w:r>
    </w:p>
    <w:p>
      <w:pPr>
        <w:pStyle w:val="33"/>
        <w:widowControl w:val="0"/>
        <w:adjustRightInd w:val="0"/>
        <w:snapToGrid w:val="0"/>
        <w:jc w:val="center"/>
        <w:rPr>
          <w:rFonts w:hint="default" w:cs="宋体"/>
          <w:sz w:val="32"/>
          <w:szCs w:val="21"/>
        </w:rPr>
      </w:pPr>
      <w:r>
        <w:rPr>
          <w:rFonts w:cs="宋体"/>
          <w:b/>
          <w:sz w:val="32"/>
          <w:szCs w:val="44"/>
        </w:rPr>
        <w:t>目 录</w:t>
      </w:r>
    </w:p>
    <w:p>
      <w:pPr>
        <w:pStyle w:val="22"/>
        <w:widowControl w:val="0"/>
        <w:adjustRightInd w:val="0"/>
        <w:snapToGrid w:val="0"/>
        <w:spacing w:before="0" w:beforeAutospacing="0" w:after="0" w:afterAutospacing="0"/>
        <w:ind w:firstLine="482" w:firstLineChars="200"/>
        <w:rPr>
          <w:rFonts w:cs="宋体"/>
          <w:b/>
        </w:rPr>
      </w:pPr>
      <w:r>
        <w:rPr>
          <w:rFonts w:hint="eastAsia" w:cs="宋体"/>
          <w:b/>
        </w:rPr>
        <w:t>价格标书的组成</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（1）投标书。</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 xml:space="preserve">（2）开标一览表。 </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（3）投标报价明细表。</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（4）《中小微企业声明函》、残疾人福利性单位、监狱企业声明函（如有）。</w:t>
      </w:r>
    </w:p>
    <w:p>
      <w:pPr>
        <w:widowControl w:val="0"/>
        <w:adjustRightInd w:val="0"/>
        <w:snapToGrid w:val="0"/>
        <w:spacing w:line="400" w:lineRule="exact"/>
        <w:ind w:firstLine="537" w:firstLineChars="224"/>
        <w:rPr>
          <w:rFonts w:ascii="宋体" w:hAnsi="宋体" w:cs="宋体"/>
          <w:b/>
        </w:rPr>
      </w:pPr>
      <w:r>
        <w:rPr>
          <w:rFonts w:hint="eastAsia" w:ascii="宋体" w:hAnsi="宋体" w:cs="宋体"/>
        </w:rPr>
        <w:t>（5）其他投标人认为有必要提供的资料。</w:t>
      </w:r>
    </w:p>
    <w:p>
      <w:pPr>
        <w:widowControl w:val="0"/>
        <w:adjustRightInd w:val="0"/>
        <w:snapToGrid w:val="0"/>
        <w:spacing w:line="400" w:lineRule="exact"/>
        <w:ind w:firstLine="435"/>
        <w:rPr>
          <w:rFonts w:ascii="宋体" w:hAnsi="宋体" w:cs="宋体"/>
          <w:b/>
        </w:rPr>
      </w:pPr>
      <w:r>
        <w:rPr>
          <w:rFonts w:hint="eastAsia" w:ascii="宋体" w:hAnsi="宋体" w:cs="宋体"/>
          <w:b/>
        </w:rPr>
        <w:t>技术标书的组成（部分格式可参考附件）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（1）资格审查证明文件</w:t>
      </w:r>
      <w:r>
        <w:rPr>
          <w:rFonts w:hint="eastAsia" w:ascii="宋体" w:hAnsi="宋体" w:cs="宋体"/>
          <w:b/>
        </w:rPr>
        <w:t>（须按顺序放在投标文件第一部分，未提供齐全将导致资格审查不通过，投标文件无效）</w:t>
      </w:r>
      <w:r>
        <w:rPr>
          <w:rFonts w:hint="eastAsia" w:ascii="宋体" w:hAnsi="宋体" w:cs="宋体"/>
        </w:rPr>
        <w:t>：</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A．营业执照复印件；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B．法定代表人（负责人）授权委托书（法定代表人或负责人亲自参加的仅须提供身份证复印件）；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C．依法缴纳税收和社保费的证明；</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D．具有良好的商业信誉和健全的财务会计制度的书面声明；</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 xml:space="preserve">E．具有履行合同所必须的设备和专业技术能力的书面声明； </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 xml:space="preserve">F．参加政府采购活动前三年内（开标之日往前推算），在经营活动中没有重大违法记录的书面声明； </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G．资格要求中所需要的其他资质证书。</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（2）工期承诺、质量承诺；</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（3）施工技术方案；</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（4）施工质量保证措施；</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（5）施工进度计划及保证措施；</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（6）安全生产、文明施工、环境保护措施；</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（7）劳动力及材料供应；</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（8）施工机械设备选用和质量；</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（9）回访及保修承诺；</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w:t>
      </w:r>
      <w:r>
        <w:rPr>
          <w:rFonts w:hint="eastAsia" w:ascii="宋体" w:hAnsi="宋体" w:cs="宋体"/>
          <w:color w:val="000000"/>
          <w:szCs w:val="21"/>
        </w:rPr>
        <w:t>）项目实施人员一览表；</w:t>
      </w:r>
    </w:p>
    <w:p>
      <w:pPr>
        <w:snapToGrid w:val="0"/>
        <w:spacing w:line="336" w:lineRule="auto"/>
        <w:ind w:left="-156" w:leftChars="-65" w:right="-182" w:rightChars="-76" w:firstLine="648" w:firstLineChars="270"/>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w:t>
      </w:r>
      <w:r>
        <w:rPr>
          <w:rFonts w:hint="eastAsia" w:ascii="宋体" w:hAnsi="宋体" w:cs="宋体"/>
          <w:color w:val="000000"/>
          <w:szCs w:val="21"/>
        </w:rPr>
        <w:t>）无行贿犯罪记录承诺书；</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w:t>
      </w:r>
      <w:r>
        <w:rPr>
          <w:rFonts w:ascii="宋体" w:hAnsi="宋体" w:cs="宋体"/>
        </w:rPr>
        <w:t>12</w:t>
      </w:r>
      <w:r>
        <w:rPr>
          <w:rFonts w:hint="eastAsia" w:ascii="宋体" w:hAnsi="宋体" w:cs="宋体"/>
        </w:rPr>
        <w:t>）其他证明文件（如有）：</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A.投标人的信誉、荣誉证书；</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B.产品认证或检测报告；</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C.产品说明图册（如有，可单独提供，必须与技术标书正本密封在同一密封袋中并在图册上加盖投标人单位公章）</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D.投标人认为可以证明其能力或业绩的其他材料。</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w:t>
      </w:r>
      <w:r>
        <w:rPr>
          <w:rFonts w:ascii="宋体" w:hAnsi="宋体" w:cs="宋体"/>
        </w:rPr>
        <w:t>13</w:t>
      </w:r>
      <w:r>
        <w:rPr>
          <w:rFonts w:hint="eastAsia" w:ascii="宋体" w:hAnsi="宋体" w:cs="宋体"/>
        </w:rPr>
        <w:t>）同类业绩证明（如有，需提供合同复印件）；</w:t>
      </w:r>
    </w:p>
    <w:p>
      <w:pPr>
        <w:widowControl w:val="0"/>
        <w:adjustRightInd w:val="0"/>
        <w:snapToGrid w:val="0"/>
        <w:spacing w:line="400" w:lineRule="exact"/>
        <w:ind w:firstLine="537" w:firstLineChars="224"/>
        <w:rPr>
          <w:rFonts w:ascii="宋体" w:hAnsi="宋体" w:cs="宋体"/>
        </w:rPr>
      </w:pPr>
      <w:r>
        <w:rPr>
          <w:rFonts w:hint="eastAsia" w:ascii="宋体" w:hAnsi="宋体" w:cs="宋体"/>
        </w:rPr>
        <w:t>（1</w:t>
      </w:r>
      <w:r>
        <w:rPr>
          <w:rFonts w:ascii="宋体" w:hAnsi="宋体" w:cs="宋体"/>
        </w:rPr>
        <w:t>4</w:t>
      </w:r>
      <w:r>
        <w:rPr>
          <w:rFonts w:hint="eastAsia" w:ascii="宋体" w:hAnsi="宋体" w:cs="宋体"/>
        </w:rPr>
        <w:t>）符合招标文件规定的其他证明文件及评分标准中涉及的其他材料。</w:t>
      </w:r>
    </w:p>
    <w:p>
      <w:pPr>
        <w:pStyle w:val="33"/>
        <w:widowControl w:val="0"/>
        <w:adjustRightInd w:val="0"/>
        <w:snapToGrid w:val="0"/>
        <w:spacing w:line="400" w:lineRule="exact"/>
        <w:rPr>
          <w:rFonts w:hint="default" w:cs="宋体"/>
          <w:b/>
          <w:sz w:val="32"/>
          <w:szCs w:val="32"/>
        </w:rPr>
      </w:pPr>
      <w:r>
        <w:rPr>
          <w:rFonts w:cs="宋体"/>
          <w:b/>
          <w:sz w:val="32"/>
          <w:szCs w:val="32"/>
        </w:rPr>
        <w:t>价格标书：</w:t>
      </w:r>
      <w:r>
        <w:rPr>
          <w:rFonts w:cs="宋体"/>
        </w:rPr>
        <w:tab/>
      </w:r>
      <w:r>
        <w:rPr>
          <w:rFonts w:cs="宋体"/>
          <w:b/>
          <w:sz w:val="32"/>
          <w:szCs w:val="32"/>
        </w:rPr>
        <w:t xml:space="preserve">    </w:t>
      </w:r>
    </w:p>
    <w:p>
      <w:pPr>
        <w:pStyle w:val="33"/>
        <w:widowControl w:val="0"/>
        <w:tabs>
          <w:tab w:val="left" w:pos="3277"/>
          <w:tab w:val="center" w:pos="4411"/>
        </w:tabs>
        <w:adjustRightInd w:val="0"/>
        <w:snapToGrid w:val="0"/>
        <w:spacing w:line="390" w:lineRule="atLeast"/>
        <w:jc w:val="center"/>
        <w:rPr>
          <w:rFonts w:hint="default" w:cs="宋体"/>
          <w:b/>
          <w:sz w:val="32"/>
          <w:szCs w:val="32"/>
        </w:rPr>
      </w:pPr>
      <w:r>
        <w:rPr>
          <w:rFonts w:cs="宋体"/>
          <w:b/>
          <w:sz w:val="32"/>
          <w:szCs w:val="32"/>
        </w:rPr>
        <w:t>一、投标函</w:t>
      </w:r>
    </w:p>
    <w:p>
      <w:pPr>
        <w:pStyle w:val="22"/>
        <w:widowControl w:val="0"/>
        <w:adjustRightInd w:val="0"/>
        <w:snapToGrid w:val="0"/>
        <w:spacing w:before="0" w:beforeAutospacing="0" w:after="0" w:afterAutospacing="0" w:line="360" w:lineRule="auto"/>
        <w:rPr>
          <w:rFonts w:cs="宋体"/>
        </w:rPr>
      </w:pPr>
      <w:r>
        <w:rPr>
          <w:rFonts w:hint="eastAsia" w:cs="宋体"/>
        </w:rPr>
        <w:t>致：浙江华杰工程咨询有限公司</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___________________（投标人全称）特授权______________（全权代表姓名）_____________（职务、职称）为全权代表，参加贵方组织的</w:t>
      </w:r>
      <w:r>
        <w:rPr>
          <w:rFonts w:hint="eastAsia" w:cs="宋体"/>
          <w:u w:val="single"/>
        </w:rPr>
        <w:t xml:space="preserve">                     项目</w:t>
      </w:r>
      <w:r>
        <w:rPr>
          <w:rFonts w:hint="eastAsia" w:cs="宋体"/>
        </w:rPr>
        <w:t>的有关招标活动。为此：</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一、提供投标须知规定的投标文件（包括单独密封的价格标书、单独密封的技术标书）</w:t>
      </w:r>
      <w:r>
        <w:rPr>
          <w:rFonts w:hint="eastAsia" w:cs="宋体"/>
          <w:b/>
          <w:bCs/>
        </w:rPr>
        <w:t>正本1份，副本</w:t>
      </w:r>
      <w:r>
        <w:rPr>
          <w:rFonts w:hint="eastAsia" w:cs="宋体"/>
          <w:b/>
          <w:bCs/>
          <w:u w:val="single"/>
        </w:rPr>
        <w:t xml:space="preserve">   </w:t>
      </w:r>
      <w:r>
        <w:rPr>
          <w:rFonts w:hint="eastAsia" w:cs="宋体"/>
          <w:b/>
          <w:bCs/>
        </w:rPr>
        <w:t xml:space="preserve">份（共 </w:t>
      </w:r>
      <w:r>
        <w:rPr>
          <w:rFonts w:hint="eastAsia" w:cs="宋体"/>
          <w:b/>
          <w:bCs/>
          <w:u w:val="single"/>
        </w:rPr>
        <w:t xml:space="preserve">    </w:t>
      </w:r>
      <w:r>
        <w:rPr>
          <w:rFonts w:hint="eastAsia" w:cs="宋体"/>
          <w:b/>
          <w:bCs/>
        </w:rPr>
        <w:t>份）</w:t>
      </w:r>
      <w:r>
        <w:rPr>
          <w:rFonts w:hint="eastAsia" w:cs="宋体"/>
        </w:rPr>
        <w:t>。</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二、我方已详细审查全部“招标文件”，包括修改文件（如有的话）以及全部参考资料和有关附件，已经了解我方对于招标文件、采购过程、采购结果有依法进行询问、质疑、投诉的权利及相关渠道和要求。</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三、我方在投标之前已经与贵方进行了充分的沟通，完全理解并接受招标文件的各项规定和要求，对招标文件的合理性、合法性不再有异议。</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四、保证遵守招标文件中的有关规定和收费标准。</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五、</w:t>
      </w:r>
      <w:r>
        <w:rPr>
          <w:rFonts w:hint="eastAsia" w:cs="宋体"/>
          <w:b/>
        </w:rPr>
        <w:t>本投标自开标之日起</w:t>
      </w:r>
      <w:r>
        <w:rPr>
          <w:rFonts w:hint="eastAsia" w:cs="宋体"/>
          <w:b/>
          <w:u w:val="single"/>
        </w:rPr>
        <w:t>90</w:t>
      </w:r>
      <w:r>
        <w:rPr>
          <w:rFonts w:hint="eastAsia" w:cs="宋体"/>
          <w:b/>
        </w:rPr>
        <w:t>天内有效。</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六、如中标，本投标文件至本项目合同履行完毕止均保持有效，本投标人将按“招标文件”及政府采购法律、法规的规定履行合同责任和义务。</w:t>
      </w:r>
    </w:p>
    <w:p>
      <w:pPr>
        <w:pStyle w:val="22"/>
        <w:widowControl w:val="0"/>
        <w:adjustRightInd w:val="0"/>
        <w:snapToGrid w:val="0"/>
        <w:spacing w:before="0" w:beforeAutospacing="0" w:after="0" w:afterAutospacing="0" w:line="360" w:lineRule="auto"/>
        <w:ind w:firstLine="480"/>
        <w:rPr>
          <w:rFonts w:cs="宋体"/>
        </w:rPr>
      </w:pPr>
      <w:r>
        <w:rPr>
          <w:rFonts w:hint="eastAsia" w:cs="宋体"/>
        </w:rPr>
        <w:t>七、我方同意提供按照贵方可能要求的与其投标有关的一切数据或资料，理解贵方不一定要接受最低价的投标或收到的任何投标。</w:t>
      </w:r>
    </w:p>
    <w:p>
      <w:pPr>
        <w:pStyle w:val="22"/>
        <w:widowControl w:val="0"/>
        <w:adjustRightInd w:val="0"/>
        <w:snapToGrid w:val="0"/>
        <w:spacing w:before="0" w:beforeAutospacing="0" w:after="0" w:afterAutospacing="0" w:line="360" w:lineRule="auto"/>
        <w:ind w:firstLine="480"/>
        <w:rPr>
          <w:rFonts w:cs="宋体"/>
        </w:rPr>
      </w:pPr>
      <w:r>
        <w:rPr>
          <w:rFonts w:hint="eastAsia" w:cs="宋体"/>
        </w:rPr>
        <w:t>八、与本投标有关的一切正式往来通讯请寄：</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地址：__________________________</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邮编：__________________________</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电话：__________________________</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传真：__________________________</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法定代表人或授权代表签字或盖章：____________________</w:t>
      </w:r>
    </w:p>
    <w:p>
      <w:pPr>
        <w:pStyle w:val="22"/>
        <w:widowControl w:val="0"/>
        <w:adjustRightInd w:val="0"/>
        <w:snapToGrid w:val="0"/>
        <w:spacing w:before="0" w:beforeAutospacing="0" w:after="0" w:afterAutospacing="0" w:line="360" w:lineRule="auto"/>
        <w:ind w:firstLine="480" w:firstLineChars="200"/>
        <w:rPr>
          <w:rFonts w:cs="宋体"/>
        </w:rPr>
      </w:pPr>
      <w:r>
        <w:rPr>
          <w:rFonts w:hint="eastAsia" w:cs="宋体"/>
        </w:rPr>
        <w:t>日期：____年____月____日</w:t>
      </w:r>
    </w:p>
    <w:p>
      <w:pPr>
        <w:pStyle w:val="22"/>
        <w:widowControl w:val="0"/>
        <w:adjustRightInd w:val="0"/>
        <w:snapToGrid w:val="0"/>
        <w:spacing w:before="0" w:beforeAutospacing="0" w:after="0" w:afterAutospacing="0" w:line="360" w:lineRule="auto"/>
        <w:ind w:firstLine="480" w:firstLineChars="200"/>
        <w:rPr>
          <w:rFonts w:cs="宋体"/>
        </w:rPr>
        <w:sectPr>
          <w:pgSz w:w="11906" w:h="16838"/>
          <w:pgMar w:top="1259" w:right="1287" w:bottom="1361" w:left="1622" w:header="709" w:footer="971" w:gutter="0"/>
          <w:cols w:space="720" w:num="1"/>
          <w:docGrid w:linePitch="360" w:charSpace="0"/>
        </w:sectPr>
      </w:pPr>
    </w:p>
    <w:p>
      <w:pPr>
        <w:pStyle w:val="22"/>
        <w:widowControl w:val="0"/>
        <w:adjustRightInd w:val="0"/>
        <w:snapToGrid w:val="0"/>
        <w:spacing w:before="0" w:beforeAutospacing="0" w:after="0" w:afterAutospacing="0" w:line="360" w:lineRule="auto"/>
        <w:jc w:val="center"/>
        <w:rPr>
          <w:rFonts w:cs="宋体"/>
          <w:b/>
          <w:sz w:val="32"/>
          <w:szCs w:val="32"/>
        </w:rPr>
      </w:pPr>
      <w:r>
        <w:rPr>
          <w:rFonts w:hint="eastAsia" w:cs="宋体"/>
          <w:b/>
          <w:sz w:val="32"/>
          <w:szCs w:val="32"/>
        </w:rPr>
        <w:t>二、开标一览表</w:t>
      </w:r>
    </w:p>
    <w:p>
      <w:pPr>
        <w:spacing w:line="360" w:lineRule="auto"/>
        <w:rPr>
          <w:rFonts w:ascii="宋体" w:hAnsi="宋体"/>
        </w:rPr>
      </w:pPr>
      <w:r>
        <w:rPr>
          <w:rFonts w:hint="eastAsia" w:ascii="宋体" w:hAnsi="宋体"/>
        </w:rPr>
        <w:t>项目编号：</w:t>
      </w:r>
      <w:r>
        <w:rPr>
          <w:rFonts w:ascii="宋体" w:hAnsi="宋体"/>
        </w:rPr>
        <w:t xml:space="preserve"> </w:t>
      </w:r>
    </w:p>
    <w:p>
      <w:pPr>
        <w:spacing w:line="360" w:lineRule="auto"/>
        <w:rPr>
          <w:rFonts w:ascii="宋体" w:hAnsi="宋体"/>
        </w:rPr>
      </w:pPr>
      <w:r>
        <w:rPr>
          <w:rFonts w:hint="eastAsia" w:ascii="宋体" w:hAnsi="宋体"/>
        </w:rPr>
        <w:t xml:space="preserve">项目名称：     </w:t>
      </w:r>
    </w:p>
    <w:tbl>
      <w:tblPr>
        <w:tblStyle w:val="36"/>
        <w:tblW w:w="10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4"/>
        <w:gridCol w:w="3211"/>
        <w:gridCol w:w="2410"/>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3474" w:type="dxa"/>
            <w:vAlign w:val="center"/>
          </w:tcPr>
          <w:p>
            <w:pPr>
              <w:spacing w:line="360" w:lineRule="auto"/>
              <w:jc w:val="center"/>
              <w:rPr>
                <w:rFonts w:ascii="宋体" w:hAnsi="宋体"/>
              </w:rPr>
            </w:pPr>
            <w:r>
              <w:rPr>
                <w:rFonts w:hint="eastAsia" w:ascii="宋体" w:hAnsi="宋体"/>
              </w:rPr>
              <w:t>分项</w:t>
            </w:r>
          </w:p>
        </w:tc>
        <w:tc>
          <w:tcPr>
            <w:tcW w:w="3211" w:type="dxa"/>
            <w:vAlign w:val="center"/>
          </w:tcPr>
          <w:p>
            <w:pPr>
              <w:spacing w:line="360" w:lineRule="auto"/>
              <w:jc w:val="center"/>
              <w:rPr>
                <w:rFonts w:ascii="宋体" w:hAnsi="宋体"/>
              </w:rPr>
            </w:pPr>
            <w:r>
              <w:rPr>
                <w:rFonts w:hint="eastAsia" w:ascii="宋体" w:hAnsi="宋体"/>
              </w:rPr>
              <w:t>投标报价下浮率（</w:t>
            </w:r>
            <w:r>
              <w:rPr>
                <w:rFonts w:ascii="宋体" w:hAnsi="宋体"/>
              </w:rPr>
              <w:t>%）</w:t>
            </w:r>
          </w:p>
        </w:tc>
        <w:tc>
          <w:tcPr>
            <w:tcW w:w="2410" w:type="dxa"/>
          </w:tcPr>
          <w:p>
            <w:pPr>
              <w:spacing w:line="360" w:lineRule="auto"/>
              <w:rPr>
                <w:rFonts w:ascii="宋体" w:hAnsi="宋体"/>
              </w:rPr>
            </w:pPr>
            <w:r>
              <w:rPr>
                <w:rFonts w:hint="eastAsia" w:ascii="宋体" w:hAnsi="宋体"/>
              </w:rPr>
              <w:t>投标报价</w:t>
            </w:r>
            <w:r>
              <w:rPr>
                <w:rFonts w:ascii="宋体" w:hAnsi="宋体"/>
              </w:rPr>
              <w:t>总价</w:t>
            </w:r>
            <w:r>
              <w:rPr>
                <w:rFonts w:hint="eastAsia" w:ascii="宋体" w:hAnsi="宋体"/>
              </w:rPr>
              <w:t>（元）</w:t>
            </w:r>
          </w:p>
        </w:tc>
        <w:tc>
          <w:tcPr>
            <w:tcW w:w="1363" w:type="dxa"/>
            <w:vAlign w:val="center"/>
          </w:tcPr>
          <w:p>
            <w:pPr>
              <w:spacing w:line="360" w:lineRule="auto"/>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3474" w:type="dxa"/>
            <w:vAlign w:val="center"/>
          </w:tcPr>
          <w:p>
            <w:pPr>
              <w:rPr>
                <w:rFonts w:ascii="宋体" w:hAnsi="宋体"/>
              </w:rPr>
            </w:pPr>
            <w:r>
              <w:rPr>
                <w:rFonts w:hint="eastAsia" w:ascii="宋体" w:hAnsi="宋体" w:cs="宋体"/>
              </w:rPr>
              <w:t>金华市沙畈水库管理处</w:t>
            </w:r>
          </w:p>
        </w:tc>
        <w:tc>
          <w:tcPr>
            <w:tcW w:w="3211" w:type="dxa"/>
            <w:vMerge w:val="restart"/>
            <w:vAlign w:val="center"/>
          </w:tcPr>
          <w:p>
            <w:pPr>
              <w:ind w:right="-11"/>
              <w:jc w:val="center"/>
              <w:rPr>
                <w:sz w:val="28"/>
                <w:szCs w:val="28"/>
              </w:rPr>
            </w:pPr>
            <w:r>
              <w:rPr>
                <w:rFonts w:hint="eastAsia"/>
                <w:sz w:val="28"/>
                <w:szCs w:val="28"/>
              </w:rPr>
              <w:t>下浮       %</w:t>
            </w:r>
          </w:p>
        </w:tc>
        <w:tc>
          <w:tcPr>
            <w:tcW w:w="2410" w:type="dxa"/>
          </w:tcPr>
          <w:p>
            <w:pPr>
              <w:spacing w:line="360" w:lineRule="auto"/>
              <w:jc w:val="center"/>
              <w:rPr>
                <w:rFonts w:ascii="宋体" w:hAnsi="宋体"/>
                <w:b/>
              </w:rPr>
            </w:pPr>
          </w:p>
        </w:tc>
        <w:tc>
          <w:tcPr>
            <w:tcW w:w="1363" w:type="dxa"/>
            <w:vAlign w:val="center"/>
          </w:tcPr>
          <w:p>
            <w:pPr>
              <w:spacing w:line="360" w:lineRule="auto"/>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3474" w:type="dxa"/>
            <w:vAlign w:val="center"/>
          </w:tcPr>
          <w:p>
            <w:pPr>
              <w:rPr>
                <w:rFonts w:ascii="宋体" w:hAnsi="宋体"/>
              </w:rPr>
            </w:pPr>
            <w:r>
              <w:rPr>
                <w:rFonts w:hint="eastAsia" w:ascii="宋体" w:hAnsi="宋体" w:cs="宋体"/>
              </w:rPr>
              <w:t>金华市金兰水库管理处</w:t>
            </w:r>
          </w:p>
        </w:tc>
        <w:tc>
          <w:tcPr>
            <w:tcW w:w="3211" w:type="dxa"/>
            <w:vMerge w:val="continue"/>
            <w:vAlign w:val="center"/>
          </w:tcPr>
          <w:p>
            <w:pPr>
              <w:ind w:right="-11"/>
              <w:jc w:val="center"/>
              <w:rPr>
                <w:sz w:val="28"/>
                <w:szCs w:val="28"/>
              </w:rPr>
            </w:pPr>
          </w:p>
        </w:tc>
        <w:tc>
          <w:tcPr>
            <w:tcW w:w="2410" w:type="dxa"/>
          </w:tcPr>
          <w:p>
            <w:pPr>
              <w:spacing w:line="360" w:lineRule="auto"/>
              <w:jc w:val="center"/>
              <w:rPr>
                <w:rFonts w:ascii="宋体" w:hAnsi="宋体"/>
                <w:b/>
              </w:rPr>
            </w:pPr>
          </w:p>
        </w:tc>
        <w:tc>
          <w:tcPr>
            <w:tcW w:w="1363" w:type="dxa"/>
            <w:vAlign w:val="center"/>
          </w:tcPr>
          <w:p>
            <w:pPr>
              <w:spacing w:line="360" w:lineRule="auto"/>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3474" w:type="dxa"/>
            <w:vAlign w:val="center"/>
          </w:tcPr>
          <w:p>
            <w:pPr>
              <w:rPr>
                <w:rFonts w:ascii="宋体" w:hAnsi="宋体"/>
              </w:rPr>
            </w:pPr>
            <w:r>
              <w:rPr>
                <w:rFonts w:hint="eastAsia" w:ascii="宋体" w:hAnsi="宋体" w:cs="宋体"/>
              </w:rPr>
              <w:t>金华市安地水库管理处</w:t>
            </w:r>
          </w:p>
        </w:tc>
        <w:tc>
          <w:tcPr>
            <w:tcW w:w="3211" w:type="dxa"/>
            <w:vMerge w:val="continue"/>
            <w:vAlign w:val="center"/>
          </w:tcPr>
          <w:p>
            <w:pPr>
              <w:ind w:right="-11"/>
              <w:jc w:val="center"/>
              <w:rPr>
                <w:sz w:val="28"/>
                <w:szCs w:val="28"/>
              </w:rPr>
            </w:pPr>
          </w:p>
        </w:tc>
        <w:tc>
          <w:tcPr>
            <w:tcW w:w="2410" w:type="dxa"/>
          </w:tcPr>
          <w:p>
            <w:pPr>
              <w:spacing w:line="360" w:lineRule="auto"/>
              <w:jc w:val="center"/>
              <w:rPr>
                <w:rFonts w:ascii="宋体" w:hAnsi="宋体"/>
                <w:b/>
              </w:rPr>
            </w:pPr>
          </w:p>
        </w:tc>
        <w:tc>
          <w:tcPr>
            <w:tcW w:w="1363" w:type="dxa"/>
            <w:vAlign w:val="center"/>
          </w:tcPr>
          <w:p>
            <w:pPr>
              <w:spacing w:line="360" w:lineRule="auto"/>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3474" w:type="dxa"/>
            <w:vAlign w:val="center"/>
          </w:tcPr>
          <w:p>
            <w:pPr>
              <w:rPr>
                <w:rFonts w:ascii="宋体" w:hAnsi="宋体"/>
              </w:rPr>
            </w:pPr>
            <w:r>
              <w:rPr>
                <w:rFonts w:ascii="宋体" w:hAnsi="宋体" w:cs="宋体"/>
              </w:rPr>
              <w:t>金华市安地渠道管理所</w:t>
            </w:r>
          </w:p>
        </w:tc>
        <w:tc>
          <w:tcPr>
            <w:tcW w:w="3211" w:type="dxa"/>
            <w:vMerge w:val="continue"/>
            <w:vAlign w:val="center"/>
          </w:tcPr>
          <w:p>
            <w:pPr>
              <w:ind w:right="-11"/>
              <w:jc w:val="center"/>
              <w:rPr>
                <w:sz w:val="28"/>
                <w:szCs w:val="28"/>
              </w:rPr>
            </w:pPr>
          </w:p>
        </w:tc>
        <w:tc>
          <w:tcPr>
            <w:tcW w:w="2410" w:type="dxa"/>
          </w:tcPr>
          <w:p>
            <w:pPr>
              <w:spacing w:line="360" w:lineRule="auto"/>
              <w:jc w:val="center"/>
              <w:rPr>
                <w:rFonts w:ascii="宋体" w:hAnsi="宋体"/>
                <w:b/>
              </w:rPr>
            </w:pPr>
          </w:p>
        </w:tc>
        <w:tc>
          <w:tcPr>
            <w:tcW w:w="1363" w:type="dxa"/>
            <w:vAlign w:val="center"/>
          </w:tcPr>
          <w:p>
            <w:pPr>
              <w:spacing w:line="360" w:lineRule="auto"/>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3474" w:type="dxa"/>
            <w:vAlign w:val="center"/>
          </w:tcPr>
          <w:p>
            <w:pPr>
              <w:rPr>
                <w:rFonts w:ascii="宋体" w:hAnsi="宋体"/>
              </w:rPr>
            </w:pPr>
            <w:r>
              <w:rPr>
                <w:rFonts w:hint="eastAsia" w:ascii="宋体" w:hAnsi="宋体" w:cs="宋体"/>
              </w:rPr>
              <w:t>金兰水库灌区管理委员会</w:t>
            </w:r>
          </w:p>
        </w:tc>
        <w:tc>
          <w:tcPr>
            <w:tcW w:w="3211" w:type="dxa"/>
            <w:vMerge w:val="continue"/>
            <w:vAlign w:val="center"/>
          </w:tcPr>
          <w:p>
            <w:pPr>
              <w:ind w:right="-11"/>
              <w:jc w:val="center"/>
              <w:rPr>
                <w:sz w:val="28"/>
                <w:szCs w:val="28"/>
              </w:rPr>
            </w:pPr>
          </w:p>
        </w:tc>
        <w:tc>
          <w:tcPr>
            <w:tcW w:w="2410" w:type="dxa"/>
          </w:tcPr>
          <w:p>
            <w:pPr>
              <w:spacing w:line="360" w:lineRule="auto"/>
              <w:jc w:val="center"/>
              <w:rPr>
                <w:rFonts w:ascii="宋体" w:hAnsi="宋体"/>
                <w:b/>
              </w:rPr>
            </w:pPr>
          </w:p>
        </w:tc>
        <w:tc>
          <w:tcPr>
            <w:tcW w:w="1363" w:type="dxa"/>
            <w:vAlign w:val="center"/>
          </w:tcPr>
          <w:p>
            <w:pPr>
              <w:spacing w:line="360" w:lineRule="auto"/>
              <w:rPr>
                <w:rFonts w:ascii="宋体" w:hAnsi="宋体"/>
                <w:b/>
              </w:rPr>
            </w:pPr>
          </w:p>
        </w:tc>
      </w:tr>
    </w:tbl>
    <w:p>
      <w:pPr>
        <w:pStyle w:val="22"/>
        <w:spacing w:before="120" w:after="120" w:line="450" w:lineRule="exact"/>
      </w:pPr>
      <w:r>
        <w:rPr>
          <w:rFonts w:hint="eastAsia"/>
          <w:szCs w:val="21"/>
        </w:rPr>
        <w:t>说明：报价是指成交供应</w:t>
      </w:r>
      <w:r>
        <w:rPr>
          <w:szCs w:val="21"/>
        </w:rPr>
        <w:t>商</w:t>
      </w:r>
      <w:r>
        <w:rPr>
          <w:rFonts w:hint="eastAsia"/>
          <w:szCs w:val="21"/>
        </w:rPr>
        <w:t>按规定履行合同义务后，采购人应支付给成交供应商的费用，其应包括运输工具营运费用（含燃料费、折旧费、维修费）、车辆保险费、人工费及人员差旅费、资料费、保险福利费、税金、利润、验收，完成合同所需的一切本身和不可缺的所有工作开支、政策性文件规定及合同包含的所有风险、责任、</w:t>
      </w:r>
      <w:r>
        <w:rPr>
          <w:szCs w:val="21"/>
        </w:rPr>
        <w:t>采购代理等</w:t>
      </w:r>
      <w:r>
        <w:rPr>
          <w:rFonts w:hint="eastAsia"/>
          <w:szCs w:val="21"/>
        </w:rPr>
        <w:t>本项目实施所发生的全部费用。</w:t>
      </w:r>
    </w:p>
    <w:p>
      <w:pPr>
        <w:spacing w:line="360" w:lineRule="auto"/>
        <w:rPr>
          <w:rFonts w:ascii="宋体" w:hAnsi="宋体"/>
        </w:rPr>
      </w:pPr>
      <w:r>
        <w:rPr>
          <w:rFonts w:hint="eastAsia" w:hAnsi="宋体"/>
        </w:rPr>
        <w:t>供应商全称</w:t>
      </w:r>
      <w:r>
        <w:rPr>
          <w:lang w:val="zh-CN"/>
        </w:rPr>
        <w:t>（盖章）</w:t>
      </w:r>
      <w:r>
        <w:rPr>
          <w:rFonts w:hint="eastAsia"/>
          <w:lang w:val="zh-CN"/>
        </w:rPr>
        <w:t>：</w:t>
      </w:r>
    </w:p>
    <w:p>
      <w:pPr>
        <w:spacing w:line="360" w:lineRule="auto"/>
        <w:rPr>
          <w:rFonts w:ascii="宋体" w:hAnsi="宋体"/>
        </w:rPr>
      </w:pPr>
    </w:p>
    <w:p>
      <w:pPr>
        <w:spacing w:line="360" w:lineRule="auto"/>
        <w:rPr>
          <w:rFonts w:ascii="宋体" w:hAnsi="宋体" w:cs="宋体"/>
        </w:rPr>
      </w:pPr>
      <w:r>
        <w:rPr>
          <w:rFonts w:hint="eastAsia" w:ascii="宋体" w:hAnsi="宋体"/>
        </w:rPr>
        <w:t>法定代表人或授权人（签名或盖章）</w:t>
      </w:r>
    </w:p>
    <w:p>
      <w:pPr>
        <w:pStyle w:val="22"/>
        <w:widowControl w:val="0"/>
        <w:adjustRightInd w:val="0"/>
        <w:snapToGrid w:val="0"/>
        <w:spacing w:before="0" w:beforeAutospacing="0" w:after="0" w:afterAutospacing="0" w:line="360" w:lineRule="auto"/>
        <w:ind w:firstLine="3600" w:firstLineChars="1500"/>
        <w:jc w:val="both"/>
        <w:rPr>
          <w:rFonts w:cs="宋体"/>
        </w:rPr>
      </w:pPr>
    </w:p>
    <w:p>
      <w:pPr>
        <w:pStyle w:val="22"/>
        <w:widowControl w:val="0"/>
        <w:adjustRightInd w:val="0"/>
        <w:snapToGrid w:val="0"/>
        <w:spacing w:before="0" w:beforeAutospacing="0" w:after="0" w:afterAutospacing="0" w:line="360" w:lineRule="auto"/>
        <w:ind w:firstLine="3600" w:firstLineChars="1500"/>
        <w:jc w:val="both"/>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 xml:space="preserve">   法定代表人或授权代表签字：____________________</w:t>
      </w:r>
    </w:p>
    <w:p>
      <w:pPr>
        <w:pStyle w:val="22"/>
        <w:widowControl w:val="0"/>
        <w:adjustRightInd w:val="0"/>
        <w:snapToGrid w:val="0"/>
        <w:spacing w:before="0" w:beforeAutospacing="0" w:after="0" w:afterAutospacing="0"/>
        <w:ind w:firstLine="900" w:firstLineChars="375"/>
        <w:jc w:val="right"/>
        <w:rPr>
          <w:rFonts w:cs="宋体"/>
        </w:rPr>
      </w:pPr>
      <w:r>
        <w:rPr>
          <w:rFonts w:hint="eastAsia" w:cs="宋体"/>
        </w:rPr>
        <w:t>日期：____年____月____日</w:t>
      </w:r>
    </w:p>
    <w:p>
      <w:pPr>
        <w:pStyle w:val="22"/>
        <w:widowControl w:val="0"/>
        <w:adjustRightInd w:val="0"/>
        <w:snapToGrid w:val="0"/>
        <w:spacing w:before="0" w:beforeAutospacing="0" w:after="0" w:afterAutospacing="0" w:line="360" w:lineRule="auto"/>
        <w:rPr>
          <w:rFonts w:cs="宋体"/>
          <w:b/>
        </w:rPr>
      </w:pPr>
    </w:p>
    <w:p>
      <w:pPr>
        <w:pStyle w:val="22"/>
        <w:widowControl w:val="0"/>
        <w:adjustRightInd w:val="0"/>
        <w:snapToGrid w:val="0"/>
        <w:spacing w:before="0" w:beforeAutospacing="0" w:after="0" w:afterAutospacing="0" w:line="360" w:lineRule="auto"/>
        <w:jc w:val="center"/>
        <w:rPr>
          <w:rFonts w:cs="宋体"/>
          <w:b/>
          <w:sz w:val="32"/>
          <w:szCs w:val="32"/>
        </w:rPr>
        <w:sectPr>
          <w:pgSz w:w="11906" w:h="16838"/>
          <w:pgMar w:top="1259" w:right="1287" w:bottom="1361" w:left="1622" w:header="709" w:footer="971" w:gutter="0"/>
          <w:cols w:space="720" w:num="1"/>
          <w:docGrid w:linePitch="360" w:charSpace="0"/>
        </w:sectPr>
      </w:pPr>
    </w:p>
    <w:p>
      <w:pPr>
        <w:pStyle w:val="22"/>
        <w:widowControl w:val="0"/>
        <w:adjustRightInd w:val="0"/>
        <w:snapToGrid w:val="0"/>
        <w:jc w:val="center"/>
        <w:rPr>
          <w:rFonts w:cs="宋体"/>
          <w:b/>
          <w:sz w:val="32"/>
          <w:szCs w:val="32"/>
        </w:rPr>
      </w:pPr>
      <w:r>
        <w:rPr>
          <w:rFonts w:hint="eastAsia" w:cs="宋体"/>
          <w:b/>
          <w:sz w:val="32"/>
          <w:szCs w:val="32"/>
        </w:rPr>
        <w:t>三、中小企业声明函</w:t>
      </w:r>
    </w:p>
    <w:p>
      <w:pPr>
        <w:shd w:val="clear" w:color="auto" w:fill="FFFFFF"/>
        <w:spacing w:before="100" w:beforeAutospacing="1" w:after="100" w:afterAutospacing="1" w:line="360" w:lineRule="auto"/>
        <w:rPr>
          <w:rFonts w:ascii="宋体" w:hAnsi="宋体" w:cs="宋体"/>
        </w:rPr>
      </w:pPr>
      <w:r>
        <w:rPr>
          <w:rFonts w:hint="eastAsia" w:ascii="宋体" w:hAnsi="宋体" w:cs="宋体"/>
        </w:rPr>
        <w:t>　　本公司郑重声明，根据《政府采购促进中小企业发展暂行办法》（财库[2011]181号）的规定，本公司为______（请填写：中型、小型、微型）企业。即，本公司同时满足以下条件：</w:t>
      </w:r>
    </w:p>
    <w:p>
      <w:pPr>
        <w:shd w:val="clear" w:color="auto" w:fill="FFFFFF"/>
        <w:spacing w:before="100" w:beforeAutospacing="1" w:after="100" w:afterAutospacing="1" w:line="360" w:lineRule="auto"/>
        <w:rPr>
          <w:rFonts w:ascii="宋体" w:hAnsi="宋体" w:cs="宋体"/>
        </w:rPr>
      </w:pPr>
      <w:r>
        <w:rPr>
          <w:rFonts w:hint="eastAsia" w:ascii="宋体" w:hAnsi="宋体" w:cs="宋体"/>
        </w:rPr>
        <w:t>　　1.根据《工业和信息化部、国家统计局、国家发展和改革委员会、财政部关于印发中小企业划型标准规定的通知》（工信部联企业[2011]300号）规定的划分标准，本公司为______（请填写：中型、小型、微型）企业。</w:t>
      </w:r>
    </w:p>
    <w:p>
      <w:pPr>
        <w:shd w:val="clear" w:color="auto" w:fill="FFFFFF"/>
        <w:spacing w:before="100" w:beforeAutospacing="1" w:after="100" w:afterAutospacing="1" w:line="360" w:lineRule="auto"/>
        <w:rPr>
          <w:rFonts w:ascii="宋体" w:hAnsi="宋体" w:cs="宋体"/>
        </w:rPr>
      </w:pPr>
      <w:r>
        <w:rPr>
          <w:rFonts w:hint="eastAsia" w:ascii="宋体" w:hAnsi="宋体" w:cs="宋体"/>
        </w:rPr>
        <w:t>　　2.本公司参加______单位的______项目采购活动提供本企业制造的货物，由本企业承担工程、提供服务，或者提供其他______（请填写：中型、小型、微型）企业制造的货物。本条所称货物不包括使用大型企业注册商标的货物。</w:t>
      </w:r>
    </w:p>
    <w:p>
      <w:pPr>
        <w:shd w:val="clear" w:color="auto" w:fill="FFFFFF"/>
        <w:spacing w:before="100" w:beforeAutospacing="1" w:after="100" w:afterAutospacing="1" w:line="360" w:lineRule="auto"/>
        <w:rPr>
          <w:rFonts w:ascii="宋体" w:hAnsi="宋体" w:cs="宋体"/>
          <w:b/>
        </w:rPr>
      </w:pPr>
      <w:r>
        <w:rPr>
          <w:rFonts w:hint="eastAsia" w:ascii="宋体" w:hAnsi="宋体" w:cs="宋体"/>
        </w:rPr>
        <w:t>　　</w:t>
      </w:r>
      <w:r>
        <w:rPr>
          <w:rFonts w:hint="eastAsia" w:ascii="宋体" w:hAnsi="宋体" w:cs="宋体"/>
          <w:b/>
        </w:rPr>
        <w:t>本公司对上述声明的真实性负责。如有虚假，将依法承担相应责任。</w:t>
      </w:r>
    </w:p>
    <w:p>
      <w:pPr>
        <w:shd w:val="clear" w:color="auto" w:fill="FFFFFF"/>
        <w:spacing w:before="100" w:beforeAutospacing="1" w:after="100" w:afterAutospacing="1" w:line="360" w:lineRule="auto"/>
        <w:rPr>
          <w:rFonts w:ascii="宋体" w:hAnsi="宋体" w:cs="宋体"/>
        </w:rPr>
      </w:pPr>
      <w:r>
        <w:rPr>
          <w:rFonts w:hint="eastAsia" w:ascii="宋体" w:hAnsi="宋体" w:cs="宋体"/>
        </w:rPr>
        <w:t>　　　　　　  　　　　　　　　　　　　　　　　　　　投标人（盖章）：</w:t>
      </w:r>
    </w:p>
    <w:p>
      <w:pPr>
        <w:shd w:val="clear" w:color="auto" w:fill="FFFFFF"/>
        <w:spacing w:before="100" w:beforeAutospacing="1" w:after="100" w:afterAutospacing="1" w:line="360" w:lineRule="auto"/>
        <w:rPr>
          <w:rFonts w:ascii="宋体" w:hAnsi="宋体" w:cs="宋体"/>
        </w:rPr>
        <w:sectPr>
          <w:pgSz w:w="11906" w:h="16838"/>
          <w:pgMar w:top="1259" w:right="1287" w:bottom="1361" w:left="1622" w:header="709" w:footer="975" w:gutter="0"/>
          <w:cols w:space="720" w:num="1"/>
          <w:docGrid w:linePitch="360" w:charSpace="0"/>
        </w:sectPr>
      </w:pPr>
      <w:r>
        <w:rPr>
          <w:rFonts w:hint="eastAsia" w:ascii="宋体" w:hAnsi="宋体" w:cs="宋体"/>
        </w:rPr>
        <w:t>　　　　　　　　　　　　　　　　　　　　　　　日  期：____年____月____日</w:t>
      </w:r>
    </w:p>
    <w:p>
      <w:pPr>
        <w:widowControl w:val="0"/>
        <w:autoSpaceDE w:val="0"/>
        <w:autoSpaceDN w:val="0"/>
        <w:adjustRightInd w:val="0"/>
        <w:jc w:val="center"/>
        <w:rPr>
          <w:rFonts w:ascii="宋体" w:hAnsi="宋体" w:cs="宋体"/>
          <w:b/>
          <w:sz w:val="32"/>
          <w:szCs w:val="32"/>
        </w:rPr>
      </w:pPr>
      <w:r>
        <w:rPr>
          <w:rFonts w:hint="eastAsia" w:ascii="宋体" w:hAnsi="宋体" w:cs="宋体"/>
          <w:b/>
          <w:sz w:val="32"/>
          <w:szCs w:val="32"/>
        </w:rPr>
        <w:t>残疾人福利性单位声明函</w:t>
      </w:r>
    </w:p>
    <w:p>
      <w:pPr>
        <w:shd w:val="clear" w:color="auto" w:fill="FFFFFF"/>
        <w:spacing w:before="100" w:beforeAutospacing="1" w:after="100" w:afterAutospacing="1" w:line="360" w:lineRule="auto"/>
        <w:ind w:firstLine="480" w:firstLineChars="200"/>
        <w:rPr>
          <w:rFonts w:ascii="宋体" w:hAnsi="宋体" w:cs="宋体"/>
        </w:rPr>
      </w:pPr>
      <w:r>
        <w:rPr>
          <w:rFonts w:hint="eastAsia" w:ascii="宋体" w:hAnsi="宋体" w:cs="宋体"/>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color="auto" w:fill="FFFFFF"/>
        <w:spacing w:before="100" w:beforeAutospacing="1" w:after="100" w:afterAutospacing="1" w:line="360" w:lineRule="auto"/>
        <w:rPr>
          <w:rFonts w:ascii="宋体" w:hAnsi="宋体" w:cs="宋体"/>
        </w:rPr>
      </w:pPr>
      <w:r>
        <w:rPr>
          <w:rFonts w:hint="eastAsia" w:ascii="宋体" w:hAnsi="宋体" w:cs="宋体"/>
        </w:rPr>
        <w:t>本单位对上述声明的真实性负责。如有虚假，将依法承担相应责任。</w:t>
      </w:r>
    </w:p>
    <w:p>
      <w:pPr>
        <w:shd w:val="clear" w:color="auto" w:fill="FFFFFF"/>
        <w:spacing w:before="100" w:beforeAutospacing="1" w:after="100" w:afterAutospacing="1" w:line="360" w:lineRule="auto"/>
        <w:rPr>
          <w:rFonts w:ascii="宋体" w:hAnsi="宋体" w:cs="宋体"/>
        </w:rPr>
      </w:pPr>
    </w:p>
    <w:p>
      <w:pPr>
        <w:shd w:val="clear" w:color="auto" w:fill="FFFFFF"/>
        <w:spacing w:before="100" w:beforeAutospacing="1" w:after="100" w:afterAutospacing="1" w:line="360" w:lineRule="auto"/>
        <w:ind w:firstLine="6360" w:firstLineChars="2650"/>
        <w:rPr>
          <w:rFonts w:ascii="宋体" w:hAnsi="宋体" w:cs="宋体"/>
        </w:rPr>
      </w:pPr>
      <w:r>
        <w:rPr>
          <w:rFonts w:hint="eastAsia" w:ascii="宋体" w:hAnsi="宋体" w:cs="宋体"/>
        </w:rPr>
        <w:t>投标人（盖章）：</w:t>
      </w:r>
    </w:p>
    <w:p>
      <w:pPr>
        <w:shd w:val="clear" w:color="auto" w:fill="FFFFFF"/>
        <w:spacing w:before="100" w:beforeAutospacing="1" w:after="100" w:afterAutospacing="1" w:line="360" w:lineRule="auto"/>
        <w:rPr>
          <w:rFonts w:ascii="宋体" w:hAnsi="宋体" w:cs="宋体"/>
        </w:rPr>
      </w:pPr>
      <w:r>
        <w:rPr>
          <w:rFonts w:hint="eastAsia" w:ascii="宋体" w:hAnsi="宋体" w:cs="宋体"/>
        </w:rPr>
        <w:t>　　　　　　　　　　　　　　　　　　　　　　　日  期：____年____月____日</w:t>
      </w:r>
    </w:p>
    <w:p>
      <w:pPr>
        <w:shd w:val="clear" w:color="auto" w:fill="FFFFFF"/>
        <w:spacing w:before="100" w:beforeAutospacing="1" w:after="100" w:afterAutospacing="1" w:line="360" w:lineRule="auto"/>
        <w:rPr>
          <w:rFonts w:ascii="宋体" w:hAnsi="宋体" w:cs="宋体"/>
        </w:rPr>
      </w:pPr>
    </w:p>
    <w:p>
      <w:pPr>
        <w:widowControl w:val="0"/>
        <w:autoSpaceDE w:val="0"/>
        <w:autoSpaceDN w:val="0"/>
        <w:adjustRightInd w:val="0"/>
        <w:jc w:val="center"/>
        <w:rPr>
          <w:rFonts w:ascii="宋体" w:hAnsi="宋体" w:cs="宋体"/>
          <w:b/>
          <w:sz w:val="32"/>
          <w:szCs w:val="32"/>
        </w:rPr>
      </w:pPr>
      <w:r>
        <w:rPr>
          <w:rFonts w:hint="eastAsia" w:ascii="宋体" w:hAnsi="宋体" w:cs="宋体"/>
          <w:b/>
          <w:sz w:val="32"/>
          <w:szCs w:val="32"/>
        </w:rPr>
        <w:t>监狱企业证明文件</w:t>
      </w:r>
    </w:p>
    <w:p>
      <w:pPr>
        <w:shd w:val="clear" w:color="auto" w:fill="FFFFFF"/>
        <w:spacing w:before="100" w:beforeAutospacing="1" w:after="100" w:afterAutospacing="1" w:line="360" w:lineRule="auto"/>
        <w:rPr>
          <w:rFonts w:ascii="宋体" w:hAnsi="宋体" w:cs="宋体"/>
        </w:rPr>
        <w:sectPr>
          <w:pgSz w:w="11906" w:h="16838"/>
          <w:pgMar w:top="1259" w:right="1287" w:bottom="1361" w:left="1622" w:header="709" w:footer="975" w:gutter="0"/>
          <w:cols w:space="720" w:num="1"/>
          <w:docGrid w:linePitch="360" w:charSpace="0"/>
        </w:sectPr>
      </w:pPr>
      <w:r>
        <w:rPr>
          <w:rFonts w:hint="eastAsia" w:ascii="宋体" w:hAnsi="宋体" w:cs="宋体"/>
        </w:rPr>
        <w:t>注：监狱企业参加政府采购活动时，应当提供由省级以上监狱管理局、戒毒管理局（含新疆生产建设兵团）出具的属于监狱企业的证明文件。</w:t>
      </w:r>
    </w:p>
    <w:p>
      <w:pPr>
        <w:pStyle w:val="33"/>
        <w:widowControl w:val="0"/>
        <w:adjustRightInd w:val="0"/>
        <w:snapToGrid w:val="0"/>
        <w:spacing w:line="390" w:lineRule="atLeast"/>
        <w:rPr>
          <w:rFonts w:hint="default" w:cs="宋体"/>
          <w:b/>
          <w:sz w:val="32"/>
          <w:szCs w:val="32"/>
        </w:rPr>
      </w:pPr>
      <w:r>
        <w:rPr>
          <w:rFonts w:cs="宋体"/>
          <w:b/>
          <w:sz w:val="32"/>
          <w:szCs w:val="32"/>
        </w:rPr>
        <w:t>技术标书：</w:t>
      </w:r>
    </w:p>
    <w:p>
      <w:pPr>
        <w:pStyle w:val="33"/>
        <w:widowControl w:val="0"/>
        <w:adjustRightInd w:val="0"/>
        <w:snapToGrid w:val="0"/>
        <w:spacing w:line="390" w:lineRule="atLeast"/>
        <w:jc w:val="center"/>
        <w:rPr>
          <w:rFonts w:hint="default" w:cs="宋体"/>
          <w:b/>
          <w:sz w:val="32"/>
          <w:szCs w:val="32"/>
        </w:rPr>
      </w:pPr>
      <w:r>
        <w:rPr>
          <w:rFonts w:cs="宋体"/>
          <w:b/>
          <w:sz w:val="32"/>
          <w:szCs w:val="32"/>
        </w:rPr>
        <w:t>一、法定代表人授权书</w:t>
      </w:r>
    </w:p>
    <w:p>
      <w:pPr>
        <w:pStyle w:val="33"/>
        <w:widowControl w:val="0"/>
        <w:adjustRightInd w:val="0"/>
        <w:snapToGrid w:val="0"/>
        <w:spacing w:line="480" w:lineRule="auto"/>
        <w:rPr>
          <w:rFonts w:hint="default" w:cs="宋体"/>
        </w:rPr>
      </w:pPr>
      <w:r>
        <w:rPr>
          <w:rFonts w:cs="宋体"/>
          <w:u w:val="single"/>
        </w:rPr>
        <w:t xml:space="preserve">代理机构 </w:t>
      </w:r>
      <w:r>
        <w:rPr>
          <w:rFonts w:cs="宋体"/>
        </w:rPr>
        <w:t>：</w:t>
      </w:r>
      <w:r>
        <w:rPr>
          <w:rFonts w:cs="宋体"/>
        </w:rPr>
        <w:br w:type="textWrapping"/>
      </w:r>
      <w:r>
        <w:rPr>
          <w:rFonts w:cs="宋体"/>
        </w:rPr>
        <w:t>         兹委派</w:t>
      </w:r>
      <w:r>
        <w:rPr>
          <w:rFonts w:cs="宋体"/>
          <w:u w:val="single"/>
        </w:rPr>
        <w:t xml:space="preserve">                                </w:t>
      </w:r>
      <w:r>
        <w:rPr>
          <w:rFonts w:cs="宋体"/>
        </w:rPr>
        <w:t xml:space="preserve">参加贵公司组织的 </w:t>
      </w:r>
      <w:r>
        <w:rPr>
          <w:rFonts w:cs="宋体"/>
          <w:u w:val="single"/>
        </w:rPr>
        <w:t xml:space="preserve">                                       （项目）</w:t>
      </w:r>
      <w:r>
        <w:rPr>
          <w:rFonts w:cs="宋体"/>
        </w:rPr>
        <w:t>招标活动，全权代表我单位处理与招投标活动的有关事宜。</w:t>
      </w:r>
    </w:p>
    <w:p>
      <w:pPr>
        <w:pStyle w:val="33"/>
        <w:widowControl w:val="0"/>
        <w:adjustRightInd w:val="0"/>
        <w:snapToGrid w:val="0"/>
        <w:spacing w:line="480" w:lineRule="auto"/>
        <w:ind w:firstLine="600" w:firstLineChars="250"/>
        <w:rPr>
          <w:rFonts w:hint="default" w:cs="宋体"/>
        </w:rPr>
      </w:pPr>
      <w:r>
        <w:rPr>
          <w:rFonts w:cs="宋体"/>
        </w:rPr>
        <w:t>本委托授权在转授权后自动失效。</w:t>
      </w:r>
    </w:p>
    <w:p>
      <w:pPr>
        <w:pStyle w:val="33"/>
        <w:widowControl w:val="0"/>
        <w:adjustRightInd w:val="0"/>
        <w:snapToGrid w:val="0"/>
        <w:spacing w:line="480" w:lineRule="auto"/>
        <w:ind w:firstLine="480" w:firstLineChars="200"/>
        <w:rPr>
          <w:rFonts w:hint="default" w:cs="宋体"/>
        </w:rPr>
      </w:pPr>
      <w:r>
        <w:rPr>
          <w:rFonts w:cs="宋体"/>
        </w:rPr>
        <w:t>附全权代表情况（印刷体）：</w:t>
      </w:r>
      <w:r>
        <w:rPr>
          <w:rFonts w:cs="宋体"/>
        </w:rPr>
        <w:br w:type="textWrapping"/>
      </w:r>
      <w:r>
        <w:rPr>
          <w:rFonts w:cs="宋体"/>
        </w:rPr>
        <w:t xml:space="preserve">       姓名____________职务__________身份证号码_____________________ </w:t>
      </w:r>
      <w:r>
        <w:rPr>
          <w:rFonts w:cs="宋体"/>
        </w:rPr>
        <w:br w:type="textWrapping"/>
      </w:r>
      <w:r>
        <w:rPr>
          <w:rFonts w:cs="宋体"/>
        </w:rPr>
        <w:t>       详细通讯地址________________________邮政编码_________________</w:t>
      </w:r>
      <w:r>
        <w:rPr>
          <w:rFonts w:cs="宋体"/>
        </w:rPr>
        <w:br w:type="textWrapping"/>
      </w:r>
      <w:r>
        <w:rPr>
          <w:rFonts w:cs="宋体"/>
        </w:rPr>
        <w:t xml:space="preserve">       电话__________________传真_____________________ </w:t>
      </w:r>
      <w:r>
        <w:rPr>
          <w:rFonts w:cs="宋体"/>
        </w:rPr>
        <w:br w:type="textWrapping"/>
      </w:r>
      <w:r>
        <w:rPr>
          <w:rFonts w:cs="宋体"/>
        </w:rPr>
        <w:t>       手机__________________电子邮箱_________________</w:t>
      </w:r>
    </w:p>
    <w:p>
      <w:pPr>
        <w:pStyle w:val="33"/>
        <w:widowControl w:val="0"/>
        <w:adjustRightInd w:val="0"/>
        <w:snapToGrid w:val="0"/>
        <w:spacing w:line="480" w:lineRule="auto"/>
        <w:rPr>
          <w:rFonts w:hint="default" w:cs="宋体"/>
        </w:rPr>
      </w:pPr>
      <w:r>
        <w:rPr>
          <w:rFonts w:cs="宋体"/>
        </w:rPr>
        <w:t>        附：授权代表身份证复印件（正反面）</w:t>
      </w:r>
    </w:p>
    <w:p>
      <w:pPr>
        <w:pStyle w:val="33"/>
        <w:widowControl w:val="0"/>
        <w:adjustRightInd w:val="0"/>
        <w:snapToGrid w:val="0"/>
        <w:spacing w:line="480" w:lineRule="auto"/>
        <w:rPr>
          <w:rFonts w:hint="default" w:cs="宋体"/>
        </w:rPr>
      </w:pPr>
      <w:r>
        <w:rPr>
          <w:rFonts w:cs="宋体"/>
        </w:rPr>
        <w:t xml:space="preserve">               法定代表人身份证复印件（正反面）</w:t>
      </w:r>
    </w:p>
    <w:p>
      <w:pPr>
        <w:pStyle w:val="33"/>
        <w:widowControl w:val="0"/>
        <w:adjustRightInd w:val="0"/>
        <w:snapToGrid w:val="0"/>
        <w:spacing w:line="480" w:lineRule="auto"/>
        <w:ind w:firstLine="480" w:firstLineChars="200"/>
        <w:rPr>
          <w:rFonts w:hint="default" w:cs="宋体"/>
        </w:rPr>
      </w:pPr>
      <w:r>
        <w:rPr>
          <w:rFonts w:cs="宋体"/>
        </w:rPr>
        <w:t>投标人（公章）：  </w:t>
      </w:r>
    </w:p>
    <w:p>
      <w:pPr>
        <w:pStyle w:val="33"/>
        <w:widowControl w:val="0"/>
        <w:adjustRightInd w:val="0"/>
        <w:snapToGrid w:val="0"/>
        <w:spacing w:line="480" w:lineRule="auto"/>
        <w:ind w:firstLine="480" w:firstLineChars="200"/>
        <w:rPr>
          <w:rFonts w:hint="default" w:cs="宋体"/>
        </w:rPr>
      </w:pPr>
      <w:r>
        <w:rPr>
          <w:rFonts w:cs="宋体"/>
        </w:rPr>
        <w:t xml:space="preserve">  法定代表人签字或盖章：</w:t>
      </w:r>
      <w:r>
        <w:rPr>
          <w:rFonts w:cs="宋体"/>
        </w:rPr>
        <w:br w:type="textWrapping"/>
      </w:r>
      <w:r>
        <w:rPr>
          <w:rFonts w:cs="宋体"/>
        </w:rPr>
        <w:t>    </w:t>
      </w:r>
    </w:p>
    <w:p>
      <w:pPr>
        <w:pStyle w:val="33"/>
        <w:widowControl w:val="0"/>
        <w:adjustRightInd w:val="0"/>
        <w:snapToGrid w:val="0"/>
        <w:spacing w:line="480" w:lineRule="auto"/>
        <w:ind w:firstLine="240" w:firstLineChars="100"/>
        <w:rPr>
          <w:rFonts w:hint="default" w:cs="宋体"/>
        </w:rPr>
      </w:pPr>
      <w:r>
        <w:rPr>
          <w:rFonts w:cs="宋体"/>
        </w:rPr>
        <w:t>   授权代表签字或盖章：</w:t>
      </w:r>
    </w:p>
    <w:p>
      <w:pPr>
        <w:pStyle w:val="22"/>
        <w:widowControl w:val="0"/>
        <w:adjustRightInd w:val="0"/>
        <w:snapToGrid w:val="0"/>
        <w:spacing w:before="0" w:beforeAutospacing="0" w:after="0" w:afterAutospacing="0"/>
        <w:rPr>
          <w:rFonts w:cs="宋体"/>
        </w:rPr>
      </w:pPr>
      <w:r>
        <w:rPr>
          <w:rFonts w:hint="eastAsia" w:cs="宋体"/>
        </w:rPr>
        <w:t>                                                                                               年         月        日</w:t>
      </w:r>
    </w:p>
    <w:p>
      <w:pPr>
        <w:pStyle w:val="22"/>
        <w:widowControl w:val="0"/>
        <w:adjustRightInd w:val="0"/>
        <w:snapToGrid w:val="0"/>
        <w:spacing w:before="0" w:beforeAutospacing="0" w:after="0" w:afterAutospacing="0"/>
        <w:rPr>
          <w:rFonts w:cs="宋体"/>
          <w:sz w:val="18"/>
          <w:szCs w:val="18"/>
        </w:rPr>
        <w:sectPr>
          <w:pgSz w:w="11906" w:h="16838"/>
          <w:pgMar w:top="1259" w:right="1287" w:bottom="1361" w:left="1622" w:header="709" w:footer="975" w:gutter="0"/>
          <w:cols w:space="720" w:num="1"/>
          <w:docGrid w:linePitch="360" w:charSpace="0"/>
        </w:sectPr>
      </w:pPr>
    </w:p>
    <w:p>
      <w:pPr>
        <w:shd w:val="clear" w:color="auto" w:fill="FFFFFF"/>
        <w:spacing w:before="100" w:beforeAutospacing="1" w:after="100" w:afterAutospacing="1"/>
        <w:jc w:val="center"/>
        <w:rPr>
          <w:rFonts w:ascii="宋体" w:hAnsi="宋体" w:cs="宋体"/>
          <w:b/>
          <w:sz w:val="32"/>
          <w:szCs w:val="32"/>
        </w:rPr>
      </w:pPr>
      <w:r>
        <w:rPr>
          <w:rFonts w:hint="eastAsia" w:ascii="宋体" w:hAnsi="宋体" w:cs="宋体"/>
          <w:b/>
          <w:sz w:val="32"/>
          <w:szCs w:val="32"/>
        </w:rPr>
        <w:t>法定代表人身份证明书（法人参加提供）</w:t>
      </w:r>
    </w:p>
    <w:p>
      <w:pPr>
        <w:shd w:val="clear" w:color="auto" w:fill="FFFFFF"/>
        <w:spacing w:before="100" w:beforeAutospacing="1" w:after="100" w:afterAutospacing="1" w:line="500" w:lineRule="atLeast"/>
        <w:ind w:firstLine="358"/>
        <w:rPr>
          <w:rFonts w:ascii="宋体" w:hAnsi="宋体" w:cs="宋体"/>
          <w:sz w:val="27"/>
          <w:szCs w:val="27"/>
        </w:rPr>
      </w:pPr>
      <w:r>
        <w:rPr>
          <w:rFonts w:hint="eastAsia" w:ascii="宋体" w:hAnsi="宋体" w:cs="宋体"/>
          <w:szCs w:val="28"/>
        </w:rPr>
        <w:t> </w:t>
      </w:r>
    </w:p>
    <w:p>
      <w:pPr>
        <w:spacing w:line="480" w:lineRule="auto"/>
        <w:rPr>
          <w:rFonts w:ascii="宋体" w:hAnsi="宋体" w:cs="宋体"/>
          <w:u w:val="single"/>
        </w:rPr>
      </w:pPr>
      <w:r>
        <w:rPr>
          <w:rFonts w:hint="eastAsia" w:ascii="宋体" w:hAnsi="宋体" w:cs="宋体"/>
        </w:rPr>
        <w:t>投标人名称：</w:t>
      </w:r>
      <w:r>
        <w:rPr>
          <w:rFonts w:hint="eastAsia" w:ascii="宋体" w:hAnsi="宋体" w:cs="宋体"/>
          <w:u w:val="single"/>
        </w:rPr>
        <w:t xml:space="preserve">                                                          </w:t>
      </w:r>
    </w:p>
    <w:p>
      <w:pPr>
        <w:spacing w:line="480" w:lineRule="auto"/>
        <w:rPr>
          <w:rFonts w:ascii="宋体" w:hAnsi="宋体" w:cs="宋体"/>
          <w:u w:val="single"/>
        </w:rPr>
      </w:pPr>
      <w:r>
        <w:rPr>
          <w:rFonts w:hint="eastAsia" w:ascii="宋体" w:hAnsi="宋体" w:cs="宋体"/>
        </w:rPr>
        <w:t>单位性质：</w:t>
      </w:r>
      <w:r>
        <w:rPr>
          <w:rFonts w:hint="eastAsia" w:ascii="宋体" w:hAnsi="宋体" w:cs="宋体"/>
          <w:u w:val="single"/>
        </w:rPr>
        <w:t xml:space="preserve">                                                            </w:t>
      </w:r>
    </w:p>
    <w:p>
      <w:pPr>
        <w:spacing w:line="480" w:lineRule="auto"/>
        <w:rPr>
          <w:rFonts w:ascii="宋体" w:hAnsi="宋体" w:cs="宋体"/>
          <w:u w:val="single"/>
        </w:rPr>
      </w:pPr>
      <w:r>
        <w:rPr>
          <w:rFonts w:hint="eastAsia" w:ascii="宋体" w:hAnsi="宋体" w:cs="宋体"/>
        </w:rPr>
        <w:t>地    址：</w:t>
      </w:r>
      <w:r>
        <w:rPr>
          <w:rFonts w:hint="eastAsia" w:ascii="宋体" w:hAnsi="宋体" w:cs="宋体"/>
          <w:u w:val="single"/>
        </w:rPr>
        <w:t xml:space="preserve">                                                            </w:t>
      </w:r>
    </w:p>
    <w:p>
      <w:pPr>
        <w:spacing w:line="480" w:lineRule="auto"/>
        <w:rPr>
          <w:rFonts w:ascii="宋体" w:hAnsi="宋体" w:cs="宋体"/>
        </w:rPr>
      </w:pPr>
      <w:r>
        <w:rPr>
          <w:rFonts w:hint="eastAsia" w:ascii="宋体" w:hAnsi="宋体" w:cs="宋体"/>
        </w:rPr>
        <w:t xml:space="preserve">成立时间： </w:t>
      </w:r>
    </w:p>
    <w:p>
      <w:pPr>
        <w:spacing w:line="480" w:lineRule="auto"/>
        <w:rPr>
          <w:rFonts w:ascii="宋体" w:hAnsi="宋体" w:cs="宋体"/>
        </w:rPr>
      </w:pPr>
      <w:r>
        <w:rPr>
          <w:rFonts w:hint="eastAsia" w:ascii="宋体" w:hAnsi="宋体" w:cs="宋体"/>
        </w:rPr>
        <w:t xml:space="preserve">经营期限：                                                            </w:t>
      </w:r>
    </w:p>
    <w:p>
      <w:pPr>
        <w:spacing w:line="480" w:lineRule="auto"/>
        <w:rPr>
          <w:rFonts w:ascii="宋体" w:hAnsi="宋体" w:cs="宋体"/>
          <w:u w:val="single"/>
        </w:rPr>
      </w:pPr>
      <w:r>
        <w:rPr>
          <w:rFonts w:hint="eastAsia" w:ascii="宋体" w:hAnsi="宋体" w:cs="宋体"/>
        </w:rPr>
        <w:t>姓    名：</w:t>
      </w:r>
      <w:r>
        <w:rPr>
          <w:rFonts w:hint="eastAsia" w:ascii="宋体" w:hAnsi="宋体" w:cs="宋体"/>
          <w:u w:val="single"/>
        </w:rPr>
        <w:t xml:space="preserve">              </w:t>
      </w:r>
      <w:r>
        <w:rPr>
          <w:rFonts w:hint="eastAsia" w:ascii="宋体" w:hAnsi="宋体" w:cs="宋体"/>
        </w:rPr>
        <w:t>性别：</w:t>
      </w:r>
      <w:r>
        <w:rPr>
          <w:rFonts w:hint="eastAsia" w:ascii="宋体" w:hAnsi="宋体" w:cs="宋体"/>
          <w:u w:val="single"/>
        </w:rPr>
        <w:t xml:space="preserve">        </w:t>
      </w:r>
      <w:r>
        <w:rPr>
          <w:rFonts w:hint="eastAsia" w:ascii="宋体" w:hAnsi="宋体" w:cs="宋体"/>
        </w:rPr>
        <w:t>年龄：</w:t>
      </w:r>
      <w:r>
        <w:rPr>
          <w:rFonts w:hint="eastAsia" w:ascii="宋体" w:hAnsi="宋体" w:cs="宋体"/>
          <w:u w:val="single"/>
        </w:rPr>
        <w:t xml:space="preserve">        </w:t>
      </w:r>
      <w:r>
        <w:rPr>
          <w:rFonts w:hint="eastAsia" w:ascii="宋体" w:hAnsi="宋体" w:cs="宋体"/>
        </w:rPr>
        <w:t xml:space="preserve">职务：            </w:t>
      </w:r>
    </w:p>
    <w:p>
      <w:pPr>
        <w:spacing w:line="480" w:lineRule="auto"/>
        <w:rPr>
          <w:rFonts w:ascii="宋体" w:hAnsi="宋体" w:cs="宋体"/>
        </w:rPr>
      </w:pPr>
      <w:r>
        <w:rPr>
          <w:rFonts w:hint="eastAsia" w:ascii="宋体" w:hAnsi="宋体" w:cs="宋体"/>
        </w:rPr>
        <w:t xml:space="preserve">系 </w:t>
      </w:r>
      <w:r>
        <w:rPr>
          <w:rFonts w:hint="eastAsia" w:ascii="宋体" w:hAnsi="宋体" w:cs="宋体"/>
          <w:u w:val="single"/>
        </w:rPr>
        <w:t xml:space="preserve">                (投标人名称)            </w:t>
      </w:r>
      <w:r>
        <w:rPr>
          <w:rFonts w:hint="eastAsia" w:ascii="宋体" w:hAnsi="宋体" w:cs="宋体"/>
        </w:rPr>
        <w:t>的法定代表人（企业负责人）。</w:t>
      </w:r>
    </w:p>
    <w:p>
      <w:pPr>
        <w:spacing w:line="480" w:lineRule="auto"/>
        <w:ind w:firstLine="480" w:firstLineChars="200"/>
        <w:rPr>
          <w:rFonts w:ascii="宋体" w:hAnsi="宋体" w:cs="宋体"/>
        </w:rPr>
      </w:pPr>
      <w:r>
        <w:rPr>
          <w:rFonts w:hint="eastAsia" w:ascii="宋体" w:hAnsi="宋体" w:cs="宋体"/>
        </w:rPr>
        <w:t>特此证明。</w:t>
      </w:r>
    </w:p>
    <w:p>
      <w:pPr>
        <w:spacing w:line="480" w:lineRule="auto"/>
        <w:ind w:firstLine="470" w:firstLineChars="196"/>
        <w:rPr>
          <w:rFonts w:ascii="宋体" w:hAnsi="宋体" w:cs="宋体"/>
        </w:rPr>
      </w:pPr>
      <w:r>
        <w:rPr>
          <w:rFonts w:hint="eastAsia" w:ascii="宋体" w:hAnsi="宋体" w:cs="宋体"/>
        </w:rPr>
        <w:t>附：法定代表人（企业负责人）身份证复印件（正反两面）。</w:t>
      </w:r>
    </w:p>
    <w:p>
      <w:pPr>
        <w:spacing w:line="460" w:lineRule="exact"/>
        <w:ind w:firstLine="470" w:firstLineChars="196"/>
        <w:rPr>
          <w:rFonts w:ascii="宋体" w:hAnsi="宋体" w:cs="宋体"/>
        </w:rPr>
      </w:pPr>
    </w:p>
    <w:p>
      <w:pPr>
        <w:spacing w:line="460" w:lineRule="exact"/>
        <w:ind w:firstLine="470" w:firstLineChars="196"/>
        <w:rPr>
          <w:rFonts w:ascii="宋体" w:hAnsi="宋体" w:cs="宋体"/>
        </w:rPr>
      </w:pPr>
    </w:p>
    <w:p>
      <w:pPr>
        <w:spacing w:line="480" w:lineRule="auto"/>
        <w:jc w:val="center"/>
        <w:rPr>
          <w:rFonts w:ascii="宋体" w:hAnsi="宋体" w:cs="宋体"/>
        </w:rPr>
      </w:pPr>
      <w:r>
        <w:rPr>
          <w:rFonts w:hint="eastAsia" w:ascii="宋体" w:hAnsi="宋体" w:cs="宋体"/>
        </w:rPr>
        <w:t xml:space="preserve">投标人（盖章）：                                 </w:t>
      </w:r>
    </w:p>
    <w:p>
      <w:pPr>
        <w:spacing w:line="480" w:lineRule="auto"/>
        <w:jc w:val="center"/>
        <w:rPr>
          <w:rFonts w:ascii="宋体" w:hAnsi="宋体" w:cs="宋体"/>
        </w:rPr>
      </w:pPr>
      <w:r>
        <w:rPr>
          <w:rFonts w:hint="eastAsia" w:ascii="宋体" w:hAnsi="宋体" w:cs="宋体"/>
        </w:rPr>
        <w:t>日  期：  年  月  日</w:t>
      </w:r>
    </w:p>
    <w:p>
      <w:pPr>
        <w:pStyle w:val="22"/>
        <w:widowControl w:val="0"/>
        <w:adjustRightInd w:val="0"/>
        <w:snapToGrid w:val="0"/>
        <w:spacing w:before="0" w:beforeAutospacing="0" w:after="0" w:afterAutospacing="0"/>
        <w:rPr>
          <w:rFonts w:cs="宋体"/>
          <w:sz w:val="18"/>
          <w:szCs w:val="18"/>
        </w:rPr>
        <w:sectPr>
          <w:pgSz w:w="11906" w:h="16838"/>
          <w:pgMar w:top="1259" w:right="1287" w:bottom="1361" w:left="1622" w:header="709" w:footer="975" w:gutter="0"/>
          <w:cols w:space="720" w:num="1"/>
          <w:docGrid w:linePitch="360" w:charSpace="0"/>
        </w:sectPr>
      </w:pPr>
    </w:p>
    <w:p>
      <w:pPr>
        <w:pStyle w:val="22"/>
        <w:widowControl w:val="0"/>
        <w:adjustRightInd w:val="0"/>
        <w:snapToGrid w:val="0"/>
        <w:spacing w:before="0" w:beforeAutospacing="0" w:after="0" w:afterAutospacing="0"/>
        <w:rPr>
          <w:rFonts w:cs="宋体"/>
          <w:b/>
          <w:sz w:val="32"/>
          <w:szCs w:val="32"/>
        </w:rPr>
      </w:pPr>
      <w:r>
        <w:rPr>
          <w:rFonts w:hint="eastAsia" w:cs="宋体"/>
          <w:b/>
          <w:sz w:val="32"/>
          <w:szCs w:val="32"/>
        </w:rPr>
        <w:t>二、具有良好的商业信誉和健全的财务会计制度的书面声明</w:t>
      </w:r>
    </w:p>
    <w:p>
      <w:pPr>
        <w:pStyle w:val="22"/>
        <w:widowControl w:val="0"/>
        <w:adjustRightInd w:val="0"/>
        <w:snapToGrid w:val="0"/>
        <w:spacing w:before="0" w:beforeAutospacing="0" w:after="0" w:afterAutospacing="0"/>
        <w:rPr>
          <w:rFonts w:cs="宋体"/>
          <w:b/>
          <w:sz w:val="32"/>
          <w:szCs w:val="32"/>
        </w:rPr>
      </w:pPr>
    </w:p>
    <w:p>
      <w:pPr>
        <w:shd w:val="clear" w:color="auto" w:fill="FFFFFF"/>
        <w:spacing w:before="100" w:beforeAutospacing="1" w:after="100" w:afterAutospacing="1" w:line="480" w:lineRule="auto"/>
        <w:rPr>
          <w:rFonts w:ascii="宋体" w:hAnsi="宋体" w:cs="宋体"/>
        </w:rPr>
      </w:pPr>
      <w:r>
        <w:rPr>
          <w:rFonts w:hint="eastAsia" w:ascii="宋体" w:hAnsi="宋体" w:cs="宋体"/>
        </w:rPr>
        <w:t>（采购人名称）：</w:t>
      </w:r>
    </w:p>
    <w:p>
      <w:pPr>
        <w:shd w:val="clear" w:color="auto" w:fill="FFFFFF"/>
        <w:spacing w:before="100" w:beforeAutospacing="1" w:after="100" w:afterAutospacing="1" w:line="480" w:lineRule="auto"/>
        <w:ind w:firstLine="480" w:firstLineChars="200"/>
        <w:rPr>
          <w:rFonts w:ascii="宋体" w:hAnsi="宋体" w:cs="宋体"/>
        </w:rPr>
      </w:pPr>
      <w:r>
        <w:rPr>
          <w:rFonts w:hint="eastAsia" w:ascii="宋体" w:hAnsi="宋体" w:cs="宋体"/>
        </w:rPr>
        <w:t>我单位具有良好的商业信誉和健全的财务会计制度。如本声明失实，我单位自愿承担被取消中标资格等责任。</w:t>
      </w:r>
    </w:p>
    <w:p>
      <w:pPr>
        <w:shd w:val="clear" w:color="auto" w:fill="FFFFFF"/>
        <w:spacing w:before="100" w:beforeAutospacing="1" w:after="100" w:afterAutospacing="1" w:line="480" w:lineRule="auto"/>
        <w:ind w:firstLine="480" w:firstLineChars="200"/>
        <w:rPr>
          <w:rFonts w:ascii="宋体" w:hAnsi="宋体" w:cs="宋体"/>
        </w:rPr>
      </w:pPr>
      <w:r>
        <w:rPr>
          <w:rFonts w:hint="eastAsia" w:ascii="宋体" w:hAnsi="宋体" w:cs="宋体"/>
        </w:rPr>
        <w:t>特此声明</w:t>
      </w:r>
    </w:p>
    <w:p>
      <w:pPr>
        <w:shd w:val="clear" w:color="auto" w:fill="FFFFFF"/>
        <w:spacing w:before="100" w:beforeAutospacing="1" w:after="100" w:afterAutospacing="1" w:line="480" w:lineRule="auto"/>
        <w:ind w:left="420" w:firstLine="360"/>
        <w:rPr>
          <w:rFonts w:ascii="宋体" w:hAnsi="宋体" w:cs="宋体"/>
        </w:rPr>
      </w:pP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法定代表人或授权代表签字：____________________</w:t>
      </w:r>
    </w:p>
    <w:p>
      <w:pPr>
        <w:pStyle w:val="22"/>
        <w:widowControl w:val="0"/>
        <w:adjustRightInd w:val="0"/>
        <w:snapToGrid w:val="0"/>
        <w:spacing w:before="0" w:beforeAutospacing="0" w:after="0" w:afterAutospacing="0"/>
        <w:ind w:firstLine="3840" w:firstLineChars="1600"/>
        <w:rPr>
          <w:rFonts w:cs="宋体"/>
          <w:b/>
          <w:sz w:val="32"/>
          <w:szCs w:val="32"/>
        </w:rPr>
      </w:pPr>
      <w:r>
        <w:rPr>
          <w:rFonts w:hint="eastAsia" w:cs="宋体"/>
        </w:rPr>
        <w:t>日期：____年____月____日</w:t>
      </w:r>
    </w:p>
    <w:p>
      <w:pPr>
        <w:pStyle w:val="22"/>
        <w:widowControl w:val="0"/>
        <w:adjustRightInd w:val="0"/>
        <w:snapToGrid w:val="0"/>
        <w:spacing w:before="0" w:beforeAutospacing="0" w:after="0" w:afterAutospacing="0"/>
        <w:rPr>
          <w:rFonts w:cs="宋体"/>
          <w:b/>
          <w:sz w:val="32"/>
          <w:szCs w:val="32"/>
        </w:rPr>
        <w:sectPr>
          <w:pgSz w:w="11906" w:h="16838"/>
          <w:pgMar w:top="1259" w:right="1287" w:bottom="1361" w:left="1622" w:header="709" w:footer="975" w:gutter="0"/>
          <w:cols w:space="720" w:num="1"/>
          <w:docGrid w:linePitch="360" w:charSpace="0"/>
        </w:sectPr>
      </w:pPr>
    </w:p>
    <w:p>
      <w:pPr>
        <w:pStyle w:val="22"/>
        <w:widowControl w:val="0"/>
        <w:adjustRightInd w:val="0"/>
        <w:snapToGrid w:val="0"/>
        <w:spacing w:before="0" w:beforeAutospacing="0" w:after="0" w:afterAutospacing="0"/>
        <w:rPr>
          <w:rFonts w:cs="宋体"/>
          <w:b/>
          <w:sz w:val="32"/>
          <w:szCs w:val="32"/>
        </w:rPr>
      </w:pPr>
      <w:r>
        <w:rPr>
          <w:rFonts w:hint="eastAsia" w:cs="宋体"/>
          <w:b/>
          <w:sz w:val="32"/>
          <w:szCs w:val="32"/>
        </w:rPr>
        <w:t>三、具有履行合同所必须的设备和专业技术能力的书面声明</w:t>
      </w:r>
    </w:p>
    <w:p>
      <w:pPr>
        <w:shd w:val="clear" w:color="auto" w:fill="FFFFFF"/>
        <w:spacing w:before="100" w:beforeAutospacing="1" w:after="100" w:afterAutospacing="1" w:line="360" w:lineRule="atLeast"/>
        <w:rPr>
          <w:rFonts w:ascii="宋体" w:hAnsi="宋体" w:cs="宋体"/>
          <w:sz w:val="30"/>
          <w:szCs w:val="30"/>
        </w:rPr>
      </w:pPr>
    </w:p>
    <w:p>
      <w:pPr>
        <w:shd w:val="clear" w:color="auto" w:fill="FFFFFF"/>
        <w:snapToGrid w:val="0"/>
        <w:spacing w:after="50" w:line="480" w:lineRule="auto"/>
        <w:rPr>
          <w:rFonts w:ascii="宋体" w:hAnsi="宋体" w:cs="宋体"/>
        </w:rPr>
      </w:pPr>
      <w:r>
        <w:rPr>
          <w:rFonts w:hint="eastAsia" w:ascii="宋体" w:hAnsi="宋体" w:cs="宋体"/>
        </w:rPr>
        <w:t>（采购人名称）：</w:t>
      </w:r>
    </w:p>
    <w:p>
      <w:pPr>
        <w:shd w:val="clear" w:color="auto" w:fill="FFFFFF"/>
        <w:spacing w:before="100" w:beforeAutospacing="1" w:after="100" w:afterAutospacing="1" w:line="480" w:lineRule="auto"/>
        <w:ind w:firstLine="480" w:firstLineChars="200"/>
        <w:rPr>
          <w:rFonts w:ascii="宋体" w:hAnsi="宋体" w:cs="宋体"/>
        </w:rPr>
      </w:pPr>
      <w:r>
        <w:rPr>
          <w:rFonts w:hint="eastAsia" w:ascii="宋体" w:hAnsi="宋体" w:cs="宋体"/>
        </w:rPr>
        <w:t>若我单位有幸成为</w:t>
      </w:r>
      <w:r>
        <w:rPr>
          <w:rFonts w:hint="eastAsia" w:ascii="宋体" w:hAnsi="宋体" w:cs="宋体"/>
          <w:u w:val="single"/>
        </w:rPr>
        <w:t xml:space="preserve">                                    </w:t>
      </w:r>
      <w:r>
        <w:rPr>
          <w:rFonts w:hint="eastAsia" w:ascii="宋体" w:hAnsi="宋体" w:cs="宋体"/>
        </w:rPr>
        <w:t xml:space="preserve"> 项目的中标单位，我单位有履行该项目合同的设备和专业技术能力，胜任本项目的服务工作。如本声明失实，我单位自愿承担被取消中标资格等责任。</w:t>
      </w:r>
    </w:p>
    <w:p>
      <w:pPr>
        <w:shd w:val="clear" w:color="auto" w:fill="FFFFFF"/>
        <w:spacing w:before="100" w:beforeAutospacing="1" w:after="100" w:afterAutospacing="1" w:line="360" w:lineRule="auto"/>
        <w:ind w:firstLine="480" w:firstLineChars="200"/>
        <w:rPr>
          <w:rFonts w:ascii="宋体" w:hAnsi="宋体" w:cs="宋体"/>
        </w:rPr>
      </w:pPr>
    </w:p>
    <w:p>
      <w:pPr>
        <w:shd w:val="clear" w:color="auto" w:fill="FFFFFF"/>
        <w:spacing w:before="100" w:beforeAutospacing="1" w:after="100" w:afterAutospacing="1" w:line="360" w:lineRule="auto"/>
        <w:ind w:firstLine="480" w:firstLineChars="200"/>
        <w:rPr>
          <w:rFonts w:ascii="宋体" w:hAnsi="宋体" w:cs="宋体"/>
        </w:rPr>
      </w:pPr>
      <w:r>
        <w:rPr>
          <w:rFonts w:hint="eastAsia" w:ascii="宋体" w:hAnsi="宋体" w:cs="宋体"/>
        </w:rPr>
        <w:t>特此声明</w:t>
      </w:r>
    </w:p>
    <w:p>
      <w:pPr>
        <w:shd w:val="clear" w:color="auto" w:fill="FFFFFF"/>
        <w:spacing w:before="100" w:beforeAutospacing="1" w:after="100" w:afterAutospacing="1" w:line="360" w:lineRule="atLeast"/>
        <w:ind w:left="420" w:firstLine="360"/>
        <w:rPr>
          <w:rFonts w:ascii="宋体" w:hAnsi="宋体" w:cs="宋体"/>
        </w:rPr>
      </w:pP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法定代表人或授权代表签字：____________________</w:t>
      </w:r>
    </w:p>
    <w:p>
      <w:pPr>
        <w:pStyle w:val="22"/>
        <w:widowControl w:val="0"/>
        <w:adjustRightInd w:val="0"/>
        <w:snapToGrid w:val="0"/>
        <w:spacing w:before="0" w:beforeAutospacing="0" w:after="0" w:afterAutospacing="0"/>
        <w:ind w:firstLine="900" w:firstLineChars="375"/>
        <w:jc w:val="right"/>
        <w:rPr>
          <w:rFonts w:cs="宋体"/>
        </w:rPr>
      </w:pPr>
      <w:r>
        <w:rPr>
          <w:rFonts w:hint="eastAsia" w:cs="宋体"/>
        </w:rPr>
        <w:t>日期：____年____月____日</w:t>
      </w:r>
      <w:r>
        <w:rPr>
          <w:rFonts w:hint="eastAsia" w:cs="宋体"/>
        </w:rPr>
        <w:br w:type="page"/>
      </w:r>
    </w:p>
    <w:p>
      <w:pPr>
        <w:shd w:val="clear" w:color="auto" w:fill="FFFFFF"/>
        <w:spacing w:before="100" w:beforeAutospacing="1" w:after="100" w:afterAutospacing="1" w:line="500" w:lineRule="atLeast"/>
        <w:jc w:val="center"/>
        <w:rPr>
          <w:rFonts w:ascii="宋体" w:hAnsi="宋体" w:cs="宋体"/>
          <w:b/>
          <w:sz w:val="32"/>
          <w:szCs w:val="32"/>
        </w:rPr>
      </w:pPr>
      <w:r>
        <w:rPr>
          <w:rFonts w:hint="eastAsia" w:ascii="宋体" w:hAnsi="宋体" w:cs="宋体"/>
          <w:b/>
          <w:sz w:val="32"/>
          <w:szCs w:val="32"/>
        </w:rPr>
        <w:t>四、参加政府采购活动前三年内（开标之日往前推算），在经营活动中没有重大违法记录的书面声明</w:t>
      </w:r>
    </w:p>
    <w:p>
      <w:pPr>
        <w:shd w:val="clear" w:color="auto" w:fill="FFFFFF"/>
        <w:spacing w:before="100" w:beforeAutospacing="1" w:after="100" w:afterAutospacing="1" w:line="360" w:lineRule="atLeast"/>
        <w:rPr>
          <w:rFonts w:ascii="宋体" w:hAnsi="宋体" w:cs="宋体"/>
          <w:sz w:val="30"/>
          <w:szCs w:val="30"/>
        </w:rPr>
      </w:pPr>
    </w:p>
    <w:p>
      <w:pPr>
        <w:shd w:val="clear" w:color="auto" w:fill="FFFFFF"/>
        <w:spacing w:before="100" w:beforeAutospacing="1" w:after="100" w:afterAutospacing="1" w:line="480" w:lineRule="auto"/>
        <w:rPr>
          <w:rFonts w:ascii="宋体" w:hAnsi="宋体" w:cs="宋体"/>
        </w:rPr>
      </w:pPr>
      <w:r>
        <w:rPr>
          <w:rFonts w:hint="eastAsia" w:ascii="宋体" w:hAnsi="宋体" w:cs="宋体"/>
        </w:rPr>
        <w:t>（采购人名称）：</w:t>
      </w:r>
    </w:p>
    <w:p>
      <w:pPr>
        <w:shd w:val="clear" w:color="auto" w:fill="FFFFFF"/>
        <w:spacing w:before="100" w:beforeAutospacing="1" w:after="100" w:afterAutospacing="1" w:line="480" w:lineRule="auto"/>
        <w:ind w:firstLine="480" w:firstLineChars="200"/>
        <w:rPr>
          <w:rFonts w:ascii="宋体" w:hAnsi="宋体" w:cs="宋体"/>
        </w:rPr>
      </w:pPr>
      <w:r>
        <w:rPr>
          <w:rFonts w:hint="eastAsia" w:ascii="宋体" w:hAnsi="宋体" w:cs="宋体"/>
        </w:rPr>
        <w:t>我单位在参加</w:t>
      </w:r>
      <w:r>
        <w:rPr>
          <w:rFonts w:hint="eastAsia" w:ascii="宋体" w:hAnsi="宋体" w:cs="宋体"/>
          <w:u w:val="single"/>
        </w:rPr>
        <w:t xml:space="preserve">                            </w:t>
      </w:r>
      <w:r>
        <w:rPr>
          <w:rFonts w:hint="eastAsia" w:ascii="宋体" w:hAnsi="宋体" w:cs="宋体"/>
        </w:rPr>
        <w:t>项目的投标活动前三年内（开标之日往前推算），在经营活动中没有重大违法记录。如本声明失实，我单位自愿承担被取消中标资格等责任。</w:t>
      </w:r>
    </w:p>
    <w:p>
      <w:pPr>
        <w:shd w:val="clear" w:color="auto" w:fill="FFFFFF"/>
        <w:spacing w:before="100" w:beforeAutospacing="1" w:after="100" w:afterAutospacing="1" w:line="480" w:lineRule="auto"/>
        <w:ind w:firstLine="480" w:firstLineChars="200"/>
        <w:rPr>
          <w:rFonts w:ascii="宋体" w:hAnsi="宋体" w:cs="宋体"/>
        </w:rPr>
      </w:pPr>
      <w:r>
        <w:rPr>
          <w:rFonts w:hint="eastAsia" w:ascii="宋体" w:hAnsi="宋体" w:cs="宋体"/>
        </w:rPr>
        <w:t>特此声明</w:t>
      </w:r>
    </w:p>
    <w:p>
      <w:pPr>
        <w:shd w:val="clear" w:color="auto" w:fill="FFFFFF"/>
        <w:spacing w:before="100" w:beforeAutospacing="1" w:after="100" w:afterAutospacing="1" w:line="480" w:lineRule="auto"/>
        <w:ind w:left="420" w:firstLine="360"/>
        <w:rPr>
          <w:rFonts w:ascii="宋体" w:hAnsi="宋体" w:cs="宋体"/>
        </w:rPr>
      </w:pP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法定代表人或授权代表签字：____________________</w:t>
      </w:r>
    </w:p>
    <w:p>
      <w:pPr>
        <w:pStyle w:val="22"/>
        <w:widowControl w:val="0"/>
        <w:adjustRightInd w:val="0"/>
        <w:snapToGrid w:val="0"/>
        <w:spacing w:before="0" w:beforeAutospacing="0" w:after="0" w:afterAutospacing="0"/>
        <w:ind w:firstLine="900" w:firstLineChars="375"/>
        <w:jc w:val="right"/>
        <w:rPr>
          <w:rFonts w:cs="宋体"/>
        </w:rPr>
      </w:pPr>
      <w:r>
        <w:rPr>
          <w:rFonts w:hint="eastAsia" w:cs="宋体"/>
        </w:rPr>
        <w:t>日期：____年____月____日</w:t>
      </w:r>
    </w:p>
    <w:p>
      <w:pPr>
        <w:pStyle w:val="22"/>
        <w:widowControl w:val="0"/>
        <w:adjustRightInd w:val="0"/>
        <w:snapToGrid w:val="0"/>
        <w:spacing w:before="0" w:beforeAutospacing="0" w:after="0" w:afterAutospacing="0"/>
        <w:ind w:firstLine="900" w:firstLineChars="375"/>
        <w:jc w:val="right"/>
        <w:rPr>
          <w:rFonts w:cs="宋体"/>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p>
    <w:p>
      <w:pPr>
        <w:pStyle w:val="33"/>
        <w:widowControl w:val="0"/>
        <w:adjustRightInd w:val="0"/>
        <w:snapToGrid w:val="0"/>
        <w:spacing w:line="390" w:lineRule="atLeast"/>
        <w:jc w:val="center"/>
        <w:rPr>
          <w:rFonts w:hint="default" w:cs="宋体"/>
          <w:b/>
          <w:sz w:val="32"/>
          <w:szCs w:val="32"/>
        </w:rPr>
      </w:pPr>
      <w:r>
        <w:rPr>
          <w:rFonts w:cs="宋体"/>
          <w:b/>
          <w:sz w:val="32"/>
          <w:szCs w:val="32"/>
        </w:rPr>
        <w:t>五、服务条款响应表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852"/>
        <w:gridCol w:w="2694"/>
        <w:gridCol w:w="1342"/>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序号</w:t>
            </w:r>
          </w:p>
        </w:tc>
        <w:tc>
          <w:tcPr>
            <w:tcW w:w="3852" w:type="dxa"/>
            <w:vAlign w:val="center"/>
          </w:tcPr>
          <w:p>
            <w:pPr>
              <w:pStyle w:val="33"/>
              <w:widowControl w:val="0"/>
              <w:adjustRightInd w:val="0"/>
              <w:snapToGrid w:val="0"/>
              <w:jc w:val="center"/>
              <w:rPr>
                <w:rFonts w:hint="default" w:cs="宋体"/>
              </w:rPr>
            </w:pPr>
            <w:r>
              <w:rPr>
                <w:rFonts w:cs="宋体"/>
                <w:u w:val="thick" w:color="FFFFFF"/>
              </w:rPr>
              <w:t>招标文件</w:t>
            </w:r>
            <w:r>
              <w:rPr>
                <w:rFonts w:cs="宋体"/>
              </w:rPr>
              <w:t>要求</w:t>
            </w:r>
          </w:p>
        </w:tc>
        <w:tc>
          <w:tcPr>
            <w:tcW w:w="2694" w:type="dxa"/>
            <w:vAlign w:val="center"/>
          </w:tcPr>
          <w:p>
            <w:pPr>
              <w:pStyle w:val="33"/>
              <w:widowControl w:val="0"/>
              <w:adjustRightInd w:val="0"/>
              <w:snapToGrid w:val="0"/>
              <w:jc w:val="center"/>
              <w:rPr>
                <w:rFonts w:hint="default" w:cs="宋体"/>
              </w:rPr>
            </w:pPr>
            <w:r>
              <w:rPr>
                <w:rFonts w:cs="宋体"/>
              </w:rPr>
              <w:t>投标响应内容</w:t>
            </w:r>
          </w:p>
        </w:tc>
        <w:tc>
          <w:tcPr>
            <w:tcW w:w="1342" w:type="dxa"/>
            <w:vAlign w:val="center"/>
          </w:tcPr>
          <w:p>
            <w:pPr>
              <w:pStyle w:val="33"/>
              <w:widowControl w:val="0"/>
              <w:adjustRightInd w:val="0"/>
              <w:snapToGrid w:val="0"/>
              <w:jc w:val="center"/>
              <w:rPr>
                <w:rFonts w:hint="default" w:cs="宋体"/>
              </w:rPr>
            </w:pPr>
            <w:r>
              <w:rPr>
                <w:rFonts w:cs="宋体"/>
              </w:rPr>
              <w:t>响应情况</w:t>
            </w:r>
          </w:p>
        </w:tc>
        <w:tc>
          <w:tcPr>
            <w:tcW w:w="767" w:type="dxa"/>
            <w:vAlign w:val="center"/>
          </w:tcPr>
          <w:p>
            <w:pPr>
              <w:pStyle w:val="33"/>
              <w:widowControl w:val="0"/>
              <w:adjustRightInd w:val="0"/>
              <w:snapToGrid w:val="0"/>
              <w:jc w:val="center"/>
              <w:rPr>
                <w:rFonts w:hint="default" w:cs="宋体"/>
              </w:rPr>
            </w:pPr>
            <w:r>
              <w:rPr>
                <w:rFonts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1</w:t>
            </w:r>
          </w:p>
        </w:tc>
        <w:tc>
          <w:tcPr>
            <w:tcW w:w="3852" w:type="dxa"/>
            <w:vAlign w:val="center"/>
          </w:tcPr>
          <w:p>
            <w:pPr>
              <w:pStyle w:val="33"/>
              <w:widowControl w:val="0"/>
              <w:adjustRightInd w:val="0"/>
              <w:snapToGrid w:val="0"/>
              <w:jc w:val="center"/>
              <w:rPr>
                <w:rFonts w:hint="default" w:cs="宋体"/>
              </w:rPr>
            </w:pPr>
            <w:r>
              <w:rPr>
                <w:rFonts w:cs="宋体"/>
              </w:rPr>
              <w:t>（服务期）</w:t>
            </w: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center"/>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2</w:t>
            </w:r>
          </w:p>
        </w:tc>
        <w:tc>
          <w:tcPr>
            <w:tcW w:w="3852" w:type="dxa"/>
            <w:vAlign w:val="center"/>
          </w:tcPr>
          <w:p>
            <w:pPr>
              <w:pStyle w:val="33"/>
              <w:widowControl w:val="0"/>
              <w:adjustRightInd w:val="0"/>
              <w:snapToGrid w:val="0"/>
              <w:jc w:val="center"/>
              <w:rPr>
                <w:rFonts w:hint="default" w:cs="宋体"/>
              </w:rPr>
            </w:pPr>
            <w:r>
              <w:rPr>
                <w:rFonts w:cs="宋体"/>
              </w:rPr>
              <w:t>（付款方式）</w:t>
            </w: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center"/>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3</w:t>
            </w:r>
          </w:p>
        </w:tc>
        <w:tc>
          <w:tcPr>
            <w:tcW w:w="3852" w:type="dxa"/>
            <w:vAlign w:val="center"/>
          </w:tcPr>
          <w:p>
            <w:pPr>
              <w:pStyle w:val="33"/>
              <w:widowControl w:val="0"/>
              <w:adjustRightInd w:val="0"/>
              <w:snapToGrid w:val="0"/>
              <w:jc w:val="center"/>
              <w:rPr>
                <w:rFonts w:hint="default" w:cs="宋体"/>
              </w:rPr>
            </w:pP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both"/>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4</w:t>
            </w:r>
          </w:p>
        </w:tc>
        <w:tc>
          <w:tcPr>
            <w:tcW w:w="3852" w:type="dxa"/>
            <w:vAlign w:val="center"/>
          </w:tcPr>
          <w:p>
            <w:pPr>
              <w:pStyle w:val="33"/>
              <w:widowControl w:val="0"/>
              <w:adjustRightInd w:val="0"/>
              <w:snapToGrid w:val="0"/>
              <w:jc w:val="center"/>
              <w:rPr>
                <w:rFonts w:hint="default" w:cs="宋体"/>
              </w:rPr>
            </w:pP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both"/>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5</w:t>
            </w:r>
          </w:p>
        </w:tc>
        <w:tc>
          <w:tcPr>
            <w:tcW w:w="3852" w:type="dxa"/>
            <w:vAlign w:val="center"/>
          </w:tcPr>
          <w:p>
            <w:pPr>
              <w:pStyle w:val="33"/>
              <w:widowControl w:val="0"/>
              <w:adjustRightInd w:val="0"/>
              <w:snapToGrid w:val="0"/>
              <w:jc w:val="center"/>
              <w:rPr>
                <w:rFonts w:hint="default" w:cs="宋体"/>
              </w:rPr>
            </w:pP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both"/>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6</w:t>
            </w:r>
          </w:p>
        </w:tc>
        <w:tc>
          <w:tcPr>
            <w:tcW w:w="3852" w:type="dxa"/>
            <w:vAlign w:val="center"/>
          </w:tcPr>
          <w:p>
            <w:pPr>
              <w:pStyle w:val="33"/>
              <w:widowControl w:val="0"/>
              <w:adjustRightInd w:val="0"/>
              <w:snapToGrid w:val="0"/>
              <w:jc w:val="center"/>
              <w:rPr>
                <w:rFonts w:hint="default" w:cs="宋体"/>
              </w:rPr>
            </w:pP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both"/>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r>
              <w:rPr>
                <w:rFonts w:cs="宋体"/>
              </w:rPr>
              <w:t>7</w:t>
            </w:r>
          </w:p>
        </w:tc>
        <w:tc>
          <w:tcPr>
            <w:tcW w:w="3852" w:type="dxa"/>
            <w:vAlign w:val="center"/>
          </w:tcPr>
          <w:p>
            <w:pPr>
              <w:pStyle w:val="33"/>
              <w:widowControl w:val="0"/>
              <w:adjustRightInd w:val="0"/>
              <w:snapToGrid w:val="0"/>
              <w:jc w:val="center"/>
              <w:rPr>
                <w:rFonts w:hint="default" w:cs="宋体"/>
              </w:rPr>
            </w:pP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both"/>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p>
        </w:tc>
        <w:tc>
          <w:tcPr>
            <w:tcW w:w="3852" w:type="dxa"/>
            <w:vAlign w:val="center"/>
          </w:tcPr>
          <w:p>
            <w:pPr>
              <w:pStyle w:val="33"/>
              <w:widowControl w:val="0"/>
              <w:adjustRightInd w:val="0"/>
              <w:snapToGrid w:val="0"/>
              <w:jc w:val="center"/>
              <w:rPr>
                <w:rFonts w:hint="default" w:cs="宋体"/>
              </w:rPr>
            </w:pPr>
            <w:r>
              <w:rPr>
                <w:rFonts w:cs="宋体"/>
              </w:rPr>
              <w:t>……</w:t>
            </w: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both"/>
              <w:rPr>
                <w:rFonts w:hint="default" w:cs="宋体"/>
              </w:rPr>
            </w:pPr>
          </w:p>
        </w:tc>
        <w:tc>
          <w:tcPr>
            <w:tcW w:w="767" w:type="dxa"/>
            <w:vAlign w:val="center"/>
          </w:tcPr>
          <w:p>
            <w:pPr>
              <w:pStyle w:val="33"/>
              <w:widowControl w:val="0"/>
              <w:adjustRightInd w:val="0"/>
              <w:snapToGrid w:val="0"/>
              <w:jc w:val="both"/>
              <w:rPr>
                <w:rFonts w:hint="default"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0" w:type="dxa"/>
            <w:vAlign w:val="center"/>
          </w:tcPr>
          <w:p>
            <w:pPr>
              <w:pStyle w:val="33"/>
              <w:widowControl w:val="0"/>
              <w:adjustRightInd w:val="0"/>
              <w:snapToGrid w:val="0"/>
              <w:jc w:val="center"/>
              <w:rPr>
                <w:rFonts w:hint="default" w:cs="宋体"/>
              </w:rPr>
            </w:pPr>
          </w:p>
        </w:tc>
        <w:tc>
          <w:tcPr>
            <w:tcW w:w="3852" w:type="dxa"/>
            <w:vAlign w:val="center"/>
          </w:tcPr>
          <w:p>
            <w:pPr>
              <w:pStyle w:val="33"/>
              <w:widowControl w:val="0"/>
              <w:adjustRightInd w:val="0"/>
              <w:snapToGrid w:val="0"/>
              <w:jc w:val="both"/>
              <w:rPr>
                <w:rFonts w:hint="default" w:cs="宋体"/>
              </w:rPr>
            </w:pPr>
          </w:p>
        </w:tc>
        <w:tc>
          <w:tcPr>
            <w:tcW w:w="2694" w:type="dxa"/>
            <w:vAlign w:val="center"/>
          </w:tcPr>
          <w:p>
            <w:pPr>
              <w:pStyle w:val="33"/>
              <w:widowControl w:val="0"/>
              <w:adjustRightInd w:val="0"/>
              <w:snapToGrid w:val="0"/>
              <w:jc w:val="both"/>
              <w:rPr>
                <w:rFonts w:hint="default" w:cs="宋体"/>
              </w:rPr>
            </w:pPr>
          </w:p>
        </w:tc>
        <w:tc>
          <w:tcPr>
            <w:tcW w:w="1342" w:type="dxa"/>
            <w:vAlign w:val="center"/>
          </w:tcPr>
          <w:p>
            <w:pPr>
              <w:pStyle w:val="33"/>
              <w:widowControl w:val="0"/>
              <w:adjustRightInd w:val="0"/>
              <w:snapToGrid w:val="0"/>
              <w:jc w:val="both"/>
              <w:rPr>
                <w:rFonts w:hint="default" w:cs="宋体"/>
              </w:rPr>
            </w:pPr>
          </w:p>
        </w:tc>
        <w:tc>
          <w:tcPr>
            <w:tcW w:w="767" w:type="dxa"/>
            <w:vAlign w:val="center"/>
          </w:tcPr>
          <w:p>
            <w:pPr>
              <w:pStyle w:val="33"/>
              <w:widowControl w:val="0"/>
              <w:adjustRightInd w:val="0"/>
              <w:snapToGrid w:val="0"/>
              <w:jc w:val="both"/>
              <w:rPr>
                <w:rFonts w:hint="default" w:cs="宋体"/>
              </w:rPr>
            </w:pPr>
          </w:p>
        </w:tc>
      </w:tr>
    </w:tbl>
    <w:p>
      <w:pPr>
        <w:pStyle w:val="22"/>
        <w:widowControl w:val="0"/>
        <w:adjustRightInd w:val="0"/>
        <w:snapToGrid w:val="0"/>
        <w:spacing w:before="0" w:beforeAutospacing="0" w:after="0" w:afterAutospacing="0" w:line="360" w:lineRule="auto"/>
        <w:rPr>
          <w:rFonts w:cs="宋体"/>
        </w:rPr>
      </w:pPr>
    </w:p>
    <w:p>
      <w:pPr>
        <w:pStyle w:val="22"/>
        <w:widowControl w:val="0"/>
        <w:adjustRightInd w:val="0"/>
        <w:snapToGrid w:val="0"/>
        <w:spacing w:before="0" w:beforeAutospacing="0" w:after="0" w:afterAutospacing="0"/>
        <w:rPr>
          <w:rFonts w:cs="宋体"/>
          <w:b/>
          <w:sz w:val="21"/>
          <w:szCs w:val="21"/>
        </w:rPr>
      </w:pPr>
      <w:r>
        <w:rPr>
          <w:rFonts w:hint="eastAsia" w:cs="宋体"/>
          <w:b/>
          <w:sz w:val="21"/>
          <w:szCs w:val="21"/>
        </w:rPr>
        <w:t xml:space="preserve">说明：1、表格内已填写示列内容必须承诺。 </w:t>
      </w:r>
      <w:r>
        <w:rPr>
          <w:rFonts w:hint="eastAsia" w:cs="宋体"/>
          <w:b/>
          <w:sz w:val="21"/>
          <w:szCs w:val="21"/>
        </w:rPr>
        <w:br w:type="textWrapping"/>
      </w:r>
      <w:r>
        <w:rPr>
          <w:rFonts w:hint="eastAsia" w:cs="宋体"/>
          <w:b/>
          <w:sz w:val="21"/>
          <w:szCs w:val="21"/>
        </w:rPr>
        <w:t>    2、投标人的承诺内容须具体明确。响应情况分别为：正偏离、响应或负偏离。投标人可在备注栏内就偏离原因进行简要说明。</w:t>
      </w:r>
    </w:p>
    <w:p>
      <w:pPr>
        <w:pStyle w:val="22"/>
        <w:widowControl w:val="0"/>
        <w:adjustRightInd w:val="0"/>
        <w:snapToGrid w:val="0"/>
        <w:spacing w:before="0" w:beforeAutospacing="0" w:after="0" w:afterAutospacing="0"/>
        <w:ind w:firstLine="620" w:firstLineChars="294"/>
        <w:rPr>
          <w:rFonts w:cs="宋体"/>
          <w:b/>
          <w:sz w:val="21"/>
          <w:szCs w:val="21"/>
        </w:rPr>
      </w:pPr>
      <w:r>
        <w:rPr>
          <w:rFonts w:hint="eastAsia" w:cs="宋体"/>
          <w:b/>
          <w:sz w:val="21"/>
          <w:szCs w:val="21"/>
        </w:rPr>
        <w:t>3、投标人拟提供的服务承诺与招标文件中的要求不一致时，则必须在技术标《服务条款响应表》中予以明确。否则将视为投标人完全响应招标文件的要求，并以招标文件作为合同条件。</w:t>
      </w:r>
    </w:p>
    <w:p>
      <w:pPr>
        <w:pStyle w:val="22"/>
        <w:widowControl w:val="0"/>
        <w:adjustRightInd w:val="0"/>
        <w:snapToGrid w:val="0"/>
        <w:spacing w:before="0" w:beforeAutospacing="0" w:after="0" w:afterAutospacing="0"/>
        <w:rPr>
          <w:rFonts w:cs="宋体"/>
        </w:rPr>
      </w:pPr>
    </w:p>
    <w:p>
      <w:pPr>
        <w:pStyle w:val="22"/>
        <w:widowControl w:val="0"/>
        <w:adjustRightInd w:val="0"/>
        <w:snapToGrid w:val="0"/>
        <w:spacing w:before="0" w:beforeAutospacing="0" w:after="0" w:afterAutospacing="0"/>
        <w:rPr>
          <w:rFonts w:cs="宋体"/>
        </w:rPr>
      </w:pPr>
    </w:p>
    <w:p>
      <w:pPr>
        <w:pStyle w:val="22"/>
        <w:widowControl w:val="0"/>
        <w:adjustRightInd w:val="0"/>
        <w:snapToGrid w:val="0"/>
        <w:spacing w:before="0" w:beforeAutospacing="0" w:after="0" w:afterAutospacing="0"/>
        <w:rPr>
          <w:rFonts w:cs="宋体"/>
        </w:rPr>
      </w:pP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ind w:firstLine="900" w:firstLineChars="375"/>
        <w:jc w:val="right"/>
        <w:rPr>
          <w:rFonts w:cs="宋体"/>
        </w:rPr>
      </w:pPr>
      <w:r>
        <w:rPr>
          <w:rFonts w:hint="eastAsia" w:cs="宋体"/>
        </w:rPr>
        <w:t>法定代表人或授权代表签字：____________________</w:t>
      </w:r>
    </w:p>
    <w:p>
      <w:pPr>
        <w:pStyle w:val="22"/>
        <w:widowControl w:val="0"/>
        <w:adjustRightInd w:val="0"/>
        <w:snapToGrid w:val="0"/>
        <w:spacing w:before="0" w:beforeAutospacing="0" w:after="0" w:afterAutospacing="0"/>
        <w:ind w:firstLine="900" w:firstLineChars="375"/>
        <w:jc w:val="right"/>
        <w:rPr>
          <w:rFonts w:cs="宋体"/>
        </w:rPr>
      </w:pPr>
      <w:r>
        <w:rPr>
          <w:rFonts w:hint="eastAsia" w:cs="宋体"/>
        </w:rPr>
        <w:t>日期：____年____月____日</w:t>
      </w:r>
    </w:p>
    <w:p>
      <w:pPr>
        <w:pStyle w:val="22"/>
        <w:widowControl w:val="0"/>
        <w:adjustRightInd w:val="0"/>
        <w:snapToGrid w:val="0"/>
        <w:jc w:val="center"/>
        <w:rPr>
          <w:rFonts w:cs="宋体"/>
          <w:u w:val="single"/>
        </w:rPr>
      </w:pPr>
      <w:r>
        <w:rPr>
          <w:rFonts w:hint="eastAsia" w:cs="宋体"/>
          <w:u w:val="single"/>
        </w:rPr>
        <w:t xml:space="preserve"> </w:t>
      </w:r>
      <w:r>
        <w:rPr>
          <w:rFonts w:hint="eastAsia" w:cs="宋体"/>
          <w:u w:val="single"/>
        </w:rPr>
        <w:br w:type="page"/>
      </w:r>
    </w:p>
    <w:p>
      <w:pPr>
        <w:pStyle w:val="22"/>
        <w:widowControl w:val="0"/>
        <w:adjustRightInd w:val="0"/>
        <w:snapToGrid w:val="0"/>
        <w:jc w:val="center"/>
        <w:rPr>
          <w:rFonts w:cs="宋体"/>
          <w:spacing w:val="60"/>
          <w:sz w:val="32"/>
          <w:szCs w:val="32"/>
        </w:rPr>
      </w:pPr>
      <w:r>
        <w:rPr>
          <w:rFonts w:hint="eastAsia" w:cs="宋体"/>
          <w:b/>
          <w:sz w:val="32"/>
          <w:szCs w:val="32"/>
        </w:rPr>
        <w:t>六、投标人单位情况表</w:t>
      </w:r>
    </w:p>
    <w:p>
      <w:pPr>
        <w:pStyle w:val="22"/>
        <w:widowControl w:val="0"/>
        <w:adjustRightInd w:val="0"/>
        <w:snapToGrid w:val="0"/>
        <w:spacing w:before="0" w:beforeAutospacing="0" w:after="0" w:afterAutospacing="0"/>
        <w:jc w:val="both"/>
        <w:rPr>
          <w:rFonts w:cs="宋体"/>
        </w:rPr>
      </w:pPr>
    </w:p>
    <w:p>
      <w:pPr>
        <w:pStyle w:val="22"/>
        <w:widowControl w:val="0"/>
        <w:adjustRightInd w:val="0"/>
        <w:snapToGrid w:val="0"/>
        <w:spacing w:before="0" w:beforeAutospacing="0" w:after="156" w:afterLines="50" w:afterAutospacing="0"/>
        <w:ind w:right="480" w:firstLine="6240" w:firstLineChars="2600"/>
        <w:rPr>
          <w:rFonts w:cs="宋体"/>
        </w:rPr>
      </w:pPr>
      <w:r>
        <w:rPr>
          <w:rFonts w:hint="eastAsia" w:cs="宋体"/>
        </w:rPr>
        <w:t xml:space="preserve">  </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3432"/>
        <w:gridCol w:w="1434"/>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03" w:type="dxa"/>
            <w:tcMar>
              <w:left w:w="142" w:type="dxa"/>
              <w:right w:w="142" w:type="dxa"/>
            </w:tcMar>
            <w:vAlign w:val="center"/>
          </w:tcPr>
          <w:p>
            <w:pPr>
              <w:pStyle w:val="22"/>
              <w:widowControl w:val="0"/>
              <w:adjustRightInd w:val="0"/>
              <w:snapToGrid w:val="0"/>
              <w:jc w:val="center"/>
              <w:rPr>
                <w:rFonts w:cs="宋体"/>
              </w:rPr>
            </w:pPr>
            <w:r>
              <w:rPr>
                <w:rFonts w:hint="eastAsia" w:cs="宋体"/>
              </w:rPr>
              <w:t>单位名称</w:t>
            </w:r>
          </w:p>
        </w:tc>
        <w:tc>
          <w:tcPr>
            <w:tcW w:w="3432" w:type="dxa"/>
            <w:tcMar>
              <w:left w:w="142" w:type="dxa"/>
              <w:right w:w="142" w:type="dxa"/>
            </w:tcMar>
            <w:vAlign w:val="center"/>
          </w:tcPr>
          <w:p>
            <w:pPr>
              <w:pStyle w:val="22"/>
              <w:widowControl w:val="0"/>
              <w:adjustRightInd w:val="0"/>
              <w:snapToGrid w:val="0"/>
              <w:jc w:val="both"/>
              <w:rPr>
                <w:rFonts w:cs="宋体"/>
              </w:rPr>
            </w:pPr>
            <w:r>
              <w:rPr>
                <w:rFonts w:hint="eastAsia" w:cs="宋体"/>
              </w:rPr>
              <w:t>（公章）</w:t>
            </w:r>
          </w:p>
        </w:tc>
        <w:tc>
          <w:tcPr>
            <w:tcW w:w="1434" w:type="dxa"/>
            <w:tcMar>
              <w:left w:w="142" w:type="dxa"/>
              <w:right w:w="142" w:type="dxa"/>
            </w:tcMar>
            <w:vAlign w:val="center"/>
          </w:tcPr>
          <w:p>
            <w:pPr>
              <w:pStyle w:val="22"/>
              <w:widowControl w:val="0"/>
              <w:adjustRightInd w:val="0"/>
              <w:snapToGrid w:val="0"/>
              <w:jc w:val="center"/>
              <w:rPr>
                <w:rFonts w:cs="宋体"/>
              </w:rPr>
            </w:pPr>
            <w:r>
              <w:rPr>
                <w:rFonts w:hint="eastAsia" w:cs="宋体"/>
              </w:rPr>
              <w:t>电    话</w:t>
            </w:r>
          </w:p>
        </w:tc>
        <w:tc>
          <w:tcPr>
            <w:tcW w:w="2695" w:type="dxa"/>
            <w:tcMar>
              <w:left w:w="142" w:type="dxa"/>
              <w:right w:w="142" w:type="dxa"/>
            </w:tcMar>
            <w:vAlign w:val="center"/>
          </w:tcPr>
          <w:p>
            <w:pPr>
              <w:pStyle w:val="22"/>
              <w:widowControl w:val="0"/>
              <w:adjustRightInd w:val="0"/>
              <w:snapToGrid w:val="0"/>
              <w:jc w:val="both"/>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03" w:type="dxa"/>
            <w:tcMar>
              <w:left w:w="142" w:type="dxa"/>
              <w:right w:w="142" w:type="dxa"/>
            </w:tcMar>
            <w:vAlign w:val="center"/>
          </w:tcPr>
          <w:p>
            <w:pPr>
              <w:pStyle w:val="22"/>
              <w:widowControl w:val="0"/>
              <w:adjustRightInd w:val="0"/>
              <w:snapToGrid w:val="0"/>
              <w:jc w:val="center"/>
              <w:rPr>
                <w:rFonts w:cs="宋体"/>
              </w:rPr>
            </w:pPr>
            <w:r>
              <w:rPr>
                <w:rFonts w:hint="eastAsia" w:cs="宋体"/>
              </w:rPr>
              <w:t>地        址</w:t>
            </w:r>
          </w:p>
        </w:tc>
        <w:tc>
          <w:tcPr>
            <w:tcW w:w="3432" w:type="dxa"/>
            <w:tcMar>
              <w:left w:w="142" w:type="dxa"/>
              <w:right w:w="142" w:type="dxa"/>
            </w:tcMar>
            <w:vAlign w:val="center"/>
          </w:tcPr>
          <w:p>
            <w:pPr>
              <w:pStyle w:val="22"/>
              <w:widowControl w:val="0"/>
              <w:adjustRightInd w:val="0"/>
              <w:snapToGrid w:val="0"/>
              <w:jc w:val="both"/>
              <w:rPr>
                <w:rFonts w:cs="宋体"/>
              </w:rPr>
            </w:pPr>
          </w:p>
        </w:tc>
        <w:tc>
          <w:tcPr>
            <w:tcW w:w="1434" w:type="dxa"/>
            <w:tcMar>
              <w:left w:w="142" w:type="dxa"/>
              <w:right w:w="142" w:type="dxa"/>
            </w:tcMar>
            <w:vAlign w:val="center"/>
          </w:tcPr>
          <w:p>
            <w:pPr>
              <w:pStyle w:val="22"/>
              <w:widowControl w:val="0"/>
              <w:adjustRightInd w:val="0"/>
              <w:snapToGrid w:val="0"/>
              <w:jc w:val="center"/>
              <w:rPr>
                <w:rFonts w:cs="宋体"/>
              </w:rPr>
            </w:pPr>
            <w:r>
              <w:rPr>
                <w:rFonts w:hint="eastAsia" w:cs="宋体"/>
              </w:rPr>
              <w:t>传    真</w:t>
            </w:r>
          </w:p>
        </w:tc>
        <w:tc>
          <w:tcPr>
            <w:tcW w:w="2695" w:type="dxa"/>
            <w:tcMar>
              <w:left w:w="142" w:type="dxa"/>
              <w:right w:w="142" w:type="dxa"/>
            </w:tcMar>
            <w:vAlign w:val="center"/>
          </w:tcPr>
          <w:p>
            <w:pPr>
              <w:pStyle w:val="22"/>
              <w:widowControl w:val="0"/>
              <w:adjustRightInd w:val="0"/>
              <w:snapToGrid w:val="0"/>
              <w:jc w:val="both"/>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603" w:type="dxa"/>
            <w:tcMar>
              <w:left w:w="142" w:type="dxa"/>
              <w:right w:w="142" w:type="dxa"/>
            </w:tcMar>
            <w:vAlign w:val="center"/>
          </w:tcPr>
          <w:p>
            <w:pPr>
              <w:pStyle w:val="22"/>
              <w:widowControl w:val="0"/>
              <w:adjustRightInd w:val="0"/>
              <w:snapToGrid w:val="0"/>
              <w:jc w:val="center"/>
              <w:rPr>
                <w:rFonts w:cs="宋体"/>
              </w:rPr>
            </w:pPr>
            <w:r>
              <w:rPr>
                <w:rFonts w:hint="eastAsia" w:cs="宋体"/>
              </w:rPr>
              <w:t>主管部门</w:t>
            </w:r>
          </w:p>
        </w:tc>
        <w:tc>
          <w:tcPr>
            <w:tcW w:w="3432" w:type="dxa"/>
            <w:tcMar>
              <w:left w:w="142" w:type="dxa"/>
              <w:right w:w="142" w:type="dxa"/>
            </w:tcMar>
            <w:vAlign w:val="center"/>
          </w:tcPr>
          <w:p>
            <w:pPr>
              <w:pStyle w:val="22"/>
              <w:widowControl w:val="0"/>
              <w:adjustRightInd w:val="0"/>
              <w:snapToGrid w:val="0"/>
              <w:jc w:val="both"/>
              <w:rPr>
                <w:rFonts w:cs="宋体"/>
              </w:rPr>
            </w:pPr>
          </w:p>
        </w:tc>
        <w:tc>
          <w:tcPr>
            <w:tcW w:w="1434" w:type="dxa"/>
            <w:tcMar>
              <w:left w:w="142" w:type="dxa"/>
              <w:right w:w="142" w:type="dxa"/>
            </w:tcMar>
            <w:vAlign w:val="center"/>
          </w:tcPr>
          <w:p>
            <w:pPr>
              <w:pStyle w:val="22"/>
              <w:widowControl w:val="0"/>
              <w:adjustRightInd w:val="0"/>
              <w:snapToGrid w:val="0"/>
              <w:jc w:val="center"/>
              <w:rPr>
                <w:rFonts w:cs="宋体"/>
              </w:rPr>
            </w:pPr>
            <w:r>
              <w:rPr>
                <w:rFonts w:hint="eastAsia" w:cs="宋体"/>
              </w:rPr>
              <w:t>企业性质</w:t>
            </w:r>
          </w:p>
        </w:tc>
        <w:tc>
          <w:tcPr>
            <w:tcW w:w="2695" w:type="dxa"/>
            <w:tcMar>
              <w:left w:w="142" w:type="dxa"/>
              <w:right w:w="142" w:type="dxa"/>
            </w:tcMar>
            <w:vAlign w:val="center"/>
          </w:tcPr>
          <w:p>
            <w:pPr>
              <w:pStyle w:val="22"/>
              <w:widowControl w:val="0"/>
              <w:adjustRightInd w:val="0"/>
              <w:snapToGrid w:val="0"/>
              <w:jc w:val="both"/>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03" w:type="dxa"/>
            <w:tcMar>
              <w:left w:w="142" w:type="dxa"/>
              <w:right w:w="142" w:type="dxa"/>
            </w:tcMar>
            <w:vAlign w:val="center"/>
          </w:tcPr>
          <w:p>
            <w:pPr>
              <w:pStyle w:val="22"/>
              <w:widowControl w:val="0"/>
              <w:adjustRightInd w:val="0"/>
              <w:snapToGrid w:val="0"/>
              <w:jc w:val="center"/>
              <w:rPr>
                <w:rFonts w:cs="宋体"/>
              </w:rPr>
            </w:pPr>
            <w:r>
              <w:rPr>
                <w:rFonts w:hint="eastAsia" w:cs="宋体"/>
              </w:rPr>
              <w:t>法定代表人</w:t>
            </w:r>
          </w:p>
        </w:tc>
        <w:tc>
          <w:tcPr>
            <w:tcW w:w="3432" w:type="dxa"/>
            <w:tcMar>
              <w:left w:w="142" w:type="dxa"/>
              <w:right w:w="142" w:type="dxa"/>
            </w:tcMar>
            <w:vAlign w:val="center"/>
          </w:tcPr>
          <w:p>
            <w:pPr>
              <w:pStyle w:val="22"/>
              <w:widowControl w:val="0"/>
              <w:adjustRightInd w:val="0"/>
              <w:snapToGrid w:val="0"/>
              <w:jc w:val="both"/>
              <w:rPr>
                <w:rFonts w:cs="宋体"/>
              </w:rPr>
            </w:pPr>
          </w:p>
        </w:tc>
        <w:tc>
          <w:tcPr>
            <w:tcW w:w="1434" w:type="dxa"/>
            <w:tcMar>
              <w:left w:w="142" w:type="dxa"/>
              <w:right w:w="142" w:type="dxa"/>
            </w:tcMar>
            <w:vAlign w:val="center"/>
          </w:tcPr>
          <w:p>
            <w:pPr>
              <w:pStyle w:val="22"/>
              <w:widowControl w:val="0"/>
              <w:adjustRightInd w:val="0"/>
              <w:snapToGrid w:val="0"/>
              <w:jc w:val="center"/>
              <w:rPr>
                <w:rFonts w:cs="宋体"/>
              </w:rPr>
            </w:pPr>
            <w:r>
              <w:rPr>
                <w:rFonts w:hint="eastAsia" w:cs="宋体"/>
              </w:rPr>
              <w:t>注册资金</w:t>
            </w:r>
          </w:p>
        </w:tc>
        <w:tc>
          <w:tcPr>
            <w:tcW w:w="2695" w:type="dxa"/>
            <w:tcMar>
              <w:left w:w="142" w:type="dxa"/>
              <w:right w:w="142" w:type="dxa"/>
            </w:tcMar>
            <w:vAlign w:val="center"/>
          </w:tcPr>
          <w:p>
            <w:pPr>
              <w:pStyle w:val="22"/>
              <w:widowControl w:val="0"/>
              <w:adjustRightInd w:val="0"/>
              <w:snapToGrid w:val="0"/>
              <w:jc w:val="both"/>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603" w:type="dxa"/>
            <w:tcMar>
              <w:left w:w="142" w:type="dxa"/>
              <w:right w:w="142" w:type="dxa"/>
            </w:tcMar>
            <w:vAlign w:val="center"/>
          </w:tcPr>
          <w:p>
            <w:pPr>
              <w:pStyle w:val="22"/>
              <w:widowControl w:val="0"/>
              <w:adjustRightInd w:val="0"/>
              <w:snapToGrid w:val="0"/>
              <w:jc w:val="center"/>
              <w:rPr>
                <w:rFonts w:cs="宋体"/>
              </w:rPr>
            </w:pPr>
            <w:r>
              <w:rPr>
                <w:rFonts w:hint="eastAsia" w:cs="宋体"/>
              </w:rPr>
              <w:t>授权代表</w:t>
            </w:r>
          </w:p>
        </w:tc>
        <w:tc>
          <w:tcPr>
            <w:tcW w:w="3432" w:type="dxa"/>
            <w:tcMar>
              <w:left w:w="142" w:type="dxa"/>
              <w:right w:w="142" w:type="dxa"/>
            </w:tcMar>
            <w:vAlign w:val="center"/>
          </w:tcPr>
          <w:p>
            <w:pPr>
              <w:pStyle w:val="22"/>
              <w:widowControl w:val="0"/>
              <w:adjustRightInd w:val="0"/>
              <w:snapToGrid w:val="0"/>
              <w:jc w:val="both"/>
              <w:rPr>
                <w:rFonts w:cs="宋体"/>
              </w:rPr>
            </w:pPr>
          </w:p>
        </w:tc>
        <w:tc>
          <w:tcPr>
            <w:tcW w:w="1434" w:type="dxa"/>
            <w:tcMar>
              <w:left w:w="142" w:type="dxa"/>
              <w:right w:w="142" w:type="dxa"/>
            </w:tcMar>
            <w:vAlign w:val="center"/>
          </w:tcPr>
          <w:p>
            <w:pPr>
              <w:pStyle w:val="22"/>
              <w:widowControl w:val="0"/>
              <w:adjustRightInd w:val="0"/>
              <w:snapToGrid w:val="0"/>
              <w:jc w:val="center"/>
              <w:rPr>
                <w:rFonts w:cs="宋体"/>
              </w:rPr>
            </w:pPr>
            <w:r>
              <w:rPr>
                <w:rFonts w:hint="eastAsia" w:cs="宋体"/>
              </w:rPr>
              <w:t>职    务</w:t>
            </w:r>
          </w:p>
        </w:tc>
        <w:tc>
          <w:tcPr>
            <w:tcW w:w="2695" w:type="dxa"/>
            <w:tcMar>
              <w:left w:w="142" w:type="dxa"/>
              <w:right w:w="142" w:type="dxa"/>
            </w:tcMar>
            <w:vAlign w:val="center"/>
          </w:tcPr>
          <w:p>
            <w:pPr>
              <w:pStyle w:val="22"/>
              <w:widowControl w:val="0"/>
              <w:adjustRightInd w:val="0"/>
              <w:snapToGrid w:val="0"/>
              <w:jc w:val="both"/>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5" w:hRule="atLeast"/>
          <w:jc w:val="center"/>
        </w:trPr>
        <w:tc>
          <w:tcPr>
            <w:tcW w:w="1603" w:type="dxa"/>
            <w:tcMar>
              <w:left w:w="142" w:type="dxa"/>
              <w:right w:w="142" w:type="dxa"/>
            </w:tcMar>
            <w:vAlign w:val="center"/>
          </w:tcPr>
          <w:p>
            <w:pPr>
              <w:pStyle w:val="22"/>
              <w:widowControl w:val="0"/>
              <w:adjustRightInd w:val="0"/>
              <w:snapToGrid w:val="0"/>
              <w:spacing w:before="0" w:beforeAutospacing="0" w:after="0" w:afterAutospacing="0"/>
              <w:jc w:val="center"/>
              <w:rPr>
                <w:rFonts w:cs="宋体"/>
              </w:rPr>
            </w:pPr>
            <w:r>
              <w:rPr>
                <w:rFonts w:hint="eastAsia" w:cs="宋体"/>
              </w:rPr>
              <w:t>单</w:t>
            </w:r>
          </w:p>
          <w:p>
            <w:pPr>
              <w:pStyle w:val="22"/>
              <w:widowControl w:val="0"/>
              <w:adjustRightInd w:val="0"/>
              <w:snapToGrid w:val="0"/>
              <w:spacing w:before="0" w:beforeAutospacing="0" w:after="0" w:afterAutospacing="0"/>
              <w:jc w:val="center"/>
              <w:rPr>
                <w:rFonts w:cs="宋体"/>
              </w:rPr>
            </w:pPr>
            <w:r>
              <w:rPr>
                <w:rFonts w:hint="eastAsia" w:cs="宋体"/>
              </w:rPr>
              <w:t>位</w:t>
            </w:r>
          </w:p>
          <w:p>
            <w:pPr>
              <w:pStyle w:val="22"/>
              <w:widowControl w:val="0"/>
              <w:adjustRightInd w:val="0"/>
              <w:snapToGrid w:val="0"/>
              <w:spacing w:before="0" w:beforeAutospacing="0" w:after="0" w:afterAutospacing="0"/>
              <w:jc w:val="center"/>
              <w:rPr>
                <w:rFonts w:cs="宋体"/>
              </w:rPr>
            </w:pPr>
            <w:r>
              <w:rPr>
                <w:rFonts w:hint="eastAsia" w:cs="宋体"/>
              </w:rPr>
              <w:t>概</w:t>
            </w:r>
          </w:p>
          <w:p>
            <w:pPr>
              <w:pStyle w:val="22"/>
              <w:widowControl w:val="0"/>
              <w:adjustRightInd w:val="0"/>
              <w:snapToGrid w:val="0"/>
              <w:spacing w:before="0" w:beforeAutospacing="0" w:after="0" w:afterAutospacing="0"/>
              <w:jc w:val="center"/>
              <w:rPr>
                <w:rFonts w:cs="宋体"/>
              </w:rPr>
            </w:pPr>
            <w:r>
              <w:rPr>
                <w:rFonts w:hint="eastAsia" w:cs="宋体"/>
              </w:rPr>
              <w:t>况</w:t>
            </w:r>
          </w:p>
        </w:tc>
        <w:tc>
          <w:tcPr>
            <w:tcW w:w="7561" w:type="dxa"/>
            <w:gridSpan w:val="3"/>
            <w:tcMar>
              <w:left w:w="142" w:type="dxa"/>
              <w:right w:w="142" w:type="dxa"/>
            </w:tcMar>
            <w:vAlign w:val="center"/>
          </w:tcPr>
          <w:p>
            <w:pPr>
              <w:pStyle w:val="22"/>
              <w:widowControl w:val="0"/>
              <w:adjustRightInd w:val="0"/>
              <w:snapToGrid w:val="0"/>
              <w:jc w:val="both"/>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4" w:hRule="atLeast"/>
          <w:jc w:val="center"/>
        </w:trPr>
        <w:tc>
          <w:tcPr>
            <w:tcW w:w="1603" w:type="dxa"/>
            <w:tcMar>
              <w:left w:w="142" w:type="dxa"/>
              <w:right w:w="142" w:type="dxa"/>
            </w:tcMar>
            <w:vAlign w:val="center"/>
          </w:tcPr>
          <w:p>
            <w:pPr>
              <w:pStyle w:val="22"/>
              <w:widowControl w:val="0"/>
              <w:adjustRightInd w:val="0"/>
              <w:snapToGrid w:val="0"/>
              <w:spacing w:before="0" w:beforeAutospacing="0" w:after="0" w:afterAutospacing="0"/>
              <w:jc w:val="center"/>
              <w:rPr>
                <w:rFonts w:cs="宋体"/>
              </w:rPr>
            </w:pPr>
            <w:r>
              <w:rPr>
                <w:rFonts w:hint="eastAsia" w:cs="宋体"/>
              </w:rPr>
              <w:t>优</w:t>
            </w:r>
          </w:p>
          <w:p>
            <w:pPr>
              <w:pStyle w:val="22"/>
              <w:widowControl w:val="0"/>
              <w:adjustRightInd w:val="0"/>
              <w:snapToGrid w:val="0"/>
              <w:spacing w:before="0" w:beforeAutospacing="0" w:after="0" w:afterAutospacing="0"/>
              <w:jc w:val="center"/>
              <w:rPr>
                <w:rFonts w:cs="宋体"/>
              </w:rPr>
            </w:pPr>
            <w:r>
              <w:rPr>
                <w:rFonts w:hint="eastAsia" w:cs="宋体"/>
              </w:rPr>
              <w:t>势</w:t>
            </w:r>
          </w:p>
          <w:p>
            <w:pPr>
              <w:pStyle w:val="22"/>
              <w:widowControl w:val="0"/>
              <w:adjustRightInd w:val="0"/>
              <w:snapToGrid w:val="0"/>
              <w:spacing w:before="0" w:beforeAutospacing="0" w:after="0" w:afterAutospacing="0"/>
              <w:jc w:val="center"/>
              <w:rPr>
                <w:rFonts w:cs="宋体"/>
              </w:rPr>
            </w:pPr>
            <w:r>
              <w:rPr>
                <w:rFonts w:hint="eastAsia" w:cs="宋体"/>
              </w:rPr>
              <w:t>及</w:t>
            </w:r>
          </w:p>
          <w:p>
            <w:pPr>
              <w:pStyle w:val="22"/>
              <w:widowControl w:val="0"/>
              <w:adjustRightInd w:val="0"/>
              <w:snapToGrid w:val="0"/>
              <w:spacing w:before="0" w:beforeAutospacing="0" w:after="0" w:afterAutospacing="0"/>
              <w:jc w:val="center"/>
              <w:rPr>
                <w:rFonts w:cs="宋体"/>
              </w:rPr>
            </w:pPr>
            <w:r>
              <w:rPr>
                <w:rFonts w:hint="eastAsia" w:cs="宋体"/>
              </w:rPr>
              <w:t>特</w:t>
            </w:r>
          </w:p>
          <w:p>
            <w:pPr>
              <w:pStyle w:val="22"/>
              <w:widowControl w:val="0"/>
              <w:adjustRightInd w:val="0"/>
              <w:snapToGrid w:val="0"/>
              <w:spacing w:before="0" w:beforeAutospacing="0" w:after="0" w:afterAutospacing="0"/>
              <w:jc w:val="center"/>
              <w:rPr>
                <w:rFonts w:cs="宋体"/>
              </w:rPr>
            </w:pPr>
            <w:r>
              <w:rPr>
                <w:rFonts w:hint="eastAsia" w:cs="宋体"/>
              </w:rPr>
              <w:t>长</w:t>
            </w:r>
          </w:p>
        </w:tc>
        <w:tc>
          <w:tcPr>
            <w:tcW w:w="7561" w:type="dxa"/>
            <w:gridSpan w:val="3"/>
            <w:tcMar>
              <w:left w:w="142" w:type="dxa"/>
              <w:right w:w="142" w:type="dxa"/>
            </w:tcMar>
            <w:vAlign w:val="center"/>
          </w:tcPr>
          <w:p>
            <w:pPr>
              <w:pStyle w:val="22"/>
              <w:widowControl w:val="0"/>
              <w:adjustRightInd w:val="0"/>
              <w:snapToGrid w:val="0"/>
              <w:jc w:val="both"/>
              <w:rPr>
                <w:rFonts w:cs="宋体"/>
              </w:rPr>
            </w:pPr>
          </w:p>
        </w:tc>
      </w:tr>
    </w:tbl>
    <w:p>
      <w:pPr>
        <w:widowControl w:val="0"/>
        <w:adjustRightInd w:val="0"/>
        <w:snapToGrid w:val="0"/>
        <w:ind w:firstLine="413" w:firstLineChars="196"/>
        <w:rPr>
          <w:rFonts w:ascii="宋体" w:hAnsi="宋体" w:cs="宋体"/>
          <w:b/>
          <w:sz w:val="21"/>
          <w:szCs w:val="21"/>
        </w:rPr>
      </w:pPr>
      <w:r>
        <w:rPr>
          <w:rFonts w:hint="eastAsia" w:ascii="宋体" w:hAnsi="宋体" w:cs="宋体"/>
          <w:b/>
          <w:sz w:val="21"/>
          <w:szCs w:val="21"/>
        </w:rPr>
        <w:t>注：此表仅做参考，可自行制作</w:t>
      </w:r>
    </w:p>
    <w:p>
      <w:pPr>
        <w:spacing w:line="360" w:lineRule="auto"/>
        <w:jc w:val="center"/>
        <w:rPr>
          <w:rFonts w:ascii="宋体" w:hAnsi="宋体" w:cs="宋体"/>
          <w:b/>
          <w:sz w:val="32"/>
          <w:szCs w:val="32"/>
        </w:rPr>
      </w:pPr>
      <w:r>
        <w:rPr>
          <w:rFonts w:hint="eastAsia" w:ascii="宋体" w:hAnsi="宋体" w:cs="宋体"/>
        </w:rPr>
        <w:br w:type="page"/>
      </w:r>
      <w:r>
        <w:rPr>
          <w:rFonts w:hint="eastAsia" w:ascii="宋体" w:hAnsi="宋体" w:cs="宋体"/>
          <w:b/>
          <w:sz w:val="32"/>
          <w:szCs w:val="32"/>
        </w:rPr>
        <w:t>七、项目实施人员一览表</w:t>
      </w:r>
    </w:p>
    <w:p>
      <w:pPr>
        <w:spacing w:line="440" w:lineRule="exact"/>
        <w:rPr>
          <w:rFonts w:ascii="宋体" w:hAnsi="宋体" w:cs="宋体"/>
          <w:b/>
          <w:sz w:val="32"/>
          <w:szCs w:val="32"/>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40"/>
        <w:gridCol w:w="2118"/>
        <w:gridCol w:w="2880"/>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jc w:val="center"/>
              <w:rPr>
                <w:rFonts w:cs="宋体"/>
              </w:rPr>
            </w:pPr>
            <w:r>
              <w:rPr>
                <w:rFonts w:hint="eastAsia" w:cs="宋体"/>
              </w:rPr>
              <w:t>序号</w:t>
            </w:r>
          </w:p>
        </w:tc>
        <w:tc>
          <w:tcPr>
            <w:tcW w:w="1740" w:type="dxa"/>
            <w:vAlign w:val="center"/>
          </w:tcPr>
          <w:p>
            <w:pPr>
              <w:pStyle w:val="22"/>
              <w:widowControl w:val="0"/>
              <w:snapToGrid w:val="0"/>
              <w:jc w:val="center"/>
              <w:rPr>
                <w:rFonts w:cs="宋体"/>
              </w:rPr>
            </w:pPr>
            <w:r>
              <w:rPr>
                <w:rFonts w:hint="eastAsia" w:cs="宋体"/>
              </w:rPr>
              <w:t>姓名</w:t>
            </w:r>
          </w:p>
        </w:tc>
        <w:tc>
          <w:tcPr>
            <w:tcW w:w="2118" w:type="dxa"/>
            <w:vAlign w:val="center"/>
          </w:tcPr>
          <w:p>
            <w:pPr>
              <w:pStyle w:val="22"/>
              <w:widowControl w:val="0"/>
              <w:snapToGrid w:val="0"/>
              <w:jc w:val="center"/>
              <w:rPr>
                <w:rFonts w:cs="宋体"/>
              </w:rPr>
            </w:pPr>
            <w:r>
              <w:rPr>
                <w:rFonts w:hint="eastAsia" w:cs="宋体"/>
              </w:rPr>
              <w:t>职务/职称</w:t>
            </w:r>
          </w:p>
        </w:tc>
        <w:tc>
          <w:tcPr>
            <w:tcW w:w="2880" w:type="dxa"/>
            <w:vAlign w:val="center"/>
          </w:tcPr>
          <w:p>
            <w:pPr>
              <w:pStyle w:val="22"/>
              <w:widowControl w:val="0"/>
              <w:snapToGrid w:val="0"/>
              <w:jc w:val="center"/>
              <w:rPr>
                <w:rFonts w:cs="宋体"/>
              </w:rPr>
            </w:pPr>
            <w:r>
              <w:rPr>
                <w:rFonts w:hint="eastAsia" w:cs="宋体"/>
              </w:rPr>
              <w:t>拟负责岗位</w:t>
            </w:r>
          </w:p>
        </w:tc>
        <w:tc>
          <w:tcPr>
            <w:tcW w:w="1482" w:type="dxa"/>
            <w:vAlign w:val="center"/>
          </w:tcPr>
          <w:p>
            <w:pPr>
              <w:pStyle w:val="22"/>
              <w:widowControl w:val="0"/>
              <w:snapToGrid w:val="0"/>
              <w:jc w:val="center"/>
              <w:rPr>
                <w:rFonts w:cs="宋体"/>
              </w:rPr>
            </w:pPr>
            <w:r>
              <w:rPr>
                <w:rFonts w:hint="eastAsia"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ind w:left="480" w:firstLine="480"/>
              <w:jc w:val="center"/>
              <w:rPr>
                <w:rFonts w:cs="宋体"/>
              </w:rPr>
            </w:pPr>
          </w:p>
        </w:tc>
        <w:tc>
          <w:tcPr>
            <w:tcW w:w="1740" w:type="dxa"/>
            <w:vAlign w:val="center"/>
          </w:tcPr>
          <w:p>
            <w:pPr>
              <w:pStyle w:val="22"/>
              <w:widowControl w:val="0"/>
              <w:snapToGrid w:val="0"/>
              <w:rPr>
                <w:rFonts w:cs="宋体"/>
              </w:rPr>
            </w:pPr>
            <w:r>
              <w:rPr>
                <w:rFonts w:hint="eastAsia" w:cs="宋体"/>
              </w:rPr>
              <w:t>……</w:t>
            </w:r>
          </w:p>
        </w:tc>
        <w:tc>
          <w:tcPr>
            <w:tcW w:w="2118" w:type="dxa"/>
            <w:vAlign w:val="center"/>
          </w:tcPr>
          <w:p>
            <w:pPr>
              <w:pStyle w:val="22"/>
              <w:widowControl w:val="0"/>
              <w:snapToGrid w:val="0"/>
              <w:ind w:left="480" w:firstLine="480"/>
              <w:jc w:val="center"/>
              <w:rPr>
                <w:rFonts w:cs="宋体"/>
              </w:rPr>
            </w:pPr>
          </w:p>
        </w:tc>
        <w:tc>
          <w:tcPr>
            <w:tcW w:w="2880" w:type="dxa"/>
            <w:vAlign w:val="center"/>
          </w:tcPr>
          <w:p>
            <w:pPr>
              <w:pStyle w:val="22"/>
              <w:widowControl w:val="0"/>
              <w:snapToGrid w:val="0"/>
              <w:ind w:left="480" w:firstLine="480"/>
              <w:jc w:val="center"/>
              <w:rPr>
                <w:rFonts w:cs="宋体"/>
              </w:rPr>
            </w:pPr>
          </w:p>
        </w:tc>
        <w:tc>
          <w:tcPr>
            <w:tcW w:w="1482" w:type="dxa"/>
            <w:vAlign w:val="center"/>
          </w:tcPr>
          <w:p>
            <w:pPr>
              <w:pStyle w:val="22"/>
              <w:widowControl w:val="0"/>
              <w:snapToGrid w:val="0"/>
              <w:ind w:left="480" w:firstLine="48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ind w:left="480" w:firstLine="480"/>
              <w:jc w:val="center"/>
              <w:rPr>
                <w:rFonts w:cs="宋体"/>
              </w:rPr>
            </w:pPr>
          </w:p>
        </w:tc>
        <w:tc>
          <w:tcPr>
            <w:tcW w:w="1740" w:type="dxa"/>
            <w:vAlign w:val="center"/>
          </w:tcPr>
          <w:p>
            <w:pPr>
              <w:pStyle w:val="22"/>
              <w:widowControl w:val="0"/>
              <w:snapToGrid w:val="0"/>
              <w:ind w:left="480" w:firstLine="480"/>
              <w:jc w:val="center"/>
              <w:rPr>
                <w:rFonts w:cs="宋体"/>
              </w:rPr>
            </w:pPr>
          </w:p>
        </w:tc>
        <w:tc>
          <w:tcPr>
            <w:tcW w:w="2118" w:type="dxa"/>
            <w:vAlign w:val="center"/>
          </w:tcPr>
          <w:p>
            <w:pPr>
              <w:pStyle w:val="22"/>
              <w:widowControl w:val="0"/>
              <w:snapToGrid w:val="0"/>
              <w:ind w:left="480" w:firstLine="480"/>
              <w:jc w:val="center"/>
              <w:rPr>
                <w:rFonts w:cs="宋体"/>
              </w:rPr>
            </w:pPr>
          </w:p>
        </w:tc>
        <w:tc>
          <w:tcPr>
            <w:tcW w:w="2880" w:type="dxa"/>
            <w:vAlign w:val="center"/>
          </w:tcPr>
          <w:p>
            <w:pPr>
              <w:pStyle w:val="22"/>
              <w:widowControl w:val="0"/>
              <w:snapToGrid w:val="0"/>
              <w:ind w:left="480" w:firstLine="480"/>
              <w:jc w:val="center"/>
              <w:rPr>
                <w:rFonts w:cs="宋体"/>
              </w:rPr>
            </w:pPr>
          </w:p>
        </w:tc>
        <w:tc>
          <w:tcPr>
            <w:tcW w:w="1482" w:type="dxa"/>
            <w:vAlign w:val="center"/>
          </w:tcPr>
          <w:p>
            <w:pPr>
              <w:pStyle w:val="22"/>
              <w:widowControl w:val="0"/>
              <w:snapToGrid w:val="0"/>
              <w:ind w:left="480" w:firstLine="48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ind w:left="480" w:firstLine="480"/>
              <w:jc w:val="center"/>
              <w:rPr>
                <w:rFonts w:cs="宋体"/>
              </w:rPr>
            </w:pPr>
          </w:p>
        </w:tc>
        <w:tc>
          <w:tcPr>
            <w:tcW w:w="1740" w:type="dxa"/>
            <w:vAlign w:val="center"/>
          </w:tcPr>
          <w:p>
            <w:pPr>
              <w:pStyle w:val="22"/>
              <w:widowControl w:val="0"/>
              <w:snapToGrid w:val="0"/>
              <w:ind w:left="480" w:firstLine="480"/>
              <w:jc w:val="center"/>
              <w:rPr>
                <w:rFonts w:cs="宋体"/>
              </w:rPr>
            </w:pPr>
          </w:p>
        </w:tc>
        <w:tc>
          <w:tcPr>
            <w:tcW w:w="2118" w:type="dxa"/>
            <w:vAlign w:val="center"/>
          </w:tcPr>
          <w:p>
            <w:pPr>
              <w:pStyle w:val="22"/>
              <w:widowControl w:val="0"/>
              <w:snapToGrid w:val="0"/>
              <w:ind w:left="480" w:firstLine="480"/>
              <w:jc w:val="center"/>
              <w:rPr>
                <w:rFonts w:cs="宋体"/>
              </w:rPr>
            </w:pPr>
          </w:p>
        </w:tc>
        <w:tc>
          <w:tcPr>
            <w:tcW w:w="2880" w:type="dxa"/>
            <w:vAlign w:val="center"/>
          </w:tcPr>
          <w:p>
            <w:pPr>
              <w:pStyle w:val="22"/>
              <w:widowControl w:val="0"/>
              <w:snapToGrid w:val="0"/>
              <w:ind w:left="480" w:firstLine="480"/>
              <w:jc w:val="center"/>
              <w:rPr>
                <w:rFonts w:cs="宋体"/>
              </w:rPr>
            </w:pPr>
          </w:p>
        </w:tc>
        <w:tc>
          <w:tcPr>
            <w:tcW w:w="1482" w:type="dxa"/>
            <w:vAlign w:val="center"/>
          </w:tcPr>
          <w:p>
            <w:pPr>
              <w:pStyle w:val="22"/>
              <w:widowControl w:val="0"/>
              <w:snapToGrid w:val="0"/>
              <w:ind w:left="480" w:firstLine="48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ind w:left="480" w:firstLine="480"/>
              <w:jc w:val="center"/>
              <w:rPr>
                <w:rFonts w:cs="宋体"/>
              </w:rPr>
            </w:pPr>
          </w:p>
        </w:tc>
        <w:tc>
          <w:tcPr>
            <w:tcW w:w="1740" w:type="dxa"/>
            <w:vAlign w:val="center"/>
          </w:tcPr>
          <w:p>
            <w:pPr>
              <w:pStyle w:val="22"/>
              <w:widowControl w:val="0"/>
              <w:snapToGrid w:val="0"/>
              <w:ind w:left="480" w:firstLine="480"/>
              <w:jc w:val="center"/>
              <w:rPr>
                <w:rFonts w:cs="宋体"/>
              </w:rPr>
            </w:pPr>
          </w:p>
        </w:tc>
        <w:tc>
          <w:tcPr>
            <w:tcW w:w="2118" w:type="dxa"/>
            <w:vAlign w:val="center"/>
          </w:tcPr>
          <w:p>
            <w:pPr>
              <w:pStyle w:val="22"/>
              <w:widowControl w:val="0"/>
              <w:snapToGrid w:val="0"/>
              <w:ind w:left="480" w:firstLine="480"/>
              <w:jc w:val="center"/>
              <w:rPr>
                <w:rFonts w:cs="宋体"/>
              </w:rPr>
            </w:pPr>
          </w:p>
        </w:tc>
        <w:tc>
          <w:tcPr>
            <w:tcW w:w="2880" w:type="dxa"/>
            <w:vAlign w:val="center"/>
          </w:tcPr>
          <w:p>
            <w:pPr>
              <w:pStyle w:val="22"/>
              <w:widowControl w:val="0"/>
              <w:snapToGrid w:val="0"/>
              <w:ind w:left="480" w:firstLine="480"/>
              <w:jc w:val="center"/>
              <w:rPr>
                <w:rFonts w:cs="宋体"/>
              </w:rPr>
            </w:pPr>
          </w:p>
        </w:tc>
        <w:tc>
          <w:tcPr>
            <w:tcW w:w="1482" w:type="dxa"/>
            <w:vAlign w:val="center"/>
          </w:tcPr>
          <w:p>
            <w:pPr>
              <w:pStyle w:val="22"/>
              <w:widowControl w:val="0"/>
              <w:snapToGrid w:val="0"/>
              <w:ind w:left="480" w:firstLine="48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ind w:left="480" w:firstLine="480"/>
              <w:jc w:val="center"/>
              <w:rPr>
                <w:rFonts w:cs="宋体"/>
              </w:rPr>
            </w:pPr>
          </w:p>
        </w:tc>
        <w:tc>
          <w:tcPr>
            <w:tcW w:w="1740" w:type="dxa"/>
            <w:vAlign w:val="center"/>
          </w:tcPr>
          <w:p>
            <w:pPr>
              <w:pStyle w:val="22"/>
              <w:widowControl w:val="0"/>
              <w:snapToGrid w:val="0"/>
              <w:ind w:left="480" w:firstLine="480"/>
              <w:jc w:val="center"/>
              <w:rPr>
                <w:rFonts w:cs="宋体"/>
              </w:rPr>
            </w:pPr>
          </w:p>
        </w:tc>
        <w:tc>
          <w:tcPr>
            <w:tcW w:w="2118" w:type="dxa"/>
            <w:vAlign w:val="center"/>
          </w:tcPr>
          <w:p>
            <w:pPr>
              <w:pStyle w:val="22"/>
              <w:widowControl w:val="0"/>
              <w:snapToGrid w:val="0"/>
              <w:ind w:left="480" w:firstLine="480"/>
              <w:jc w:val="center"/>
              <w:rPr>
                <w:rFonts w:cs="宋体"/>
              </w:rPr>
            </w:pPr>
          </w:p>
        </w:tc>
        <w:tc>
          <w:tcPr>
            <w:tcW w:w="2880" w:type="dxa"/>
            <w:vAlign w:val="center"/>
          </w:tcPr>
          <w:p>
            <w:pPr>
              <w:pStyle w:val="22"/>
              <w:widowControl w:val="0"/>
              <w:snapToGrid w:val="0"/>
              <w:ind w:left="480" w:firstLine="480"/>
              <w:jc w:val="center"/>
              <w:rPr>
                <w:rFonts w:cs="宋体"/>
              </w:rPr>
            </w:pPr>
          </w:p>
        </w:tc>
        <w:tc>
          <w:tcPr>
            <w:tcW w:w="1482" w:type="dxa"/>
            <w:vAlign w:val="center"/>
          </w:tcPr>
          <w:p>
            <w:pPr>
              <w:pStyle w:val="22"/>
              <w:widowControl w:val="0"/>
              <w:snapToGrid w:val="0"/>
              <w:ind w:left="480" w:firstLine="48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ind w:left="480" w:firstLine="480"/>
              <w:jc w:val="center"/>
              <w:rPr>
                <w:rFonts w:cs="宋体"/>
              </w:rPr>
            </w:pPr>
          </w:p>
        </w:tc>
        <w:tc>
          <w:tcPr>
            <w:tcW w:w="1740" w:type="dxa"/>
            <w:vAlign w:val="center"/>
          </w:tcPr>
          <w:p>
            <w:pPr>
              <w:pStyle w:val="22"/>
              <w:widowControl w:val="0"/>
              <w:snapToGrid w:val="0"/>
              <w:ind w:left="480" w:firstLine="480"/>
              <w:jc w:val="center"/>
              <w:rPr>
                <w:rFonts w:cs="宋体"/>
              </w:rPr>
            </w:pPr>
          </w:p>
        </w:tc>
        <w:tc>
          <w:tcPr>
            <w:tcW w:w="2118" w:type="dxa"/>
            <w:vAlign w:val="center"/>
          </w:tcPr>
          <w:p>
            <w:pPr>
              <w:pStyle w:val="22"/>
              <w:widowControl w:val="0"/>
              <w:snapToGrid w:val="0"/>
              <w:ind w:left="480" w:firstLine="480"/>
              <w:jc w:val="center"/>
              <w:rPr>
                <w:rFonts w:cs="宋体"/>
              </w:rPr>
            </w:pPr>
          </w:p>
        </w:tc>
        <w:tc>
          <w:tcPr>
            <w:tcW w:w="2880" w:type="dxa"/>
            <w:vAlign w:val="center"/>
          </w:tcPr>
          <w:p>
            <w:pPr>
              <w:pStyle w:val="22"/>
              <w:widowControl w:val="0"/>
              <w:snapToGrid w:val="0"/>
              <w:ind w:left="480" w:firstLine="480"/>
              <w:jc w:val="center"/>
              <w:rPr>
                <w:rFonts w:cs="宋体"/>
              </w:rPr>
            </w:pPr>
          </w:p>
        </w:tc>
        <w:tc>
          <w:tcPr>
            <w:tcW w:w="1482" w:type="dxa"/>
            <w:vAlign w:val="center"/>
          </w:tcPr>
          <w:p>
            <w:pPr>
              <w:pStyle w:val="22"/>
              <w:widowControl w:val="0"/>
              <w:snapToGrid w:val="0"/>
              <w:ind w:left="480" w:firstLine="48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8" w:type="dxa"/>
            <w:vAlign w:val="center"/>
          </w:tcPr>
          <w:p>
            <w:pPr>
              <w:pStyle w:val="22"/>
              <w:widowControl w:val="0"/>
              <w:snapToGrid w:val="0"/>
              <w:ind w:left="480" w:firstLine="480"/>
              <w:jc w:val="center"/>
              <w:rPr>
                <w:rFonts w:cs="宋体"/>
              </w:rPr>
            </w:pPr>
          </w:p>
        </w:tc>
        <w:tc>
          <w:tcPr>
            <w:tcW w:w="1740" w:type="dxa"/>
            <w:vAlign w:val="center"/>
          </w:tcPr>
          <w:p>
            <w:pPr>
              <w:pStyle w:val="22"/>
              <w:widowControl w:val="0"/>
              <w:snapToGrid w:val="0"/>
              <w:ind w:left="480" w:firstLine="480"/>
              <w:jc w:val="center"/>
              <w:rPr>
                <w:rFonts w:cs="宋体"/>
              </w:rPr>
            </w:pPr>
          </w:p>
        </w:tc>
        <w:tc>
          <w:tcPr>
            <w:tcW w:w="2118" w:type="dxa"/>
            <w:vAlign w:val="center"/>
          </w:tcPr>
          <w:p>
            <w:pPr>
              <w:pStyle w:val="22"/>
              <w:widowControl w:val="0"/>
              <w:snapToGrid w:val="0"/>
              <w:ind w:left="480" w:firstLine="480"/>
              <w:jc w:val="center"/>
              <w:rPr>
                <w:rFonts w:cs="宋体"/>
              </w:rPr>
            </w:pPr>
          </w:p>
        </w:tc>
        <w:tc>
          <w:tcPr>
            <w:tcW w:w="2880" w:type="dxa"/>
            <w:vAlign w:val="center"/>
          </w:tcPr>
          <w:p>
            <w:pPr>
              <w:pStyle w:val="22"/>
              <w:widowControl w:val="0"/>
              <w:snapToGrid w:val="0"/>
              <w:ind w:left="480" w:firstLine="480"/>
              <w:jc w:val="center"/>
              <w:rPr>
                <w:rFonts w:cs="宋体"/>
              </w:rPr>
            </w:pPr>
          </w:p>
        </w:tc>
        <w:tc>
          <w:tcPr>
            <w:tcW w:w="1482" w:type="dxa"/>
            <w:vAlign w:val="center"/>
          </w:tcPr>
          <w:p>
            <w:pPr>
              <w:pStyle w:val="22"/>
              <w:widowControl w:val="0"/>
              <w:snapToGrid w:val="0"/>
              <w:ind w:left="480" w:firstLine="480"/>
              <w:jc w:val="center"/>
              <w:rPr>
                <w:rFonts w:cs="宋体"/>
              </w:rPr>
            </w:pPr>
          </w:p>
        </w:tc>
      </w:tr>
    </w:tbl>
    <w:p>
      <w:pPr>
        <w:pStyle w:val="22"/>
        <w:widowControl w:val="0"/>
        <w:adjustRightInd w:val="0"/>
        <w:snapToGrid w:val="0"/>
        <w:spacing w:before="0" w:beforeAutospacing="0" w:after="0" w:afterAutospacing="0" w:line="360" w:lineRule="auto"/>
        <w:rPr>
          <w:rFonts w:cs="宋体"/>
        </w:rPr>
      </w:pPr>
    </w:p>
    <w:p>
      <w:pPr>
        <w:pStyle w:val="22"/>
        <w:widowControl w:val="0"/>
        <w:adjustRightInd w:val="0"/>
        <w:snapToGrid w:val="0"/>
        <w:spacing w:before="0" w:beforeAutospacing="0" w:after="0" w:afterAutospacing="0" w:line="360" w:lineRule="auto"/>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rPr>
          <w:rFonts w:cs="宋体"/>
        </w:rPr>
      </w:pPr>
      <w:r>
        <w:rPr>
          <w:rFonts w:hint="eastAsia" w:cs="宋体"/>
        </w:rPr>
        <w:t>投标人全权代表（签字）：____________________</w:t>
      </w:r>
    </w:p>
    <w:p>
      <w:pPr>
        <w:pStyle w:val="22"/>
        <w:widowControl w:val="0"/>
        <w:adjustRightInd w:val="0"/>
        <w:snapToGrid w:val="0"/>
        <w:spacing w:before="0" w:beforeAutospacing="0" w:after="0" w:afterAutospacing="0" w:line="360" w:lineRule="auto"/>
        <w:rPr>
          <w:rFonts w:cs="宋体"/>
        </w:rPr>
      </w:pPr>
      <w:r>
        <w:rPr>
          <w:rFonts w:hint="eastAsia" w:cs="宋体"/>
        </w:rPr>
        <w:t>日期：____年____月____日</w:t>
      </w:r>
    </w:p>
    <w:p>
      <w:pPr>
        <w:pStyle w:val="22"/>
        <w:widowControl w:val="0"/>
        <w:adjustRightInd w:val="0"/>
        <w:snapToGrid w:val="0"/>
        <w:jc w:val="center"/>
        <w:rPr>
          <w:rFonts w:cs="宋体"/>
          <w:b/>
          <w:sz w:val="32"/>
          <w:szCs w:val="32"/>
        </w:rPr>
      </w:pPr>
    </w:p>
    <w:p>
      <w:pPr>
        <w:pStyle w:val="22"/>
        <w:widowControl w:val="0"/>
        <w:adjustRightInd w:val="0"/>
        <w:snapToGrid w:val="0"/>
        <w:jc w:val="center"/>
        <w:rPr>
          <w:rFonts w:cs="宋体"/>
          <w:b/>
          <w:sz w:val="32"/>
          <w:szCs w:val="32"/>
        </w:rPr>
      </w:pPr>
      <w:r>
        <w:rPr>
          <w:rFonts w:hint="eastAsia" w:cs="宋体"/>
          <w:b/>
          <w:sz w:val="32"/>
          <w:szCs w:val="32"/>
        </w:rPr>
        <w:t>八、拟投入本项目的设备明细表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080"/>
        <w:gridCol w:w="1980"/>
        <w:gridCol w:w="720"/>
        <w:gridCol w:w="162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widowControl w:val="0"/>
              <w:spacing w:line="320" w:lineRule="exact"/>
              <w:jc w:val="center"/>
              <w:rPr>
                <w:rFonts w:ascii="宋体" w:hAnsi="宋体" w:cs="宋体"/>
              </w:rPr>
            </w:pPr>
            <w:r>
              <w:rPr>
                <w:rFonts w:hint="eastAsia" w:ascii="宋体" w:hAnsi="宋体" w:cs="宋体"/>
              </w:rPr>
              <w:t>序号</w:t>
            </w:r>
          </w:p>
        </w:tc>
        <w:tc>
          <w:tcPr>
            <w:tcW w:w="1800" w:type="dxa"/>
            <w:vAlign w:val="center"/>
          </w:tcPr>
          <w:p>
            <w:pPr>
              <w:widowControl w:val="0"/>
              <w:spacing w:line="320" w:lineRule="exact"/>
              <w:jc w:val="center"/>
              <w:rPr>
                <w:rFonts w:ascii="宋体" w:hAnsi="宋体" w:cs="宋体"/>
              </w:rPr>
            </w:pPr>
            <w:r>
              <w:rPr>
                <w:rFonts w:hint="eastAsia" w:ascii="宋体" w:hAnsi="宋体" w:cs="宋体"/>
              </w:rPr>
              <w:t>名称</w:t>
            </w:r>
          </w:p>
        </w:tc>
        <w:tc>
          <w:tcPr>
            <w:tcW w:w="1080" w:type="dxa"/>
            <w:vAlign w:val="center"/>
          </w:tcPr>
          <w:p>
            <w:pPr>
              <w:widowControl w:val="0"/>
              <w:spacing w:line="320" w:lineRule="exact"/>
              <w:jc w:val="center"/>
              <w:rPr>
                <w:rFonts w:ascii="宋体" w:hAnsi="宋体" w:cs="宋体"/>
              </w:rPr>
            </w:pPr>
            <w:r>
              <w:rPr>
                <w:rFonts w:hint="eastAsia" w:ascii="宋体" w:hAnsi="宋体" w:cs="宋体"/>
              </w:rPr>
              <w:t>型号</w:t>
            </w:r>
          </w:p>
        </w:tc>
        <w:tc>
          <w:tcPr>
            <w:tcW w:w="1980" w:type="dxa"/>
            <w:vAlign w:val="center"/>
          </w:tcPr>
          <w:p>
            <w:pPr>
              <w:widowControl w:val="0"/>
              <w:spacing w:line="320" w:lineRule="exact"/>
              <w:jc w:val="center"/>
              <w:rPr>
                <w:rFonts w:ascii="宋体" w:hAnsi="宋体" w:cs="宋体"/>
              </w:rPr>
            </w:pPr>
            <w:r>
              <w:rPr>
                <w:rFonts w:hint="eastAsia" w:ascii="宋体" w:hAnsi="宋体" w:cs="宋体"/>
              </w:rPr>
              <w:t>产地</w:t>
            </w:r>
          </w:p>
        </w:tc>
        <w:tc>
          <w:tcPr>
            <w:tcW w:w="720" w:type="dxa"/>
            <w:vAlign w:val="center"/>
          </w:tcPr>
          <w:p>
            <w:pPr>
              <w:widowControl w:val="0"/>
              <w:spacing w:line="320" w:lineRule="exact"/>
              <w:jc w:val="center"/>
              <w:rPr>
                <w:rFonts w:ascii="宋体" w:hAnsi="宋体" w:cs="宋体"/>
              </w:rPr>
            </w:pPr>
            <w:r>
              <w:rPr>
                <w:rFonts w:hint="eastAsia" w:ascii="宋体" w:hAnsi="宋体" w:cs="宋体"/>
              </w:rPr>
              <w:t>数量</w:t>
            </w:r>
          </w:p>
        </w:tc>
        <w:tc>
          <w:tcPr>
            <w:tcW w:w="1620" w:type="dxa"/>
            <w:vAlign w:val="center"/>
          </w:tcPr>
          <w:p>
            <w:pPr>
              <w:widowControl w:val="0"/>
              <w:spacing w:line="320" w:lineRule="exact"/>
              <w:jc w:val="center"/>
              <w:rPr>
                <w:rFonts w:ascii="宋体" w:hAnsi="宋体" w:cs="宋体"/>
              </w:rPr>
            </w:pPr>
            <w:r>
              <w:rPr>
                <w:rFonts w:hint="eastAsia" w:ascii="宋体" w:hAnsi="宋体" w:cs="宋体"/>
              </w:rPr>
              <w:t>购置时间</w:t>
            </w:r>
          </w:p>
        </w:tc>
        <w:tc>
          <w:tcPr>
            <w:tcW w:w="1440" w:type="dxa"/>
            <w:vAlign w:val="center"/>
          </w:tcPr>
          <w:p>
            <w:pPr>
              <w:widowControl w:val="0"/>
              <w:spacing w:line="320" w:lineRule="exact"/>
              <w:jc w:val="center"/>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widowControl w:val="0"/>
              <w:spacing w:line="320" w:lineRule="exact"/>
              <w:jc w:val="center"/>
              <w:rPr>
                <w:rFonts w:ascii="宋体" w:hAnsi="宋体" w:cs="宋体"/>
              </w:rPr>
            </w:pPr>
          </w:p>
        </w:tc>
        <w:tc>
          <w:tcPr>
            <w:tcW w:w="1800" w:type="dxa"/>
            <w:vAlign w:val="center"/>
          </w:tcPr>
          <w:p>
            <w:pPr>
              <w:widowControl w:val="0"/>
              <w:spacing w:line="320" w:lineRule="exact"/>
              <w:jc w:val="center"/>
              <w:rPr>
                <w:rFonts w:ascii="宋体" w:hAnsi="宋体" w:cs="宋体"/>
              </w:rPr>
            </w:pPr>
            <w:r>
              <w:rPr>
                <w:rFonts w:hint="eastAsia" w:ascii="宋体" w:hAnsi="宋体" w:cs="宋体"/>
              </w:rPr>
              <w:t>……</w:t>
            </w:r>
          </w:p>
        </w:tc>
        <w:tc>
          <w:tcPr>
            <w:tcW w:w="1080" w:type="dxa"/>
            <w:vAlign w:val="center"/>
          </w:tcPr>
          <w:p>
            <w:pPr>
              <w:widowControl w:val="0"/>
              <w:spacing w:line="320" w:lineRule="exact"/>
              <w:jc w:val="center"/>
              <w:rPr>
                <w:rFonts w:ascii="宋体" w:hAnsi="宋体" w:cs="宋体"/>
              </w:rPr>
            </w:pPr>
          </w:p>
        </w:tc>
        <w:tc>
          <w:tcPr>
            <w:tcW w:w="1980" w:type="dxa"/>
            <w:vAlign w:val="center"/>
          </w:tcPr>
          <w:p>
            <w:pPr>
              <w:widowControl w:val="0"/>
              <w:spacing w:line="320" w:lineRule="exact"/>
              <w:jc w:val="center"/>
              <w:rPr>
                <w:rFonts w:ascii="宋体" w:hAnsi="宋体" w:cs="宋体"/>
              </w:rPr>
            </w:pPr>
          </w:p>
        </w:tc>
        <w:tc>
          <w:tcPr>
            <w:tcW w:w="720" w:type="dxa"/>
            <w:vAlign w:val="center"/>
          </w:tcPr>
          <w:p>
            <w:pPr>
              <w:widowControl w:val="0"/>
              <w:spacing w:line="320" w:lineRule="exact"/>
              <w:jc w:val="center"/>
              <w:rPr>
                <w:rFonts w:ascii="宋体" w:hAnsi="宋体" w:cs="宋体"/>
              </w:rPr>
            </w:pPr>
          </w:p>
        </w:tc>
        <w:tc>
          <w:tcPr>
            <w:tcW w:w="1620" w:type="dxa"/>
            <w:vAlign w:val="center"/>
          </w:tcPr>
          <w:p>
            <w:pPr>
              <w:widowControl w:val="0"/>
              <w:spacing w:line="320" w:lineRule="exact"/>
              <w:jc w:val="center"/>
              <w:rPr>
                <w:rFonts w:ascii="宋体" w:hAnsi="宋体" w:cs="宋体"/>
              </w:rPr>
            </w:pPr>
          </w:p>
        </w:tc>
        <w:tc>
          <w:tcPr>
            <w:tcW w:w="1440" w:type="dxa"/>
            <w:vAlign w:val="center"/>
          </w:tcPr>
          <w:p>
            <w:pPr>
              <w:widowControl w:val="0"/>
              <w:spacing w:line="320" w:lineRule="exact"/>
              <w:jc w:val="center"/>
              <w:rPr>
                <w:rFonts w:ascii="宋体" w:hAnsi="宋体" w:cs="宋体"/>
              </w:rPr>
            </w:pPr>
            <w:r>
              <w:rPr>
                <w:rFonts w:hint="eastAsia" w:ascii="宋体" w:hAnsi="宋体" w:cs="宋体"/>
              </w:rPr>
              <w:t>自有/租赁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widowControl w:val="0"/>
              <w:spacing w:line="320" w:lineRule="exact"/>
              <w:jc w:val="center"/>
              <w:rPr>
                <w:rFonts w:ascii="宋体" w:hAnsi="宋体" w:cs="宋体"/>
              </w:rPr>
            </w:pPr>
          </w:p>
        </w:tc>
        <w:tc>
          <w:tcPr>
            <w:tcW w:w="1800" w:type="dxa"/>
            <w:vAlign w:val="center"/>
          </w:tcPr>
          <w:p>
            <w:pPr>
              <w:widowControl w:val="0"/>
              <w:spacing w:line="320" w:lineRule="exact"/>
              <w:jc w:val="center"/>
              <w:rPr>
                <w:rFonts w:ascii="宋体" w:hAnsi="宋体" w:cs="宋体"/>
              </w:rPr>
            </w:pPr>
          </w:p>
        </w:tc>
        <w:tc>
          <w:tcPr>
            <w:tcW w:w="1080" w:type="dxa"/>
            <w:vAlign w:val="center"/>
          </w:tcPr>
          <w:p>
            <w:pPr>
              <w:widowControl w:val="0"/>
              <w:spacing w:line="320" w:lineRule="exact"/>
              <w:jc w:val="center"/>
              <w:rPr>
                <w:rFonts w:ascii="宋体" w:hAnsi="宋体" w:cs="宋体"/>
              </w:rPr>
            </w:pPr>
          </w:p>
        </w:tc>
        <w:tc>
          <w:tcPr>
            <w:tcW w:w="1980" w:type="dxa"/>
            <w:vAlign w:val="center"/>
          </w:tcPr>
          <w:p>
            <w:pPr>
              <w:widowControl w:val="0"/>
              <w:spacing w:line="320" w:lineRule="exact"/>
              <w:jc w:val="center"/>
              <w:rPr>
                <w:rFonts w:ascii="宋体" w:hAnsi="宋体" w:cs="宋体"/>
              </w:rPr>
            </w:pPr>
          </w:p>
        </w:tc>
        <w:tc>
          <w:tcPr>
            <w:tcW w:w="720" w:type="dxa"/>
            <w:vAlign w:val="center"/>
          </w:tcPr>
          <w:p>
            <w:pPr>
              <w:widowControl w:val="0"/>
              <w:spacing w:line="320" w:lineRule="exact"/>
              <w:jc w:val="center"/>
              <w:rPr>
                <w:rFonts w:ascii="宋体" w:hAnsi="宋体" w:cs="宋体"/>
              </w:rPr>
            </w:pPr>
          </w:p>
        </w:tc>
        <w:tc>
          <w:tcPr>
            <w:tcW w:w="1620" w:type="dxa"/>
            <w:vAlign w:val="center"/>
          </w:tcPr>
          <w:p>
            <w:pPr>
              <w:widowControl w:val="0"/>
              <w:spacing w:line="320" w:lineRule="exact"/>
              <w:jc w:val="center"/>
              <w:rPr>
                <w:rFonts w:ascii="宋体" w:hAnsi="宋体" w:cs="宋体"/>
              </w:rPr>
            </w:pPr>
          </w:p>
        </w:tc>
        <w:tc>
          <w:tcPr>
            <w:tcW w:w="1440" w:type="dxa"/>
            <w:vAlign w:val="center"/>
          </w:tcPr>
          <w:p>
            <w:pPr>
              <w:widowControl w:val="0"/>
              <w:spacing w:line="32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widowControl w:val="0"/>
              <w:spacing w:line="320" w:lineRule="exact"/>
              <w:jc w:val="center"/>
              <w:rPr>
                <w:rFonts w:ascii="宋体" w:hAnsi="宋体" w:cs="宋体"/>
              </w:rPr>
            </w:pPr>
          </w:p>
        </w:tc>
        <w:tc>
          <w:tcPr>
            <w:tcW w:w="1800" w:type="dxa"/>
            <w:vAlign w:val="center"/>
          </w:tcPr>
          <w:p>
            <w:pPr>
              <w:widowControl w:val="0"/>
              <w:spacing w:line="320" w:lineRule="exact"/>
              <w:jc w:val="center"/>
              <w:rPr>
                <w:rFonts w:ascii="宋体" w:hAnsi="宋体" w:cs="宋体"/>
              </w:rPr>
            </w:pPr>
          </w:p>
        </w:tc>
        <w:tc>
          <w:tcPr>
            <w:tcW w:w="1080" w:type="dxa"/>
            <w:vAlign w:val="center"/>
          </w:tcPr>
          <w:p>
            <w:pPr>
              <w:widowControl w:val="0"/>
              <w:spacing w:line="320" w:lineRule="exact"/>
              <w:jc w:val="center"/>
              <w:rPr>
                <w:rFonts w:ascii="宋体" w:hAnsi="宋体" w:cs="宋体"/>
              </w:rPr>
            </w:pPr>
          </w:p>
        </w:tc>
        <w:tc>
          <w:tcPr>
            <w:tcW w:w="1980" w:type="dxa"/>
            <w:vAlign w:val="center"/>
          </w:tcPr>
          <w:p>
            <w:pPr>
              <w:widowControl w:val="0"/>
              <w:spacing w:line="320" w:lineRule="exact"/>
              <w:jc w:val="center"/>
              <w:rPr>
                <w:rFonts w:ascii="宋体" w:hAnsi="宋体" w:cs="宋体"/>
              </w:rPr>
            </w:pPr>
          </w:p>
        </w:tc>
        <w:tc>
          <w:tcPr>
            <w:tcW w:w="720" w:type="dxa"/>
            <w:vAlign w:val="center"/>
          </w:tcPr>
          <w:p>
            <w:pPr>
              <w:widowControl w:val="0"/>
              <w:spacing w:line="320" w:lineRule="exact"/>
              <w:jc w:val="center"/>
              <w:rPr>
                <w:rFonts w:ascii="宋体" w:hAnsi="宋体" w:cs="宋体"/>
              </w:rPr>
            </w:pPr>
          </w:p>
        </w:tc>
        <w:tc>
          <w:tcPr>
            <w:tcW w:w="1620" w:type="dxa"/>
            <w:vAlign w:val="center"/>
          </w:tcPr>
          <w:p>
            <w:pPr>
              <w:widowControl w:val="0"/>
              <w:spacing w:line="320" w:lineRule="exact"/>
              <w:jc w:val="center"/>
              <w:rPr>
                <w:rFonts w:ascii="宋体" w:hAnsi="宋体" w:cs="宋体"/>
              </w:rPr>
            </w:pPr>
          </w:p>
        </w:tc>
        <w:tc>
          <w:tcPr>
            <w:tcW w:w="1440" w:type="dxa"/>
            <w:vAlign w:val="center"/>
          </w:tcPr>
          <w:p>
            <w:pPr>
              <w:widowControl w:val="0"/>
              <w:spacing w:line="32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widowControl w:val="0"/>
              <w:spacing w:line="320" w:lineRule="exact"/>
              <w:jc w:val="center"/>
              <w:rPr>
                <w:rFonts w:ascii="宋体" w:hAnsi="宋体" w:cs="宋体"/>
              </w:rPr>
            </w:pPr>
          </w:p>
        </w:tc>
        <w:tc>
          <w:tcPr>
            <w:tcW w:w="1800" w:type="dxa"/>
            <w:vAlign w:val="center"/>
          </w:tcPr>
          <w:p>
            <w:pPr>
              <w:widowControl w:val="0"/>
              <w:spacing w:line="320" w:lineRule="exact"/>
              <w:jc w:val="center"/>
              <w:rPr>
                <w:rFonts w:ascii="宋体" w:hAnsi="宋体" w:cs="宋体"/>
              </w:rPr>
            </w:pPr>
          </w:p>
        </w:tc>
        <w:tc>
          <w:tcPr>
            <w:tcW w:w="1080" w:type="dxa"/>
            <w:vAlign w:val="center"/>
          </w:tcPr>
          <w:p>
            <w:pPr>
              <w:widowControl w:val="0"/>
              <w:spacing w:line="320" w:lineRule="exact"/>
              <w:jc w:val="center"/>
              <w:rPr>
                <w:rFonts w:ascii="宋体" w:hAnsi="宋体" w:cs="宋体"/>
              </w:rPr>
            </w:pPr>
          </w:p>
        </w:tc>
        <w:tc>
          <w:tcPr>
            <w:tcW w:w="1980" w:type="dxa"/>
            <w:vAlign w:val="center"/>
          </w:tcPr>
          <w:p>
            <w:pPr>
              <w:widowControl w:val="0"/>
              <w:spacing w:line="320" w:lineRule="exact"/>
              <w:jc w:val="center"/>
              <w:rPr>
                <w:rFonts w:ascii="宋体" w:hAnsi="宋体" w:cs="宋体"/>
              </w:rPr>
            </w:pPr>
          </w:p>
        </w:tc>
        <w:tc>
          <w:tcPr>
            <w:tcW w:w="720" w:type="dxa"/>
            <w:vAlign w:val="center"/>
          </w:tcPr>
          <w:p>
            <w:pPr>
              <w:widowControl w:val="0"/>
              <w:spacing w:line="320" w:lineRule="exact"/>
              <w:jc w:val="center"/>
              <w:rPr>
                <w:rFonts w:ascii="宋体" w:hAnsi="宋体" w:cs="宋体"/>
              </w:rPr>
            </w:pPr>
          </w:p>
        </w:tc>
        <w:tc>
          <w:tcPr>
            <w:tcW w:w="1620" w:type="dxa"/>
            <w:vAlign w:val="center"/>
          </w:tcPr>
          <w:p>
            <w:pPr>
              <w:widowControl w:val="0"/>
              <w:spacing w:line="320" w:lineRule="exact"/>
              <w:jc w:val="center"/>
              <w:rPr>
                <w:rFonts w:ascii="宋体" w:hAnsi="宋体" w:cs="宋体"/>
              </w:rPr>
            </w:pPr>
          </w:p>
        </w:tc>
        <w:tc>
          <w:tcPr>
            <w:tcW w:w="1440" w:type="dxa"/>
            <w:vAlign w:val="center"/>
          </w:tcPr>
          <w:p>
            <w:pPr>
              <w:widowControl w:val="0"/>
              <w:spacing w:line="32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pPr>
              <w:widowControl w:val="0"/>
              <w:spacing w:line="320" w:lineRule="exact"/>
              <w:jc w:val="center"/>
              <w:rPr>
                <w:rFonts w:ascii="宋体" w:hAnsi="宋体" w:cs="宋体"/>
              </w:rPr>
            </w:pPr>
          </w:p>
        </w:tc>
        <w:tc>
          <w:tcPr>
            <w:tcW w:w="1800" w:type="dxa"/>
            <w:vAlign w:val="center"/>
          </w:tcPr>
          <w:p>
            <w:pPr>
              <w:widowControl w:val="0"/>
              <w:spacing w:line="320" w:lineRule="exact"/>
              <w:jc w:val="center"/>
              <w:rPr>
                <w:rFonts w:ascii="宋体" w:hAnsi="宋体" w:cs="宋体"/>
              </w:rPr>
            </w:pPr>
          </w:p>
        </w:tc>
        <w:tc>
          <w:tcPr>
            <w:tcW w:w="1080" w:type="dxa"/>
            <w:vAlign w:val="center"/>
          </w:tcPr>
          <w:p>
            <w:pPr>
              <w:widowControl w:val="0"/>
              <w:spacing w:line="320" w:lineRule="exact"/>
              <w:jc w:val="center"/>
              <w:rPr>
                <w:rFonts w:ascii="宋体" w:hAnsi="宋体" w:cs="宋体"/>
              </w:rPr>
            </w:pPr>
          </w:p>
        </w:tc>
        <w:tc>
          <w:tcPr>
            <w:tcW w:w="1980" w:type="dxa"/>
            <w:vAlign w:val="center"/>
          </w:tcPr>
          <w:p>
            <w:pPr>
              <w:widowControl w:val="0"/>
              <w:spacing w:line="320" w:lineRule="exact"/>
              <w:jc w:val="center"/>
              <w:rPr>
                <w:rFonts w:ascii="宋体" w:hAnsi="宋体" w:cs="宋体"/>
              </w:rPr>
            </w:pPr>
          </w:p>
        </w:tc>
        <w:tc>
          <w:tcPr>
            <w:tcW w:w="720" w:type="dxa"/>
            <w:vAlign w:val="center"/>
          </w:tcPr>
          <w:p>
            <w:pPr>
              <w:widowControl w:val="0"/>
              <w:spacing w:line="320" w:lineRule="exact"/>
              <w:jc w:val="center"/>
              <w:rPr>
                <w:rFonts w:ascii="宋体" w:hAnsi="宋体" w:cs="宋体"/>
              </w:rPr>
            </w:pPr>
          </w:p>
        </w:tc>
        <w:tc>
          <w:tcPr>
            <w:tcW w:w="1620" w:type="dxa"/>
            <w:vAlign w:val="center"/>
          </w:tcPr>
          <w:p>
            <w:pPr>
              <w:widowControl w:val="0"/>
              <w:spacing w:line="320" w:lineRule="exact"/>
              <w:jc w:val="center"/>
              <w:rPr>
                <w:rFonts w:ascii="宋体" w:hAnsi="宋体" w:cs="宋体"/>
              </w:rPr>
            </w:pPr>
          </w:p>
        </w:tc>
        <w:tc>
          <w:tcPr>
            <w:tcW w:w="1440" w:type="dxa"/>
            <w:vAlign w:val="center"/>
          </w:tcPr>
          <w:p>
            <w:pPr>
              <w:widowControl w:val="0"/>
              <w:spacing w:line="320" w:lineRule="exact"/>
              <w:jc w:val="center"/>
              <w:rPr>
                <w:rFonts w:ascii="宋体" w:hAnsi="宋体" w:cs="宋体"/>
              </w:rPr>
            </w:pPr>
          </w:p>
        </w:tc>
      </w:tr>
    </w:tbl>
    <w:p>
      <w:pPr>
        <w:pStyle w:val="32"/>
        <w:widowControl w:val="0"/>
        <w:rPr>
          <w:rFonts w:ascii="宋体" w:hAnsi="宋体" w:eastAsia="宋体" w:cs="宋体"/>
        </w:rPr>
      </w:pPr>
    </w:p>
    <w:p>
      <w:pPr>
        <w:widowControl w:val="0"/>
        <w:spacing w:line="360" w:lineRule="auto"/>
        <w:rPr>
          <w:rFonts w:ascii="宋体" w:hAnsi="宋体" w:cs="宋体"/>
          <w:b/>
          <w:sz w:val="21"/>
          <w:szCs w:val="21"/>
        </w:rPr>
      </w:pPr>
      <w:r>
        <w:rPr>
          <w:rFonts w:hint="eastAsia" w:ascii="宋体" w:hAnsi="宋体" w:cs="宋体"/>
          <w:b/>
          <w:sz w:val="21"/>
          <w:szCs w:val="21"/>
        </w:rPr>
        <w:t>注 1、此表提供的设备须同时提供发票复印件、车辆行驶证，非投标人单位名下的资产或提供相关证明材料的或属于租赁使用的资产均不予计分。</w:t>
      </w:r>
    </w:p>
    <w:p>
      <w:pPr>
        <w:widowControl w:val="0"/>
        <w:spacing w:line="360" w:lineRule="auto"/>
        <w:ind w:firstLine="310" w:firstLineChars="147"/>
        <w:rPr>
          <w:rFonts w:ascii="宋体" w:hAnsi="宋体" w:cs="宋体"/>
          <w:b/>
          <w:sz w:val="21"/>
          <w:szCs w:val="21"/>
        </w:rPr>
      </w:pPr>
      <w:r>
        <w:rPr>
          <w:rFonts w:hint="eastAsia" w:ascii="宋体" w:hAnsi="宋体" w:cs="宋体"/>
          <w:b/>
          <w:sz w:val="21"/>
          <w:szCs w:val="21"/>
        </w:rPr>
        <w:t>2、此表在不改变表式的情况下，可自行制作。</w:t>
      </w:r>
    </w:p>
    <w:p>
      <w:pPr>
        <w:pStyle w:val="22"/>
        <w:widowControl w:val="0"/>
        <w:adjustRightInd w:val="0"/>
        <w:snapToGrid w:val="0"/>
        <w:spacing w:before="0" w:beforeAutospacing="0" w:after="0" w:afterAutospacing="0" w:line="360" w:lineRule="auto"/>
        <w:ind w:firstLine="720" w:firstLineChars="300"/>
        <w:rPr>
          <w:rFonts w:cs="宋体"/>
        </w:rPr>
      </w:pPr>
    </w:p>
    <w:p>
      <w:pPr>
        <w:pStyle w:val="22"/>
        <w:widowControl w:val="0"/>
        <w:adjustRightInd w:val="0"/>
        <w:snapToGrid w:val="0"/>
        <w:spacing w:before="0" w:beforeAutospacing="0" w:after="0" w:afterAutospacing="0" w:line="360" w:lineRule="auto"/>
        <w:ind w:firstLine="720" w:firstLineChars="300"/>
        <w:rPr>
          <w:rFonts w:cs="宋体"/>
        </w:rPr>
      </w:pPr>
      <w:r>
        <w:rPr>
          <w:rFonts w:hint="eastAsia" w:cs="宋体"/>
        </w:rPr>
        <w:t>投标人（盖章）：__________________________</w:t>
      </w:r>
    </w:p>
    <w:p>
      <w:pPr>
        <w:pStyle w:val="22"/>
        <w:widowControl w:val="0"/>
        <w:adjustRightInd w:val="0"/>
        <w:snapToGrid w:val="0"/>
        <w:spacing w:before="0" w:beforeAutospacing="0" w:after="0" w:afterAutospacing="0" w:line="360" w:lineRule="auto"/>
        <w:ind w:firstLine="720" w:firstLineChars="300"/>
        <w:rPr>
          <w:rFonts w:cs="宋体"/>
        </w:rPr>
      </w:pPr>
      <w:r>
        <w:rPr>
          <w:rFonts w:hint="eastAsia" w:cs="宋体"/>
        </w:rPr>
        <w:t>投标人全权代表（签字）：____________________</w:t>
      </w:r>
    </w:p>
    <w:p>
      <w:pPr>
        <w:pStyle w:val="22"/>
        <w:widowControl w:val="0"/>
        <w:adjustRightInd w:val="0"/>
        <w:snapToGrid w:val="0"/>
        <w:spacing w:before="0" w:beforeAutospacing="0" w:after="0" w:afterAutospacing="0"/>
        <w:ind w:firstLine="720" w:firstLineChars="300"/>
        <w:rPr>
          <w:rFonts w:cs="宋体"/>
          <w:u w:val="single"/>
        </w:rPr>
      </w:pPr>
      <w:r>
        <w:rPr>
          <w:rFonts w:hint="eastAsia" w:cs="宋体"/>
        </w:rPr>
        <w:t>日期：____年____月____日</w:t>
      </w:r>
    </w:p>
    <w:p>
      <w:pPr>
        <w:pStyle w:val="22"/>
        <w:widowControl w:val="0"/>
        <w:adjustRightInd w:val="0"/>
        <w:snapToGrid w:val="0"/>
        <w:jc w:val="center"/>
        <w:rPr>
          <w:rFonts w:cs="宋体"/>
          <w:b/>
          <w:sz w:val="32"/>
          <w:szCs w:val="32"/>
        </w:rPr>
      </w:pPr>
    </w:p>
    <w:p>
      <w:pPr>
        <w:pStyle w:val="22"/>
        <w:widowControl w:val="0"/>
        <w:adjustRightInd w:val="0"/>
        <w:snapToGrid w:val="0"/>
        <w:jc w:val="center"/>
        <w:rPr>
          <w:rFonts w:cs="宋体"/>
          <w:b/>
          <w:sz w:val="32"/>
          <w:szCs w:val="32"/>
        </w:rPr>
      </w:pPr>
      <w:r>
        <w:rPr>
          <w:rFonts w:hint="eastAsia" w:cs="宋体"/>
          <w:b/>
          <w:sz w:val="32"/>
          <w:szCs w:val="32"/>
        </w:rPr>
        <w:t>九、服务计划书</w:t>
      </w:r>
    </w:p>
    <w:p>
      <w:pPr>
        <w:widowControl w:val="0"/>
        <w:adjustRightInd w:val="0"/>
        <w:snapToGrid w:val="0"/>
        <w:spacing w:line="440" w:lineRule="exact"/>
        <w:ind w:firstLine="435"/>
        <w:rPr>
          <w:rFonts w:ascii="宋体" w:hAnsi="宋体" w:cs="宋体"/>
        </w:rPr>
      </w:pPr>
      <w:r>
        <w:rPr>
          <w:rFonts w:hint="eastAsia" w:ascii="宋体" w:hAnsi="宋体" w:cs="宋体"/>
        </w:rPr>
        <w:t>由各投标人自行填写并加盖公章：</w:t>
      </w:r>
    </w:p>
    <w:p>
      <w:pPr>
        <w:widowControl w:val="0"/>
        <w:adjustRightInd w:val="0"/>
        <w:snapToGrid w:val="0"/>
        <w:spacing w:line="440" w:lineRule="exact"/>
        <w:ind w:firstLine="435"/>
        <w:rPr>
          <w:rFonts w:ascii="宋体" w:hAnsi="宋体" w:cs="宋体"/>
        </w:rPr>
      </w:pPr>
      <w:r>
        <w:rPr>
          <w:rFonts w:hint="eastAsia" w:ascii="宋体" w:hAnsi="宋体" w:cs="宋体"/>
        </w:rPr>
        <w:t>须包括服务方案、组织实施方案、服务及质量承诺、应急保障及危机处理预案等</w:t>
      </w:r>
    </w:p>
    <w:p>
      <w:pPr>
        <w:pStyle w:val="22"/>
        <w:widowControl w:val="0"/>
        <w:adjustRightInd w:val="0"/>
        <w:snapToGrid w:val="0"/>
        <w:rPr>
          <w:rFonts w:cs="宋体"/>
          <w:b/>
          <w:sz w:val="32"/>
          <w:szCs w:val="32"/>
        </w:rPr>
      </w:pPr>
    </w:p>
    <w:p>
      <w:pPr>
        <w:pStyle w:val="22"/>
        <w:widowControl w:val="0"/>
        <w:adjustRightInd w:val="0"/>
        <w:snapToGrid w:val="0"/>
        <w:ind w:firstLine="3534" w:firstLineChars="1100"/>
        <w:rPr>
          <w:rFonts w:cs="宋体"/>
          <w:b/>
          <w:sz w:val="32"/>
          <w:szCs w:val="32"/>
        </w:rPr>
      </w:pPr>
      <w:r>
        <w:rPr>
          <w:rFonts w:hint="eastAsia" w:cs="宋体"/>
          <w:b/>
          <w:sz w:val="32"/>
          <w:szCs w:val="32"/>
        </w:rPr>
        <w:t>十、同类业绩</w:t>
      </w:r>
    </w:p>
    <w:tbl>
      <w:tblPr>
        <w:tblStyle w:val="36"/>
        <w:tblW w:w="0" w:type="auto"/>
        <w:jc w:val="center"/>
        <w:tblLayout w:type="fixed"/>
        <w:tblCellMar>
          <w:top w:w="0" w:type="dxa"/>
          <w:left w:w="0" w:type="dxa"/>
          <w:bottom w:w="0" w:type="dxa"/>
          <w:right w:w="0" w:type="dxa"/>
        </w:tblCellMar>
      </w:tblPr>
      <w:tblGrid>
        <w:gridCol w:w="2765"/>
        <w:gridCol w:w="1456"/>
        <w:gridCol w:w="1757"/>
        <w:gridCol w:w="1531"/>
        <w:gridCol w:w="1132"/>
      </w:tblGrid>
      <w:tr>
        <w:tblPrEx>
          <w:tblCellMar>
            <w:top w:w="0" w:type="dxa"/>
            <w:left w:w="0" w:type="dxa"/>
            <w:bottom w:w="0" w:type="dxa"/>
            <w:right w:w="0" w:type="dxa"/>
          </w:tblCellMar>
        </w:tblPrEx>
        <w:trPr>
          <w:trHeight w:val="794" w:hRule="atLeast"/>
          <w:jc w:val="center"/>
        </w:trPr>
        <w:tc>
          <w:tcPr>
            <w:tcW w:w="27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sz w:val="27"/>
                <w:szCs w:val="27"/>
              </w:rPr>
              <w:t> </w:t>
            </w:r>
            <w:r>
              <w:rPr>
                <w:rFonts w:hint="eastAsia" w:ascii="宋体" w:hAnsi="宋体" w:cs="宋体"/>
              </w:rPr>
              <w:t>项目名称</w:t>
            </w:r>
          </w:p>
        </w:tc>
        <w:tc>
          <w:tcPr>
            <w:tcW w:w="145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合同金额</w:t>
            </w:r>
          </w:p>
        </w:tc>
        <w:tc>
          <w:tcPr>
            <w:tcW w:w="175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完成时间</w:t>
            </w:r>
          </w:p>
        </w:tc>
        <w:tc>
          <w:tcPr>
            <w:tcW w:w="153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业主名称及联系方式</w:t>
            </w:r>
          </w:p>
        </w:tc>
        <w:tc>
          <w:tcPr>
            <w:tcW w:w="11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备注</w:t>
            </w:r>
          </w:p>
        </w:tc>
      </w:tr>
      <w:tr>
        <w:tblPrEx>
          <w:tblCellMar>
            <w:top w:w="0" w:type="dxa"/>
            <w:left w:w="0" w:type="dxa"/>
            <w:bottom w:w="0" w:type="dxa"/>
            <w:right w:w="0" w:type="dxa"/>
          </w:tblCellMar>
        </w:tblPrEx>
        <w:trPr>
          <w:trHeight w:val="794" w:hRule="atLeast"/>
          <w:jc w:val="center"/>
        </w:trPr>
        <w:tc>
          <w:tcPr>
            <w:tcW w:w="27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45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75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53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p>
        </w:tc>
        <w:tc>
          <w:tcPr>
            <w:tcW w:w="11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r>
      <w:tr>
        <w:tblPrEx>
          <w:tblCellMar>
            <w:top w:w="0" w:type="dxa"/>
            <w:left w:w="0" w:type="dxa"/>
            <w:bottom w:w="0" w:type="dxa"/>
            <w:right w:w="0" w:type="dxa"/>
          </w:tblCellMar>
        </w:tblPrEx>
        <w:trPr>
          <w:trHeight w:val="794" w:hRule="atLeast"/>
          <w:jc w:val="center"/>
        </w:trPr>
        <w:tc>
          <w:tcPr>
            <w:tcW w:w="27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45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75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53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p>
        </w:tc>
        <w:tc>
          <w:tcPr>
            <w:tcW w:w="11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r>
      <w:tr>
        <w:tblPrEx>
          <w:tblCellMar>
            <w:top w:w="0" w:type="dxa"/>
            <w:left w:w="0" w:type="dxa"/>
            <w:bottom w:w="0" w:type="dxa"/>
            <w:right w:w="0" w:type="dxa"/>
          </w:tblCellMar>
        </w:tblPrEx>
        <w:trPr>
          <w:trHeight w:val="794" w:hRule="atLeast"/>
          <w:jc w:val="center"/>
        </w:trPr>
        <w:tc>
          <w:tcPr>
            <w:tcW w:w="27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45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75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53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p>
        </w:tc>
        <w:tc>
          <w:tcPr>
            <w:tcW w:w="11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r>
      <w:tr>
        <w:tblPrEx>
          <w:tblCellMar>
            <w:top w:w="0" w:type="dxa"/>
            <w:left w:w="0" w:type="dxa"/>
            <w:bottom w:w="0" w:type="dxa"/>
            <w:right w:w="0" w:type="dxa"/>
          </w:tblCellMar>
        </w:tblPrEx>
        <w:trPr>
          <w:trHeight w:val="794" w:hRule="atLeast"/>
          <w:jc w:val="center"/>
        </w:trPr>
        <w:tc>
          <w:tcPr>
            <w:tcW w:w="27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45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75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c>
          <w:tcPr>
            <w:tcW w:w="153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p>
        </w:tc>
        <w:tc>
          <w:tcPr>
            <w:tcW w:w="11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60" w:lineRule="atLeast"/>
              <w:jc w:val="center"/>
              <w:rPr>
                <w:rFonts w:ascii="宋体" w:hAnsi="宋体" w:cs="宋体"/>
              </w:rPr>
            </w:pPr>
            <w:r>
              <w:rPr>
                <w:rFonts w:hint="eastAsia" w:ascii="宋体" w:hAnsi="宋体" w:cs="宋体"/>
              </w:rPr>
              <w:t> </w:t>
            </w:r>
          </w:p>
        </w:tc>
      </w:tr>
    </w:tbl>
    <w:p>
      <w:pPr>
        <w:widowControl w:val="0"/>
        <w:adjustRightInd w:val="0"/>
        <w:snapToGrid w:val="0"/>
        <w:spacing w:line="440" w:lineRule="exact"/>
        <w:ind w:firstLine="435"/>
        <w:rPr>
          <w:rFonts w:ascii="宋体" w:hAnsi="宋体" w:cs="宋体"/>
        </w:rPr>
      </w:pPr>
      <w:r>
        <w:rPr>
          <w:rFonts w:hint="eastAsia" w:ascii="宋体" w:hAnsi="宋体" w:cs="宋体"/>
        </w:rPr>
        <w:t>注：加盖公章的合同复印件附后。</w:t>
      </w:r>
    </w:p>
    <w:p>
      <w:pPr>
        <w:pStyle w:val="33"/>
        <w:widowControl w:val="0"/>
        <w:adjustRightInd w:val="0"/>
        <w:snapToGrid w:val="0"/>
        <w:spacing w:line="390" w:lineRule="atLeast"/>
        <w:jc w:val="center"/>
        <w:rPr>
          <w:rFonts w:hint="default" w:cs="宋体"/>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ˎ̥">
    <w:altName w:val="Times New Roman"/>
    <w:panose1 w:val="00000000000000000000"/>
    <w:charset w:val="00"/>
    <w:family w:val="roman"/>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9260706"/>
      <w:docPartObj>
        <w:docPartGallery w:val="autotext"/>
      </w:docPartObj>
    </w:sdtPr>
    <w:sdtContent>
      <w:p>
        <w:pPr>
          <w:pStyle w:val="26"/>
          <w:jc w:val="center"/>
        </w:pPr>
        <w:r>
          <w:fldChar w:fldCharType="begin"/>
        </w:r>
        <w:r>
          <w:instrText xml:space="preserve">PAGE   \* MERGEFORMAT</w:instrText>
        </w:r>
        <w:r>
          <w:fldChar w:fldCharType="separate"/>
        </w:r>
        <w:r>
          <w:rPr>
            <w:lang w:val="zh-CN"/>
          </w:rPr>
          <w:t>32</w:t>
        </w:r>
        <w:r>
          <w:rPr>
            <w:lang w:val="zh-CN"/>
          </w:rPr>
          <w:fldChar w:fldCharType="end"/>
        </w:r>
      </w:p>
    </w:sdtContent>
  </w:sdt>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rPr>
        <w:rStyle w:val="40"/>
      </w:rPr>
    </w:pPr>
    <w:r>
      <w:fldChar w:fldCharType="begin"/>
    </w:r>
    <w:r>
      <w:rPr>
        <w:rStyle w:val="40"/>
      </w:rPr>
      <w:instrText xml:space="preserve">PAGE  </w:instrText>
    </w:r>
    <w: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_x0000_s2052" o:spid="_x0000_s2052" o:spt="136" type="#_x0000_t136" style="position:absolute;left:0pt;height:39.75pt;width:324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t" xscale="f" string="金华阳光招标代理" style="font-family:楷体_GB2312;font-size:40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_x0000_s2051" o:spid="_x0000_s2051" o:spt="136" type="#_x0000_t136" style="position:absolute;left:0pt;height:39.75pt;width:324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金华阳光招标代理" style="font-family:楷体_GB2312;font-size:40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D0D4F1"/>
    <w:multiLevelType w:val="singleLevel"/>
    <w:tmpl w:val="E7D0D4F1"/>
    <w:lvl w:ilvl="0" w:tentative="0">
      <w:start w:val="1"/>
      <w:numFmt w:val="decimal"/>
      <w:pStyle w:val="78"/>
      <w:suff w:val="nothing"/>
      <w:lvlText w:val="%1、"/>
      <w:lvlJc w:val="left"/>
    </w:lvl>
  </w:abstractNum>
  <w:abstractNum w:abstractNumId="1">
    <w:nsid w:val="3B9040E9"/>
    <w:multiLevelType w:val="multilevel"/>
    <w:tmpl w:val="3B9040E9"/>
    <w:lvl w:ilvl="0" w:tentative="0">
      <w:start w:val="1"/>
      <w:numFmt w:val="none"/>
      <w:lvlText w:val="一、"/>
      <w:lvlJc w:val="left"/>
      <w:pPr>
        <w:tabs>
          <w:tab w:val="left" w:pos="960"/>
        </w:tabs>
        <w:ind w:left="960" w:hanging="480"/>
      </w:pPr>
      <w:rPr>
        <w:rFonts w:hint="eastAsia"/>
      </w:rPr>
    </w:lvl>
    <w:lvl w:ilvl="1" w:tentative="0">
      <w:start w:val="1"/>
      <w:numFmt w:val="japaneseCounting"/>
      <w:lvlText w:val="%2、"/>
      <w:lvlJc w:val="left"/>
      <w:pPr>
        <w:tabs>
          <w:tab w:val="left" w:pos="1380"/>
        </w:tabs>
        <w:ind w:left="1380" w:hanging="48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5A960E73"/>
    <w:multiLevelType w:val="singleLevel"/>
    <w:tmpl w:val="5A960E73"/>
    <w:lvl w:ilvl="0" w:tentative="0">
      <w:start w:val="1"/>
      <w:numFmt w:val="chineseCounting"/>
      <w:suff w:val="nothing"/>
      <w:lvlText w:val="%1、"/>
      <w:lvlJc w:val="left"/>
    </w:lvl>
  </w:abstractNum>
  <w:abstractNum w:abstractNumId="3">
    <w:nsid w:val="69FD4D82"/>
    <w:multiLevelType w:val="multilevel"/>
    <w:tmpl w:val="69FD4D8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D84"/>
    <w:rsid w:val="00051449"/>
    <w:rsid w:val="000A7231"/>
    <w:rsid w:val="000C2CA0"/>
    <w:rsid w:val="000C3E0D"/>
    <w:rsid w:val="00110C3F"/>
    <w:rsid w:val="001C67BD"/>
    <w:rsid w:val="001D78DD"/>
    <w:rsid w:val="00244C69"/>
    <w:rsid w:val="00297F64"/>
    <w:rsid w:val="003135F4"/>
    <w:rsid w:val="00387062"/>
    <w:rsid w:val="003A0ECC"/>
    <w:rsid w:val="003D4702"/>
    <w:rsid w:val="003F6248"/>
    <w:rsid w:val="00451390"/>
    <w:rsid w:val="00520D84"/>
    <w:rsid w:val="0054656E"/>
    <w:rsid w:val="00560261"/>
    <w:rsid w:val="00592317"/>
    <w:rsid w:val="0061577C"/>
    <w:rsid w:val="006F16F9"/>
    <w:rsid w:val="00764264"/>
    <w:rsid w:val="007775BF"/>
    <w:rsid w:val="00796F7A"/>
    <w:rsid w:val="007D3E97"/>
    <w:rsid w:val="007E69FE"/>
    <w:rsid w:val="00807012"/>
    <w:rsid w:val="00811015"/>
    <w:rsid w:val="0086178A"/>
    <w:rsid w:val="008C06AF"/>
    <w:rsid w:val="008D53C7"/>
    <w:rsid w:val="009D0293"/>
    <w:rsid w:val="009F1B0D"/>
    <w:rsid w:val="00A70C4E"/>
    <w:rsid w:val="00A72998"/>
    <w:rsid w:val="00AC1D41"/>
    <w:rsid w:val="00B32CEC"/>
    <w:rsid w:val="00B6298A"/>
    <w:rsid w:val="00BF660D"/>
    <w:rsid w:val="00CA3519"/>
    <w:rsid w:val="00CF3125"/>
    <w:rsid w:val="00D951EA"/>
    <w:rsid w:val="00DB385B"/>
    <w:rsid w:val="00DC4630"/>
    <w:rsid w:val="00DC590A"/>
    <w:rsid w:val="00E03BA8"/>
    <w:rsid w:val="00E3344E"/>
    <w:rsid w:val="00E744E1"/>
    <w:rsid w:val="00E87423"/>
    <w:rsid w:val="00F20AED"/>
    <w:rsid w:val="00F727E6"/>
    <w:rsid w:val="00FA7B69"/>
    <w:rsid w:val="00FD3249"/>
    <w:rsid w:val="00FF2374"/>
    <w:rsid w:val="0A7D0727"/>
    <w:rsid w:val="13E12F17"/>
    <w:rsid w:val="236A2239"/>
    <w:rsid w:val="327B5F97"/>
    <w:rsid w:val="4CF5587D"/>
    <w:rsid w:val="54885B26"/>
    <w:rsid w:val="57F32624"/>
    <w:rsid w:val="5D931F06"/>
    <w:rsid w:val="61402A2F"/>
    <w:rsid w:val="66982FE9"/>
    <w:rsid w:val="6AC03FD5"/>
    <w:rsid w:val="74197ECF"/>
    <w:rsid w:val="78481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0" w:semiHidden="0" w:name="toc 2"/>
    <w:lsdException w:qFormat="1" w:unhideWhenUsed="0" w:uiPriority="0"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4">
    <w:name w:val="heading 1"/>
    <w:basedOn w:val="1"/>
    <w:next w:val="1"/>
    <w:link w:val="4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7"/>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8"/>
    <w:qFormat/>
    <w:uiPriority w:val="0"/>
    <w:pPr>
      <w:keepNext/>
      <w:keepLines/>
      <w:widowControl w:val="0"/>
      <w:spacing w:before="260" w:after="260" w:line="416" w:lineRule="auto"/>
      <w:ind w:left="992" w:hanging="141"/>
      <w:jc w:val="both"/>
      <w:outlineLvl w:val="2"/>
    </w:pPr>
    <w:rPr>
      <w:b/>
      <w:bCs/>
      <w:kern w:val="2"/>
      <w:sz w:val="32"/>
      <w:szCs w:val="32"/>
    </w:rPr>
  </w:style>
  <w:style w:type="paragraph" w:styleId="7">
    <w:name w:val="heading 4"/>
    <w:basedOn w:val="1"/>
    <w:next w:val="1"/>
    <w:link w:val="49"/>
    <w:qFormat/>
    <w:uiPriority w:val="0"/>
    <w:pPr>
      <w:keepNext/>
      <w:keepLines/>
      <w:widowControl w:val="0"/>
      <w:spacing w:before="280" w:after="290" w:line="376" w:lineRule="auto"/>
      <w:ind w:left="1276"/>
      <w:jc w:val="both"/>
      <w:outlineLvl w:val="3"/>
    </w:pPr>
    <w:rPr>
      <w:rFonts w:ascii="Arial" w:hAnsi="Arial" w:eastAsia="黑体"/>
      <w:b/>
      <w:bCs/>
      <w:kern w:val="2"/>
      <w:sz w:val="28"/>
      <w:szCs w:val="28"/>
    </w:rPr>
  </w:style>
  <w:style w:type="paragraph" w:styleId="8">
    <w:name w:val="heading 5"/>
    <w:basedOn w:val="1"/>
    <w:next w:val="9"/>
    <w:link w:val="51"/>
    <w:qFormat/>
    <w:uiPriority w:val="99"/>
    <w:pPr>
      <w:keepNext/>
      <w:keepLines/>
      <w:widowControl w:val="0"/>
      <w:tabs>
        <w:tab w:val="left" w:pos="2580"/>
      </w:tabs>
      <w:spacing w:before="280" w:after="290" w:line="376" w:lineRule="auto"/>
      <w:ind w:left="2580" w:hanging="420"/>
      <w:jc w:val="both"/>
      <w:outlineLvl w:val="4"/>
    </w:pPr>
    <w:rPr>
      <w:b/>
      <w:kern w:val="2"/>
      <w:sz w:val="28"/>
      <w:szCs w:val="20"/>
    </w:rPr>
  </w:style>
  <w:style w:type="paragraph" w:styleId="10">
    <w:name w:val="heading 6"/>
    <w:basedOn w:val="1"/>
    <w:next w:val="9"/>
    <w:link w:val="52"/>
    <w:qFormat/>
    <w:uiPriority w:val="0"/>
    <w:pPr>
      <w:keepNext/>
      <w:widowControl w:val="0"/>
      <w:tabs>
        <w:tab w:val="left" w:pos="2157"/>
      </w:tabs>
      <w:spacing w:line="440" w:lineRule="exact"/>
      <w:ind w:left="1437" w:hanging="720"/>
      <w:jc w:val="both"/>
      <w:outlineLvl w:val="5"/>
    </w:pPr>
    <w:rPr>
      <w:kern w:val="2"/>
      <w:sz w:val="28"/>
      <w:szCs w:val="20"/>
    </w:rPr>
  </w:style>
  <w:style w:type="paragraph" w:styleId="11">
    <w:name w:val="heading 7"/>
    <w:basedOn w:val="1"/>
    <w:next w:val="1"/>
    <w:link w:val="53"/>
    <w:qFormat/>
    <w:uiPriority w:val="0"/>
    <w:pPr>
      <w:keepNext/>
      <w:keepLines/>
      <w:widowControl w:val="0"/>
      <w:spacing w:before="240" w:after="64" w:line="320" w:lineRule="auto"/>
      <w:jc w:val="both"/>
      <w:outlineLvl w:val="6"/>
    </w:pPr>
    <w:rPr>
      <w:b/>
      <w:bCs/>
      <w:kern w:val="2"/>
    </w:rPr>
  </w:style>
  <w:style w:type="paragraph" w:styleId="12">
    <w:name w:val="heading 8"/>
    <w:basedOn w:val="1"/>
    <w:next w:val="9"/>
    <w:link w:val="54"/>
    <w:qFormat/>
    <w:uiPriority w:val="0"/>
    <w:pPr>
      <w:keepNext/>
      <w:keepLines/>
      <w:widowControl w:val="0"/>
      <w:tabs>
        <w:tab w:val="left" w:pos="3840"/>
      </w:tabs>
      <w:spacing w:before="240" w:after="64" w:line="320" w:lineRule="auto"/>
      <w:ind w:left="3840" w:hanging="420"/>
      <w:jc w:val="both"/>
      <w:outlineLvl w:val="7"/>
    </w:pPr>
    <w:rPr>
      <w:rFonts w:ascii="Arial" w:hAnsi="Arial" w:eastAsia="黑体"/>
      <w:kern w:val="2"/>
      <w:szCs w:val="20"/>
    </w:rPr>
  </w:style>
  <w:style w:type="paragraph" w:styleId="13">
    <w:name w:val="heading 9"/>
    <w:basedOn w:val="1"/>
    <w:next w:val="9"/>
    <w:link w:val="55"/>
    <w:qFormat/>
    <w:uiPriority w:val="0"/>
    <w:pPr>
      <w:keepNext/>
      <w:keepLines/>
      <w:widowControl w:val="0"/>
      <w:tabs>
        <w:tab w:val="left" w:pos="4260"/>
      </w:tabs>
      <w:spacing w:before="240" w:after="64" w:line="320" w:lineRule="auto"/>
      <w:ind w:left="4260" w:hanging="420"/>
      <w:jc w:val="both"/>
      <w:outlineLvl w:val="8"/>
    </w:pPr>
    <w:rPr>
      <w:rFonts w:ascii="Arial" w:hAnsi="Arial" w:eastAsia="黑体"/>
      <w:kern w:val="2"/>
      <w:sz w:val="21"/>
      <w:szCs w:val="20"/>
    </w:rPr>
  </w:style>
  <w:style w:type="character" w:default="1" w:styleId="38">
    <w:name w:val="Default Paragraph Font"/>
    <w:semiHidden/>
    <w:unhideWhenUsed/>
    <w:qFormat/>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45"/>
    <w:qFormat/>
    <w:uiPriority w:val="99"/>
    <w:pPr>
      <w:ind w:firstLine="420" w:firstLineChars="200"/>
    </w:pPr>
  </w:style>
  <w:style w:type="paragraph" w:styleId="3">
    <w:name w:val="Body Text Indent"/>
    <w:basedOn w:val="1"/>
    <w:link w:val="44"/>
    <w:unhideWhenUsed/>
    <w:qFormat/>
    <w:uiPriority w:val="99"/>
    <w:pPr>
      <w:spacing w:after="120"/>
      <w:ind w:left="420" w:leftChars="200"/>
    </w:pPr>
  </w:style>
  <w:style w:type="paragraph" w:styleId="9">
    <w:name w:val="Normal Indent"/>
    <w:basedOn w:val="1"/>
    <w:link w:val="50"/>
    <w:qFormat/>
    <w:uiPriority w:val="0"/>
    <w:pPr>
      <w:widowControl w:val="0"/>
      <w:spacing w:line="360" w:lineRule="auto"/>
      <w:ind w:firstLine="200" w:firstLineChars="200"/>
    </w:pPr>
    <w:rPr>
      <w:rFonts w:asciiTheme="minorHAnsi" w:hAnsiTheme="minorHAnsi" w:eastAsiaTheme="minorEastAsia" w:cstheme="minorBidi"/>
      <w:kern w:val="2"/>
      <w:sz w:val="21"/>
      <w:szCs w:val="22"/>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link w:val="87"/>
    <w:semiHidden/>
    <w:qFormat/>
    <w:uiPriority w:val="0"/>
    <w:pPr>
      <w:shd w:val="clear" w:color="auto" w:fill="000080"/>
    </w:pPr>
  </w:style>
  <w:style w:type="paragraph" w:styleId="16">
    <w:name w:val="annotation text"/>
    <w:basedOn w:val="1"/>
    <w:link w:val="80"/>
    <w:qFormat/>
    <w:uiPriority w:val="0"/>
    <w:pPr>
      <w:widowControl w:val="0"/>
    </w:pPr>
    <w:rPr>
      <w:rFonts w:asciiTheme="minorHAnsi" w:hAnsiTheme="minorHAnsi" w:cstheme="minorBidi"/>
      <w:kern w:val="2"/>
      <w:sz w:val="21"/>
    </w:rPr>
  </w:style>
  <w:style w:type="paragraph" w:styleId="17">
    <w:name w:val="Body Text 3"/>
    <w:basedOn w:val="1"/>
    <w:link w:val="66"/>
    <w:qFormat/>
    <w:uiPriority w:val="0"/>
    <w:pPr>
      <w:widowControl w:val="0"/>
      <w:tabs>
        <w:tab w:val="left" w:pos="6480"/>
      </w:tabs>
      <w:spacing w:line="360" w:lineRule="auto"/>
      <w:ind w:right="-512" w:rightChars="-244"/>
      <w:jc w:val="both"/>
    </w:pPr>
    <w:rPr>
      <w:rFonts w:ascii="宋体" w:hAnsi="宋体" w:eastAsiaTheme="minorEastAsia" w:cstheme="minorBidi"/>
      <w:kern w:val="2"/>
    </w:rPr>
  </w:style>
  <w:style w:type="paragraph" w:styleId="18">
    <w:name w:val="Body Text"/>
    <w:basedOn w:val="1"/>
    <w:link w:val="94"/>
    <w:unhideWhenUsed/>
    <w:qFormat/>
    <w:uiPriority w:val="0"/>
    <w:pPr>
      <w:spacing w:after="120"/>
    </w:pPr>
  </w:style>
  <w:style w:type="paragraph" w:styleId="19">
    <w:name w:val="List 2"/>
    <w:basedOn w:val="1"/>
    <w:uiPriority w:val="0"/>
    <w:pPr>
      <w:ind w:left="100" w:leftChars="200" w:hanging="200" w:hangingChars="200"/>
    </w:pPr>
  </w:style>
  <w:style w:type="paragraph" w:styleId="20">
    <w:name w:val="toc 5"/>
    <w:basedOn w:val="1"/>
    <w:next w:val="1"/>
    <w:qFormat/>
    <w:uiPriority w:val="0"/>
    <w:pPr>
      <w:widowControl w:val="0"/>
      <w:ind w:left="840"/>
    </w:pPr>
    <w:rPr>
      <w:rFonts w:ascii="Calibri" w:hAnsi="Calibri"/>
      <w:kern w:val="2"/>
      <w:sz w:val="18"/>
      <w:szCs w:val="18"/>
    </w:rPr>
  </w:style>
  <w:style w:type="paragraph" w:styleId="21">
    <w:name w:val="toc 3"/>
    <w:basedOn w:val="1"/>
    <w:next w:val="1"/>
    <w:qFormat/>
    <w:uiPriority w:val="0"/>
    <w:pPr>
      <w:widowControl w:val="0"/>
      <w:ind w:left="420"/>
    </w:pPr>
    <w:rPr>
      <w:kern w:val="2"/>
      <w:sz w:val="20"/>
      <w:szCs w:val="20"/>
    </w:rPr>
  </w:style>
  <w:style w:type="paragraph" w:styleId="22">
    <w:name w:val="Plain Text"/>
    <w:basedOn w:val="1"/>
    <w:link w:val="83"/>
    <w:qFormat/>
    <w:uiPriority w:val="0"/>
    <w:pPr>
      <w:spacing w:before="100" w:beforeAutospacing="1" w:after="100" w:afterAutospacing="1"/>
    </w:pPr>
    <w:rPr>
      <w:rFonts w:ascii="宋体" w:hAnsi="宋体" w:cstheme="minorBidi"/>
      <w:kern w:val="2"/>
    </w:rPr>
  </w:style>
  <w:style w:type="paragraph" w:styleId="23">
    <w:name w:val="Date"/>
    <w:basedOn w:val="1"/>
    <w:next w:val="1"/>
    <w:link w:val="70"/>
    <w:qFormat/>
    <w:uiPriority w:val="0"/>
    <w:pPr>
      <w:widowControl w:val="0"/>
      <w:ind w:left="100" w:leftChars="2500"/>
      <w:jc w:val="both"/>
    </w:pPr>
    <w:rPr>
      <w:rFonts w:asciiTheme="minorHAnsi" w:hAnsiTheme="minorHAnsi" w:eastAsiaTheme="minorEastAsia" w:cstheme="minorBidi"/>
      <w:kern w:val="2"/>
      <w:sz w:val="21"/>
    </w:rPr>
  </w:style>
  <w:style w:type="paragraph" w:styleId="24">
    <w:name w:val="Body Text Indent 2"/>
    <w:basedOn w:val="1"/>
    <w:link w:val="91"/>
    <w:qFormat/>
    <w:uiPriority w:val="0"/>
    <w:pPr>
      <w:ind w:firstLine="435"/>
    </w:pPr>
    <w:rPr>
      <w:rFonts w:ascii="仿宋_GB2312" w:eastAsia="仿宋_GB2312"/>
    </w:rPr>
  </w:style>
  <w:style w:type="paragraph" w:styleId="25">
    <w:name w:val="Balloon Text"/>
    <w:basedOn w:val="1"/>
    <w:link w:val="100"/>
    <w:semiHidden/>
    <w:uiPriority w:val="0"/>
    <w:rPr>
      <w:sz w:val="18"/>
      <w:szCs w:val="18"/>
    </w:rPr>
  </w:style>
  <w:style w:type="paragraph" w:styleId="26">
    <w:name w:val="footer"/>
    <w:basedOn w:val="1"/>
    <w:link w:val="65"/>
    <w:qFormat/>
    <w:uiPriority w:val="99"/>
    <w:pPr>
      <w:tabs>
        <w:tab w:val="center" w:pos="4153"/>
        <w:tab w:val="right" w:pos="8306"/>
      </w:tabs>
      <w:snapToGrid w:val="0"/>
    </w:pPr>
    <w:rPr>
      <w:rFonts w:asciiTheme="minorHAnsi" w:hAnsiTheme="minorHAnsi" w:cstheme="minorBidi"/>
      <w:kern w:val="2"/>
      <w:sz w:val="18"/>
      <w:szCs w:val="18"/>
    </w:rPr>
  </w:style>
  <w:style w:type="paragraph" w:styleId="27">
    <w:name w:val="header"/>
    <w:basedOn w:val="1"/>
    <w:link w:val="67"/>
    <w:qFormat/>
    <w:uiPriority w:val="99"/>
    <w:pPr>
      <w:pBdr>
        <w:bottom w:val="single" w:color="auto" w:sz="6" w:space="1"/>
      </w:pBdr>
      <w:tabs>
        <w:tab w:val="center" w:pos="4153"/>
        <w:tab w:val="right" w:pos="8306"/>
      </w:tabs>
      <w:snapToGrid w:val="0"/>
      <w:jc w:val="center"/>
    </w:pPr>
    <w:rPr>
      <w:rFonts w:asciiTheme="minorHAnsi" w:hAnsiTheme="minorHAnsi" w:cstheme="minorBidi"/>
      <w:kern w:val="2"/>
      <w:sz w:val="18"/>
      <w:szCs w:val="18"/>
    </w:rPr>
  </w:style>
  <w:style w:type="paragraph" w:styleId="28">
    <w:name w:val="toc 1"/>
    <w:basedOn w:val="1"/>
    <w:next w:val="1"/>
    <w:qFormat/>
    <w:uiPriority w:val="39"/>
    <w:pPr>
      <w:widowControl w:val="0"/>
      <w:tabs>
        <w:tab w:val="right" w:leader="dot" w:pos="8835"/>
      </w:tabs>
      <w:spacing w:before="120"/>
    </w:pPr>
    <w:rPr>
      <w:rFonts w:eastAsia="黑体"/>
      <w:b/>
      <w:bCs/>
      <w:iCs/>
      <w:kern w:val="2"/>
    </w:rPr>
  </w:style>
  <w:style w:type="paragraph" w:styleId="29">
    <w:name w:val="List"/>
    <w:basedOn w:val="1"/>
    <w:uiPriority w:val="0"/>
    <w:pPr>
      <w:ind w:left="200" w:hanging="200" w:hangingChars="200"/>
    </w:pPr>
  </w:style>
  <w:style w:type="paragraph" w:styleId="30">
    <w:name w:val="Body Text Indent 3"/>
    <w:basedOn w:val="1"/>
    <w:link w:val="57"/>
    <w:qFormat/>
    <w:uiPriority w:val="0"/>
    <w:pPr>
      <w:ind w:firstLine="540" w:firstLineChars="225"/>
      <w:jc w:val="both"/>
    </w:pPr>
    <w:rPr>
      <w:rFonts w:ascii="仿宋_GB2312" w:eastAsia="仿宋_GB2312" w:hAnsiTheme="minorHAnsi" w:cstheme="minorBidi"/>
      <w:kern w:val="2"/>
      <w:szCs w:val="14"/>
    </w:rPr>
  </w:style>
  <w:style w:type="paragraph" w:styleId="31">
    <w:name w:val="toc 2"/>
    <w:basedOn w:val="1"/>
    <w:next w:val="1"/>
    <w:uiPriority w:val="0"/>
    <w:pPr>
      <w:widowControl w:val="0"/>
      <w:tabs>
        <w:tab w:val="right" w:leader="dot" w:pos="8835"/>
      </w:tabs>
      <w:spacing w:before="120"/>
      <w:ind w:left="210"/>
    </w:pPr>
    <w:rPr>
      <w:rFonts w:eastAsia="幼圆" w:cs="Arial"/>
      <w:bCs/>
      <w:kern w:val="2"/>
      <w:sz w:val="22"/>
      <w:szCs w:val="22"/>
    </w:rPr>
  </w:style>
  <w:style w:type="paragraph" w:styleId="32">
    <w:name w:val="Body Text 2"/>
    <w:basedOn w:val="1"/>
    <w:link w:val="99"/>
    <w:qFormat/>
    <w:uiPriority w:val="0"/>
    <w:pPr>
      <w:spacing w:line="360" w:lineRule="exact"/>
      <w:jc w:val="both"/>
    </w:pPr>
    <w:rPr>
      <w:rFonts w:ascii="仿宋_GB2312" w:eastAsia="仿宋_GB2312"/>
    </w:rPr>
  </w:style>
  <w:style w:type="paragraph" w:styleId="33">
    <w:name w:val="Normal (Web)"/>
    <w:basedOn w:val="1"/>
    <w:qFormat/>
    <w:uiPriority w:val="0"/>
    <w:pPr>
      <w:spacing w:before="100" w:beforeAutospacing="1" w:after="100" w:afterAutospacing="1"/>
    </w:pPr>
    <w:rPr>
      <w:rFonts w:hint="eastAsia" w:ascii="宋体" w:hAnsi="宋体"/>
    </w:rPr>
  </w:style>
  <w:style w:type="paragraph" w:styleId="34">
    <w:name w:val="annotation subject"/>
    <w:basedOn w:val="16"/>
    <w:next w:val="16"/>
    <w:link w:val="79"/>
    <w:uiPriority w:val="0"/>
    <w:rPr>
      <w:b/>
      <w:bCs/>
    </w:rPr>
  </w:style>
  <w:style w:type="paragraph" w:styleId="35">
    <w:name w:val="Body Text First Indent"/>
    <w:basedOn w:val="18"/>
    <w:link w:val="95"/>
    <w:qFormat/>
    <w:uiPriority w:val="0"/>
    <w:pPr>
      <w:ind w:firstLine="420" w:firstLineChars="100"/>
    </w:pPr>
  </w:style>
  <w:style w:type="table" w:styleId="37">
    <w:name w:val="Table Grid"/>
    <w:basedOn w:val="36"/>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b/>
      <w:bCs/>
    </w:rPr>
  </w:style>
  <w:style w:type="character" w:styleId="40">
    <w:name w:val="page number"/>
    <w:basedOn w:val="38"/>
    <w:qFormat/>
    <w:uiPriority w:val="0"/>
  </w:style>
  <w:style w:type="character" w:styleId="41">
    <w:name w:val="FollowedHyperlink"/>
    <w:qFormat/>
    <w:uiPriority w:val="99"/>
    <w:rPr>
      <w:color w:val="800080"/>
      <w:u w:val="single"/>
    </w:rPr>
  </w:style>
  <w:style w:type="character" w:styleId="42">
    <w:name w:val="Hyperlink"/>
    <w:qFormat/>
    <w:uiPriority w:val="99"/>
    <w:rPr>
      <w:color w:val="0000FF"/>
      <w:u w:val="single"/>
    </w:rPr>
  </w:style>
  <w:style w:type="character" w:styleId="43">
    <w:name w:val="annotation reference"/>
    <w:qFormat/>
    <w:uiPriority w:val="0"/>
    <w:rPr>
      <w:sz w:val="21"/>
      <w:szCs w:val="21"/>
    </w:rPr>
  </w:style>
  <w:style w:type="character" w:customStyle="1" w:styleId="44">
    <w:name w:val="正文文本缩进 字符"/>
    <w:basedOn w:val="38"/>
    <w:link w:val="3"/>
    <w:semiHidden/>
    <w:qFormat/>
    <w:uiPriority w:val="99"/>
    <w:rPr>
      <w:rFonts w:ascii="Times New Roman" w:hAnsi="Times New Roman" w:eastAsia="宋体" w:cs="Times New Roman"/>
      <w:kern w:val="0"/>
      <w:sz w:val="24"/>
      <w:szCs w:val="24"/>
    </w:rPr>
  </w:style>
  <w:style w:type="character" w:customStyle="1" w:styleId="45">
    <w:name w:val="正文文本首行缩进 2 字符"/>
    <w:basedOn w:val="44"/>
    <w:link w:val="2"/>
    <w:qFormat/>
    <w:uiPriority w:val="99"/>
    <w:rPr>
      <w:rFonts w:ascii="Times New Roman" w:hAnsi="Times New Roman" w:eastAsia="宋体" w:cs="Times New Roman"/>
      <w:kern w:val="0"/>
      <w:sz w:val="24"/>
      <w:szCs w:val="24"/>
    </w:rPr>
  </w:style>
  <w:style w:type="character" w:customStyle="1" w:styleId="46">
    <w:name w:val="标题 1 字符"/>
    <w:basedOn w:val="38"/>
    <w:link w:val="4"/>
    <w:qFormat/>
    <w:uiPriority w:val="0"/>
    <w:rPr>
      <w:rFonts w:ascii="Times New Roman" w:hAnsi="Times New Roman" w:eastAsia="宋体" w:cs="Times New Roman"/>
      <w:b/>
      <w:bCs/>
      <w:kern w:val="44"/>
      <w:sz w:val="44"/>
      <w:szCs w:val="44"/>
    </w:rPr>
  </w:style>
  <w:style w:type="character" w:customStyle="1" w:styleId="47">
    <w:name w:val="标题 2 字符"/>
    <w:basedOn w:val="38"/>
    <w:link w:val="5"/>
    <w:qFormat/>
    <w:uiPriority w:val="0"/>
    <w:rPr>
      <w:rFonts w:ascii="Arial" w:hAnsi="Arial" w:eastAsia="黑体" w:cs="Times New Roman"/>
      <w:b/>
      <w:bCs/>
      <w:kern w:val="0"/>
      <w:sz w:val="32"/>
      <w:szCs w:val="32"/>
    </w:rPr>
  </w:style>
  <w:style w:type="character" w:customStyle="1" w:styleId="48">
    <w:name w:val="标题 3 字符"/>
    <w:basedOn w:val="38"/>
    <w:link w:val="6"/>
    <w:qFormat/>
    <w:uiPriority w:val="0"/>
    <w:rPr>
      <w:rFonts w:ascii="Times New Roman" w:hAnsi="Times New Roman" w:eastAsia="宋体" w:cs="Times New Roman"/>
      <w:b/>
      <w:bCs/>
      <w:sz w:val="32"/>
      <w:szCs w:val="32"/>
    </w:rPr>
  </w:style>
  <w:style w:type="character" w:customStyle="1" w:styleId="49">
    <w:name w:val="标题 4 字符"/>
    <w:basedOn w:val="38"/>
    <w:link w:val="7"/>
    <w:uiPriority w:val="0"/>
    <w:rPr>
      <w:rFonts w:ascii="Arial" w:hAnsi="Arial" w:eastAsia="黑体" w:cs="Times New Roman"/>
      <w:b/>
      <w:bCs/>
      <w:sz w:val="28"/>
      <w:szCs w:val="28"/>
    </w:rPr>
  </w:style>
  <w:style w:type="character" w:customStyle="1" w:styleId="50">
    <w:name w:val="正文缩进 字符"/>
    <w:link w:val="9"/>
    <w:qFormat/>
    <w:uiPriority w:val="0"/>
  </w:style>
  <w:style w:type="character" w:customStyle="1" w:styleId="51">
    <w:name w:val="标题 5 字符"/>
    <w:basedOn w:val="38"/>
    <w:link w:val="8"/>
    <w:qFormat/>
    <w:uiPriority w:val="99"/>
    <w:rPr>
      <w:rFonts w:ascii="Times New Roman" w:hAnsi="Times New Roman" w:eastAsia="宋体" w:cs="Times New Roman"/>
      <w:b/>
      <w:sz w:val="28"/>
      <w:szCs w:val="20"/>
    </w:rPr>
  </w:style>
  <w:style w:type="character" w:customStyle="1" w:styleId="52">
    <w:name w:val="标题 6 字符"/>
    <w:basedOn w:val="38"/>
    <w:link w:val="10"/>
    <w:qFormat/>
    <w:uiPriority w:val="0"/>
    <w:rPr>
      <w:rFonts w:ascii="Times New Roman" w:hAnsi="Times New Roman" w:eastAsia="宋体" w:cs="Times New Roman"/>
      <w:sz w:val="28"/>
      <w:szCs w:val="20"/>
    </w:rPr>
  </w:style>
  <w:style w:type="character" w:customStyle="1" w:styleId="53">
    <w:name w:val="标题 7 字符"/>
    <w:basedOn w:val="38"/>
    <w:link w:val="11"/>
    <w:qFormat/>
    <w:uiPriority w:val="0"/>
    <w:rPr>
      <w:rFonts w:ascii="Times New Roman" w:hAnsi="Times New Roman" w:eastAsia="宋体" w:cs="Times New Roman"/>
      <w:b/>
      <w:bCs/>
      <w:sz w:val="24"/>
      <w:szCs w:val="24"/>
    </w:rPr>
  </w:style>
  <w:style w:type="character" w:customStyle="1" w:styleId="54">
    <w:name w:val="标题 8 字符"/>
    <w:basedOn w:val="38"/>
    <w:link w:val="12"/>
    <w:qFormat/>
    <w:uiPriority w:val="0"/>
    <w:rPr>
      <w:rFonts w:ascii="Arial" w:hAnsi="Arial" w:eastAsia="黑体" w:cs="Times New Roman"/>
      <w:sz w:val="24"/>
      <w:szCs w:val="20"/>
    </w:rPr>
  </w:style>
  <w:style w:type="character" w:customStyle="1" w:styleId="55">
    <w:name w:val="标题 9 字符"/>
    <w:basedOn w:val="38"/>
    <w:link w:val="13"/>
    <w:qFormat/>
    <w:uiPriority w:val="0"/>
    <w:rPr>
      <w:rFonts w:ascii="Arial" w:hAnsi="Arial" w:eastAsia="黑体" w:cs="Times New Roman"/>
      <w:szCs w:val="20"/>
    </w:rPr>
  </w:style>
  <w:style w:type="character" w:customStyle="1" w:styleId="56">
    <w:name w:val="Char Char1"/>
    <w:qFormat/>
    <w:uiPriority w:val="0"/>
    <w:rPr>
      <w:rFonts w:eastAsia="宋体"/>
      <w:sz w:val="18"/>
      <w:szCs w:val="18"/>
      <w:lang w:val="en-US" w:eastAsia="zh-CN" w:bidi="ar-SA"/>
    </w:rPr>
  </w:style>
  <w:style w:type="character" w:customStyle="1" w:styleId="57">
    <w:name w:val="正文文本缩进 3 字符"/>
    <w:link w:val="30"/>
    <w:qFormat/>
    <w:uiPriority w:val="0"/>
    <w:rPr>
      <w:rFonts w:ascii="仿宋_GB2312" w:eastAsia="仿宋_GB2312"/>
      <w:sz w:val="24"/>
      <w:szCs w:val="14"/>
    </w:rPr>
  </w:style>
  <w:style w:type="character" w:customStyle="1" w:styleId="58">
    <w:name w:val="Char Char Char Char Char"/>
    <w:qFormat/>
    <w:uiPriority w:val="0"/>
    <w:rPr>
      <w:rFonts w:ascii="宋体" w:hAnsi="宋体" w:eastAsia="宋体"/>
      <w:sz w:val="24"/>
      <w:szCs w:val="24"/>
      <w:lang w:val="en-US" w:eastAsia="zh-CN" w:bidi="ar-SA"/>
    </w:rPr>
  </w:style>
  <w:style w:type="character" w:customStyle="1" w:styleId="59">
    <w:name w:val="标题 3 Char"/>
    <w:qFormat/>
    <w:uiPriority w:val="0"/>
    <w:rPr>
      <w:rFonts w:ascii="黑体" w:hAnsi="Trebuchet MS" w:eastAsia="黑体"/>
      <w:b/>
      <w:bCs/>
      <w:snapToGrid w:val="0"/>
      <w:sz w:val="28"/>
      <w:szCs w:val="28"/>
      <w:lang w:val="en-US" w:eastAsia="zh-CN" w:bidi="ar-SA"/>
    </w:rPr>
  </w:style>
  <w:style w:type="character" w:customStyle="1" w:styleId="60">
    <w:name w:val="正文文本 字符"/>
    <w:qFormat/>
    <w:uiPriority w:val="0"/>
    <w:rPr>
      <w:kern w:val="2"/>
      <w:sz w:val="28"/>
      <w:szCs w:val="24"/>
    </w:rPr>
  </w:style>
  <w:style w:type="character" w:customStyle="1" w:styleId="61">
    <w:name w:val="zyp-正文 Char"/>
    <w:link w:val="62"/>
    <w:qFormat/>
    <w:uiPriority w:val="0"/>
    <w:rPr>
      <w:rFonts w:ascii="宋体" w:hAnsi="宋体" w:eastAsia="宋体"/>
      <w:color w:val="000000"/>
      <w:sz w:val="28"/>
      <w:szCs w:val="18"/>
    </w:rPr>
  </w:style>
  <w:style w:type="paragraph" w:customStyle="1" w:styleId="62">
    <w:name w:val="zyp-正文"/>
    <w:basedOn w:val="33"/>
    <w:link w:val="61"/>
    <w:qFormat/>
    <w:uiPriority w:val="0"/>
    <w:pPr>
      <w:spacing w:before="0" w:beforeAutospacing="0" w:after="0" w:afterAutospacing="0" w:line="360" w:lineRule="auto"/>
      <w:ind w:firstLine="200" w:firstLineChars="200"/>
    </w:pPr>
    <w:rPr>
      <w:rFonts w:hint="default" w:cstheme="minorBidi"/>
      <w:color w:val="000000"/>
      <w:kern w:val="2"/>
      <w:sz w:val="28"/>
      <w:szCs w:val="18"/>
    </w:rPr>
  </w:style>
  <w:style w:type="character" w:customStyle="1" w:styleId="63">
    <w:name w:val="txt1"/>
    <w:qFormat/>
    <w:uiPriority w:val="0"/>
    <w:rPr>
      <w:rFonts w:hint="default" w:ascii="ˎ̥" w:hAnsi="ˎ̥"/>
      <w:sz w:val="18"/>
      <w:szCs w:val="18"/>
    </w:rPr>
  </w:style>
  <w:style w:type="character" w:customStyle="1" w:styleId="64">
    <w:name w:val="para"/>
    <w:basedOn w:val="38"/>
    <w:qFormat/>
    <w:uiPriority w:val="0"/>
  </w:style>
  <w:style w:type="character" w:customStyle="1" w:styleId="65">
    <w:name w:val="页脚 字符"/>
    <w:link w:val="26"/>
    <w:qFormat/>
    <w:uiPriority w:val="99"/>
    <w:rPr>
      <w:rFonts w:eastAsia="宋体"/>
      <w:sz w:val="18"/>
      <w:szCs w:val="18"/>
    </w:rPr>
  </w:style>
  <w:style w:type="character" w:customStyle="1" w:styleId="66">
    <w:name w:val="正文文本 3 字符"/>
    <w:link w:val="17"/>
    <w:qFormat/>
    <w:uiPriority w:val="0"/>
    <w:rPr>
      <w:rFonts w:ascii="宋体" w:hAnsi="宋体"/>
      <w:sz w:val="24"/>
      <w:szCs w:val="24"/>
    </w:rPr>
  </w:style>
  <w:style w:type="character" w:customStyle="1" w:styleId="67">
    <w:name w:val="页眉 字符"/>
    <w:link w:val="27"/>
    <w:qFormat/>
    <w:uiPriority w:val="99"/>
    <w:rPr>
      <w:rFonts w:eastAsia="宋体"/>
      <w:sz w:val="18"/>
      <w:szCs w:val="18"/>
    </w:rPr>
  </w:style>
  <w:style w:type="character" w:customStyle="1" w:styleId="68">
    <w:name w:val="apple-style-span"/>
    <w:basedOn w:val="38"/>
    <w:qFormat/>
    <w:uiPriority w:val="0"/>
  </w:style>
  <w:style w:type="character" w:customStyle="1" w:styleId="69">
    <w:name w:val="Char Char Char Char"/>
    <w:qFormat/>
    <w:uiPriority w:val="0"/>
    <w:rPr>
      <w:rFonts w:eastAsia="宋体"/>
      <w:kern w:val="2"/>
      <w:sz w:val="21"/>
      <w:szCs w:val="24"/>
      <w:lang w:val="en-US" w:eastAsia="zh-CN" w:bidi="ar-SA"/>
    </w:rPr>
  </w:style>
  <w:style w:type="character" w:customStyle="1" w:styleId="70">
    <w:name w:val="日期 字符"/>
    <w:link w:val="23"/>
    <w:qFormat/>
    <w:uiPriority w:val="0"/>
    <w:rPr>
      <w:szCs w:val="24"/>
    </w:rPr>
  </w:style>
  <w:style w:type="character" w:customStyle="1" w:styleId="71">
    <w:name w:val="彩色列表 - 强调文字颜色 1 Char"/>
    <w:link w:val="72"/>
    <w:qFormat/>
    <w:locked/>
    <w:uiPriority w:val="34"/>
    <w:rPr>
      <w:rFonts w:ascii="Calibri" w:hAnsi="Calibri"/>
    </w:rPr>
  </w:style>
  <w:style w:type="paragraph" w:customStyle="1" w:styleId="72">
    <w:name w:val="彩色列表 - 强调文字颜色 11"/>
    <w:basedOn w:val="1"/>
    <w:link w:val="71"/>
    <w:qFormat/>
    <w:uiPriority w:val="34"/>
    <w:pPr>
      <w:widowControl w:val="0"/>
      <w:ind w:firstLine="420" w:firstLineChars="200"/>
      <w:jc w:val="both"/>
    </w:pPr>
    <w:rPr>
      <w:rFonts w:ascii="Calibri" w:hAnsi="Calibri" w:eastAsiaTheme="minorEastAsia" w:cstheme="minorBidi"/>
      <w:kern w:val="2"/>
      <w:sz w:val="21"/>
      <w:szCs w:val="22"/>
    </w:rPr>
  </w:style>
  <w:style w:type="character" w:customStyle="1" w:styleId="73">
    <w:name w:val="value"/>
    <w:basedOn w:val="38"/>
    <w:qFormat/>
    <w:uiPriority w:val="0"/>
  </w:style>
  <w:style w:type="character" w:customStyle="1" w:styleId="74">
    <w:name w:val="List Paragraph Char"/>
    <w:link w:val="75"/>
    <w:qFormat/>
    <w:locked/>
    <w:uiPriority w:val="0"/>
    <w:rPr>
      <w:rFonts w:ascii="Calibri" w:hAnsi="Calibri" w:eastAsia="MingLiU"/>
      <w:szCs w:val="21"/>
      <w:lang w:eastAsia="zh-TW"/>
    </w:rPr>
  </w:style>
  <w:style w:type="paragraph" w:customStyle="1" w:styleId="75">
    <w:name w:val="列出段落1"/>
    <w:basedOn w:val="1"/>
    <w:link w:val="74"/>
    <w:qFormat/>
    <w:uiPriority w:val="0"/>
    <w:pPr>
      <w:widowControl w:val="0"/>
      <w:ind w:firstLine="420" w:firstLineChars="200"/>
      <w:jc w:val="both"/>
    </w:pPr>
    <w:rPr>
      <w:rFonts w:ascii="Calibri" w:hAnsi="Calibri" w:eastAsia="MingLiU" w:cstheme="minorBidi"/>
      <w:kern w:val="2"/>
      <w:sz w:val="21"/>
      <w:szCs w:val="21"/>
      <w:lang w:eastAsia="zh-TW"/>
    </w:rPr>
  </w:style>
  <w:style w:type="character" w:customStyle="1" w:styleId="76">
    <w:name w:val="Z2 Char Char"/>
    <w:qFormat/>
    <w:uiPriority w:val="0"/>
    <w:rPr>
      <w:rFonts w:ascii="Arial" w:hAnsi="Arial" w:eastAsia="黑体"/>
      <w:b/>
      <w:bCs/>
      <w:sz w:val="32"/>
      <w:szCs w:val="32"/>
      <w:lang w:val="en-US" w:eastAsia="zh-CN" w:bidi="ar-SA"/>
    </w:rPr>
  </w:style>
  <w:style w:type="character" w:customStyle="1" w:styleId="77">
    <w:name w:val="二级目录 Char"/>
    <w:link w:val="78"/>
    <w:qFormat/>
    <w:uiPriority w:val="0"/>
    <w:rPr>
      <w:b/>
      <w:sz w:val="30"/>
      <w:szCs w:val="28"/>
    </w:rPr>
  </w:style>
  <w:style w:type="paragraph" w:customStyle="1" w:styleId="78">
    <w:name w:val="二级目录"/>
    <w:next w:val="1"/>
    <w:link w:val="77"/>
    <w:qFormat/>
    <w:uiPriority w:val="0"/>
    <w:pPr>
      <w:numPr>
        <w:ilvl w:val="0"/>
        <w:numId w:val="1"/>
      </w:numPr>
      <w:tabs>
        <w:tab w:val="left" w:pos="420"/>
        <w:tab w:val="left" w:pos="1145"/>
      </w:tabs>
      <w:outlineLvl w:val="1"/>
    </w:pPr>
    <w:rPr>
      <w:rFonts w:asciiTheme="minorHAnsi" w:hAnsiTheme="minorHAnsi" w:eastAsiaTheme="minorEastAsia" w:cstheme="minorBidi"/>
      <w:b/>
      <w:kern w:val="2"/>
      <w:sz w:val="30"/>
      <w:szCs w:val="28"/>
      <w:lang w:val="en-US" w:eastAsia="zh-CN" w:bidi="ar-SA"/>
    </w:rPr>
  </w:style>
  <w:style w:type="character" w:customStyle="1" w:styleId="79">
    <w:name w:val="批注主题 字符"/>
    <w:link w:val="34"/>
    <w:qFormat/>
    <w:uiPriority w:val="0"/>
    <w:rPr>
      <w:rFonts w:eastAsia="宋体"/>
      <w:b/>
      <w:bCs/>
      <w:szCs w:val="24"/>
    </w:rPr>
  </w:style>
  <w:style w:type="character" w:customStyle="1" w:styleId="80">
    <w:name w:val="批注文字 字符"/>
    <w:link w:val="16"/>
    <w:qFormat/>
    <w:uiPriority w:val="0"/>
    <w:rPr>
      <w:rFonts w:eastAsia="宋体"/>
      <w:szCs w:val="24"/>
    </w:rPr>
  </w:style>
  <w:style w:type="character" w:customStyle="1" w:styleId="81">
    <w:name w:val="zyp-正文 Char Char"/>
    <w:qFormat/>
    <w:uiPriority w:val="0"/>
    <w:rPr>
      <w:rFonts w:ascii="宋体" w:hAnsi="宋体" w:eastAsia="宋体"/>
      <w:color w:val="000000"/>
      <w:kern w:val="2"/>
      <w:sz w:val="28"/>
      <w:szCs w:val="18"/>
      <w:lang w:val="en-US" w:eastAsia="zh-CN" w:bidi="ar-SA"/>
    </w:rPr>
  </w:style>
  <w:style w:type="character" w:customStyle="1" w:styleId="82">
    <w:name w:val="Char Char3"/>
    <w:qFormat/>
    <w:uiPriority w:val="0"/>
    <w:rPr>
      <w:kern w:val="2"/>
      <w:sz w:val="18"/>
    </w:rPr>
  </w:style>
  <w:style w:type="character" w:customStyle="1" w:styleId="83">
    <w:name w:val="纯文本 字符"/>
    <w:link w:val="22"/>
    <w:qFormat/>
    <w:uiPriority w:val="0"/>
    <w:rPr>
      <w:rFonts w:ascii="宋体" w:hAnsi="宋体" w:eastAsia="宋体"/>
      <w:sz w:val="24"/>
      <w:szCs w:val="24"/>
    </w:rPr>
  </w:style>
  <w:style w:type="character" w:customStyle="1" w:styleId="84">
    <w:name w:val="普通文字 Char Char1"/>
    <w:qFormat/>
    <w:uiPriority w:val="0"/>
    <w:rPr>
      <w:rFonts w:ascii="宋体" w:hAnsi="宋体" w:eastAsia="宋体"/>
      <w:sz w:val="24"/>
      <w:szCs w:val="24"/>
      <w:lang w:val="en-US" w:eastAsia="zh-CN" w:bidi="ar-SA"/>
    </w:rPr>
  </w:style>
  <w:style w:type="character" w:customStyle="1" w:styleId="85">
    <w:name w:val="Char Char Char Char Char Char"/>
    <w:qFormat/>
    <w:uiPriority w:val="0"/>
    <w:rPr>
      <w:rFonts w:eastAsia="宋体"/>
      <w:kern w:val="2"/>
      <w:sz w:val="21"/>
      <w:szCs w:val="24"/>
      <w:lang w:val="en-US" w:eastAsia="zh-CN" w:bidi="ar-SA"/>
    </w:rPr>
  </w:style>
  <w:style w:type="character" w:customStyle="1" w:styleId="86">
    <w:name w:val="Char Char4"/>
    <w:qFormat/>
    <w:uiPriority w:val="0"/>
    <w:rPr>
      <w:rFonts w:ascii="宋体" w:hAnsi="Courier New" w:eastAsia="宋体" w:cs="Courier New"/>
      <w:kern w:val="2"/>
      <w:sz w:val="21"/>
      <w:szCs w:val="21"/>
      <w:lang w:val="en-US" w:eastAsia="zh-CN" w:bidi="ar-SA"/>
    </w:rPr>
  </w:style>
  <w:style w:type="character" w:customStyle="1" w:styleId="87">
    <w:name w:val="文档结构图 字符"/>
    <w:basedOn w:val="38"/>
    <w:link w:val="15"/>
    <w:semiHidden/>
    <w:uiPriority w:val="0"/>
    <w:rPr>
      <w:rFonts w:ascii="Times New Roman" w:hAnsi="Times New Roman" w:eastAsia="宋体" w:cs="Times New Roman"/>
      <w:kern w:val="0"/>
      <w:sz w:val="24"/>
      <w:szCs w:val="24"/>
      <w:shd w:val="clear" w:color="auto" w:fill="000080"/>
    </w:rPr>
  </w:style>
  <w:style w:type="character" w:customStyle="1" w:styleId="88">
    <w:name w:val="正文文本缩进 3 字符1"/>
    <w:basedOn w:val="38"/>
    <w:semiHidden/>
    <w:qFormat/>
    <w:uiPriority w:val="99"/>
    <w:rPr>
      <w:rFonts w:ascii="Times New Roman" w:hAnsi="Times New Roman" w:eastAsia="宋体" w:cs="Times New Roman"/>
      <w:kern w:val="0"/>
      <w:sz w:val="16"/>
      <w:szCs w:val="16"/>
    </w:rPr>
  </w:style>
  <w:style w:type="character" w:customStyle="1" w:styleId="89">
    <w:name w:val="页脚 字符1"/>
    <w:basedOn w:val="38"/>
    <w:semiHidden/>
    <w:qFormat/>
    <w:uiPriority w:val="99"/>
    <w:rPr>
      <w:rFonts w:ascii="Times New Roman" w:hAnsi="Times New Roman" w:eastAsia="宋体" w:cs="Times New Roman"/>
      <w:kern w:val="0"/>
      <w:sz w:val="18"/>
      <w:szCs w:val="18"/>
    </w:rPr>
  </w:style>
  <w:style w:type="character" w:customStyle="1" w:styleId="90">
    <w:name w:val="页眉 字符1"/>
    <w:basedOn w:val="38"/>
    <w:semiHidden/>
    <w:qFormat/>
    <w:uiPriority w:val="99"/>
    <w:rPr>
      <w:rFonts w:ascii="Times New Roman" w:hAnsi="Times New Roman" w:eastAsia="宋体" w:cs="Times New Roman"/>
      <w:kern w:val="0"/>
      <w:sz w:val="18"/>
      <w:szCs w:val="18"/>
    </w:rPr>
  </w:style>
  <w:style w:type="character" w:customStyle="1" w:styleId="91">
    <w:name w:val="正文文本缩进 2 字符"/>
    <w:basedOn w:val="38"/>
    <w:link w:val="24"/>
    <w:uiPriority w:val="0"/>
    <w:rPr>
      <w:rFonts w:ascii="仿宋_GB2312" w:hAnsi="Times New Roman" w:eastAsia="仿宋_GB2312" w:cs="Times New Roman"/>
      <w:kern w:val="0"/>
      <w:sz w:val="24"/>
      <w:szCs w:val="24"/>
    </w:rPr>
  </w:style>
  <w:style w:type="character" w:customStyle="1" w:styleId="92">
    <w:name w:val="纯文本 字符1"/>
    <w:basedOn w:val="38"/>
    <w:semiHidden/>
    <w:qFormat/>
    <w:uiPriority w:val="99"/>
    <w:rPr>
      <w:rFonts w:hAnsi="Courier New" w:cs="Courier New" w:asciiTheme="minorEastAsia"/>
      <w:kern w:val="0"/>
      <w:sz w:val="24"/>
      <w:szCs w:val="24"/>
    </w:rPr>
  </w:style>
  <w:style w:type="character" w:customStyle="1" w:styleId="93">
    <w:name w:val="批注文字 字符1"/>
    <w:basedOn w:val="38"/>
    <w:semiHidden/>
    <w:qFormat/>
    <w:uiPriority w:val="99"/>
    <w:rPr>
      <w:rFonts w:ascii="Times New Roman" w:hAnsi="Times New Roman" w:eastAsia="宋体" w:cs="Times New Roman"/>
      <w:kern w:val="0"/>
      <w:sz w:val="24"/>
      <w:szCs w:val="24"/>
    </w:rPr>
  </w:style>
  <w:style w:type="character" w:customStyle="1" w:styleId="94">
    <w:name w:val="正文文本 字符1"/>
    <w:basedOn w:val="38"/>
    <w:link w:val="18"/>
    <w:semiHidden/>
    <w:qFormat/>
    <w:uiPriority w:val="99"/>
    <w:rPr>
      <w:rFonts w:ascii="Times New Roman" w:hAnsi="Times New Roman" w:eastAsia="宋体" w:cs="Times New Roman"/>
      <w:kern w:val="0"/>
      <w:sz w:val="24"/>
      <w:szCs w:val="24"/>
    </w:rPr>
  </w:style>
  <w:style w:type="character" w:customStyle="1" w:styleId="95">
    <w:name w:val="正文文本首行缩进 字符"/>
    <w:basedOn w:val="94"/>
    <w:link w:val="35"/>
    <w:uiPriority w:val="0"/>
    <w:rPr>
      <w:rFonts w:ascii="Times New Roman" w:hAnsi="Times New Roman" w:eastAsia="宋体" w:cs="Times New Roman"/>
      <w:kern w:val="0"/>
      <w:sz w:val="24"/>
      <w:szCs w:val="24"/>
    </w:rPr>
  </w:style>
  <w:style w:type="character" w:customStyle="1" w:styleId="96">
    <w:name w:val="批注主题 字符1"/>
    <w:basedOn w:val="93"/>
    <w:semiHidden/>
    <w:qFormat/>
    <w:uiPriority w:val="99"/>
    <w:rPr>
      <w:rFonts w:ascii="Times New Roman" w:hAnsi="Times New Roman" w:eastAsia="宋体" w:cs="Times New Roman"/>
      <w:b/>
      <w:bCs/>
      <w:kern w:val="0"/>
      <w:sz w:val="24"/>
      <w:szCs w:val="24"/>
    </w:rPr>
  </w:style>
  <w:style w:type="character" w:customStyle="1" w:styleId="97">
    <w:name w:val="日期 字符1"/>
    <w:basedOn w:val="38"/>
    <w:semiHidden/>
    <w:uiPriority w:val="99"/>
    <w:rPr>
      <w:rFonts w:ascii="Times New Roman" w:hAnsi="Times New Roman" w:eastAsia="宋体" w:cs="Times New Roman"/>
      <w:kern w:val="0"/>
      <w:sz w:val="24"/>
      <w:szCs w:val="24"/>
    </w:rPr>
  </w:style>
  <w:style w:type="character" w:customStyle="1" w:styleId="98">
    <w:name w:val="正文文本 3 字符1"/>
    <w:basedOn w:val="38"/>
    <w:semiHidden/>
    <w:uiPriority w:val="99"/>
    <w:rPr>
      <w:rFonts w:ascii="Times New Roman" w:hAnsi="Times New Roman" w:eastAsia="宋体" w:cs="Times New Roman"/>
      <w:kern w:val="0"/>
      <w:sz w:val="16"/>
      <w:szCs w:val="16"/>
    </w:rPr>
  </w:style>
  <w:style w:type="character" w:customStyle="1" w:styleId="99">
    <w:name w:val="正文文本 2 字符"/>
    <w:basedOn w:val="38"/>
    <w:link w:val="32"/>
    <w:qFormat/>
    <w:uiPriority w:val="0"/>
    <w:rPr>
      <w:rFonts w:ascii="仿宋_GB2312" w:hAnsi="Times New Roman" w:eastAsia="仿宋_GB2312" w:cs="Times New Roman"/>
      <w:kern w:val="0"/>
      <w:sz w:val="24"/>
      <w:szCs w:val="24"/>
    </w:rPr>
  </w:style>
  <w:style w:type="character" w:customStyle="1" w:styleId="100">
    <w:name w:val="批注框文本 字符"/>
    <w:basedOn w:val="38"/>
    <w:link w:val="25"/>
    <w:semiHidden/>
    <w:qFormat/>
    <w:uiPriority w:val="0"/>
    <w:rPr>
      <w:rFonts w:ascii="Times New Roman" w:hAnsi="Times New Roman" w:eastAsia="宋体" w:cs="Times New Roman"/>
      <w:kern w:val="0"/>
      <w:sz w:val="18"/>
      <w:szCs w:val="18"/>
    </w:rPr>
  </w:style>
  <w:style w:type="paragraph" w:customStyle="1" w:styleId="101">
    <w:name w:val="Char Char Char Char Char Char Char Char Char Char Char Char Char Char Char Char Char Char Char Char Char Char Char Char 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02">
    <w:name w:val="p23"/>
    <w:basedOn w:val="1"/>
    <w:uiPriority w:val="0"/>
    <w:pPr>
      <w:spacing w:before="100" w:beforeAutospacing="1" w:after="100" w:afterAutospacing="1"/>
    </w:pPr>
    <w:rPr>
      <w:rFonts w:ascii="宋体" w:hAnsi="宋体" w:cs="宋体"/>
    </w:rPr>
  </w:style>
  <w:style w:type="paragraph" w:customStyle="1" w:styleId="103">
    <w:name w:val="表内文字"/>
    <w:basedOn w:val="1"/>
    <w:uiPriority w:val="0"/>
    <w:pPr>
      <w:widowControl w:val="0"/>
      <w:spacing w:line="500" w:lineRule="atLeast"/>
      <w:jc w:val="center"/>
    </w:pPr>
    <w:rPr>
      <w:rFonts w:ascii="楷体_GB2312" w:eastAsia="楷体_GB2312"/>
      <w:kern w:val="2"/>
      <w:sz w:val="28"/>
    </w:rPr>
  </w:style>
  <w:style w:type="paragraph" w:customStyle="1" w:styleId="104">
    <w:name w:val="_Style 1"/>
    <w:basedOn w:val="1"/>
    <w:qFormat/>
    <w:uiPriority w:val="34"/>
    <w:pPr>
      <w:widowControl w:val="0"/>
      <w:ind w:firstLine="420" w:firstLineChars="200"/>
      <w:jc w:val="both"/>
    </w:pPr>
    <w:rPr>
      <w:kern w:val="2"/>
      <w:sz w:val="28"/>
    </w:rPr>
  </w:style>
  <w:style w:type="paragraph" w:customStyle="1" w:styleId="105">
    <w:name w:val="Char"/>
    <w:basedOn w:val="1"/>
    <w:uiPriority w:val="0"/>
    <w:pPr>
      <w:widowControl w:val="0"/>
      <w:jc w:val="both"/>
    </w:pPr>
    <w:rPr>
      <w:rFonts w:ascii="仿宋_GB2312" w:eastAsia="仿宋_GB2312"/>
      <w:b/>
      <w:kern w:val="2"/>
      <w:sz w:val="32"/>
      <w:szCs w:val="32"/>
    </w:rPr>
  </w:style>
  <w:style w:type="paragraph" w:customStyle="1" w:styleId="106">
    <w:name w:val="正文_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7">
    <w:name w:val="2"/>
    <w:basedOn w:val="1"/>
    <w:next w:val="18"/>
    <w:uiPriority w:val="0"/>
    <w:pPr>
      <w:widowControl w:val="0"/>
      <w:adjustRightInd w:val="0"/>
      <w:spacing w:line="360" w:lineRule="auto"/>
      <w:jc w:val="both"/>
      <w:textAlignment w:val="baseline"/>
    </w:pPr>
    <w:rPr>
      <w:rFonts w:ascii="宋体"/>
      <w:sz w:val="30"/>
      <w:szCs w:val="20"/>
    </w:rPr>
  </w:style>
  <w:style w:type="paragraph" w:customStyle="1" w:styleId="108">
    <w:name w:val="标准小四"/>
    <w:basedOn w:val="1"/>
    <w:uiPriority w:val="0"/>
    <w:pPr>
      <w:widowControl w:val="0"/>
      <w:spacing w:line="360" w:lineRule="auto"/>
      <w:ind w:firstLine="480" w:firstLineChars="200"/>
      <w:jc w:val="both"/>
    </w:pPr>
    <w:rPr>
      <w:rFonts w:ascii="Arial" w:hAnsi="Arial"/>
      <w:kern w:val="2"/>
      <w:szCs w:val="21"/>
    </w:rPr>
  </w:style>
  <w:style w:type="paragraph" w:customStyle="1" w:styleId="109">
    <w:name w:val="Char Char Char Char Char Char Char Char Char Char"/>
    <w:basedOn w:val="1"/>
    <w:uiPriority w:val="0"/>
    <w:pPr>
      <w:widowControl w:val="0"/>
      <w:jc w:val="both"/>
    </w:pPr>
    <w:rPr>
      <w:rFonts w:ascii="Tahoma" w:hAnsi="Tahoma"/>
      <w:kern w:val="2"/>
      <w:szCs w:val="20"/>
    </w:rPr>
  </w:style>
  <w:style w:type="paragraph" w:customStyle="1" w:styleId="110">
    <w:name w:val="正文2"/>
    <w:basedOn w:val="1"/>
    <w:uiPriority w:val="0"/>
    <w:pPr>
      <w:widowControl w:val="0"/>
      <w:spacing w:before="156" w:line="360" w:lineRule="auto"/>
      <w:ind w:firstLine="510" w:firstLineChars="200"/>
      <w:jc w:val="both"/>
    </w:pPr>
    <w:rPr>
      <w:kern w:val="2"/>
      <w:szCs w:val="20"/>
    </w:rPr>
  </w:style>
  <w:style w:type="paragraph" w:customStyle="1" w:styleId="111">
    <w:name w:val="font5"/>
    <w:basedOn w:val="1"/>
    <w:uiPriority w:val="0"/>
    <w:pPr>
      <w:spacing w:before="100" w:beforeAutospacing="1" w:after="100" w:afterAutospacing="1"/>
    </w:pPr>
    <w:rPr>
      <w:rFonts w:hint="eastAsia" w:ascii="宋体" w:hAnsi="宋体"/>
      <w:sz w:val="18"/>
      <w:szCs w:val="18"/>
    </w:rPr>
  </w:style>
  <w:style w:type="paragraph" w:customStyle="1" w:styleId="112">
    <w:name w:val="四级条标题"/>
    <w:basedOn w:val="113"/>
    <w:next w:val="116"/>
    <w:uiPriority w:val="0"/>
    <w:pPr>
      <w:tabs>
        <w:tab w:val="left" w:pos="360"/>
        <w:tab w:val="left" w:pos="2100"/>
        <w:tab w:val="left" w:pos="2905"/>
      </w:tabs>
      <w:ind w:left="2905" w:hanging="720"/>
      <w:outlineLvl w:val="5"/>
    </w:pPr>
  </w:style>
  <w:style w:type="paragraph" w:customStyle="1" w:styleId="113">
    <w:name w:val="三级条标题"/>
    <w:basedOn w:val="114"/>
    <w:next w:val="116"/>
    <w:uiPriority w:val="0"/>
    <w:pPr>
      <w:tabs>
        <w:tab w:val="left" w:pos="360"/>
        <w:tab w:val="left" w:pos="2100"/>
      </w:tabs>
      <w:ind w:left="2100" w:hanging="420"/>
      <w:outlineLvl w:val="4"/>
    </w:pPr>
  </w:style>
  <w:style w:type="paragraph" w:customStyle="1" w:styleId="114">
    <w:name w:val="二级条标题"/>
    <w:basedOn w:val="115"/>
    <w:next w:val="116"/>
    <w:uiPriority w:val="0"/>
    <w:pPr>
      <w:tabs>
        <w:tab w:val="left" w:pos="360"/>
      </w:tabs>
      <w:outlineLvl w:val="3"/>
    </w:pPr>
  </w:style>
  <w:style w:type="paragraph" w:customStyle="1" w:styleId="115">
    <w:name w:val="一级条标题"/>
    <w:next w:val="116"/>
    <w:uiPriority w:val="0"/>
    <w:pPr>
      <w:tabs>
        <w:tab w:val="left" w:pos="360"/>
      </w:tabs>
      <w:outlineLvl w:val="2"/>
    </w:pPr>
    <w:rPr>
      <w:rFonts w:ascii="Times New Roman" w:hAnsi="Times New Roman" w:eastAsia="黑体" w:cs="Times New Roman"/>
      <w:kern w:val="0"/>
      <w:sz w:val="21"/>
      <w:szCs w:val="20"/>
      <w:lang w:val="en-US" w:eastAsia="zh-CN" w:bidi="ar-SA"/>
    </w:rPr>
  </w:style>
  <w:style w:type="paragraph" w:customStyle="1" w:styleId="116">
    <w:name w:val="段"/>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17">
    <w:name w:val="xl32"/>
    <w:basedOn w:val="1"/>
    <w:uiPriority w:val="0"/>
    <w:pPr>
      <w:spacing w:before="100" w:beforeAutospacing="1" w:after="100" w:afterAutospacing="1"/>
      <w:jc w:val="center"/>
      <w:textAlignment w:val="center"/>
    </w:pPr>
    <w:rPr>
      <w:sz w:val="28"/>
      <w:szCs w:val="28"/>
    </w:rPr>
  </w:style>
  <w:style w:type="paragraph" w:customStyle="1" w:styleId="118">
    <w:name w:val="Defaul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styleId="119">
    <w:name w:val="No Spacing"/>
    <w:qFormat/>
    <w:uiPriority w:val="0"/>
    <w:pPr>
      <w:widowControl w:val="0"/>
      <w:jc w:val="both"/>
    </w:pPr>
    <w:rPr>
      <w:rFonts w:ascii="Calibri" w:hAnsi="Calibri" w:eastAsia="宋体" w:cs="Times New Roman"/>
      <w:kern w:val="2"/>
      <w:sz w:val="24"/>
      <w:szCs w:val="24"/>
      <w:lang w:val="en-US" w:eastAsia="zh-CN" w:bidi="ar-SA"/>
    </w:rPr>
  </w:style>
  <w:style w:type="paragraph" w:customStyle="1" w:styleId="120">
    <w:name w:val="xl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21">
    <w:name w:val="正文 New New New New"/>
    <w:qFormat/>
    <w:uiPriority w:val="99"/>
    <w:pPr>
      <w:widowControl w:val="0"/>
      <w:jc w:val="both"/>
    </w:pPr>
    <w:rPr>
      <w:rFonts w:ascii="Times New Roman" w:hAnsi="Times New Roman" w:eastAsia="宋体" w:cs="Times New Roman"/>
      <w:kern w:val="0"/>
      <w:sz w:val="21"/>
      <w:szCs w:val="24"/>
      <w:lang w:val="en-US" w:eastAsia="zh-CN" w:bidi="ar-SA"/>
    </w:rPr>
  </w:style>
  <w:style w:type="paragraph" w:customStyle="1" w:styleId="122">
    <w:name w:val="默认段落字体 Para Char Char Char Char"/>
    <w:basedOn w:val="1"/>
    <w:uiPriority w:val="0"/>
    <w:pPr>
      <w:widowControl w:val="0"/>
      <w:jc w:val="both"/>
    </w:pPr>
    <w:rPr>
      <w:kern w:val="2"/>
      <w:sz w:val="21"/>
    </w:rPr>
  </w:style>
  <w:style w:type="paragraph" w:customStyle="1" w:styleId="123">
    <w:name w:val="无间隔1"/>
    <w:qFormat/>
    <w:uiPriority w:val="0"/>
    <w:pPr>
      <w:widowControl w:val="0"/>
      <w:jc w:val="both"/>
    </w:pPr>
    <w:rPr>
      <w:rFonts w:ascii="Calibri" w:hAnsi="Calibri" w:eastAsia="宋体" w:cs="Times New Roman"/>
      <w:kern w:val="2"/>
      <w:sz w:val="24"/>
      <w:szCs w:val="24"/>
      <w:lang w:val="en-US" w:eastAsia="zh-CN" w:bidi="ar-SA"/>
    </w:rPr>
  </w:style>
  <w:style w:type="paragraph" w:customStyle="1" w:styleId="124">
    <w:name w:val="Char2"/>
    <w:basedOn w:val="15"/>
    <w:next w:val="1"/>
    <w:uiPriority w:val="0"/>
    <w:pPr>
      <w:widowControl w:val="0"/>
      <w:jc w:val="both"/>
    </w:pPr>
    <w:rPr>
      <w:kern w:val="2"/>
      <w:sz w:val="21"/>
      <w:szCs w:val="20"/>
    </w:rPr>
  </w:style>
  <w:style w:type="paragraph" w:customStyle="1" w:styleId="125">
    <w:name w:val="font1"/>
    <w:basedOn w:val="1"/>
    <w:uiPriority w:val="0"/>
    <w:pPr>
      <w:spacing w:before="100" w:beforeAutospacing="1" w:after="100" w:afterAutospacing="1"/>
    </w:pPr>
    <w:rPr>
      <w:rFonts w:hint="eastAsia" w:ascii="宋体" w:hAnsi="宋体"/>
    </w:rPr>
  </w:style>
  <w:style w:type="paragraph" w:customStyle="1" w:styleId="126">
    <w:name w:val="Char11"/>
    <w:basedOn w:val="1"/>
    <w:uiPriority w:val="0"/>
    <w:pPr>
      <w:widowControl w:val="0"/>
      <w:jc w:val="both"/>
    </w:pPr>
    <w:rPr>
      <w:rFonts w:ascii="仿宋_GB2312" w:eastAsia="仿宋_GB2312"/>
      <w:b/>
      <w:kern w:val="2"/>
      <w:sz w:val="32"/>
      <w:szCs w:val="32"/>
    </w:rPr>
  </w:style>
  <w:style w:type="paragraph" w:customStyle="1" w:styleId="127">
    <w:name w:val="xl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28">
    <w:name w:val="1"/>
    <w:basedOn w:val="1"/>
    <w:next w:val="17"/>
    <w:uiPriority w:val="0"/>
    <w:pPr>
      <w:widowControl w:val="0"/>
      <w:tabs>
        <w:tab w:val="left" w:pos="6480"/>
      </w:tabs>
      <w:spacing w:line="360" w:lineRule="auto"/>
      <w:ind w:right="-512" w:rightChars="-244"/>
      <w:jc w:val="both"/>
    </w:pPr>
    <w:rPr>
      <w:rFonts w:ascii="宋体" w:hAnsi="宋体"/>
      <w:kern w:val="2"/>
    </w:rPr>
  </w:style>
  <w:style w:type="paragraph" w:customStyle="1" w:styleId="129">
    <w:name w:val="font6"/>
    <w:basedOn w:val="1"/>
    <w:qFormat/>
    <w:uiPriority w:val="0"/>
    <w:pPr>
      <w:spacing w:before="100" w:beforeAutospacing="1" w:after="100" w:afterAutospacing="1"/>
    </w:pPr>
    <w:rPr>
      <w:rFonts w:hint="eastAsia" w:ascii="宋体" w:hAnsi="宋体"/>
      <w:sz w:val="26"/>
      <w:szCs w:val="26"/>
    </w:rPr>
  </w:style>
  <w:style w:type="paragraph" w:customStyle="1" w:styleId="130">
    <w:name w:val="Char Char Char Char1"/>
    <w:basedOn w:val="1"/>
    <w:uiPriority w:val="0"/>
    <w:pPr>
      <w:spacing w:after="160" w:line="240" w:lineRule="exact"/>
    </w:pPr>
    <w:rPr>
      <w:kern w:val="2"/>
      <w:sz w:val="21"/>
      <w:szCs w:val="20"/>
    </w:rPr>
  </w:style>
  <w:style w:type="paragraph" w:customStyle="1" w:styleId="131">
    <w:name w:val="3"/>
    <w:basedOn w:val="1"/>
    <w:qFormat/>
    <w:uiPriority w:val="0"/>
    <w:pPr>
      <w:widowControl w:val="0"/>
      <w:jc w:val="both"/>
    </w:pPr>
    <w:rPr>
      <w:rFonts w:ascii="Tahoma" w:hAnsi="Tahoma"/>
      <w:kern w:val="2"/>
      <w:szCs w:val="20"/>
    </w:rPr>
  </w:style>
  <w:style w:type="paragraph" w:customStyle="1" w:styleId="132">
    <w:name w:val="Char Char Char Char Char Char Char Char Char"/>
    <w:basedOn w:val="1"/>
    <w:qFormat/>
    <w:uiPriority w:val="0"/>
    <w:pPr>
      <w:widowControl w:val="0"/>
      <w:jc w:val="both"/>
    </w:pPr>
    <w:rPr>
      <w:rFonts w:ascii="Calibri" w:hAnsi="Calibri"/>
      <w:kern w:val="2"/>
      <w:sz w:val="21"/>
      <w:szCs w:val="22"/>
    </w:rPr>
  </w:style>
  <w:style w:type="paragraph" w:customStyle="1" w:styleId="133">
    <w:name w:val="Char Char1 Char Char Char Char"/>
    <w:basedOn w:val="1"/>
    <w:uiPriority w:val="0"/>
    <w:pPr>
      <w:widowControl w:val="0"/>
      <w:jc w:val="both"/>
    </w:pPr>
    <w:rPr>
      <w:rFonts w:ascii="Tahoma" w:hAnsi="Tahoma"/>
      <w:kern w:val="2"/>
      <w:szCs w:val="20"/>
    </w:rPr>
  </w:style>
  <w:style w:type="paragraph" w:customStyle="1" w:styleId="134">
    <w:name w:val="font7"/>
    <w:basedOn w:val="1"/>
    <w:qFormat/>
    <w:uiPriority w:val="0"/>
    <w:pPr>
      <w:spacing w:before="100" w:beforeAutospacing="1" w:after="100" w:afterAutospacing="1"/>
    </w:pPr>
    <w:rPr>
      <w:sz w:val="26"/>
      <w:szCs w:val="26"/>
    </w:rPr>
  </w:style>
  <w:style w:type="paragraph" w:customStyle="1" w:styleId="135">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6"/>
      <w:szCs w:val="26"/>
    </w:rPr>
  </w:style>
  <w:style w:type="paragraph" w:customStyle="1" w:styleId="136">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37">
    <w:name w:val="xl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38">
    <w:name w:val="章标题"/>
    <w:next w:val="116"/>
    <w:uiPriority w:val="0"/>
    <w:pPr>
      <w:tabs>
        <w:tab w:val="left" w:pos="1560"/>
      </w:tabs>
      <w:spacing w:beforeLines="50" w:afterLines="50"/>
      <w:ind w:left="1560" w:hanging="720"/>
      <w:jc w:val="both"/>
      <w:outlineLvl w:val="1"/>
    </w:pPr>
    <w:rPr>
      <w:rFonts w:ascii="黑体" w:hAnsi="Times New Roman" w:eastAsia="黑体" w:cs="Times New Roman"/>
      <w:kern w:val="0"/>
      <w:sz w:val="21"/>
      <w:szCs w:val="20"/>
      <w:lang w:val="en-US" w:eastAsia="zh-CN" w:bidi="ar-SA"/>
    </w:rPr>
  </w:style>
  <w:style w:type="paragraph" w:customStyle="1" w:styleId="139">
    <w:name w:val="样式 标题 2节标题 1.1 + 段前: 1 行 段后: 0.5 行"/>
    <w:basedOn w:val="5"/>
    <w:uiPriority w:val="0"/>
    <w:pPr>
      <w:widowControl w:val="0"/>
      <w:spacing w:before="240" w:after="120" w:line="360" w:lineRule="auto"/>
      <w:jc w:val="center"/>
    </w:pPr>
    <w:rPr>
      <w:rFonts w:ascii="宋体" w:hAnsi="宋体"/>
      <w:bCs w:val="0"/>
      <w:kern w:val="2"/>
      <w:sz w:val="24"/>
      <w:szCs w:val="20"/>
    </w:rPr>
  </w:style>
  <w:style w:type="paragraph" w:customStyle="1" w:styleId="140">
    <w:name w:val="表格"/>
    <w:basedOn w:val="1"/>
    <w:next w:val="1"/>
    <w:qFormat/>
    <w:uiPriority w:val="0"/>
    <w:pPr>
      <w:keepNext/>
      <w:keepLines/>
      <w:widowControl w:val="0"/>
      <w:autoSpaceDE w:val="0"/>
      <w:autoSpaceDN w:val="0"/>
      <w:adjustRightInd w:val="0"/>
      <w:spacing w:before="120" w:after="120" w:line="240" w:lineRule="atLeast"/>
      <w:jc w:val="center"/>
      <w:textAlignment w:val="bottom"/>
    </w:pPr>
    <w:rPr>
      <w:rFonts w:ascii="黑体"/>
    </w:rPr>
  </w:style>
  <w:style w:type="paragraph" w:customStyle="1" w:styleId="141">
    <w:name w:val="xl27"/>
    <w:basedOn w:val="1"/>
    <w:uiPriority w:val="0"/>
    <w:pPr>
      <w:pBdr>
        <w:left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42">
    <w:name w:val="xl31"/>
    <w:basedOn w:val="1"/>
    <w:uiPriority w:val="0"/>
    <w:pPr>
      <w:spacing w:before="100" w:beforeAutospacing="1" w:after="100" w:afterAutospacing="1"/>
      <w:jc w:val="center"/>
      <w:textAlignment w:val="center"/>
    </w:pPr>
    <w:rPr>
      <w:rFonts w:hint="eastAsia" w:ascii="黑体" w:hAnsi="宋体" w:eastAsia="黑体"/>
      <w:sz w:val="40"/>
      <w:szCs w:val="40"/>
    </w:rPr>
  </w:style>
  <w:style w:type="paragraph" w:customStyle="1" w:styleId="143">
    <w:name w:val="xl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44">
    <w:name w:val="xl4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45">
    <w:name w:val="xl44"/>
    <w:basedOn w:val="1"/>
    <w:uiPriority w:val="0"/>
    <w:pPr>
      <w:pBdr>
        <w:left w:val="single" w:color="auto" w:sz="4" w:space="0"/>
        <w:bottom w:val="single" w:color="auto" w:sz="4" w:space="0"/>
      </w:pBdr>
      <w:spacing w:before="100" w:beforeAutospacing="1" w:after="100" w:afterAutospacing="1"/>
      <w:jc w:val="center"/>
      <w:textAlignment w:val="center"/>
    </w:pPr>
    <w:rPr>
      <w:rFonts w:ascii="宋体" w:hAnsi="宋体"/>
      <w:sz w:val="26"/>
      <w:szCs w:val="26"/>
    </w:rPr>
  </w:style>
  <w:style w:type="paragraph" w:customStyle="1" w:styleId="146">
    <w:name w:val="xl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47">
    <w:name w:val="标题 51"/>
    <w:basedOn w:val="1"/>
    <w:qFormat/>
    <w:uiPriority w:val="1"/>
    <w:pPr>
      <w:widowControl w:val="0"/>
      <w:autoSpaceDE w:val="0"/>
      <w:autoSpaceDN w:val="0"/>
      <w:adjustRightInd w:val="0"/>
      <w:spacing w:before="127"/>
      <w:ind w:left="138"/>
      <w:outlineLvl w:val="4"/>
    </w:pPr>
    <w:rPr>
      <w:rFonts w:ascii="宋体" w:cs="宋体"/>
      <w:b/>
      <w:bCs/>
    </w:rPr>
  </w:style>
  <w:style w:type="paragraph" w:customStyle="1" w:styleId="148">
    <w:name w:val="五级条标题"/>
    <w:basedOn w:val="112"/>
    <w:next w:val="116"/>
    <w:uiPriority w:val="0"/>
    <w:pPr>
      <w:tabs>
        <w:tab w:val="left" w:pos="2940"/>
        <w:tab w:val="clear" w:pos="2905"/>
      </w:tabs>
      <w:ind w:left="2940" w:hanging="420"/>
      <w:outlineLvl w:val="6"/>
    </w:pPr>
  </w:style>
  <w:style w:type="paragraph" w:customStyle="1" w:styleId="149">
    <w:name w:val="p0"/>
    <w:basedOn w:val="1"/>
    <w:uiPriority w:val="0"/>
    <w:pPr>
      <w:jc w:val="both"/>
    </w:pPr>
    <w:rPr>
      <w:rFonts w:ascii="Calibri" w:hAnsi="Calibri"/>
      <w:sz w:val="36"/>
      <w:szCs w:val="36"/>
    </w:rPr>
  </w:style>
  <w:style w:type="paragraph" w:customStyle="1" w:styleId="150">
    <w:name w:val="字母编号列项（一级）"/>
    <w:uiPriority w:val="0"/>
    <w:pPr>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51">
    <w:name w:val="标题 41"/>
    <w:basedOn w:val="1"/>
    <w:qFormat/>
    <w:uiPriority w:val="1"/>
    <w:pPr>
      <w:widowControl w:val="0"/>
      <w:autoSpaceDE w:val="0"/>
      <w:autoSpaceDN w:val="0"/>
      <w:adjustRightInd w:val="0"/>
      <w:spacing w:before="178"/>
      <w:outlineLvl w:val="3"/>
    </w:pPr>
    <w:rPr>
      <w:rFonts w:ascii="宋体" w:cs="宋体"/>
      <w:sz w:val="28"/>
      <w:szCs w:val="28"/>
    </w:rPr>
  </w:style>
  <w:style w:type="paragraph" w:customStyle="1" w:styleId="152">
    <w:name w:val="def正文"/>
    <w:basedOn w:val="18"/>
    <w:qFormat/>
    <w:uiPriority w:val="0"/>
    <w:pPr>
      <w:spacing w:after="0" w:line="360" w:lineRule="auto"/>
      <w:ind w:firstLine="510"/>
    </w:pPr>
  </w:style>
  <w:style w:type="paragraph" w:customStyle="1" w:styleId="153">
    <w:name w:val="xl41"/>
    <w:basedOn w:val="1"/>
    <w:qFormat/>
    <w:uiPriority w:val="0"/>
    <w:pPr>
      <w:pBdr>
        <w:top w:val="single" w:color="auto" w:sz="4" w:space="0"/>
        <w:left w:val="single" w:color="auto" w:sz="4" w:space="0"/>
      </w:pBdr>
      <w:spacing w:before="100" w:beforeAutospacing="1" w:after="100" w:afterAutospacing="1"/>
      <w:jc w:val="center"/>
      <w:textAlignment w:val="center"/>
    </w:pPr>
    <w:rPr>
      <w:rFonts w:ascii="宋体" w:hAnsi="宋体"/>
      <w:sz w:val="26"/>
      <w:szCs w:val="26"/>
    </w:rPr>
  </w:style>
  <w:style w:type="paragraph" w:customStyle="1" w:styleId="154">
    <w:name w:val="xl4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55">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56">
    <w:name w:val="标题 61"/>
    <w:basedOn w:val="1"/>
    <w:qFormat/>
    <w:uiPriority w:val="1"/>
    <w:pPr>
      <w:widowControl w:val="0"/>
      <w:autoSpaceDE w:val="0"/>
      <w:autoSpaceDN w:val="0"/>
      <w:adjustRightInd w:val="0"/>
      <w:spacing w:before="133"/>
      <w:ind w:left="114"/>
      <w:outlineLvl w:val="5"/>
    </w:pPr>
    <w:rPr>
      <w:rFonts w:ascii="宋体" w:cs="宋体"/>
      <w:b/>
      <w:bCs/>
      <w:sz w:val="21"/>
      <w:szCs w:val="21"/>
    </w:rPr>
  </w:style>
  <w:style w:type="paragraph" w:customStyle="1" w:styleId="157">
    <w:name w:val="Char Char1 Char Char Char Char Char Char Char Char"/>
    <w:basedOn w:val="1"/>
    <w:qFormat/>
    <w:uiPriority w:val="0"/>
    <w:pPr>
      <w:spacing w:after="160" w:line="240" w:lineRule="exact"/>
    </w:pPr>
    <w:rPr>
      <w:kern w:val="2"/>
      <w:sz w:val="21"/>
    </w:rPr>
  </w:style>
  <w:style w:type="paragraph" w:customStyle="1" w:styleId="158">
    <w:name w:val="默认段落字体 Para Char Char Char Char Char Char Char Char Char Char"/>
    <w:basedOn w:val="1"/>
    <w:qFormat/>
    <w:uiPriority w:val="0"/>
    <w:pPr>
      <w:widowControl w:val="0"/>
      <w:jc w:val="both"/>
    </w:pPr>
    <w:rPr>
      <w:rFonts w:ascii="Tahoma" w:hAnsi="Tahoma"/>
      <w:kern w:val="2"/>
      <w:szCs w:val="20"/>
    </w:rPr>
  </w:style>
  <w:style w:type="paragraph" w:customStyle="1" w:styleId="159">
    <w:name w:val="正文_6"/>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0">
    <w:name w:val="Char21"/>
    <w:basedOn w:val="15"/>
    <w:next w:val="1"/>
    <w:qFormat/>
    <w:uiPriority w:val="0"/>
    <w:pPr>
      <w:widowControl w:val="0"/>
      <w:jc w:val="both"/>
    </w:pPr>
    <w:rPr>
      <w:kern w:val="2"/>
      <w:sz w:val="21"/>
      <w:szCs w:val="20"/>
    </w:rPr>
  </w:style>
  <w:style w:type="paragraph" w:customStyle="1" w:styleId="161">
    <w:name w:val="ABC - 正文"/>
    <w:qFormat/>
    <w:uiPriority w:val="0"/>
    <w:pPr>
      <w:spacing w:afterLines="50" w:line="300" w:lineRule="auto"/>
      <w:ind w:firstLine="480" w:firstLineChars="200"/>
    </w:pPr>
    <w:rPr>
      <w:rFonts w:ascii="Cambria" w:hAnsi="Cambria" w:eastAsia="宋体" w:cs="Calibri"/>
      <w:kern w:val="2"/>
      <w:sz w:val="21"/>
      <w:szCs w:val="22"/>
      <w:lang w:val="en-US" w:eastAsia="zh-CN" w:bidi="ar-SA"/>
    </w:rPr>
  </w:style>
  <w:style w:type="paragraph" w:customStyle="1" w:styleId="162">
    <w:name w:val="列项——（一级）"/>
    <w:qFormat/>
    <w:uiPriority w:val="0"/>
    <w:pPr>
      <w:widowControl w:val="0"/>
      <w:tabs>
        <w:tab w:val="left" w:pos="854"/>
        <w:tab w:val="left" w:pos="1260"/>
      </w:tabs>
      <w:ind w:left="1260" w:leftChars="200" w:hanging="420" w:hangingChars="200"/>
      <w:jc w:val="both"/>
    </w:pPr>
    <w:rPr>
      <w:rFonts w:ascii="宋体" w:hAnsi="Times New Roman" w:eastAsia="宋体" w:cs="Times New Roman"/>
      <w:kern w:val="0"/>
      <w:sz w:val="21"/>
      <w:szCs w:val="20"/>
      <w:lang w:val="en-US" w:eastAsia="zh-CN" w:bidi="ar-SA"/>
    </w:rPr>
  </w:style>
  <w:style w:type="paragraph" w:customStyle="1" w:styleId="163">
    <w:name w:val="正文－恩普"/>
    <w:basedOn w:val="9"/>
    <w:uiPriority w:val="0"/>
    <w:pPr>
      <w:widowControl/>
      <w:spacing w:afterLines="50"/>
      <w:ind w:firstLine="480"/>
    </w:pPr>
    <w:rPr>
      <w:kern w:val="0"/>
      <w:sz w:val="24"/>
    </w:rPr>
  </w:style>
  <w:style w:type="paragraph" w:customStyle="1" w:styleId="164">
    <w:name w:val="Table Paragraph"/>
    <w:basedOn w:val="1"/>
    <w:qFormat/>
    <w:uiPriority w:val="1"/>
    <w:pPr>
      <w:widowControl w:val="0"/>
      <w:autoSpaceDE w:val="0"/>
      <w:autoSpaceDN w:val="0"/>
      <w:adjustRightInd w:val="0"/>
    </w:pPr>
  </w:style>
  <w:style w:type="paragraph" w:customStyle="1" w:styleId="165">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sz w:val="26"/>
      <w:szCs w:val="26"/>
    </w:rPr>
  </w:style>
  <w:style w:type="paragraph" w:customStyle="1" w:styleId="166">
    <w:name w:val="font8"/>
    <w:basedOn w:val="1"/>
    <w:qFormat/>
    <w:uiPriority w:val="0"/>
    <w:pPr>
      <w:spacing w:before="100" w:beforeAutospacing="1" w:after="100" w:afterAutospacing="1"/>
    </w:pPr>
    <w:rPr>
      <w:sz w:val="26"/>
      <w:szCs w:val="26"/>
    </w:rPr>
  </w:style>
  <w:style w:type="paragraph" w:customStyle="1" w:styleId="167">
    <w:name w:val="Char Char Char Char Char Char Char"/>
    <w:basedOn w:val="1"/>
    <w:qFormat/>
    <w:uiPriority w:val="0"/>
    <w:pPr>
      <w:widowControl w:val="0"/>
      <w:jc w:val="both"/>
    </w:pPr>
    <w:rPr>
      <w:rFonts w:ascii="Tahoma" w:hAnsi="Tahoma"/>
      <w:kern w:val="2"/>
      <w:szCs w:val="20"/>
    </w:rPr>
  </w:style>
  <w:style w:type="paragraph" w:customStyle="1" w:styleId="168">
    <w:name w:val="xl42"/>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6"/>
      <w:szCs w:val="26"/>
    </w:rPr>
  </w:style>
  <w:style w:type="paragraph" w:customStyle="1" w:styleId="169">
    <w:name w:val="xl2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rPr>
  </w:style>
  <w:style w:type="paragraph" w:customStyle="1" w:styleId="170">
    <w:name w:val="Char Char Char"/>
    <w:basedOn w:val="1"/>
    <w:qFormat/>
    <w:uiPriority w:val="0"/>
    <w:pPr>
      <w:widowControl w:val="0"/>
      <w:jc w:val="both"/>
    </w:pPr>
    <w:rPr>
      <w:kern w:val="2"/>
      <w:sz w:val="21"/>
    </w:rPr>
  </w:style>
  <w:style w:type="paragraph" w:customStyle="1" w:styleId="171">
    <w:name w:val="标题 21"/>
    <w:basedOn w:val="1"/>
    <w:qFormat/>
    <w:uiPriority w:val="1"/>
    <w:pPr>
      <w:widowControl w:val="0"/>
      <w:autoSpaceDE w:val="0"/>
      <w:autoSpaceDN w:val="0"/>
      <w:adjustRightInd w:val="0"/>
      <w:ind w:left="2634"/>
      <w:outlineLvl w:val="1"/>
    </w:pPr>
    <w:rPr>
      <w:rFonts w:ascii="宋体" w:cs="宋体"/>
      <w:b/>
      <w:bCs/>
      <w:sz w:val="32"/>
      <w:szCs w:val="32"/>
    </w:rPr>
  </w:style>
  <w:style w:type="paragraph" w:customStyle="1" w:styleId="172">
    <w:name w:val="Char1"/>
    <w:basedOn w:val="1"/>
    <w:qFormat/>
    <w:uiPriority w:val="0"/>
    <w:pPr>
      <w:widowControl w:val="0"/>
      <w:jc w:val="center"/>
    </w:pPr>
    <w:rPr>
      <w:rFonts w:ascii="仿宋_GB2312" w:hAnsi="Calibri" w:eastAsia="仿宋_GB2312"/>
      <w:b/>
      <w:sz w:val="32"/>
      <w:szCs w:val="32"/>
      <w:lang w:val="en-GB"/>
    </w:rPr>
  </w:style>
  <w:style w:type="paragraph" w:customStyle="1" w:styleId="173">
    <w:name w:val="中等深浅网格 1 - 强调文字颜色 21"/>
    <w:basedOn w:val="1"/>
    <w:qFormat/>
    <w:uiPriority w:val="34"/>
    <w:pPr>
      <w:widowControl w:val="0"/>
      <w:ind w:firstLine="420" w:firstLineChars="200"/>
      <w:jc w:val="both"/>
    </w:pPr>
    <w:rPr>
      <w:rFonts w:ascii="Calibri" w:hAnsi="Calibri"/>
      <w:kern w:val="2"/>
      <w:sz w:val="21"/>
    </w:rPr>
  </w:style>
  <w:style w:type="paragraph" w:styleId="174">
    <w:name w:val="List Paragraph"/>
    <w:basedOn w:val="1"/>
    <w:qFormat/>
    <w:uiPriority w:val="34"/>
    <w:pPr>
      <w:widowControl w:val="0"/>
      <w:ind w:firstLine="420" w:firstLineChars="200"/>
      <w:jc w:val="both"/>
    </w:pPr>
    <w:rPr>
      <w:rFonts w:ascii="Calibri" w:hAnsi="Calibri"/>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52"/>
    <customShpInfo spid="_x0000_s2051"/>
    <customShpInfo spid="_x0000_s1030"/>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08C9E3-E4A7-4502-9F41-FB30542F2642}">
  <ds:schemaRefs/>
</ds:datastoreItem>
</file>

<file path=docProps/app.xml><?xml version="1.0" encoding="utf-8"?>
<Properties xmlns="http://schemas.openxmlformats.org/officeDocument/2006/extended-properties" xmlns:vt="http://schemas.openxmlformats.org/officeDocument/2006/docPropsVTypes">
  <Template>Normal</Template>
  <Pages>95</Pages>
  <Words>9319</Words>
  <Characters>53120</Characters>
  <Lines>442</Lines>
  <Paragraphs>124</Paragraphs>
  <TotalTime>4</TotalTime>
  <ScaleCrop>false</ScaleCrop>
  <LinksUpToDate>false</LinksUpToDate>
  <CharactersWithSpaces>62315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2020-03-24T01:43:00Z</dcterms:created>
  <dc:creator>Administrator</dc:creator>
  <cp:lastModifiedBy>郑</cp:lastModifiedBy>
  <dcterms:modified xsi:type="dcterms:W3CDTF">2020-04-23T09:10:08Z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