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Ansi="宋体" w:cs="宋体"/>
          <w:b/>
          <w:color w:val="FF0000"/>
          <w:spacing w:val="-14"/>
          <w:sz w:val="40"/>
          <w:szCs w:val="40"/>
          <w:highlight w:val="yellow"/>
        </w:rPr>
      </w:pPr>
    </w:p>
    <w:p>
      <w:pPr>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rPr>
          <w:rFonts w:hAnsi="宋体" w:cs="宋体"/>
          <w:b/>
          <w:color w:val="000000" w:themeColor="text1"/>
          <w:spacing w:val="-11"/>
          <w:sz w:val="38"/>
          <w:szCs w:val="40"/>
        </w:rPr>
      </w:pPr>
      <w:r>
        <w:rPr>
          <w:rFonts w:hint="eastAsia" w:hAnsi="宋体" w:cs="宋体"/>
          <w:b/>
          <w:color w:val="000000" w:themeColor="text1"/>
          <w:spacing w:val="-11"/>
          <w:sz w:val="38"/>
          <w:szCs w:val="40"/>
        </w:rPr>
        <w:t>《金华市区中心城区婺城片区（乡镇级）国土空间总体规划》</w:t>
      </w:r>
    </w:p>
    <w:p>
      <w:pPr>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rPr>
          <w:rFonts w:hAnsi="宋体" w:cs="宋体"/>
          <w:b/>
          <w:color w:val="000000" w:themeColor="text1"/>
          <w:spacing w:val="-11"/>
          <w:sz w:val="38"/>
          <w:szCs w:val="40"/>
        </w:rPr>
      </w:pPr>
      <w:r>
        <w:rPr>
          <w:rFonts w:hint="eastAsia" w:hAnsi="宋体" w:cs="宋体"/>
          <w:b/>
          <w:color w:val="000000" w:themeColor="text1"/>
          <w:spacing w:val="-11"/>
          <w:sz w:val="38"/>
          <w:szCs w:val="40"/>
        </w:rPr>
        <w:t>《金华市区中心城区金东片区（乡镇级）国土空间总体规划》</w:t>
      </w:r>
    </w:p>
    <w:p>
      <w:pPr>
        <w:pStyle w:val="44"/>
        <w:ind w:left="680"/>
        <w:rPr>
          <w:rFonts w:ascii="宋体" w:hAnsi="宋体" w:cs="宋体"/>
          <w:color w:val="000000"/>
        </w:rPr>
      </w:pPr>
    </w:p>
    <w:p>
      <w:pPr>
        <w:spacing w:before="120" w:beforeLines="50"/>
        <w:jc w:val="center"/>
        <w:rPr>
          <w:rFonts w:hAnsi="宋体" w:cs="宋体"/>
          <w:b/>
          <w:color w:val="000000"/>
          <w:sz w:val="52"/>
          <w:szCs w:val="52"/>
        </w:rPr>
      </w:pPr>
    </w:p>
    <w:p>
      <w:pPr>
        <w:spacing w:before="120" w:beforeLines="50"/>
        <w:jc w:val="center"/>
        <w:rPr>
          <w:rFonts w:hAnsi="宋体" w:cs="宋体"/>
          <w:b/>
          <w:color w:val="000000"/>
          <w:sz w:val="52"/>
          <w:szCs w:val="52"/>
        </w:rPr>
      </w:pPr>
    </w:p>
    <w:p>
      <w:pPr>
        <w:spacing w:before="120" w:beforeLines="50"/>
        <w:jc w:val="center"/>
        <w:rPr>
          <w:rFonts w:hint="eastAsia" w:hAnsi="宋体" w:cs="宋体"/>
          <w:b/>
          <w:color w:val="000000"/>
          <w:sz w:val="52"/>
          <w:szCs w:val="52"/>
        </w:rPr>
      </w:pPr>
    </w:p>
    <w:p>
      <w:pPr>
        <w:spacing w:before="120" w:beforeLines="50"/>
        <w:jc w:val="center"/>
        <w:rPr>
          <w:rFonts w:hAnsi="宋体" w:cs="宋体"/>
          <w:b/>
          <w:color w:val="000000"/>
          <w:sz w:val="52"/>
          <w:szCs w:val="52"/>
        </w:rPr>
      </w:pPr>
      <w:r>
        <w:rPr>
          <w:rFonts w:hint="eastAsia" w:hAnsi="宋体" w:cs="宋体"/>
          <w:b/>
          <w:color w:val="000000"/>
          <w:sz w:val="52"/>
          <w:szCs w:val="52"/>
        </w:rPr>
        <w:t>公开招标采购文件</w:t>
      </w:r>
    </w:p>
    <w:p>
      <w:pPr>
        <w:snapToGrid w:val="0"/>
        <w:spacing w:before="120" w:beforeLines="50" w:line="360" w:lineRule="auto"/>
        <w:rPr>
          <w:rFonts w:hAnsi="宋体" w:cs="宋体"/>
          <w:color w:val="000000"/>
          <w:sz w:val="30"/>
          <w:szCs w:val="72"/>
        </w:rPr>
      </w:pPr>
    </w:p>
    <w:p>
      <w:pPr>
        <w:pStyle w:val="44"/>
        <w:ind w:left="680"/>
        <w:rPr>
          <w:rFonts w:ascii="宋体" w:hAnsi="宋体" w:cs="宋体"/>
          <w:color w:val="000000"/>
          <w:sz w:val="30"/>
          <w:szCs w:val="72"/>
        </w:rPr>
      </w:pPr>
    </w:p>
    <w:p>
      <w:pPr>
        <w:snapToGrid w:val="0"/>
        <w:spacing w:line="480" w:lineRule="auto"/>
        <w:rPr>
          <w:rFonts w:hAnsi="宋体" w:cs="宋体"/>
          <w:b/>
          <w:bCs/>
          <w:color w:val="000000"/>
          <w:w w:val="95"/>
          <w:sz w:val="30"/>
          <w:szCs w:val="30"/>
        </w:rPr>
      </w:pPr>
    </w:p>
    <w:p>
      <w:pPr>
        <w:snapToGrid w:val="0"/>
        <w:spacing w:line="480" w:lineRule="auto"/>
        <w:ind w:firstLine="572" w:firstLineChars="200"/>
        <w:rPr>
          <w:rFonts w:hAnsi="宋体" w:cs="宋体"/>
          <w:b/>
          <w:bCs/>
          <w:color w:val="000000"/>
          <w:w w:val="95"/>
          <w:sz w:val="30"/>
          <w:szCs w:val="30"/>
        </w:rPr>
      </w:pPr>
    </w:p>
    <w:p>
      <w:pPr>
        <w:snapToGrid w:val="0"/>
        <w:spacing w:line="480" w:lineRule="auto"/>
        <w:ind w:firstLine="572" w:firstLineChars="200"/>
        <w:rPr>
          <w:rFonts w:hint="eastAsia" w:hAnsi="宋体" w:eastAsia="宋体" w:cs="宋体"/>
          <w:b/>
          <w:bCs/>
          <w:color w:val="000000"/>
          <w:w w:val="95"/>
          <w:sz w:val="30"/>
          <w:szCs w:val="30"/>
          <w:lang w:eastAsia="zh-CN"/>
        </w:rPr>
      </w:pPr>
      <w:r>
        <w:rPr>
          <w:rFonts w:hint="eastAsia" w:hAnsi="宋体" w:cs="宋体"/>
          <w:b/>
          <w:bCs/>
          <w:color w:val="000000"/>
          <w:w w:val="95"/>
          <w:sz w:val="30"/>
          <w:szCs w:val="30"/>
        </w:rPr>
        <w:t>项目编号：</w:t>
      </w:r>
      <w:r>
        <w:rPr>
          <w:rFonts w:hint="eastAsia" w:hAnsi="宋体" w:cs="宋体"/>
          <w:b/>
          <w:bCs/>
          <w:color w:val="000000"/>
          <w:w w:val="95"/>
          <w:sz w:val="30"/>
          <w:szCs w:val="30"/>
          <w:lang w:eastAsia="zh-CN"/>
        </w:rPr>
        <w:t xml:space="preserve">TY2023-FW325 -ZFCG325  </w:t>
      </w:r>
    </w:p>
    <w:p>
      <w:pPr>
        <w:snapToGrid w:val="0"/>
        <w:spacing w:line="480" w:lineRule="auto"/>
        <w:ind w:firstLine="572" w:firstLineChars="200"/>
        <w:rPr>
          <w:rFonts w:hAnsi="宋体" w:cs="宋体"/>
          <w:b/>
          <w:bCs/>
          <w:color w:val="000000"/>
          <w:w w:val="95"/>
          <w:sz w:val="30"/>
          <w:szCs w:val="30"/>
        </w:rPr>
      </w:pPr>
      <w:r>
        <w:rPr>
          <w:rFonts w:hint="eastAsia" w:hAnsi="宋体" w:cs="宋体"/>
          <w:b/>
          <w:bCs/>
          <w:color w:val="000000"/>
          <w:w w:val="95"/>
          <w:sz w:val="30"/>
          <w:szCs w:val="30"/>
        </w:rPr>
        <w:t>采购单位：</w:t>
      </w:r>
      <w:r>
        <w:rPr>
          <w:rFonts w:ascii="仿宋" w:hAnsi="仿宋" w:eastAsia="仿宋" w:cs="仿宋"/>
          <w:color w:val="000000"/>
          <w:sz w:val="21"/>
          <w:szCs w:val="21"/>
        </w:rPr>
        <w:t> </w:t>
      </w:r>
      <w:r>
        <w:rPr>
          <w:rFonts w:hint="eastAsia" w:hAnsi="宋体" w:cs="宋体"/>
          <w:b/>
          <w:bCs/>
          <w:color w:val="000000"/>
          <w:w w:val="95"/>
          <w:sz w:val="30"/>
          <w:szCs w:val="30"/>
        </w:rPr>
        <w:t>金华市婺城区自然资源和规划事务服务中心、金华市自然资源和规划局金华经济技术开发区分局、金华市金东区土地储备中心（金华市金东区自然资源和规划事务服务中心）、金华双龙风景旅游区管理委员会</w:t>
      </w:r>
    </w:p>
    <w:p>
      <w:pPr>
        <w:snapToGrid w:val="0"/>
        <w:spacing w:line="480" w:lineRule="auto"/>
        <w:ind w:firstLine="572" w:firstLineChars="200"/>
        <w:rPr>
          <w:rFonts w:hAnsi="宋体" w:cs="宋体"/>
          <w:b/>
          <w:bCs/>
          <w:color w:val="000000"/>
          <w:w w:val="95"/>
          <w:sz w:val="30"/>
          <w:szCs w:val="30"/>
        </w:rPr>
      </w:pPr>
      <w:r>
        <w:rPr>
          <w:rFonts w:hint="eastAsia" w:hAnsi="宋体" w:cs="宋体"/>
          <w:b/>
          <w:bCs/>
          <w:color w:val="000000"/>
          <w:w w:val="95"/>
          <w:sz w:val="30"/>
          <w:szCs w:val="30"/>
        </w:rPr>
        <w:t>代理机构：金华市天盈招标代理有限公司</w:t>
      </w:r>
    </w:p>
    <w:p>
      <w:pPr>
        <w:snapToGrid w:val="0"/>
        <w:spacing w:line="480" w:lineRule="auto"/>
        <w:ind w:firstLine="572" w:firstLineChars="200"/>
        <w:rPr>
          <w:rFonts w:hAnsi="宋体" w:cs="宋体"/>
          <w:b/>
          <w:bCs/>
          <w:color w:val="000000"/>
          <w:w w:val="95"/>
          <w:sz w:val="30"/>
          <w:szCs w:val="30"/>
        </w:rPr>
      </w:pPr>
      <w:r>
        <w:rPr>
          <w:rFonts w:hint="eastAsia" w:hAnsi="宋体" w:cs="宋体"/>
          <w:b/>
          <w:bCs/>
          <w:color w:val="000000"/>
          <w:w w:val="95"/>
          <w:sz w:val="30"/>
          <w:szCs w:val="30"/>
        </w:rPr>
        <w:t>监管单位：金华市财政局政府采购监管处</w:t>
      </w:r>
    </w:p>
    <w:p>
      <w:pPr>
        <w:snapToGrid w:val="0"/>
        <w:spacing w:line="480" w:lineRule="auto"/>
        <w:jc w:val="center"/>
        <w:rPr>
          <w:rFonts w:hAnsi="宋体" w:cs="宋体"/>
          <w:b/>
          <w:bCs/>
          <w:color w:val="000000"/>
          <w:w w:val="95"/>
          <w:sz w:val="30"/>
          <w:szCs w:val="30"/>
        </w:rPr>
        <w:sectPr>
          <w:headerReference r:id="rId4" w:type="first"/>
          <w:headerReference r:id="rId3" w:type="default"/>
          <w:footerReference r:id="rId5" w:type="default"/>
          <w:footerReference r:id="rId6" w:type="even"/>
          <w:pgSz w:w="11906" w:h="16838"/>
          <w:pgMar w:top="1440" w:right="1080" w:bottom="1440" w:left="1080" w:header="567" w:footer="567" w:gutter="0"/>
          <w:pgNumType w:start="0"/>
          <w:cols w:space="720" w:num="1"/>
          <w:docGrid w:linePitch="462" w:charSpace="0"/>
        </w:sectPr>
      </w:pPr>
      <w:r>
        <w:rPr>
          <w:rFonts w:hint="eastAsia" w:hAnsi="宋体" w:cs="宋体"/>
          <w:b/>
          <w:bCs/>
          <w:color w:val="000000"/>
          <w:w w:val="95"/>
          <w:sz w:val="30"/>
          <w:szCs w:val="30"/>
        </w:rPr>
        <w:t xml:space="preserve">2 0 2 3 年 </w:t>
      </w:r>
      <w:r>
        <w:rPr>
          <w:rFonts w:hint="eastAsia" w:hAnsi="宋体" w:cs="宋体"/>
          <w:b/>
          <w:bCs/>
          <w:color w:val="000000"/>
          <w:w w:val="95"/>
          <w:sz w:val="30"/>
          <w:szCs w:val="30"/>
          <w:lang w:val="en-US" w:eastAsia="zh-CN"/>
        </w:rPr>
        <w:t xml:space="preserve">1 1 </w:t>
      </w:r>
      <w:r>
        <w:rPr>
          <w:rFonts w:hint="eastAsia" w:hAnsi="宋体" w:cs="宋体"/>
          <w:b/>
          <w:bCs/>
          <w:color w:val="000000"/>
          <w:w w:val="95"/>
          <w:sz w:val="30"/>
          <w:szCs w:val="30"/>
        </w:rPr>
        <w:t xml:space="preserve">月  </w:t>
      </w:r>
    </w:p>
    <w:p>
      <w:pPr>
        <w:pStyle w:val="44"/>
        <w:ind w:left="680"/>
        <w:rPr>
          <w:rFonts w:ascii="宋体" w:hAnsi="宋体" w:cs="宋体"/>
          <w:color w:val="000000"/>
        </w:rPr>
      </w:pPr>
    </w:p>
    <w:p>
      <w:pPr>
        <w:jc w:val="center"/>
        <w:rPr>
          <w:rFonts w:hAnsi="宋体" w:cs="宋体"/>
          <w:b/>
          <w:color w:val="000000"/>
          <w:sz w:val="36"/>
          <w:szCs w:val="36"/>
        </w:rPr>
      </w:pPr>
      <w:r>
        <w:rPr>
          <w:rFonts w:hint="eastAsia" w:hAnsi="宋体" w:cs="宋体"/>
          <w:color w:val="000000"/>
        </w:rPr>
        <w:t>目        录</w:t>
      </w:r>
      <w:bookmarkStart w:id="0" w:name="_Toc237182500"/>
    </w:p>
    <w:p>
      <w:pPr>
        <w:pStyle w:val="32"/>
        <w:tabs>
          <w:tab w:val="right" w:leader="dot" w:pos="9452"/>
        </w:tabs>
        <w:spacing w:line="380" w:lineRule="exact"/>
        <w:rPr>
          <w:rFonts w:ascii="宋体" w:hAnsi="宋体" w:cs="宋体"/>
          <w:b w:val="0"/>
          <w:bCs w:val="0"/>
          <w:caps w:val="0"/>
          <w:color w:val="000000"/>
          <w:kern w:val="2"/>
          <w:sz w:val="21"/>
          <w:szCs w:val="21"/>
        </w:rPr>
      </w:pPr>
      <w:r>
        <w:rPr>
          <w:rFonts w:hint="eastAsia" w:ascii="宋体" w:hAnsi="宋体" w:cs="宋体"/>
          <w:b w:val="0"/>
          <w:bCs w:val="0"/>
          <w:color w:val="000000"/>
          <w:sz w:val="21"/>
          <w:szCs w:val="21"/>
        </w:rPr>
        <w:fldChar w:fldCharType="begin"/>
      </w:r>
      <w:r>
        <w:rPr>
          <w:rFonts w:hint="eastAsia" w:ascii="宋体" w:hAnsi="宋体" w:cs="宋体"/>
          <w:b w:val="0"/>
          <w:bCs w:val="0"/>
          <w:color w:val="000000"/>
          <w:sz w:val="21"/>
          <w:szCs w:val="21"/>
        </w:rPr>
        <w:instrText xml:space="preserve"> TOC \o "1-3" \h \z \u </w:instrText>
      </w:r>
      <w:r>
        <w:rPr>
          <w:rFonts w:hint="eastAsia" w:ascii="宋体" w:hAnsi="宋体" w:cs="宋体"/>
          <w:b w:val="0"/>
          <w:bCs w:val="0"/>
          <w:color w:val="000000"/>
          <w:sz w:val="21"/>
          <w:szCs w:val="21"/>
        </w:rPr>
        <w:fldChar w:fldCharType="separate"/>
      </w:r>
      <w:r>
        <w:fldChar w:fldCharType="begin"/>
      </w:r>
      <w:r>
        <w:instrText xml:space="preserve"> HYPERLINK \l "_Toc351559940" </w:instrText>
      </w:r>
      <w:r>
        <w:fldChar w:fldCharType="separate"/>
      </w:r>
      <w:r>
        <w:rPr>
          <w:rFonts w:hint="eastAsia" w:ascii="宋体" w:hAnsi="宋体" w:cs="宋体"/>
          <w:color w:val="000000"/>
          <w:sz w:val="21"/>
          <w:szCs w:val="21"/>
        </w:rPr>
        <w:t>第一章  公开招标采购公告</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_Toc351559940 \h </w:instrText>
      </w:r>
      <w:r>
        <w:rPr>
          <w:rFonts w:hint="eastAsia" w:ascii="宋体" w:hAnsi="宋体" w:cs="宋体"/>
          <w:color w:val="000000"/>
          <w:sz w:val="21"/>
          <w:szCs w:val="21"/>
        </w:rPr>
        <w:fldChar w:fldCharType="separate"/>
      </w:r>
      <w:r>
        <w:rPr>
          <w:rFonts w:hint="eastAsia" w:ascii="宋体" w:hAnsi="宋体" w:cs="宋体"/>
          <w:color w:val="000000"/>
          <w:sz w:val="21"/>
          <w:szCs w:val="21"/>
        </w:rPr>
        <w:t>1</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2"/>
        <w:tabs>
          <w:tab w:val="right" w:leader="dot" w:pos="9452"/>
        </w:tabs>
        <w:spacing w:line="380" w:lineRule="exact"/>
        <w:rPr>
          <w:rFonts w:ascii="宋体" w:hAnsi="宋体" w:cs="宋体"/>
          <w:b w:val="0"/>
          <w:bCs w:val="0"/>
          <w:caps w:val="0"/>
          <w:color w:val="000000"/>
          <w:kern w:val="2"/>
          <w:sz w:val="21"/>
          <w:szCs w:val="21"/>
        </w:rPr>
      </w:pPr>
      <w:r>
        <w:fldChar w:fldCharType="begin"/>
      </w:r>
      <w:r>
        <w:instrText xml:space="preserve"> HYPERLINK \l "_Toc351559941" </w:instrText>
      </w:r>
      <w:r>
        <w:fldChar w:fldCharType="separate"/>
      </w:r>
      <w:r>
        <w:rPr>
          <w:rFonts w:hint="eastAsia" w:ascii="宋体" w:hAnsi="宋体" w:cs="宋体"/>
          <w:color w:val="000000"/>
          <w:sz w:val="21"/>
          <w:szCs w:val="21"/>
        </w:rPr>
        <w:t>第二章  招标需求</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_Toc351559941 \h </w:instrText>
      </w:r>
      <w:r>
        <w:rPr>
          <w:rFonts w:hint="eastAsia" w:ascii="宋体" w:hAnsi="宋体" w:cs="宋体"/>
          <w:color w:val="000000"/>
          <w:sz w:val="21"/>
          <w:szCs w:val="21"/>
        </w:rPr>
        <w:fldChar w:fldCharType="separate"/>
      </w:r>
      <w:r>
        <w:rPr>
          <w:rFonts w:hint="eastAsia" w:ascii="宋体" w:hAnsi="宋体" w:cs="宋体"/>
          <w:color w:val="000000"/>
          <w:sz w:val="21"/>
          <w:szCs w:val="21"/>
        </w:rPr>
        <w:t>7</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2"/>
        <w:tabs>
          <w:tab w:val="right" w:leader="dot" w:pos="9452"/>
        </w:tabs>
        <w:spacing w:line="380" w:lineRule="exact"/>
        <w:rPr>
          <w:rFonts w:ascii="宋体" w:hAnsi="宋体" w:cs="宋体"/>
          <w:b w:val="0"/>
          <w:bCs w:val="0"/>
          <w:caps w:val="0"/>
          <w:color w:val="000000"/>
          <w:kern w:val="2"/>
          <w:sz w:val="21"/>
          <w:szCs w:val="21"/>
        </w:rPr>
      </w:pPr>
      <w:r>
        <w:fldChar w:fldCharType="begin"/>
      </w:r>
      <w:r>
        <w:instrText xml:space="preserve"> HYPERLINK \l "_Toc351559942" </w:instrText>
      </w:r>
      <w:r>
        <w:fldChar w:fldCharType="separate"/>
      </w:r>
      <w:r>
        <w:rPr>
          <w:rFonts w:hint="eastAsia" w:ascii="宋体" w:hAnsi="宋体" w:cs="宋体"/>
          <w:color w:val="000000"/>
          <w:sz w:val="21"/>
          <w:szCs w:val="21"/>
        </w:rPr>
        <w:t>第三章  投标人须知</w:t>
      </w:r>
      <w:bookmarkStart w:id="55" w:name="_GoBack"/>
      <w:bookmarkEnd w:id="55"/>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_Toc351559942 \h </w:instrText>
      </w:r>
      <w:r>
        <w:rPr>
          <w:rFonts w:hint="eastAsia" w:ascii="宋体" w:hAnsi="宋体" w:cs="宋体"/>
          <w:color w:val="000000"/>
          <w:sz w:val="21"/>
          <w:szCs w:val="21"/>
        </w:rPr>
        <w:fldChar w:fldCharType="separate"/>
      </w:r>
      <w:r>
        <w:rPr>
          <w:rFonts w:hint="eastAsia" w:ascii="宋体" w:hAnsi="宋体" w:cs="宋体"/>
          <w:color w:val="000000"/>
          <w:sz w:val="21"/>
          <w:szCs w:val="21"/>
        </w:rPr>
        <w:t>7</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8"/>
        <w:rPr>
          <w:rFonts w:ascii="宋体" w:hAnsi="宋体" w:cs="宋体"/>
          <w:smallCaps w:val="0"/>
          <w:kern w:val="2"/>
        </w:rPr>
      </w:pPr>
      <w:r>
        <w:fldChar w:fldCharType="begin"/>
      </w:r>
      <w:r>
        <w:instrText xml:space="preserve"> HYPERLINK \l "_Toc351559943" </w:instrText>
      </w:r>
      <w:r>
        <w:fldChar w:fldCharType="separate"/>
      </w:r>
      <w:r>
        <w:rPr>
          <w:rFonts w:hint="eastAsia" w:ascii="宋体" w:hAnsi="宋体" w:cs="宋体"/>
          <w:b/>
        </w:rPr>
        <w:t>前附表</w:t>
      </w:r>
      <w:r>
        <w:rPr>
          <w:rFonts w:hint="eastAsia" w:ascii="宋体" w:hAnsi="宋体" w:cs="宋体"/>
        </w:rPr>
        <w:tab/>
      </w:r>
      <w:r>
        <w:rPr>
          <w:rFonts w:hint="eastAsia" w:ascii="宋体" w:hAnsi="宋体" w:cs="宋体"/>
          <w:b/>
        </w:rPr>
        <w:fldChar w:fldCharType="begin"/>
      </w:r>
      <w:r>
        <w:rPr>
          <w:rFonts w:hint="eastAsia" w:ascii="宋体" w:hAnsi="宋体" w:cs="宋体"/>
          <w:b/>
        </w:rPr>
        <w:instrText xml:space="preserve"> PAGEREF _Toc351559943 \h </w:instrText>
      </w:r>
      <w:r>
        <w:rPr>
          <w:rFonts w:hint="eastAsia" w:ascii="宋体" w:hAnsi="宋体" w:cs="宋体"/>
          <w:b/>
        </w:rPr>
        <w:fldChar w:fldCharType="separate"/>
      </w:r>
      <w:r>
        <w:rPr>
          <w:rFonts w:hint="eastAsia" w:ascii="宋体" w:hAnsi="宋体" w:cs="宋体"/>
          <w:b/>
        </w:rPr>
        <w:t>14</w:t>
      </w:r>
      <w:r>
        <w:rPr>
          <w:rFonts w:hint="eastAsia" w:ascii="宋体" w:hAnsi="宋体" w:cs="宋体"/>
          <w:b/>
        </w:rPr>
        <w:fldChar w:fldCharType="end"/>
      </w:r>
      <w:r>
        <w:rPr>
          <w:rFonts w:hint="eastAsia" w:ascii="宋体" w:hAnsi="宋体" w:cs="宋体"/>
          <w:b/>
        </w:rPr>
        <w:fldChar w:fldCharType="end"/>
      </w:r>
    </w:p>
    <w:p>
      <w:pPr>
        <w:pStyle w:val="32"/>
        <w:tabs>
          <w:tab w:val="right" w:leader="dot" w:pos="9452"/>
        </w:tabs>
        <w:spacing w:line="380" w:lineRule="exact"/>
        <w:rPr>
          <w:rFonts w:ascii="宋体" w:hAnsi="宋体" w:cs="宋体"/>
          <w:b w:val="0"/>
          <w:bCs w:val="0"/>
          <w:caps w:val="0"/>
          <w:color w:val="000000"/>
          <w:kern w:val="2"/>
          <w:sz w:val="21"/>
          <w:szCs w:val="21"/>
        </w:rPr>
      </w:pPr>
      <w:r>
        <w:fldChar w:fldCharType="begin"/>
      </w:r>
      <w:r>
        <w:instrText xml:space="preserve"> HYPERLINK \l "_Toc351559944" </w:instrText>
      </w:r>
      <w:r>
        <w:fldChar w:fldCharType="separate"/>
      </w:r>
      <w:r>
        <w:rPr>
          <w:rFonts w:hint="eastAsia" w:ascii="宋体" w:hAnsi="宋体" w:cs="宋体"/>
          <w:color w:val="000000"/>
          <w:sz w:val="21"/>
          <w:szCs w:val="21"/>
        </w:rPr>
        <w:t>第四章 评标</w:t>
      </w:r>
      <w:bookmarkStart w:id="1" w:name="_Hlt23505457"/>
      <w:bookmarkStart w:id="2" w:name="_Hlt23505456"/>
      <w:r>
        <w:rPr>
          <w:rFonts w:hint="eastAsia" w:ascii="宋体" w:hAnsi="宋体" w:cs="宋体"/>
          <w:color w:val="000000"/>
          <w:sz w:val="21"/>
          <w:szCs w:val="21"/>
        </w:rPr>
        <w:t>办</w:t>
      </w:r>
      <w:bookmarkEnd w:id="1"/>
      <w:bookmarkEnd w:id="2"/>
      <w:bookmarkStart w:id="3" w:name="_Hlt479276106"/>
      <w:bookmarkStart w:id="4" w:name="_Hlt479276105"/>
      <w:r>
        <w:rPr>
          <w:rFonts w:hint="eastAsia" w:ascii="宋体" w:hAnsi="宋体" w:cs="宋体"/>
          <w:color w:val="000000"/>
          <w:sz w:val="21"/>
          <w:szCs w:val="21"/>
        </w:rPr>
        <w:t>法</w:t>
      </w:r>
      <w:bookmarkEnd w:id="3"/>
      <w:bookmarkEnd w:id="4"/>
      <w:bookmarkStart w:id="5" w:name="_Hlt99114736"/>
      <w:bookmarkStart w:id="6" w:name="_Hlt99114737"/>
      <w:r>
        <w:rPr>
          <w:rFonts w:hint="eastAsia" w:ascii="宋体" w:hAnsi="宋体" w:cs="宋体"/>
          <w:color w:val="000000"/>
          <w:sz w:val="21"/>
          <w:szCs w:val="21"/>
        </w:rPr>
        <w:t>及</w:t>
      </w:r>
      <w:bookmarkEnd w:id="5"/>
      <w:bookmarkEnd w:id="6"/>
      <w:bookmarkStart w:id="7" w:name="_Hlt75430653"/>
      <w:bookmarkStart w:id="8" w:name="_Hlt75430652"/>
      <w:r>
        <w:rPr>
          <w:rFonts w:hint="eastAsia" w:ascii="宋体" w:hAnsi="宋体" w:cs="宋体"/>
          <w:color w:val="000000"/>
          <w:sz w:val="21"/>
          <w:szCs w:val="21"/>
        </w:rPr>
        <w:t>评</w:t>
      </w:r>
      <w:bookmarkEnd w:id="7"/>
      <w:bookmarkEnd w:id="8"/>
      <w:r>
        <w:rPr>
          <w:rFonts w:hint="eastAsia" w:ascii="宋体" w:hAnsi="宋体" w:cs="宋体"/>
          <w:color w:val="000000"/>
          <w:sz w:val="21"/>
          <w:szCs w:val="21"/>
        </w:rPr>
        <w:t>分标准</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_Toc351559944 \h </w:instrText>
      </w:r>
      <w:r>
        <w:rPr>
          <w:rFonts w:hint="eastAsia" w:ascii="宋体" w:hAnsi="宋体" w:cs="宋体"/>
          <w:color w:val="000000"/>
          <w:sz w:val="21"/>
          <w:szCs w:val="21"/>
        </w:rPr>
        <w:fldChar w:fldCharType="separate"/>
      </w:r>
      <w:r>
        <w:rPr>
          <w:rFonts w:hint="eastAsia" w:ascii="宋体" w:hAnsi="宋体" w:cs="宋体"/>
          <w:color w:val="000000"/>
          <w:sz w:val="21"/>
          <w:szCs w:val="21"/>
        </w:rPr>
        <w:t>31</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2"/>
        <w:tabs>
          <w:tab w:val="right" w:leader="dot" w:pos="9452"/>
        </w:tabs>
        <w:spacing w:line="380" w:lineRule="exact"/>
        <w:rPr>
          <w:rFonts w:ascii="宋体" w:hAnsi="宋体" w:cs="宋体"/>
          <w:b w:val="0"/>
          <w:bCs w:val="0"/>
          <w:caps w:val="0"/>
          <w:color w:val="000000"/>
          <w:kern w:val="2"/>
          <w:sz w:val="21"/>
          <w:szCs w:val="21"/>
        </w:rPr>
      </w:pPr>
      <w:r>
        <w:fldChar w:fldCharType="begin"/>
      </w:r>
      <w:r>
        <w:instrText xml:space="preserve"> HYPERLINK \l "_Toc351559945" </w:instrText>
      </w:r>
      <w:r>
        <w:fldChar w:fldCharType="separate"/>
      </w:r>
      <w:r>
        <w:rPr>
          <w:rFonts w:hint="eastAsia" w:ascii="宋体" w:hAnsi="宋体" w:cs="宋体"/>
          <w:color w:val="000000"/>
          <w:sz w:val="21"/>
          <w:szCs w:val="21"/>
        </w:rPr>
        <w:t>第五章  合同文本</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_Toc351559945 \h </w:instrText>
      </w:r>
      <w:r>
        <w:rPr>
          <w:rFonts w:hint="eastAsia" w:ascii="宋体" w:hAnsi="宋体" w:cs="宋体"/>
          <w:color w:val="000000"/>
          <w:sz w:val="21"/>
          <w:szCs w:val="21"/>
        </w:rPr>
        <w:fldChar w:fldCharType="separate"/>
      </w:r>
      <w:r>
        <w:rPr>
          <w:rFonts w:hint="eastAsia" w:ascii="宋体" w:hAnsi="宋体" w:cs="宋体"/>
          <w:color w:val="000000"/>
          <w:sz w:val="21"/>
          <w:szCs w:val="21"/>
        </w:rPr>
        <w:t>39</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2"/>
        <w:tabs>
          <w:tab w:val="right" w:leader="dot" w:pos="9452"/>
        </w:tabs>
        <w:spacing w:line="380" w:lineRule="exact"/>
        <w:rPr>
          <w:rFonts w:ascii="宋体" w:hAnsi="宋体" w:cs="宋体"/>
          <w:color w:val="000000"/>
          <w:sz w:val="21"/>
          <w:szCs w:val="21"/>
        </w:rPr>
      </w:pPr>
      <w:r>
        <w:fldChar w:fldCharType="begin"/>
      </w:r>
      <w:r>
        <w:instrText xml:space="preserve"> HYPERLINK \l "_Toc351559946" </w:instrText>
      </w:r>
      <w:r>
        <w:fldChar w:fldCharType="separate"/>
      </w:r>
      <w:r>
        <w:rPr>
          <w:rFonts w:hint="eastAsia" w:ascii="宋体" w:hAnsi="宋体" w:cs="宋体"/>
          <w:color w:val="000000"/>
          <w:sz w:val="21"/>
          <w:szCs w:val="21"/>
        </w:rPr>
        <w:t>第六章　投标文件格式</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_Toc351559946 \h </w:instrText>
      </w:r>
      <w:r>
        <w:rPr>
          <w:rFonts w:hint="eastAsia" w:ascii="宋体" w:hAnsi="宋体" w:cs="宋体"/>
          <w:color w:val="000000"/>
          <w:sz w:val="21"/>
          <w:szCs w:val="21"/>
        </w:rPr>
        <w:fldChar w:fldCharType="separate"/>
      </w:r>
      <w:r>
        <w:rPr>
          <w:rFonts w:hint="eastAsia" w:ascii="宋体" w:hAnsi="宋体" w:cs="宋体"/>
          <w:color w:val="000000"/>
          <w:sz w:val="21"/>
          <w:szCs w:val="21"/>
        </w:rPr>
        <w:t>44</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rPr>
          <w:rFonts w:hAnsi="宋体" w:cs="宋体"/>
          <w:color w:val="000000"/>
          <w:sz w:val="21"/>
          <w:szCs w:val="21"/>
        </w:rPr>
      </w:pPr>
    </w:p>
    <w:p>
      <w:pPr>
        <w:rPr>
          <w:rFonts w:hAnsi="宋体" w:cs="宋体"/>
          <w:color w:val="000000"/>
          <w:sz w:val="21"/>
          <w:szCs w:val="21"/>
        </w:rPr>
      </w:pPr>
    </w:p>
    <w:p>
      <w:pPr>
        <w:spacing w:line="380" w:lineRule="exact"/>
        <w:ind w:firstLine="211" w:firstLineChars="100"/>
        <w:jc w:val="both"/>
        <w:rPr>
          <w:rFonts w:hAnsi="宋体" w:cs="宋体"/>
          <w:b/>
          <w:bCs/>
          <w:color w:val="000000"/>
          <w:sz w:val="21"/>
          <w:szCs w:val="21"/>
        </w:rPr>
      </w:pPr>
      <w:r>
        <w:rPr>
          <w:rFonts w:hint="eastAsia" w:hAnsi="宋体" w:cs="宋体"/>
          <w:b/>
          <w:bCs/>
          <w:color w:val="000000"/>
          <w:sz w:val="21"/>
          <w:szCs w:val="21"/>
        </w:rPr>
        <w:fldChar w:fldCharType="end"/>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为确保招投标活动的公开、公平、公正，切实维护各方合法权益，凡在招标投标、开标评标过程中，受到敲诈、勒索或发现围标串标、虚假投标、恶意竞标等涉黑涉恶线索者，请及时保留相关证据并向有关部门举报！</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举报电话：</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市扫黑办  0579-82495227</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市公安局  110、0579-82512110</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市检察院  0579-82537082</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 法 院  0579-82688725</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市公共资源交易管理办公室  0579-82469285</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bCs/>
          <w:color w:val="000000"/>
          <w:sz w:val="21"/>
        </w:rPr>
      </w:pPr>
      <w:r>
        <w:rPr>
          <w:rFonts w:hint="eastAsia" w:ascii="宋体" w:hAnsi="宋体" w:cs="宋体"/>
          <w:b/>
          <w:color w:val="000000"/>
          <w:sz w:val="21"/>
        </w:rPr>
        <w:t>市公共资源交易中心  0579-83187211</w:t>
      </w:r>
    </w:p>
    <w:p>
      <w:pPr>
        <w:spacing w:line="380" w:lineRule="exact"/>
        <w:ind w:firstLine="632" w:firstLineChars="300"/>
        <w:jc w:val="both"/>
        <w:rPr>
          <w:rFonts w:hAnsi="宋体" w:cs="宋体"/>
          <w:b/>
          <w:color w:val="000000"/>
          <w:sz w:val="21"/>
          <w:szCs w:val="21"/>
        </w:rPr>
      </w:pPr>
      <w:r>
        <w:rPr>
          <w:rFonts w:hint="eastAsia" w:hAnsi="宋体" w:cs="宋体"/>
          <w:b/>
          <w:color w:val="000000"/>
          <w:sz w:val="21"/>
          <w:szCs w:val="21"/>
        </w:rPr>
        <w:t>投标供应商不得向招标人、政府采购工作人员、评标专家行贿，违者一经查实，将列入政府采购黑名单！</w:t>
      </w:r>
    </w:p>
    <w:p>
      <w:pPr>
        <w:spacing w:line="380" w:lineRule="exact"/>
        <w:ind w:left="142" w:firstLine="422" w:firstLineChars="200"/>
        <w:jc w:val="both"/>
        <w:textAlignment w:val="baseline"/>
        <w:rPr>
          <w:rFonts w:hAnsi="宋体" w:cs="宋体"/>
          <w:b/>
          <w:color w:val="000000"/>
          <w:sz w:val="21"/>
          <w:szCs w:val="21"/>
        </w:rPr>
      </w:pPr>
      <w:r>
        <w:rPr>
          <w:rFonts w:hint="eastAsia" w:hAnsi="宋体" w:cs="宋体"/>
          <w:b/>
          <w:color w:val="000000"/>
          <w:sz w:val="21"/>
          <w:szCs w:val="21"/>
        </w:rPr>
        <w:t>投标供应商可在政采云平台（http://zfcg.czt.zj.gov.cn/）进行免费注册，具体详见网站投标人注册要求，投标供应商获取中标资格后应在合同签订前完成注册并成为正式注册投标人。否则将无法完成合同签订与付款程序。</w:t>
      </w:r>
    </w:p>
    <w:p>
      <w:pPr>
        <w:spacing w:line="380" w:lineRule="exact"/>
        <w:ind w:firstLine="211" w:firstLineChars="100"/>
        <w:jc w:val="both"/>
        <w:rPr>
          <w:rFonts w:hAnsi="宋体" w:cs="宋体"/>
          <w:b/>
          <w:bCs/>
          <w:color w:val="000000"/>
          <w:sz w:val="18"/>
          <w:szCs w:val="18"/>
        </w:rPr>
      </w:pPr>
      <w:r>
        <w:rPr>
          <w:rFonts w:hint="eastAsia" w:hAnsi="宋体" w:cs="宋体"/>
          <w:b/>
          <w:color w:val="000000"/>
          <w:sz w:val="21"/>
          <w:szCs w:val="21"/>
        </w:rPr>
        <w:t>（注：请认真阅读此招标文件，并按规定制作投标文件，否则我们的努力将是徒劳。）</w:t>
      </w:r>
    </w:p>
    <w:bookmarkEnd w:id="0"/>
    <w:p>
      <w:pPr>
        <w:spacing w:line="380" w:lineRule="exact"/>
        <w:ind w:firstLine="181" w:firstLineChars="100"/>
        <w:jc w:val="both"/>
        <w:rPr>
          <w:rFonts w:hAnsi="宋体" w:cs="宋体"/>
          <w:b/>
          <w:bCs/>
          <w:color w:val="000000"/>
          <w:sz w:val="18"/>
          <w:szCs w:val="18"/>
        </w:rPr>
        <w:sectPr>
          <w:footerReference r:id="rId8" w:type="first"/>
          <w:footerReference r:id="rId7" w:type="default"/>
          <w:pgSz w:w="11906" w:h="16838"/>
          <w:pgMar w:top="1440" w:right="1080" w:bottom="1440" w:left="1080" w:header="567" w:footer="567" w:gutter="0"/>
          <w:pgNumType w:start="0"/>
          <w:cols w:space="720" w:num="1"/>
          <w:docGrid w:linePitch="462" w:charSpace="0"/>
        </w:sectPr>
      </w:pPr>
    </w:p>
    <w:p>
      <w:pPr>
        <w:pStyle w:val="3"/>
        <w:spacing w:line="360" w:lineRule="auto"/>
        <w:jc w:val="center"/>
        <w:rPr>
          <w:rFonts w:ascii="宋体" w:hAnsi="宋体" w:cs="宋体"/>
          <w:sz w:val="30"/>
          <w:szCs w:val="30"/>
        </w:rPr>
      </w:pPr>
      <w:bookmarkStart w:id="9" w:name="_Toc351559940"/>
      <w:bookmarkStart w:id="10" w:name="_Toc217289129"/>
      <w:bookmarkStart w:id="11" w:name="_Toc205638623"/>
      <w:bookmarkStart w:id="12" w:name="_Toc184785918"/>
      <w:bookmarkStart w:id="13" w:name="_Toc237176505"/>
      <w:r>
        <w:rPr>
          <w:rFonts w:hint="eastAsia" w:ascii="宋体" w:hAnsi="宋体" w:cs="宋体"/>
          <w:sz w:val="30"/>
          <w:szCs w:val="30"/>
        </w:rPr>
        <w:t>第一章  公开招标采购公告</w:t>
      </w:r>
      <w:bookmarkEnd w:id="9"/>
    </w:p>
    <w:p>
      <w:pPr>
        <w:pBdr>
          <w:top w:val="single" w:color="auto" w:sz="4" w:space="1"/>
          <w:left w:val="single" w:color="auto" w:sz="4" w:space="4"/>
          <w:bottom w:val="single" w:color="auto" w:sz="4" w:space="1"/>
          <w:right w:val="single" w:color="auto" w:sz="4" w:space="4"/>
        </w:pBdr>
        <w:spacing w:line="500" w:lineRule="exact"/>
        <w:ind w:firstLine="420" w:firstLineChars="200"/>
        <w:rPr>
          <w:rFonts w:hAnsi="宋体" w:cs="宋体"/>
          <w:color w:val="000000"/>
          <w:sz w:val="21"/>
          <w:szCs w:val="21"/>
        </w:rPr>
      </w:pPr>
      <w:r>
        <w:rPr>
          <w:rFonts w:hint="eastAsia" w:hAnsi="宋体" w:cs="宋体"/>
          <w:color w:val="000000"/>
          <w:sz w:val="21"/>
          <w:szCs w:val="21"/>
        </w:rPr>
        <w:t>项目概况</w:t>
      </w:r>
    </w:p>
    <w:p>
      <w:pPr>
        <w:pBdr>
          <w:top w:val="single" w:color="auto" w:sz="4" w:space="1"/>
          <w:left w:val="single" w:color="auto" w:sz="4" w:space="4"/>
          <w:bottom w:val="single" w:color="auto" w:sz="4" w:space="1"/>
          <w:right w:val="single" w:color="auto" w:sz="4" w:space="4"/>
        </w:pBd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《金华市区中心城区婺城片区（乡镇级）国土空间总体规划》、《金华市区中心城区金东片区（乡镇级）国土空间总体规划》的潜在投标人应在浙江省“政采云”平台获取招标文件，并于 2023</w:t>
      </w:r>
      <w:r>
        <w:rPr>
          <w:rFonts w:hint="eastAsia" w:hAnsi="宋体" w:cs="宋体"/>
          <w:bCs/>
          <w:color w:val="000000"/>
          <w:sz w:val="21"/>
          <w:szCs w:val="21"/>
        </w:rPr>
        <w:t>年</w:t>
      </w:r>
      <w:r>
        <w:rPr>
          <w:rFonts w:hint="eastAsia" w:hAnsi="宋体" w:cs="宋体"/>
          <w:bCs/>
          <w:color w:val="000000"/>
          <w:sz w:val="21"/>
          <w:szCs w:val="21"/>
          <w:lang w:val="en-US" w:eastAsia="zh-CN"/>
        </w:rPr>
        <w:t>11</w:t>
      </w:r>
      <w:r>
        <w:rPr>
          <w:rFonts w:hint="eastAsia" w:hAnsi="宋体" w:cs="宋体"/>
          <w:bCs/>
          <w:color w:val="000000"/>
          <w:sz w:val="21"/>
          <w:szCs w:val="21"/>
        </w:rPr>
        <w:t>月</w:t>
      </w:r>
      <w:r>
        <w:rPr>
          <w:rFonts w:hint="eastAsia" w:hAnsi="宋体" w:cs="宋体"/>
          <w:bCs/>
          <w:color w:val="000000"/>
          <w:sz w:val="21"/>
          <w:szCs w:val="21"/>
          <w:lang w:val="en-US" w:eastAsia="zh-CN"/>
        </w:rPr>
        <w:t>29</w:t>
      </w:r>
      <w:r>
        <w:rPr>
          <w:rFonts w:hint="eastAsia" w:hAnsi="宋体" w:cs="宋体"/>
          <w:bCs/>
          <w:color w:val="000000"/>
          <w:sz w:val="21"/>
          <w:szCs w:val="21"/>
        </w:rPr>
        <w:t xml:space="preserve"> 日</w:t>
      </w:r>
      <w:r>
        <w:rPr>
          <w:rFonts w:hint="eastAsia" w:hAnsi="宋体" w:cs="宋体"/>
          <w:bCs/>
          <w:color w:val="000000"/>
          <w:sz w:val="21"/>
          <w:szCs w:val="21"/>
          <w:lang w:val="en-US" w:eastAsia="zh-CN"/>
        </w:rPr>
        <w:t>09</w:t>
      </w:r>
      <w:r>
        <w:rPr>
          <w:rFonts w:hint="eastAsia" w:hAnsi="宋体" w:cs="宋体"/>
          <w:bCs/>
          <w:color w:val="000000"/>
          <w:sz w:val="21"/>
          <w:szCs w:val="21"/>
        </w:rPr>
        <w:t>点30分（北京时间）前上传投标文件</w:t>
      </w:r>
      <w:r>
        <w:rPr>
          <w:rFonts w:hint="eastAsia" w:hAnsi="宋体" w:cs="宋体"/>
          <w:color w:val="000000"/>
          <w:sz w:val="21"/>
          <w:szCs w:val="21"/>
        </w:rPr>
        <w:t>。</w:t>
      </w:r>
    </w:p>
    <w:p>
      <w:pPr>
        <w:tabs>
          <w:tab w:val="left" w:pos="1260"/>
        </w:tabs>
        <w:autoSpaceDE/>
        <w:autoSpaceDN/>
        <w:adjustRightInd/>
        <w:snapToGrid w:val="0"/>
        <w:spacing w:line="500" w:lineRule="exact"/>
        <w:ind w:firstLine="422" w:firstLineChars="200"/>
        <w:jc w:val="both"/>
        <w:rPr>
          <w:rFonts w:hAnsi="宋体" w:cs="宋体"/>
          <w:b/>
          <w:color w:val="000000"/>
          <w:sz w:val="21"/>
          <w:szCs w:val="21"/>
        </w:rPr>
      </w:pPr>
      <w:bookmarkStart w:id="14" w:name="_Toc28359002"/>
      <w:bookmarkStart w:id="15" w:name="_Toc35393621"/>
      <w:bookmarkStart w:id="16" w:name="_Toc28359079"/>
      <w:bookmarkStart w:id="17" w:name="_Toc35393790"/>
      <w:bookmarkStart w:id="18" w:name="_Hlk24379207"/>
      <w:r>
        <w:rPr>
          <w:rFonts w:hint="eastAsia" w:hAnsi="宋体" w:cs="宋体"/>
          <w:b/>
          <w:color w:val="000000"/>
          <w:sz w:val="21"/>
          <w:szCs w:val="21"/>
        </w:rPr>
        <w:t>一、项目基本情况</w:t>
      </w:r>
      <w:bookmarkEnd w:id="14"/>
      <w:bookmarkEnd w:id="15"/>
      <w:bookmarkEnd w:id="16"/>
      <w:bookmarkEnd w:id="17"/>
    </w:p>
    <w:p>
      <w:pPr>
        <w:tabs>
          <w:tab w:val="left" w:pos="1260"/>
        </w:tabs>
        <w:autoSpaceDE/>
        <w:autoSpaceDN/>
        <w:adjustRightInd/>
        <w:snapToGrid w:val="0"/>
        <w:spacing w:line="500" w:lineRule="exact"/>
        <w:ind w:firstLine="422" w:firstLineChars="200"/>
        <w:jc w:val="both"/>
        <w:rPr>
          <w:rFonts w:hint="eastAsia" w:hAnsi="宋体" w:eastAsia="宋体" w:cs="宋体"/>
          <w:b/>
          <w:color w:val="000000"/>
          <w:sz w:val="21"/>
          <w:szCs w:val="21"/>
          <w:lang w:eastAsia="zh-CN"/>
        </w:rPr>
      </w:pPr>
      <w:r>
        <w:rPr>
          <w:rFonts w:hint="eastAsia" w:hAnsi="宋体" w:cs="宋体"/>
          <w:b/>
          <w:color w:val="000000"/>
          <w:sz w:val="21"/>
          <w:szCs w:val="21"/>
        </w:rPr>
        <w:t>项目编号：</w:t>
      </w:r>
      <w:r>
        <w:rPr>
          <w:rFonts w:hint="eastAsia" w:hAnsi="宋体" w:cs="宋体"/>
          <w:b/>
          <w:color w:val="000000"/>
          <w:sz w:val="21"/>
          <w:szCs w:val="21"/>
          <w:lang w:eastAsia="zh-CN"/>
        </w:rPr>
        <w:t xml:space="preserve">TY2023-FW325-ZFCG325  </w:t>
      </w:r>
    </w:p>
    <w:p>
      <w:pPr>
        <w:tabs>
          <w:tab w:val="left" w:pos="1260"/>
        </w:tabs>
        <w:autoSpaceDE/>
        <w:autoSpaceDN/>
        <w:adjustRightInd/>
        <w:snapToGrid w:val="0"/>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政府采购计划文号：</w:t>
      </w:r>
      <w:r>
        <w:rPr>
          <w:rFonts w:hint="eastAsia" w:hAnsi="宋体" w:cs="宋体"/>
          <w:b/>
          <w:color w:val="000000" w:themeColor="text1"/>
          <w:sz w:val="21"/>
          <w:szCs w:val="21"/>
        </w:rPr>
        <w:t>临[2023]1516号</w:t>
      </w:r>
      <w:r>
        <w:rPr>
          <w:rFonts w:hint="eastAsia" w:hAnsi="宋体" w:cs="宋体"/>
          <w:b/>
          <w:color w:val="000000" w:themeColor="text1"/>
          <w:sz w:val="21"/>
          <w:szCs w:val="21"/>
          <w:lang w:eastAsia="zh-CN"/>
        </w:rPr>
        <w:t>、</w:t>
      </w:r>
      <w:r>
        <w:rPr>
          <w:rFonts w:hint="eastAsia" w:hAnsi="宋体" w:cs="宋体"/>
          <w:b/>
          <w:color w:val="000000" w:themeColor="text1"/>
          <w:sz w:val="21"/>
          <w:szCs w:val="21"/>
        </w:rPr>
        <w:fldChar w:fldCharType="begin"/>
      </w:r>
      <w:r>
        <w:rPr>
          <w:rFonts w:hint="eastAsia" w:hAnsi="宋体" w:cs="宋体"/>
          <w:b/>
          <w:color w:val="000000" w:themeColor="text1"/>
          <w:sz w:val="21"/>
          <w:szCs w:val="21"/>
        </w:rPr>
        <w:instrText xml:space="preserve"> HYPERLINK "https://pay.zcygov.cn/purchaseplan_front/" \l "/plan/list/view?id=1000000000011972766&amp;_app_=zcy.procurement" \t "https://www.zcygov.cn/project-center/_procurement_/purchasePlans/_blank" </w:instrText>
      </w:r>
      <w:r>
        <w:rPr>
          <w:rFonts w:hint="eastAsia" w:hAnsi="宋体" w:cs="宋体"/>
          <w:b/>
          <w:color w:val="000000" w:themeColor="text1"/>
          <w:sz w:val="21"/>
          <w:szCs w:val="21"/>
        </w:rPr>
        <w:fldChar w:fldCharType="separate"/>
      </w:r>
      <w:r>
        <w:rPr>
          <w:rFonts w:hint="eastAsia" w:hAnsi="宋体" w:cs="宋体"/>
          <w:b/>
          <w:color w:val="000000" w:themeColor="text1"/>
          <w:sz w:val="21"/>
          <w:szCs w:val="21"/>
        </w:rPr>
        <w:t>临[2023]4014号</w:t>
      </w:r>
      <w:r>
        <w:rPr>
          <w:rFonts w:hint="eastAsia" w:hAnsi="宋体" w:cs="宋体"/>
          <w:b/>
          <w:color w:val="000000" w:themeColor="text1"/>
          <w:sz w:val="21"/>
          <w:szCs w:val="21"/>
        </w:rPr>
        <w:fldChar w:fldCharType="end"/>
      </w:r>
      <w:r>
        <w:rPr>
          <w:rFonts w:hint="eastAsia" w:hAnsi="宋体" w:cs="宋体"/>
          <w:b/>
          <w:color w:val="000000" w:themeColor="text1"/>
          <w:sz w:val="21"/>
          <w:szCs w:val="21"/>
          <w:lang w:eastAsia="zh-CN"/>
        </w:rPr>
        <w:t>、</w:t>
      </w:r>
      <w:r>
        <w:rPr>
          <w:rFonts w:hint="eastAsia" w:hAnsi="宋体" w:cs="宋体"/>
          <w:b/>
          <w:color w:val="000000" w:themeColor="text1"/>
          <w:sz w:val="21"/>
          <w:szCs w:val="21"/>
        </w:rPr>
        <w:fldChar w:fldCharType="begin"/>
      </w:r>
      <w:r>
        <w:rPr>
          <w:rFonts w:hint="eastAsia" w:hAnsi="宋体" w:cs="宋体"/>
          <w:b/>
          <w:color w:val="000000" w:themeColor="text1"/>
          <w:sz w:val="21"/>
          <w:szCs w:val="21"/>
        </w:rPr>
        <w:instrText xml:space="preserve"> HYPERLINK "https://pay.zcygov.cn/purchaseplan_front/" \l "/plan/list/view?id=1000000000011435842&amp;_app_=zcy.procurement" \t "https://www.zcygov.cn/project-center/_procurement_/purchasePlans/_blank" </w:instrText>
      </w:r>
      <w:r>
        <w:rPr>
          <w:rFonts w:hint="eastAsia" w:hAnsi="宋体" w:cs="宋体"/>
          <w:b/>
          <w:color w:val="000000" w:themeColor="text1"/>
          <w:sz w:val="21"/>
          <w:szCs w:val="21"/>
        </w:rPr>
        <w:fldChar w:fldCharType="separate"/>
      </w:r>
      <w:r>
        <w:rPr>
          <w:rFonts w:hint="eastAsia" w:hAnsi="宋体" w:cs="宋体"/>
          <w:b/>
          <w:color w:val="000000" w:themeColor="text1"/>
          <w:sz w:val="21"/>
          <w:szCs w:val="21"/>
        </w:rPr>
        <w:t>临[2023]982号</w:t>
      </w:r>
      <w:r>
        <w:rPr>
          <w:rFonts w:hint="eastAsia" w:hAnsi="宋体" w:cs="宋体"/>
          <w:b/>
          <w:color w:val="000000" w:themeColor="text1"/>
          <w:sz w:val="21"/>
          <w:szCs w:val="21"/>
        </w:rPr>
        <w:fldChar w:fldCharType="end"/>
      </w:r>
      <w:r>
        <w:rPr>
          <w:rFonts w:hint="eastAsia" w:hAnsi="宋体" w:cs="宋体"/>
          <w:b/>
          <w:color w:val="000000" w:themeColor="text1"/>
          <w:sz w:val="21"/>
          <w:szCs w:val="21"/>
          <w:lang w:eastAsia="zh-CN"/>
        </w:rPr>
        <w:t>、</w:t>
      </w:r>
      <w:r>
        <w:rPr>
          <w:rFonts w:hint="eastAsia" w:hAnsi="宋体" w:cs="宋体"/>
          <w:b/>
          <w:color w:val="000000" w:themeColor="text1"/>
          <w:sz w:val="21"/>
          <w:szCs w:val="21"/>
        </w:rPr>
        <w:fldChar w:fldCharType="begin"/>
      </w:r>
      <w:r>
        <w:rPr>
          <w:rFonts w:hint="eastAsia" w:hAnsi="宋体" w:cs="宋体"/>
          <w:b/>
          <w:color w:val="000000" w:themeColor="text1"/>
          <w:sz w:val="21"/>
          <w:szCs w:val="21"/>
        </w:rPr>
        <w:instrText xml:space="preserve"> HYPERLINK "https://pay.zcygov.cn/purchaseplan_front/" \l "/plan/list/view?id=1000000000011457876&amp;_app_=zcy.procurement" \t "https://www.zcygov.cn/project-center/_procurement_/purchasePlans/_blank" </w:instrText>
      </w:r>
      <w:r>
        <w:rPr>
          <w:rFonts w:hint="eastAsia" w:hAnsi="宋体" w:cs="宋体"/>
          <w:b/>
          <w:color w:val="000000" w:themeColor="text1"/>
          <w:sz w:val="21"/>
          <w:szCs w:val="21"/>
        </w:rPr>
        <w:fldChar w:fldCharType="separate"/>
      </w:r>
      <w:r>
        <w:rPr>
          <w:rFonts w:hint="eastAsia" w:hAnsi="宋体" w:cs="宋体"/>
          <w:b/>
          <w:color w:val="000000" w:themeColor="text1"/>
          <w:sz w:val="21"/>
          <w:szCs w:val="21"/>
        </w:rPr>
        <w:t>临[2023]727号</w:t>
      </w:r>
      <w:r>
        <w:rPr>
          <w:rFonts w:hint="eastAsia" w:hAnsi="宋体" w:cs="宋体"/>
          <w:b/>
          <w:color w:val="000000" w:themeColor="text1"/>
          <w:sz w:val="21"/>
          <w:szCs w:val="21"/>
        </w:rPr>
        <w:fldChar w:fldCharType="end"/>
      </w:r>
      <w:r>
        <w:fldChar w:fldCharType="begin"/>
      </w:r>
      <w:r>
        <w:instrText xml:space="preserve"> HYPERLINK "https://pay.zcygov.cn/purchaseplan_front/" \l "/plan/list/detail?id=1000000000008257170&amp;encrypt=87056c78053868d32b7574d2adabd458" \t "https://www.zcygov.cn/delegation-order/order/orderInfo/detail/_blank" </w:instrText>
      </w:r>
      <w:r>
        <w:fldChar w:fldCharType="separate"/>
      </w:r>
      <w:r>
        <w:fldChar w:fldCharType="end"/>
      </w:r>
      <w:r>
        <w:rPr>
          <w:rFonts w:hint="eastAsia" w:hAnsi="宋体" w:cs="宋体"/>
          <w:b/>
          <w:color w:val="000000"/>
          <w:sz w:val="21"/>
          <w:szCs w:val="21"/>
        </w:rPr>
        <w:t xml:space="preserve"> </w:t>
      </w:r>
    </w:p>
    <w:p>
      <w:pPr>
        <w:tabs>
          <w:tab w:val="left" w:pos="1260"/>
        </w:tabs>
        <w:autoSpaceDE/>
        <w:autoSpaceDN/>
        <w:adjustRightInd/>
        <w:snapToGrid w:val="0"/>
        <w:spacing w:line="500" w:lineRule="exact"/>
        <w:ind w:firstLine="422" w:firstLineChars="200"/>
        <w:jc w:val="both"/>
        <w:rPr>
          <w:rFonts w:hAnsi="宋体" w:cs="宋体"/>
          <w:b/>
          <w:color w:val="000000" w:themeColor="text1"/>
          <w:sz w:val="21"/>
          <w:szCs w:val="21"/>
        </w:rPr>
      </w:pPr>
      <w:r>
        <w:rPr>
          <w:rFonts w:hint="eastAsia" w:hAnsi="宋体" w:cs="宋体"/>
          <w:b/>
          <w:color w:val="000000"/>
          <w:sz w:val="21"/>
          <w:szCs w:val="21"/>
        </w:rPr>
        <w:t>采购组织类型：分散采购</w:t>
      </w:r>
      <w:r>
        <w:rPr>
          <w:rFonts w:hint="eastAsia" w:hAnsi="宋体" w:cs="宋体"/>
          <w:b/>
          <w:color w:val="000000" w:themeColor="text1"/>
          <w:sz w:val="21"/>
          <w:szCs w:val="21"/>
        </w:rPr>
        <w:t>委托代理</w:t>
      </w:r>
      <w:r>
        <w:rPr>
          <w:rFonts w:hint="eastAsia" w:hAnsi="宋体" w:cs="宋体"/>
          <w:b/>
          <w:color w:val="000000" w:themeColor="text1"/>
          <w:sz w:val="21"/>
          <w:szCs w:val="21"/>
        </w:rPr>
        <w:tab/>
      </w:r>
    </w:p>
    <w:p>
      <w:pPr>
        <w:tabs>
          <w:tab w:val="left" w:pos="1260"/>
        </w:tabs>
        <w:autoSpaceDE/>
        <w:autoSpaceDN/>
        <w:adjustRightInd/>
        <w:snapToGrid w:val="0"/>
        <w:spacing w:line="500" w:lineRule="exact"/>
        <w:ind w:firstLine="422" w:firstLineChars="200"/>
        <w:jc w:val="both"/>
        <w:rPr>
          <w:rFonts w:hAnsi="宋体" w:cs="宋体"/>
          <w:b/>
          <w:color w:val="000000" w:themeColor="text1"/>
          <w:sz w:val="21"/>
          <w:szCs w:val="21"/>
        </w:rPr>
      </w:pPr>
      <w:r>
        <w:rPr>
          <w:rFonts w:hint="eastAsia" w:hAnsi="宋体" w:cs="宋体"/>
          <w:b/>
          <w:color w:val="000000" w:themeColor="text1"/>
          <w:sz w:val="21"/>
          <w:szCs w:val="21"/>
        </w:rPr>
        <w:t>招标方式：公开招标</w:t>
      </w:r>
    </w:p>
    <w:p>
      <w:pPr>
        <w:tabs>
          <w:tab w:val="left" w:pos="1260"/>
        </w:tabs>
        <w:autoSpaceDE/>
        <w:autoSpaceDN/>
        <w:adjustRightInd/>
        <w:snapToGrid w:val="0"/>
        <w:spacing w:line="500" w:lineRule="exact"/>
        <w:ind w:firstLine="422" w:firstLineChars="200"/>
        <w:jc w:val="both"/>
        <w:rPr>
          <w:rFonts w:hAnsi="宋体" w:cs="宋体"/>
          <w:b/>
          <w:bCs/>
          <w:color w:val="000000" w:themeColor="text1"/>
          <w:sz w:val="21"/>
          <w:szCs w:val="21"/>
        </w:rPr>
      </w:pPr>
      <w:r>
        <w:rPr>
          <w:rFonts w:hint="eastAsia" w:hAnsi="宋体" w:cs="宋体"/>
          <w:b/>
          <w:color w:val="000000" w:themeColor="text1"/>
          <w:sz w:val="21"/>
          <w:szCs w:val="21"/>
        </w:rPr>
        <w:t>项目名称：</w:t>
      </w:r>
      <w:r>
        <w:rPr>
          <w:rFonts w:hint="eastAsia" w:hAnsi="宋体" w:cs="宋体"/>
          <w:b/>
          <w:bCs/>
          <w:color w:val="000000" w:themeColor="text1"/>
          <w:sz w:val="21"/>
          <w:szCs w:val="21"/>
        </w:rPr>
        <w:t>《金华市区中心城区婺城片区（乡镇级）国土空间总体规划》、《金华市区中心城区金东片区（乡镇级）国土空间总体规划》</w:t>
      </w:r>
    </w:p>
    <w:bookmarkEnd w:id="18"/>
    <w:p>
      <w:pPr>
        <w:autoSpaceDE/>
        <w:autoSpaceDN/>
        <w:snapToGrid w:val="0"/>
        <w:spacing w:line="500" w:lineRule="exact"/>
        <w:ind w:firstLine="422" w:firstLineChars="200"/>
        <w:rPr>
          <w:rFonts w:hAnsi="宋体" w:cs="宋体"/>
          <w:bCs/>
          <w:color w:val="000000"/>
          <w:sz w:val="21"/>
          <w:szCs w:val="21"/>
        </w:rPr>
      </w:pPr>
      <w:r>
        <w:rPr>
          <w:rFonts w:hint="eastAsia" w:hAnsi="宋体" w:cs="宋体"/>
          <w:b/>
          <w:color w:val="000000" w:themeColor="text1"/>
          <w:sz w:val="21"/>
          <w:szCs w:val="21"/>
        </w:rPr>
        <w:t>预算金额（人民币）：</w:t>
      </w:r>
      <w:r>
        <w:rPr>
          <w:rFonts w:hint="eastAsia" w:hAnsi="宋体" w:cs="宋体"/>
          <w:bCs/>
          <w:color w:val="000000" w:themeColor="text1"/>
          <w:sz w:val="21"/>
          <w:szCs w:val="21"/>
        </w:rPr>
        <w:t>735</w:t>
      </w:r>
      <w:r>
        <w:rPr>
          <w:rFonts w:hint="eastAsia" w:hAnsi="宋体" w:cs="宋体"/>
          <w:bCs/>
          <w:color w:val="000000"/>
          <w:sz w:val="21"/>
          <w:szCs w:val="21"/>
        </w:rPr>
        <w:t>万元</w:t>
      </w:r>
    </w:p>
    <w:p>
      <w:pPr>
        <w:tabs>
          <w:tab w:val="left" w:pos="1260"/>
        </w:tabs>
        <w:autoSpaceDE/>
        <w:autoSpaceDN/>
        <w:snapToGrid w:val="0"/>
        <w:spacing w:line="460" w:lineRule="exact"/>
        <w:ind w:firstLine="422" w:firstLineChars="200"/>
        <w:jc w:val="both"/>
        <w:rPr>
          <w:rFonts w:hAnsi="宋体" w:cs="宋体"/>
          <w:bCs/>
          <w:color w:val="000000"/>
          <w:sz w:val="21"/>
          <w:szCs w:val="21"/>
        </w:rPr>
      </w:pPr>
      <w:r>
        <w:rPr>
          <w:rFonts w:hint="eastAsia" w:hAnsi="宋体" w:cs="宋体"/>
          <w:b/>
          <w:color w:val="000000"/>
          <w:sz w:val="21"/>
          <w:szCs w:val="21"/>
        </w:rPr>
        <w:t>最高限价（人民币）：</w:t>
      </w:r>
      <w:r>
        <w:rPr>
          <w:rFonts w:hint="eastAsia" w:hAnsi="宋体" w:cs="宋体"/>
          <w:bCs/>
          <w:color w:val="000000"/>
          <w:sz w:val="21"/>
          <w:szCs w:val="21"/>
        </w:rPr>
        <w:t xml:space="preserve">735万元 </w:t>
      </w:r>
    </w:p>
    <w:p>
      <w:pPr>
        <w:tabs>
          <w:tab w:val="left" w:pos="1260"/>
        </w:tabs>
        <w:autoSpaceDE/>
        <w:autoSpaceDN/>
        <w:snapToGrid w:val="0"/>
        <w:spacing w:line="460" w:lineRule="exact"/>
        <w:ind w:firstLine="422" w:firstLineChars="200"/>
        <w:jc w:val="both"/>
        <w:rPr>
          <w:rFonts w:hAnsi="宋体" w:cs="宋体"/>
          <w:color w:val="000000"/>
          <w:sz w:val="21"/>
          <w:szCs w:val="21"/>
        </w:rPr>
      </w:pPr>
      <w:r>
        <w:rPr>
          <w:rFonts w:hint="eastAsia" w:hAnsi="宋体" w:cs="宋体"/>
          <w:b/>
          <w:color w:val="000000"/>
          <w:sz w:val="21"/>
          <w:szCs w:val="21"/>
        </w:rPr>
        <w:t>采购需求</w:t>
      </w:r>
      <w:r>
        <w:rPr>
          <w:rFonts w:hint="eastAsia" w:hAnsi="宋体" w:cs="宋体"/>
          <w:color w:val="000000"/>
          <w:sz w:val="21"/>
          <w:szCs w:val="21"/>
        </w:rPr>
        <w:t>：</w:t>
      </w:r>
    </w:p>
    <w:tbl>
      <w:tblPr>
        <w:tblStyle w:val="45"/>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
        <w:gridCol w:w="2616"/>
        <w:gridCol w:w="1476"/>
        <w:gridCol w:w="2800"/>
        <w:gridCol w:w="757"/>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338"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序号</w:t>
            </w:r>
          </w:p>
        </w:tc>
        <w:tc>
          <w:tcPr>
            <w:tcW w:w="2616"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采购内容</w:t>
            </w:r>
          </w:p>
        </w:tc>
        <w:tc>
          <w:tcPr>
            <w:tcW w:w="1476"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范围</w:t>
            </w:r>
          </w:p>
        </w:tc>
        <w:tc>
          <w:tcPr>
            <w:tcW w:w="2800"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服务要求</w:t>
            </w:r>
          </w:p>
        </w:tc>
        <w:tc>
          <w:tcPr>
            <w:tcW w:w="757"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数量</w:t>
            </w:r>
          </w:p>
        </w:tc>
        <w:tc>
          <w:tcPr>
            <w:tcW w:w="1552"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预算金额</w:t>
            </w:r>
          </w:p>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38" w:type="dxa"/>
            <w:vMerge w:val="restart"/>
            <w:vAlign w:val="center"/>
          </w:tcPr>
          <w:p>
            <w:pPr>
              <w:tabs>
                <w:tab w:val="left" w:pos="1260"/>
              </w:tabs>
              <w:snapToGrid w:val="0"/>
              <w:spacing w:line="288" w:lineRule="auto"/>
              <w:jc w:val="center"/>
              <w:rPr>
                <w:rFonts w:hAnsi="宋体" w:cs="宋体"/>
                <w:color w:val="000000"/>
                <w:sz w:val="21"/>
                <w:szCs w:val="21"/>
              </w:rPr>
            </w:pPr>
            <w:r>
              <w:rPr>
                <w:rFonts w:hint="eastAsia" w:hAnsi="宋体" w:cs="宋体"/>
                <w:color w:val="000000"/>
                <w:sz w:val="21"/>
                <w:szCs w:val="21"/>
              </w:rPr>
              <w:t>1</w:t>
            </w:r>
          </w:p>
        </w:tc>
        <w:tc>
          <w:tcPr>
            <w:tcW w:w="2616" w:type="dxa"/>
            <w:vMerge w:val="restart"/>
            <w:vAlign w:val="center"/>
          </w:tcPr>
          <w:p>
            <w:pPr>
              <w:tabs>
                <w:tab w:val="left" w:pos="1260"/>
              </w:tabs>
              <w:snapToGrid w:val="0"/>
              <w:spacing w:line="288" w:lineRule="auto"/>
              <w:rPr>
                <w:rFonts w:hAnsi="宋体" w:cs="宋体"/>
                <w:color w:val="000000" w:themeColor="text1"/>
                <w:sz w:val="21"/>
                <w:szCs w:val="21"/>
              </w:rPr>
            </w:pPr>
            <w:r>
              <w:rPr>
                <w:rFonts w:hint="eastAsia" w:hAnsi="宋体" w:cs="宋体"/>
                <w:color w:val="000000" w:themeColor="text1"/>
                <w:sz w:val="21"/>
                <w:szCs w:val="21"/>
              </w:rPr>
              <w:t>《金华市中心城区婺城片区（乡镇级）国土空间总体规划》（简称“婺城片区乡镇级总规”）</w:t>
            </w: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婺城</w:t>
            </w:r>
            <w:r>
              <w:rPr>
                <w:rFonts w:hint="eastAsia" w:hAnsi="宋体" w:cs="宋体"/>
                <w:color w:val="000000" w:themeColor="text1"/>
                <w:sz w:val="21"/>
                <w:szCs w:val="21"/>
                <w:lang w:eastAsia="zh-CN"/>
              </w:rPr>
              <w:t>区</w:t>
            </w:r>
          </w:p>
        </w:tc>
        <w:tc>
          <w:tcPr>
            <w:tcW w:w="2800" w:type="dxa"/>
            <w:vMerge w:val="restart"/>
            <w:vAlign w:val="center"/>
          </w:tcPr>
          <w:p>
            <w:pPr>
              <w:pStyle w:val="20"/>
              <w:snapToGrid w:val="0"/>
              <w:spacing w:line="288" w:lineRule="auto"/>
              <w:ind w:firstLine="0" w:firstLineChars="0"/>
              <w:jc w:val="both"/>
              <w:rPr>
                <w:rFonts w:hAnsi="宋体" w:cs="宋体"/>
                <w:color w:val="000000" w:themeColor="text1"/>
                <w:sz w:val="21"/>
                <w:szCs w:val="21"/>
              </w:rPr>
            </w:pPr>
            <w:r>
              <w:rPr>
                <w:rFonts w:hint="eastAsia" w:hAnsi="宋体" w:cs="宋体"/>
                <w:color w:val="000000" w:themeColor="text1"/>
                <w:sz w:val="21"/>
                <w:szCs w:val="21"/>
              </w:rPr>
              <w:t>根据《浙江省市、县、乡镇级国土空间总体规划审查管理办法（试行）》《浙江省乡镇级国土空间总体规划编制技术要点》和省厅相关要求，对市区中心城区范围和国土空间总体规划进行编制，并出具高质量高水平的规划成果，规划成果纳入到国土空间规划“一张图”。</w:t>
            </w: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Ansi="宋体" w:cs="宋体"/>
                <w:color w:val="000000" w:themeColor="text1"/>
                <w:sz w:val="21"/>
                <w:szCs w:val="21"/>
              </w:rPr>
              <w:t>293</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38" w:type="dxa"/>
            <w:vMerge w:val="continue"/>
            <w:vAlign w:val="center"/>
          </w:tcPr>
          <w:p>
            <w:pPr>
              <w:tabs>
                <w:tab w:val="left" w:pos="1260"/>
              </w:tabs>
              <w:snapToGrid w:val="0"/>
              <w:spacing w:line="288" w:lineRule="auto"/>
              <w:jc w:val="center"/>
              <w:rPr>
                <w:rFonts w:hAnsi="宋体" w:cs="宋体"/>
                <w:color w:val="000000"/>
                <w:sz w:val="21"/>
                <w:szCs w:val="21"/>
              </w:rPr>
            </w:pPr>
          </w:p>
        </w:tc>
        <w:tc>
          <w:tcPr>
            <w:tcW w:w="2616" w:type="dxa"/>
            <w:vMerge w:val="continue"/>
            <w:vAlign w:val="center"/>
          </w:tcPr>
          <w:p>
            <w:pPr>
              <w:tabs>
                <w:tab w:val="left" w:pos="1260"/>
              </w:tabs>
              <w:snapToGrid w:val="0"/>
              <w:spacing w:line="288" w:lineRule="auto"/>
              <w:rPr>
                <w:rFonts w:hAnsi="宋体" w:cs="宋体"/>
                <w:color w:val="000000" w:themeColor="text1"/>
                <w:sz w:val="21"/>
                <w:szCs w:val="21"/>
              </w:rPr>
            </w:pP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金华开发区</w:t>
            </w:r>
          </w:p>
        </w:tc>
        <w:tc>
          <w:tcPr>
            <w:tcW w:w="2800" w:type="dxa"/>
            <w:vMerge w:val="continue"/>
            <w:vAlign w:val="center"/>
          </w:tcPr>
          <w:p>
            <w:pPr>
              <w:pStyle w:val="20"/>
              <w:snapToGrid w:val="0"/>
              <w:spacing w:line="288" w:lineRule="auto"/>
              <w:ind w:firstLine="0" w:firstLineChars="0"/>
              <w:rPr>
                <w:rFonts w:hAnsi="宋体" w:cs="宋体"/>
                <w:color w:val="000000" w:themeColor="text1"/>
                <w:sz w:val="21"/>
                <w:szCs w:val="21"/>
              </w:rPr>
            </w:pP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9</w:t>
            </w:r>
            <w:r>
              <w:rPr>
                <w:rFonts w:hAnsi="宋体" w:cs="宋体"/>
                <w:color w:val="000000" w:themeColor="text1"/>
                <w:sz w:val="21"/>
                <w:szCs w:val="21"/>
              </w:rPr>
              <w:t>1</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338" w:type="dxa"/>
            <w:vMerge w:val="continue"/>
            <w:vAlign w:val="center"/>
          </w:tcPr>
          <w:p>
            <w:pPr>
              <w:tabs>
                <w:tab w:val="left" w:pos="1260"/>
              </w:tabs>
              <w:snapToGrid w:val="0"/>
              <w:spacing w:line="288" w:lineRule="auto"/>
              <w:jc w:val="center"/>
              <w:rPr>
                <w:rFonts w:hAnsi="宋体" w:cs="宋体"/>
                <w:color w:val="000000"/>
                <w:sz w:val="21"/>
                <w:szCs w:val="21"/>
              </w:rPr>
            </w:pPr>
          </w:p>
        </w:tc>
        <w:tc>
          <w:tcPr>
            <w:tcW w:w="2616" w:type="dxa"/>
            <w:vMerge w:val="continue"/>
            <w:vAlign w:val="center"/>
          </w:tcPr>
          <w:p>
            <w:pPr>
              <w:tabs>
                <w:tab w:val="left" w:pos="1260"/>
              </w:tabs>
              <w:snapToGrid w:val="0"/>
              <w:spacing w:line="288" w:lineRule="auto"/>
              <w:rPr>
                <w:rFonts w:hAnsi="宋体" w:cs="宋体"/>
                <w:color w:val="000000" w:themeColor="text1"/>
                <w:sz w:val="21"/>
                <w:szCs w:val="21"/>
              </w:rPr>
            </w:pP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双龙管委会</w:t>
            </w:r>
          </w:p>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（罗店镇）</w:t>
            </w:r>
          </w:p>
        </w:tc>
        <w:tc>
          <w:tcPr>
            <w:tcW w:w="2800" w:type="dxa"/>
            <w:vMerge w:val="continue"/>
            <w:vAlign w:val="center"/>
          </w:tcPr>
          <w:p>
            <w:pPr>
              <w:pStyle w:val="20"/>
              <w:snapToGrid w:val="0"/>
              <w:spacing w:line="288" w:lineRule="auto"/>
              <w:ind w:firstLine="0" w:firstLineChars="0"/>
              <w:rPr>
                <w:rFonts w:hAnsi="宋体" w:cs="宋体"/>
                <w:color w:val="000000" w:themeColor="text1"/>
                <w:sz w:val="21"/>
                <w:szCs w:val="21"/>
              </w:rPr>
            </w:pP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7</w:t>
            </w:r>
            <w:r>
              <w:rPr>
                <w:rFonts w:hAnsi="宋体" w:cs="宋体"/>
                <w:color w:val="000000" w:themeColor="text1"/>
                <w:sz w:val="21"/>
                <w:szCs w:val="21"/>
              </w:rPr>
              <w:t>6</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338" w:type="dxa"/>
            <w:vMerge w:val="restart"/>
            <w:vAlign w:val="center"/>
          </w:tcPr>
          <w:p>
            <w:pPr>
              <w:tabs>
                <w:tab w:val="left" w:pos="1260"/>
              </w:tabs>
              <w:snapToGrid w:val="0"/>
              <w:spacing w:line="288" w:lineRule="auto"/>
              <w:jc w:val="center"/>
              <w:rPr>
                <w:rFonts w:hAnsi="宋体" w:cs="宋体"/>
                <w:color w:val="000000"/>
                <w:sz w:val="21"/>
                <w:szCs w:val="21"/>
              </w:rPr>
            </w:pPr>
            <w:r>
              <w:rPr>
                <w:rFonts w:hint="eastAsia" w:hAnsi="宋体" w:cs="宋体"/>
                <w:color w:val="000000"/>
                <w:sz w:val="21"/>
                <w:szCs w:val="21"/>
              </w:rPr>
              <w:t>2</w:t>
            </w:r>
          </w:p>
        </w:tc>
        <w:tc>
          <w:tcPr>
            <w:tcW w:w="2616" w:type="dxa"/>
            <w:vMerge w:val="restart"/>
            <w:vAlign w:val="center"/>
          </w:tcPr>
          <w:p>
            <w:pPr>
              <w:tabs>
                <w:tab w:val="left" w:pos="1260"/>
              </w:tabs>
              <w:snapToGrid w:val="0"/>
              <w:spacing w:line="288" w:lineRule="auto"/>
              <w:rPr>
                <w:rFonts w:hAnsi="宋体" w:cs="宋体"/>
                <w:color w:val="000000" w:themeColor="text1"/>
                <w:sz w:val="21"/>
                <w:szCs w:val="21"/>
              </w:rPr>
            </w:pPr>
            <w:r>
              <w:rPr>
                <w:rFonts w:hint="eastAsia" w:hAnsi="宋体" w:cs="宋体"/>
                <w:color w:val="000000" w:themeColor="text1"/>
                <w:sz w:val="21"/>
                <w:szCs w:val="21"/>
              </w:rPr>
              <w:t>《金华市中心城区金东片区（乡镇级）国土空间总体规划》（简称“金东片区乡镇级总规”）</w:t>
            </w: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金东区</w:t>
            </w:r>
          </w:p>
        </w:tc>
        <w:tc>
          <w:tcPr>
            <w:tcW w:w="2800" w:type="dxa"/>
            <w:vMerge w:val="continue"/>
            <w:vAlign w:val="center"/>
          </w:tcPr>
          <w:p>
            <w:pPr>
              <w:pStyle w:val="20"/>
              <w:snapToGrid w:val="0"/>
              <w:spacing w:line="288" w:lineRule="auto"/>
              <w:ind w:firstLine="0" w:firstLineChars="0"/>
              <w:rPr>
                <w:rFonts w:hAnsi="宋体" w:cs="宋体"/>
                <w:color w:val="000000" w:themeColor="text1"/>
                <w:sz w:val="21"/>
                <w:szCs w:val="21"/>
              </w:rPr>
            </w:pP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Ansi="宋体" w:cs="宋体"/>
                <w:color w:val="000000" w:themeColor="text1"/>
                <w:sz w:val="21"/>
                <w:szCs w:val="21"/>
              </w:rPr>
              <w:t>218</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38" w:type="dxa"/>
            <w:vMerge w:val="continue"/>
            <w:vAlign w:val="center"/>
          </w:tcPr>
          <w:p>
            <w:pPr>
              <w:tabs>
                <w:tab w:val="left" w:pos="1260"/>
              </w:tabs>
              <w:snapToGrid w:val="0"/>
              <w:spacing w:line="288" w:lineRule="auto"/>
              <w:jc w:val="center"/>
              <w:rPr>
                <w:rFonts w:hAnsi="宋体" w:cs="宋体"/>
                <w:color w:val="000000"/>
                <w:sz w:val="21"/>
                <w:szCs w:val="21"/>
              </w:rPr>
            </w:pPr>
          </w:p>
        </w:tc>
        <w:tc>
          <w:tcPr>
            <w:tcW w:w="2616"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双龙管委会</w:t>
            </w:r>
          </w:p>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（赤松镇）</w:t>
            </w:r>
          </w:p>
        </w:tc>
        <w:tc>
          <w:tcPr>
            <w:tcW w:w="2800" w:type="dxa"/>
            <w:vMerge w:val="continue"/>
            <w:vAlign w:val="center"/>
          </w:tcPr>
          <w:p>
            <w:pPr>
              <w:pStyle w:val="20"/>
              <w:snapToGrid w:val="0"/>
              <w:spacing w:line="288" w:lineRule="auto"/>
              <w:ind w:firstLine="0" w:firstLineChars="0"/>
              <w:rPr>
                <w:rFonts w:hAnsi="宋体" w:cs="宋体"/>
                <w:color w:val="000000" w:themeColor="text1"/>
                <w:sz w:val="21"/>
                <w:szCs w:val="21"/>
              </w:rPr>
            </w:pP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5</w:t>
            </w:r>
            <w:r>
              <w:rPr>
                <w:rFonts w:hAnsi="宋体" w:cs="宋体"/>
                <w:color w:val="000000" w:themeColor="text1"/>
                <w:sz w:val="21"/>
                <w:szCs w:val="21"/>
              </w:rPr>
              <w:t>7</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987" w:type="dxa"/>
            <w:gridSpan w:val="5"/>
            <w:vAlign w:val="center"/>
          </w:tcPr>
          <w:p>
            <w:pPr>
              <w:tabs>
                <w:tab w:val="left" w:pos="1260"/>
              </w:tabs>
              <w:snapToGrid w:val="0"/>
              <w:spacing w:line="288" w:lineRule="auto"/>
              <w:jc w:val="center"/>
              <w:rPr>
                <w:rFonts w:hAnsi="宋体" w:cs="宋体"/>
                <w:color w:val="000000"/>
                <w:sz w:val="21"/>
                <w:szCs w:val="21"/>
              </w:rPr>
            </w:pPr>
            <w:r>
              <w:rPr>
                <w:rFonts w:hint="eastAsia" w:hAnsi="宋体" w:cs="宋体"/>
                <w:color w:val="000000"/>
                <w:sz w:val="21"/>
                <w:szCs w:val="21"/>
              </w:rPr>
              <w:t>合       计</w:t>
            </w:r>
          </w:p>
        </w:tc>
        <w:tc>
          <w:tcPr>
            <w:tcW w:w="1552" w:type="dxa"/>
            <w:vAlign w:val="center"/>
          </w:tcPr>
          <w:p>
            <w:pPr>
              <w:tabs>
                <w:tab w:val="left" w:pos="1260"/>
              </w:tabs>
              <w:snapToGrid w:val="0"/>
              <w:spacing w:line="288" w:lineRule="auto"/>
              <w:jc w:val="center"/>
              <w:rPr>
                <w:rFonts w:hAnsi="宋体" w:cs="宋体"/>
                <w:color w:val="000000"/>
                <w:sz w:val="21"/>
                <w:szCs w:val="21"/>
              </w:rPr>
            </w:pPr>
            <w:r>
              <w:rPr>
                <w:rFonts w:hint="eastAsia" w:hAnsi="宋体" w:cs="宋体"/>
                <w:color w:val="000000"/>
                <w:sz w:val="21"/>
                <w:szCs w:val="21"/>
              </w:rPr>
              <w:t>7</w:t>
            </w:r>
            <w:r>
              <w:rPr>
                <w:rFonts w:hAnsi="宋体" w:cs="宋体"/>
                <w:color w:val="000000"/>
                <w:sz w:val="21"/>
                <w:szCs w:val="21"/>
              </w:rPr>
              <w:t>35</w:t>
            </w:r>
            <w:r>
              <w:rPr>
                <w:rFonts w:hint="eastAsia" w:hAnsi="宋体" w:cs="宋体"/>
                <w:color w:val="000000"/>
                <w:sz w:val="21"/>
                <w:szCs w:val="21"/>
              </w:rPr>
              <w:t>万元</w:t>
            </w:r>
          </w:p>
        </w:tc>
      </w:tr>
    </w:tbl>
    <w:p>
      <w:pPr>
        <w:autoSpaceDE/>
        <w:autoSpaceDN/>
        <w:snapToGrid w:val="0"/>
        <w:spacing w:line="288" w:lineRule="auto"/>
        <w:ind w:firstLine="420" w:firstLineChars="200"/>
        <w:rPr>
          <w:rFonts w:hAnsi="宋体" w:cs="宋体"/>
          <w:color w:val="000000"/>
          <w:sz w:val="21"/>
          <w:szCs w:val="21"/>
        </w:rPr>
      </w:pPr>
      <w:r>
        <w:rPr>
          <w:rFonts w:hint="eastAsia" w:hAnsi="宋体" w:cs="宋体"/>
          <w:color w:val="000000"/>
          <w:sz w:val="21"/>
          <w:szCs w:val="21"/>
        </w:rPr>
        <w:t>本项目允许联合体投标。</w:t>
      </w:r>
    </w:p>
    <w:p>
      <w:pPr>
        <w:tabs>
          <w:tab w:val="left" w:pos="1260"/>
        </w:tabs>
        <w:autoSpaceDE/>
        <w:autoSpaceDN/>
        <w:adjustRightInd/>
        <w:snapToGrid w:val="0"/>
        <w:spacing w:line="500" w:lineRule="exact"/>
        <w:ind w:firstLine="316" w:firstLineChars="150"/>
        <w:jc w:val="both"/>
        <w:rPr>
          <w:rFonts w:hAnsi="宋体" w:cs="宋体"/>
          <w:b/>
          <w:color w:val="000000"/>
          <w:sz w:val="21"/>
          <w:szCs w:val="21"/>
        </w:rPr>
      </w:pPr>
      <w:bookmarkStart w:id="19" w:name="_Toc35393622"/>
      <w:bookmarkStart w:id="20" w:name="_Toc28359080"/>
      <w:bookmarkStart w:id="21" w:name="_Toc28359003"/>
      <w:bookmarkStart w:id="22" w:name="_Toc35393791"/>
      <w:r>
        <w:rPr>
          <w:rFonts w:hint="eastAsia" w:hAnsi="宋体" w:cs="宋体"/>
          <w:b/>
          <w:color w:val="000000"/>
          <w:sz w:val="21"/>
          <w:szCs w:val="21"/>
        </w:rPr>
        <w:t>二、申请人的资格要求：</w:t>
      </w:r>
      <w:bookmarkEnd w:id="19"/>
      <w:bookmarkEnd w:id="20"/>
      <w:bookmarkEnd w:id="21"/>
      <w:bookmarkEnd w:id="22"/>
    </w:p>
    <w:p>
      <w:pPr>
        <w:tabs>
          <w:tab w:val="left" w:pos="1260"/>
        </w:tabs>
        <w:snapToGrid w:val="0"/>
        <w:spacing w:line="500" w:lineRule="exact"/>
        <w:ind w:firstLine="420" w:firstLineChars="200"/>
        <w:rPr>
          <w:rFonts w:hAnsi="宋体" w:cs="宋体"/>
          <w:color w:val="000000"/>
          <w:sz w:val="21"/>
          <w:szCs w:val="21"/>
        </w:rPr>
      </w:pPr>
      <w:bookmarkStart w:id="23" w:name="_Toc28359004"/>
      <w:bookmarkStart w:id="24" w:name="_Toc28359081"/>
      <w:r>
        <w:rPr>
          <w:rFonts w:hint="eastAsia" w:hAnsi="宋体" w:cs="宋体"/>
          <w:color w:val="000000"/>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bookmarkEnd w:id="23"/>
      <w:bookmarkEnd w:id="24"/>
      <w:bookmarkStart w:id="25" w:name="_Toc35393796"/>
      <w:bookmarkStart w:id="26" w:name="_Toc28359085"/>
      <w:bookmarkStart w:id="27" w:name="_Toc35393627"/>
      <w:bookmarkStart w:id="28" w:name="_Toc28359008"/>
      <w:r>
        <w:rPr>
          <w:rFonts w:hint="eastAsia" w:hAnsi="宋体" w:cs="宋体"/>
          <w:color w:val="000000"/>
          <w:sz w:val="21"/>
          <w:szCs w:val="21"/>
        </w:rPr>
        <w:t>（两个以上的自然人、法人或者其他组织组成一个联合体，以一个投标人的身份共同参加政府采购活动的，将对所有联合体成员进行信用记录查询，联合体成员存在不良信用记录的，视同联合体存在不良信用记录。）</w:t>
      </w:r>
    </w:p>
    <w:p>
      <w:pPr>
        <w:tabs>
          <w:tab w:val="left" w:pos="1260"/>
        </w:tabs>
        <w:autoSpaceDE/>
        <w:autoSpaceDN/>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2.落实政策：</w:t>
      </w:r>
    </w:p>
    <w:p>
      <w:pPr>
        <w:spacing w:line="500" w:lineRule="exact"/>
        <w:ind w:firstLine="420" w:firstLineChars="200"/>
        <w:rPr>
          <w:rFonts w:hAnsi="宋体" w:cs="宋体"/>
          <w:color w:val="000000"/>
          <w:sz w:val="21"/>
          <w:szCs w:val="21"/>
        </w:rPr>
      </w:pPr>
      <w:r>
        <w:rPr>
          <w:rFonts w:hint="eastAsia" w:hAnsi="宋体" w:cs="宋体"/>
          <w:color w:val="000000"/>
          <w:sz w:val="21"/>
          <w:szCs w:val="21"/>
        </w:rPr>
        <w:t>（1）落实政府采购政策需满足的资格要求：</w:t>
      </w:r>
    </w:p>
    <w:p>
      <w:pPr>
        <w:spacing w:line="500" w:lineRule="exact"/>
        <w:ind w:firstLine="420" w:firstLineChars="200"/>
        <w:rPr>
          <w:rFonts w:hAnsi="宋体" w:cs="宋体"/>
          <w:color w:val="000000"/>
          <w:sz w:val="21"/>
          <w:szCs w:val="21"/>
        </w:rPr>
      </w:pPr>
      <w:r>
        <w:rPr>
          <w:rFonts w:hint="eastAsia" w:hAnsi="宋体" w:cs="宋体"/>
          <w:color w:val="000000"/>
          <w:sz w:val="21"/>
          <w:szCs w:val="21"/>
        </w:rPr>
        <w:sym w:font="Wingdings" w:char="00FE"/>
      </w:r>
      <w:r>
        <w:rPr>
          <w:rFonts w:hint="eastAsia" w:hAnsi="宋体" w:cs="宋体"/>
          <w:color w:val="000000"/>
          <w:sz w:val="21"/>
          <w:szCs w:val="21"/>
        </w:rPr>
        <w:t>无；</w:t>
      </w:r>
    </w:p>
    <w:p>
      <w:pPr>
        <w:spacing w:line="500" w:lineRule="exact"/>
        <w:ind w:firstLine="420" w:firstLineChars="2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专门面向中小企业：</w:t>
      </w:r>
    </w:p>
    <w:p>
      <w:pPr>
        <w:spacing w:line="500" w:lineRule="exact"/>
        <w:ind w:firstLine="840" w:firstLineChars="400"/>
        <w:rPr>
          <w:rFonts w:hAnsi="宋体" w:cs="宋体"/>
          <w:color w:val="000000"/>
          <w:sz w:val="21"/>
          <w:szCs w:val="21"/>
          <w:u w:val="single"/>
        </w:rPr>
      </w:pPr>
      <w:r>
        <w:rPr>
          <w:rFonts w:hint="eastAsia" w:hAnsi="宋体" w:cs="宋体"/>
          <w:color w:val="000000"/>
          <w:sz w:val="21"/>
          <w:szCs w:val="21"/>
        </w:rPr>
        <w:sym w:font="Wingdings" w:char="00A8"/>
      </w:r>
      <w:r>
        <w:rPr>
          <w:rFonts w:hint="eastAsia" w:hAnsi="宋体" w:cs="宋体"/>
          <w:color w:val="000000"/>
          <w:sz w:val="21"/>
          <w:szCs w:val="21"/>
        </w:rPr>
        <w:t>货物全部由符合政策要求的中小企业制造，提供中小企业声明函；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货物全部由符合政策要求的小微企业制造，提供中小企业声明函；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工程全部由符合政策要求的中小企业承接，提供中小企业声明函；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工程全部由符合政策要求的小微企业承接，提供中小企业声明函；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服务全部由符合政策要求的中小企业承接，提供中小企业声明函；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服务全部由符合政策要求的小微企业承接，提供中小企业声明函；</w:t>
      </w:r>
    </w:p>
    <w:p>
      <w:pPr>
        <w:snapToGrid w:val="0"/>
        <w:spacing w:line="500" w:lineRule="exact"/>
        <w:ind w:firstLine="420" w:firstLineChars="200"/>
        <w:rPr>
          <w:rStyle w:val="48"/>
          <w:rFonts w:ascii="宋体" w:hAnsi="宋体" w:cs="宋体"/>
          <w:b w:val="0"/>
          <w:bCs w:val="0"/>
          <w:color w:val="000000" w:themeColor="text1"/>
          <w:sz w:val="21"/>
          <w:szCs w:val="21"/>
        </w:rPr>
      </w:pPr>
      <w:r>
        <w:rPr>
          <w:rFonts w:hint="eastAsia" w:hAnsi="宋体" w:cs="宋体"/>
          <w:color w:val="000000"/>
          <w:sz w:val="21"/>
          <w:szCs w:val="21"/>
        </w:rPr>
        <w:t>（2）采购项目需要落实的政府采购政策：执行节约能源、保护环境相关的节能产品政府强制采购和优先采购政策，执行环境标志产品政府优先采购政</w:t>
      </w:r>
      <w:r>
        <w:rPr>
          <w:rFonts w:hint="eastAsia" w:hAnsi="宋体" w:cs="宋体"/>
          <w:color w:val="000000" w:themeColor="text1"/>
          <w:sz w:val="21"/>
          <w:szCs w:val="21"/>
        </w:rPr>
        <w:t>策；执行扶持不发达地区和少数民族地区、促进中小企业发展、支持监狱企业发展、促进残疾人就业、支持中小企业信用融资等政府采购政策。 </w:t>
      </w:r>
    </w:p>
    <w:p>
      <w:pPr>
        <w:pStyle w:val="41"/>
        <w:widowControl w:val="0"/>
        <w:wordWrap w:val="0"/>
        <w:adjustRightInd w:val="0"/>
        <w:snapToGrid w:val="0"/>
        <w:spacing w:before="0" w:beforeAutospacing="0" w:after="0" w:afterAutospacing="0" w:line="500" w:lineRule="exact"/>
        <w:ind w:firstLine="420" w:firstLineChars="200"/>
        <w:rPr>
          <w:color w:val="000000" w:themeColor="text1"/>
        </w:rPr>
      </w:pPr>
      <w:r>
        <w:rPr>
          <w:rFonts w:hint="eastAsia" w:cs="宋体"/>
          <w:color w:val="000000" w:themeColor="text1"/>
          <w:sz w:val="21"/>
          <w:szCs w:val="21"/>
        </w:rPr>
        <w:t>3.本项目的特定资格要求：</w:t>
      </w:r>
      <w:r>
        <w:rPr>
          <w:rFonts w:cs="宋体"/>
          <w:color w:val="000000" w:themeColor="text1"/>
          <w:sz w:val="21"/>
          <w:szCs w:val="21"/>
        </w:rPr>
        <w:t>投标人</w:t>
      </w:r>
      <w:r>
        <w:rPr>
          <w:rFonts w:hint="eastAsia" w:cs="宋体"/>
          <w:color w:val="000000" w:themeColor="text1"/>
          <w:sz w:val="21"/>
          <w:szCs w:val="21"/>
        </w:rPr>
        <w:t>（联合体投标的，联合体任意一方满足即可）</w:t>
      </w:r>
      <w:r>
        <w:rPr>
          <w:rFonts w:cs="宋体"/>
          <w:color w:val="000000" w:themeColor="text1"/>
          <w:sz w:val="21"/>
          <w:szCs w:val="21"/>
        </w:rPr>
        <w:t>具备城乡规划编制</w:t>
      </w:r>
      <w:r>
        <w:rPr>
          <w:rFonts w:hint="eastAsia" w:cs="宋体"/>
          <w:color w:val="000000" w:themeColor="text1"/>
          <w:sz w:val="21"/>
          <w:szCs w:val="21"/>
        </w:rPr>
        <w:t>甲</w:t>
      </w:r>
      <w:r>
        <w:rPr>
          <w:rFonts w:cs="宋体"/>
          <w:color w:val="000000" w:themeColor="text1"/>
          <w:sz w:val="21"/>
          <w:szCs w:val="21"/>
        </w:rPr>
        <w:t>级资质</w:t>
      </w:r>
      <w:r>
        <w:rPr>
          <w:rFonts w:hint="eastAsia" w:cs="宋体"/>
          <w:color w:val="000000" w:themeColor="text1"/>
          <w:sz w:val="21"/>
          <w:szCs w:val="21"/>
        </w:rPr>
        <w:t>和</w:t>
      </w:r>
      <w:r>
        <w:rPr>
          <w:rFonts w:cs="宋体"/>
          <w:color w:val="000000" w:themeColor="text1"/>
          <w:sz w:val="21"/>
          <w:szCs w:val="21"/>
        </w:rPr>
        <w:t>土地规划编制乙级及以上资质</w:t>
      </w:r>
      <w:r>
        <w:rPr>
          <w:rFonts w:hint="eastAsia" w:cs="宋体"/>
          <w:color w:val="000000" w:themeColor="text1"/>
          <w:sz w:val="21"/>
          <w:szCs w:val="21"/>
        </w:rPr>
        <w:t>【</w:t>
      </w:r>
      <w:r>
        <w:rPr>
          <w:rFonts w:hint="eastAsia" w:ascii="宋体" w:cs="宋体"/>
          <w:color w:val="000000" w:themeColor="text1"/>
          <w:sz w:val="21"/>
          <w:szCs w:val="21"/>
        </w:rPr>
        <w:t>注：因国家机构改革，土地规划乙级（含）以上资质到期的，按国家要求视同有效的，视同有效</w:t>
      </w:r>
      <w:r>
        <w:rPr>
          <w:rFonts w:hint="eastAsia" w:cs="宋体"/>
          <w:color w:val="000000" w:themeColor="text1"/>
          <w:sz w:val="21"/>
          <w:szCs w:val="21"/>
        </w:rPr>
        <w:t>】。</w:t>
      </w:r>
    </w:p>
    <w:p>
      <w:pPr>
        <w:tabs>
          <w:tab w:val="left" w:pos="1260"/>
        </w:tabs>
        <w:autoSpaceDE/>
        <w:autoSpaceDN/>
        <w:adjustRightInd/>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4.公益一类事业单位不属于政府购买服务的承接主体，不得参与承接政府购买服务。</w:t>
      </w:r>
    </w:p>
    <w:p>
      <w:pPr>
        <w:tabs>
          <w:tab w:val="left" w:pos="1260"/>
        </w:tabs>
        <w:autoSpaceDE/>
        <w:autoSpaceDN/>
        <w:adjustRightInd/>
        <w:spacing w:line="500" w:lineRule="exact"/>
        <w:ind w:firstLine="420" w:firstLineChars="200"/>
        <w:jc w:val="both"/>
        <w:rPr>
          <w:rFonts w:cs="宋体"/>
          <w:color w:val="000000" w:themeColor="text1"/>
          <w:sz w:val="21"/>
          <w:szCs w:val="21"/>
        </w:rPr>
      </w:pPr>
      <w:r>
        <w:rPr>
          <w:rFonts w:hint="eastAsia" w:cs="宋体"/>
          <w:color w:val="000000" w:themeColor="text1"/>
          <w:sz w:val="21"/>
          <w:szCs w:val="21"/>
        </w:rPr>
        <w:t>5.联合体投标或分包：</w:t>
      </w:r>
      <w:r>
        <w:rPr>
          <w:rFonts w:cs="宋体"/>
          <w:color w:val="000000" w:themeColor="text1"/>
          <w:sz w:val="21"/>
          <w:szCs w:val="21"/>
        </w:rPr>
        <w:t>本项目组成联合体成员不得超过</w:t>
      </w:r>
      <w:r>
        <w:rPr>
          <w:rFonts w:hint="eastAsia" w:cs="宋体"/>
          <w:color w:val="000000" w:themeColor="text1"/>
          <w:sz w:val="21"/>
          <w:szCs w:val="21"/>
        </w:rPr>
        <w:t>3</w:t>
      </w:r>
      <w:r>
        <w:rPr>
          <w:rFonts w:cs="宋体"/>
          <w:color w:val="000000" w:themeColor="text1"/>
          <w:sz w:val="21"/>
          <w:szCs w:val="21"/>
        </w:rPr>
        <w:t>家</w:t>
      </w:r>
      <w:r>
        <w:rPr>
          <w:rFonts w:hint="eastAsia" w:cs="宋体"/>
          <w:color w:val="000000" w:themeColor="text1"/>
          <w:sz w:val="21"/>
          <w:szCs w:val="21"/>
        </w:rPr>
        <w:t>（含牵头人在内）牵头人</w:t>
      </w:r>
      <w:r>
        <w:rPr>
          <w:rFonts w:cs="宋体"/>
          <w:color w:val="000000" w:themeColor="text1"/>
          <w:sz w:val="21"/>
          <w:szCs w:val="21"/>
        </w:rPr>
        <w:t>具备城乡规划编制</w:t>
      </w:r>
      <w:r>
        <w:rPr>
          <w:rFonts w:hint="eastAsia" w:cs="宋体"/>
          <w:color w:val="000000" w:themeColor="text1"/>
          <w:sz w:val="21"/>
          <w:szCs w:val="21"/>
        </w:rPr>
        <w:t>甲</w:t>
      </w:r>
      <w:r>
        <w:rPr>
          <w:rFonts w:cs="宋体"/>
          <w:color w:val="000000" w:themeColor="text1"/>
          <w:sz w:val="21"/>
          <w:szCs w:val="21"/>
        </w:rPr>
        <w:t>级资质</w:t>
      </w:r>
      <w:r>
        <w:rPr>
          <w:rFonts w:hint="eastAsia" w:cs="宋体"/>
          <w:color w:val="000000" w:themeColor="text1"/>
          <w:sz w:val="21"/>
          <w:szCs w:val="21"/>
        </w:rPr>
        <w:t>。为了支持中小企业发展，本项目</w:t>
      </w:r>
      <w:r>
        <w:rPr>
          <w:rFonts w:cs="宋体"/>
          <w:color w:val="000000" w:themeColor="text1"/>
          <w:sz w:val="21"/>
          <w:szCs w:val="21"/>
        </w:rPr>
        <w:t>允许</w:t>
      </w:r>
      <w:r>
        <w:rPr>
          <w:rFonts w:hint="eastAsia" w:cs="宋体"/>
          <w:color w:val="000000" w:themeColor="text1"/>
          <w:sz w:val="21"/>
          <w:szCs w:val="21"/>
        </w:rPr>
        <w:t>大中型企业与小微企业组成联合体参与投标，也允许大中型企业向小微企业合理分包，确保中小企业参与政府采购公平竞争机会。组成联合体或者接受分包合同的小微企业均应不属于大企业的分支机构，不存在控股股东为大企业的情形，也不存在与大企业的负责人为同一人的情形。分包供应商应满足城乡规划乙级（及以上）资质或土地规划乙级（及以上）资质要求【注：因国家机构改革，土地规划乙级（含）以上资质到期的，按国家要求视同有效的，视同有效】。</w:t>
      </w:r>
    </w:p>
    <w:p>
      <w:pPr>
        <w:tabs>
          <w:tab w:val="left" w:pos="1260"/>
        </w:tabs>
        <w:autoSpaceDE/>
        <w:autoSpaceDN/>
        <w:adjustRightInd/>
        <w:spacing w:line="500" w:lineRule="exact"/>
        <w:ind w:firstLine="422" w:firstLineChars="200"/>
        <w:jc w:val="both"/>
        <w:rPr>
          <w:rFonts w:hAnsi="宋体" w:cs="宋体"/>
          <w:b/>
          <w:color w:val="000000" w:themeColor="text1"/>
          <w:sz w:val="21"/>
          <w:szCs w:val="21"/>
        </w:rPr>
      </w:pPr>
      <w:r>
        <w:rPr>
          <w:rFonts w:hint="eastAsia" w:hAnsi="宋体" w:cs="宋体"/>
          <w:b/>
          <w:color w:val="000000" w:themeColor="text1"/>
          <w:sz w:val="21"/>
          <w:szCs w:val="21"/>
        </w:rPr>
        <w:t>三、获取招标文件</w:t>
      </w:r>
    </w:p>
    <w:p>
      <w:pPr>
        <w:tabs>
          <w:tab w:val="left" w:pos="1260"/>
        </w:tabs>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themeColor="text1"/>
          <w:sz w:val="21"/>
          <w:szCs w:val="21"/>
        </w:rPr>
        <w:t>1.时间：本项目公告发布之日起至2023</w:t>
      </w:r>
      <w:r>
        <w:rPr>
          <w:rFonts w:hint="eastAsia" w:hAnsi="宋体" w:cs="宋体"/>
          <w:bCs/>
          <w:color w:val="000000" w:themeColor="text1"/>
          <w:sz w:val="21"/>
          <w:szCs w:val="21"/>
        </w:rPr>
        <w:t>年</w:t>
      </w:r>
      <w:r>
        <w:rPr>
          <w:rFonts w:hint="eastAsia" w:hAnsi="宋体" w:cs="宋体"/>
          <w:bCs/>
          <w:color w:val="000000" w:themeColor="text1"/>
          <w:sz w:val="21"/>
          <w:szCs w:val="21"/>
          <w:lang w:val="en-US" w:eastAsia="zh-CN"/>
        </w:rPr>
        <w:t>11</w:t>
      </w:r>
      <w:r>
        <w:rPr>
          <w:rFonts w:hint="eastAsia" w:hAnsi="宋体" w:cs="宋体"/>
          <w:bCs/>
          <w:color w:val="000000" w:themeColor="text1"/>
          <w:sz w:val="21"/>
          <w:szCs w:val="21"/>
        </w:rPr>
        <w:t>月</w:t>
      </w:r>
      <w:r>
        <w:rPr>
          <w:rFonts w:hint="eastAsia" w:hAnsi="宋体" w:cs="宋体"/>
          <w:bCs/>
          <w:color w:val="000000" w:themeColor="text1"/>
          <w:sz w:val="21"/>
          <w:szCs w:val="21"/>
          <w:lang w:val="en-US" w:eastAsia="zh-CN"/>
        </w:rPr>
        <w:t>29</w:t>
      </w:r>
      <w:r>
        <w:rPr>
          <w:rFonts w:hint="eastAsia" w:hAnsi="宋体" w:cs="宋体"/>
          <w:bCs/>
          <w:color w:val="000000" w:themeColor="text1"/>
          <w:sz w:val="21"/>
          <w:szCs w:val="21"/>
        </w:rPr>
        <w:t>日</w:t>
      </w:r>
      <w:r>
        <w:rPr>
          <w:rFonts w:hint="eastAsia" w:hAnsi="宋体" w:cs="宋体"/>
          <w:bCs/>
          <w:color w:val="000000" w:themeColor="text1"/>
          <w:sz w:val="21"/>
          <w:szCs w:val="21"/>
          <w:lang w:val="en-US" w:eastAsia="zh-CN"/>
        </w:rPr>
        <w:t>09</w:t>
      </w:r>
      <w:r>
        <w:rPr>
          <w:rFonts w:hint="eastAsia" w:hAnsi="宋体" w:cs="宋体"/>
          <w:bCs/>
          <w:color w:val="000000" w:themeColor="text1"/>
          <w:sz w:val="21"/>
          <w:szCs w:val="21"/>
        </w:rPr>
        <w:t>点30分</w:t>
      </w:r>
      <w:r>
        <w:rPr>
          <w:rFonts w:hint="eastAsia" w:hAnsi="宋体" w:cs="宋体"/>
          <w:color w:val="000000" w:themeColor="text1"/>
          <w:sz w:val="21"/>
          <w:szCs w:val="21"/>
        </w:rPr>
        <w:t>，每天上午 </w:t>
      </w:r>
      <w:r>
        <w:rPr>
          <w:rFonts w:hint="eastAsia" w:hAnsi="宋体" w:cs="宋体"/>
          <w:color w:val="000000"/>
          <w:sz w:val="21"/>
          <w:szCs w:val="21"/>
        </w:rPr>
        <w:t>00:00至12:00 ，下午12:00至23:59（北京时间）</w:t>
      </w:r>
    </w:p>
    <w:p>
      <w:pPr>
        <w:pStyle w:val="41"/>
        <w:spacing w:before="0" w:beforeAutospacing="0" w:after="0" w:afterAutospacing="0" w:line="500" w:lineRule="exact"/>
        <w:rPr>
          <w:rFonts w:ascii="宋体" w:cs="宋体"/>
          <w:color w:val="000000"/>
          <w:sz w:val="21"/>
          <w:szCs w:val="21"/>
        </w:rPr>
      </w:pPr>
      <w:r>
        <w:rPr>
          <w:rFonts w:hint="eastAsia" w:ascii="宋体" w:cs="宋体"/>
          <w:color w:val="000000"/>
          <w:sz w:val="21"/>
          <w:szCs w:val="21"/>
          <w:shd w:val="clear" w:color="auto" w:fill="FFFFFF"/>
        </w:rPr>
        <w:t xml:space="preserve">     地点（网址）： 政采云平台线上获取 </w:t>
      </w:r>
    </w:p>
    <w:p>
      <w:pPr>
        <w:pStyle w:val="41"/>
        <w:spacing w:before="0" w:beforeAutospacing="0" w:after="0" w:afterAutospacing="0" w:line="500" w:lineRule="exact"/>
        <w:ind w:firstLine="210" w:firstLineChars="100"/>
        <w:rPr>
          <w:rFonts w:ascii="宋体" w:cs="宋体"/>
          <w:color w:val="000000"/>
          <w:sz w:val="21"/>
          <w:szCs w:val="21"/>
          <w:shd w:val="clear" w:color="auto" w:fill="FFFFFF"/>
        </w:rPr>
      </w:pPr>
      <w:r>
        <w:rPr>
          <w:rFonts w:hint="eastAsia" w:ascii="宋体" w:cs="宋体"/>
          <w:color w:val="000000"/>
          <w:sz w:val="21"/>
          <w:szCs w:val="21"/>
          <w:shd w:val="clear" w:color="auto" w:fill="FFFFFF"/>
        </w:rPr>
        <w:t> 2.招标文件获取地址：登录政采云平台--后台项目采购板块点击申请获取采购文件。</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3.获取采购文件方式：供应商自行登录浙江省“政采云”平台（网址https://www.zcygov.cn）获取采购文件（供应商线上获取采购文件的流程：供应商登录浙江省“政采云”平台并进入【项目采购】应用模块，点击左侧菜单的【获取采购文件】，点击对应项目的【申请获取采购文件】按钮，填写获取采购文件申请信息后，点右下角【确定】按钮提交）。 </w:t>
      </w:r>
    </w:p>
    <w:p>
      <w:pPr>
        <w:autoSpaceDE/>
        <w:autoSpaceDN/>
        <w:adjustRightInd/>
        <w:spacing w:line="500" w:lineRule="exact"/>
        <w:ind w:firstLine="422" w:firstLineChars="200"/>
        <w:jc w:val="both"/>
        <w:rPr>
          <w:rStyle w:val="48"/>
          <w:rFonts w:ascii="宋体" w:hAnsi="宋体" w:cs="宋体"/>
          <w:color w:val="000000"/>
          <w:sz w:val="21"/>
          <w:szCs w:val="21"/>
        </w:rPr>
      </w:pPr>
      <w:r>
        <w:rPr>
          <w:rStyle w:val="48"/>
          <w:rFonts w:hint="eastAsia" w:ascii="宋体" w:hAnsi="宋体" w:cs="宋体"/>
          <w:color w:val="000000"/>
          <w:sz w:val="21"/>
          <w:szCs w:val="21"/>
        </w:rPr>
        <w:t>注：</w:t>
      </w:r>
    </w:p>
    <w:p>
      <w:pPr>
        <w:pStyle w:val="44"/>
        <w:spacing w:after="0" w:line="440" w:lineRule="atLeast"/>
        <w:ind w:left="0" w:leftChars="0" w:firstLine="422"/>
        <w:rPr>
          <w:rFonts w:ascii="宋体" w:hAnsi="宋体" w:cs="宋体"/>
          <w:b/>
          <w:bCs/>
          <w:color w:val="000000"/>
          <w:kern w:val="0"/>
          <w:sz w:val="21"/>
          <w:szCs w:val="21"/>
        </w:rPr>
      </w:pPr>
      <w:r>
        <w:rPr>
          <w:rFonts w:hint="eastAsia" w:ascii="宋体" w:hAnsi="宋体" w:cs="宋体"/>
          <w:b/>
          <w:bCs/>
          <w:color w:val="000000"/>
          <w:kern w:val="0"/>
          <w:sz w:val="21"/>
          <w:szCs w:val="21"/>
        </w:rPr>
        <w:t>（1）浙江政府采购网上随公告发布的采购文件仅供阅览；供应商应按上述方式获取采购文件；未按上述方式完成获取采购文件流程的，不得对采购文件提起质疑投诉。同时请供应商在参加投标前随时关注项目的可能更正公告情况。</w:t>
      </w:r>
    </w:p>
    <w:p>
      <w:pPr>
        <w:autoSpaceDE/>
        <w:autoSpaceDN/>
        <w:adjustRightInd/>
        <w:spacing w:line="500" w:lineRule="exact"/>
        <w:ind w:firstLine="422" w:firstLineChars="200"/>
        <w:jc w:val="both"/>
        <w:rPr>
          <w:rFonts w:hAnsi="宋体" w:cs="宋体"/>
          <w:color w:val="000000"/>
        </w:rPr>
      </w:pPr>
      <w:r>
        <w:rPr>
          <w:rFonts w:hint="eastAsia" w:hAnsi="宋体" w:cs="宋体"/>
          <w:b/>
          <w:bCs/>
          <w:color w:val="000000"/>
          <w:sz w:val="21"/>
          <w:szCs w:val="21"/>
        </w:rPr>
        <w:t>（2）采购代理机构将拒绝接</w:t>
      </w:r>
      <w:r>
        <w:rPr>
          <w:rStyle w:val="48"/>
          <w:rFonts w:hint="eastAsia" w:ascii="宋体" w:hAnsi="宋体" w:cs="宋体"/>
          <w:color w:val="000000"/>
          <w:sz w:val="21"/>
          <w:szCs w:val="21"/>
        </w:rPr>
        <w:t>受非报名人的投标文件。</w:t>
      </w:r>
    </w:p>
    <w:p>
      <w:pPr>
        <w:tabs>
          <w:tab w:val="left" w:pos="1260"/>
        </w:tabs>
        <w:autoSpaceDE/>
        <w:autoSpaceDN/>
        <w:adjustRightInd/>
        <w:spacing w:line="500" w:lineRule="exact"/>
        <w:ind w:firstLine="422" w:firstLineChars="200"/>
        <w:jc w:val="both"/>
        <w:rPr>
          <w:rFonts w:hAnsi="宋体" w:cs="宋体"/>
          <w:b/>
          <w:color w:val="000000"/>
          <w:sz w:val="21"/>
          <w:szCs w:val="21"/>
        </w:rPr>
      </w:pPr>
      <w:bookmarkStart w:id="29" w:name="_Toc28359082"/>
      <w:bookmarkStart w:id="30" w:name="_Toc28359005"/>
      <w:bookmarkStart w:id="31" w:name="_Toc35393793"/>
      <w:bookmarkStart w:id="32" w:name="_Toc35393624"/>
      <w:r>
        <w:rPr>
          <w:rFonts w:hint="eastAsia" w:hAnsi="宋体" w:cs="宋体"/>
          <w:b/>
          <w:color w:val="000000"/>
          <w:sz w:val="21"/>
          <w:szCs w:val="21"/>
        </w:rPr>
        <w:t>四、提交投标文件</w:t>
      </w:r>
      <w:bookmarkEnd w:id="29"/>
      <w:bookmarkEnd w:id="30"/>
      <w:r>
        <w:rPr>
          <w:rFonts w:hint="eastAsia" w:hAnsi="宋体" w:cs="宋体"/>
          <w:b/>
          <w:color w:val="000000"/>
          <w:sz w:val="21"/>
          <w:szCs w:val="21"/>
        </w:rPr>
        <w:t>截止时间、开标时间和地点</w:t>
      </w:r>
      <w:bookmarkEnd w:id="31"/>
      <w:bookmarkEnd w:id="32"/>
    </w:p>
    <w:p>
      <w:pPr>
        <w:tabs>
          <w:tab w:val="left" w:pos="1260"/>
        </w:tabs>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1.提交投标文件截止时间：2023</w:t>
      </w:r>
      <w:r>
        <w:rPr>
          <w:rFonts w:hint="eastAsia" w:hAnsi="宋体" w:cs="宋体"/>
          <w:bCs/>
          <w:color w:val="000000"/>
          <w:sz w:val="21"/>
          <w:szCs w:val="21"/>
        </w:rPr>
        <w:t>年</w:t>
      </w:r>
      <w:r>
        <w:rPr>
          <w:rFonts w:hint="eastAsia" w:hAnsi="宋体" w:cs="宋体"/>
          <w:bCs/>
          <w:color w:val="000000"/>
          <w:sz w:val="21"/>
          <w:szCs w:val="21"/>
          <w:lang w:val="en-US" w:eastAsia="zh-CN"/>
        </w:rPr>
        <w:t>11</w:t>
      </w:r>
      <w:r>
        <w:rPr>
          <w:rFonts w:hint="eastAsia" w:hAnsi="宋体" w:cs="宋体"/>
          <w:bCs/>
          <w:color w:val="000000"/>
          <w:sz w:val="21"/>
          <w:szCs w:val="21"/>
        </w:rPr>
        <w:t>月</w:t>
      </w:r>
      <w:r>
        <w:rPr>
          <w:rFonts w:hint="eastAsia" w:hAnsi="宋体" w:cs="宋体"/>
          <w:bCs/>
          <w:color w:val="000000"/>
          <w:sz w:val="21"/>
          <w:szCs w:val="21"/>
          <w:lang w:val="en-US" w:eastAsia="zh-CN"/>
        </w:rPr>
        <w:t>29</w:t>
      </w:r>
      <w:r>
        <w:rPr>
          <w:rFonts w:hint="eastAsia" w:hAnsi="宋体" w:cs="宋体"/>
          <w:bCs/>
          <w:color w:val="000000"/>
          <w:sz w:val="21"/>
          <w:szCs w:val="21"/>
        </w:rPr>
        <w:t>日</w:t>
      </w:r>
      <w:r>
        <w:rPr>
          <w:rFonts w:hint="eastAsia" w:hAnsi="宋体" w:cs="宋体"/>
          <w:bCs/>
          <w:color w:val="000000"/>
          <w:sz w:val="21"/>
          <w:szCs w:val="21"/>
          <w:lang w:val="en-US" w:eastAsia="zh-CN"/>
        </w:rPr>
        <w:t>09</w:t>
      </w:r>
      <w:r>
        <w:rPr>
          <w:rFonts w:hint="eastAsia" w:hAnsi="宋体" w:cs="宋体"/>
          <w:bCs/>
          <w:color w:val="000000"/>
          <w:sz w:val="21"/>
          <w:szCs w:val="21"/>
        </w:rPr>
        <w:t>点30分</w:t>
      </w:r>
      <w:r>
        <w:rPr>
          <w:rFonts w:hint="eastAsia" w:hAnsi="宋体" w:cs="宋体"/>
          <w:color w:val="000000"/>
          <w:sz w:val="21"/>
          <w:szCs w:val="21"/>
        </w:rPr>
        <w:t>（北京时间）</w:t>
      </w:r>
    </w:p>
    <w:p>
      <w:pPr>
        <w:pStyle w:val="41"/>
        <w:spacing w:before="0" w:beforeAutospacing="0" w:after="0" w:afterAutospacing="0" w:line="500" w:lineRule="exact"/>
        <w:ind w:firstLine="630" w:firstLineChars="300"/>
        <w:rPr>
          <w:rFonts w:ascii="宋体" w:cs="宋体"/>
          <w:color w:val="000000"/>
          <w:sz w:val="21"/>
          <w:szCs w:val="21"/>
        </w:rPr>
      </w:pPr>
      <w:r>
        <w:rPr>
          <w:rFonts w:hint="eastAsia" w:ascii="宋体" w:cs="宋体"/>
          <w:color w:val="000000"/>
          <w:sz w:val="21"/>
          <w:szCs w:val="21"/>
          <w:shd w:val="clear" w:color="auto" w:fill="FFFFFF"/>
        </w:rPr>
        <w:t>投标地点（网址）：通过浙江政府采购网政府采购云平台实行在线投标响应。</w:t>
      </w:r>
    </w:p>
    <w:p>
      <w:pPr>
        <w:pStyle w:val="41"/>
        <w:spacing w:before="0" w:beforeAutospacing="0" w:after="0" w:afterAutospacing="0" w:line="500" w:lineRule="exact"/>
        <w:rPr>
          <w:rFonts w:ascii="宋体" w:cs="宋体"/>
          <w:color w:val="000000"/>
          <w:sz w:val="21"/>
          <w:szCs w:val="21"/>
        </w:rPr>
      </w:pPr>
      <w:r>
        <w:rPr>
          <w:rFonts w:hint="eastAsia" w:ascii="宋体" w:cs="宋体"/>
          <w:color w:val="000000"/>
          <w:sz w:val="21"/>
          <w:szCs w:val="21"/>
          <w:shd w:val="clear" w:color="auto" w:fill="FFFFFF"/>
        </w:rPr>
        <w:t>    开标时间</w:t>
      </w:r>
      <w:r>
        <w:rPr>
          <w:rFonts w:hint="eastAsia" w:ascii="宋体" w:cs="宋体"/>
          <w:bCs/>
          <w:color w:val="000000"/>
          <w:sz w:val="21"/>
          <w:szCs w:val="21"/>
        </w:rPr>
        <w:t>:202</w:t>
      </w:r>
      <w:r>
        <w:rPr>
          <w:rFonts w:hint="eastAsia" w:ascii="宋体" w:hAnsi="宋体" w:eastAsia="宋体" w:cs="宋体"/>
          <w:bCs/>
          <w:color w:val="000000"/>
          <w:sz w:val="21"/>
          <w:szCs w:val="21"/>
          <w:lang w:val="en-US" w:eastAsia="zh-CN" w:bidi="ar-SA"/>
        </w:rPr>
        <w:t>3年11月29日09点30分（北京</w:t>
      </w:r>
      <w:r>
        <w:rPr>
          <w:rFonts w:hint="eastAsia" w:ascii="宋体" w:cs="宋体"/>
          <w:color w:val="000000"/>
          <w:sz w:val="21"/>
          <w:szCs w:val="21"/>
          <w:shd w:val="clear" w:color="auto" w:fill="FFFFFF"/>
        </w:rPr>
        <w:t>时间）</w:t>
      </w:r>
    </w:p>
    <w:p>
      <w:pPr>
        <w:pStyle w:val="41"/>
        <w:spacing w:before="0" w:beforeAutospacing="0" w:after="0" w:afterAutospacing="0" w:line="500" w:lineRule="exact"/>
        <w:rPr>
          <w:rFonts w:ascii="宋体" w:cs="宋体"/>
          <w:color w:val="000000"/>
          <w:sz w:val="21"/>
          <w:szCs w:val="21"/>
        </w:rPr>
      </w:pPr>
      <w:r>
        <w:rPr>
          <w:rFonts w:hint="eastAsia" w:ascii="宋体" w:cs="宋体"/>
          <w:color w:val="000000"/>
          <w:sz w:val="21"/>
          <w:szCs w:val="21"/>
          <w:shd w:val="clear" w:color="auto" w:fill="FFFFFF"/>
        </w:rPr>
        <w:t>    开标地点（网址）：</w:t>
      </w:r>
      <w:r>
        <w:rPr>
          <w:rFonts w:hint="eastAsia" w:ascii="宋体" w:cs="宋体"/>
          <w:color w:val="000000"/>
          <w:sz w:val="21"/>
          <w:szCs w:val="21"/>
        </w:rPr>
        <w:t>金华市双龙南街858号金华财富</w:t>
      </w:r>
      <w:r>
        <w:rPr>
          <w:rFonts w:hint="eastAsia" w:ascii="宋体" w:cs="宋体"/>
          <w:color w:val="000000" w:themeColor="text1"/>
          <w:sz w:val="21"/>
          <w:szCs w:val="21"/>
        </w:rPr>
        <w:t>大厦（金华市行政服务中心新办事大厅4楼开标室），本项目</w:t>
      </w:r>
      <w:r>
        <w:rPr>
          <w:rFonts w:hint="eastAsia" w:ascii="宋体" w:cs="宋体"/>
          <w:color w:val="000000" w:themeColor="text1"/>
          <w:sz w:val="21"/>
          <w:szCs w:val="21"/>
          <w:shd w:val="clear" w:color="auto" w:fill="FFFFFF"/>
        </w:rPr>
        <w:t>通过浙江政府采购网政府采</w:t>
      </w:r>
      <w:r>
        <w:rPr>
          <w:rFonts w:hint="eastAsia" w:ascii="宋体" w:cs="宋体"/>
          <w:color w:val="000000" w:themeColor="text1"/>
          <w:sz w:val="21"/>
          <w:szCs w:val="21"/>
        </w:rPr>
        <w:t>购云平台在线开标，</w:t>
      </w:r>
      <w:r>
        <w:rPr>
          <w:rStyle w:val="48"/>
          <w:rFonts w:hint="eastAsia" w:ascii="宋体" w:hAnsi="宋体" w:cs="宋体"/>
          <w:b w:val="0"/>
          <w:color w:val="000000" w:themeColor="text1"/>
          <w:sz w:val="21"/>
          <w:szCs w:val="21"/>
        </w:rPr>
        <w:t>供应商无需到开标现场，但须准时在线参加，</w:t>
      </w:r>
      <w:r>
        <w:rPr>
          <w:rStyle w:val="48"/>
          <w:rFonts w:hint="eastAsia" w:ascii="宋体" w:hAnsi="宋体" w:cs="宋体"/>
          <w:b w:val="0"/>
          <w:bCs w:val="0"/>
          <w:color w:val="000000" w:themeColor="text1"/>
          <w:sz w:val="21"/>
          <w:szCs w:val="21"/>
        </w:rPr>
        <w:t>直至评审结束。</w:t>
      </w:r>
      <w:r>
        <w:rPr>
          <w:rFonts w:hint="eastAsia" w:ascii="宋体" w:cs="宋体"/>
          <w:color w:val="000000" w:themeColor="text1"/>
          <w:sz w:val="21"/>
          <w:szCs w:val="21"/>
        </w:rPr>
        <w:t>开标截止时间后30分钟以内供应商</w:t>
      </w:r>
      <w:r>
        <w:rPr>
          <w:rFonts w:hint="eastAsia" w:ascii="宋体" w:cs="宋体"/>
          <w:color w:val="000000"/>
          <w:sz w:val="21"/>
          <w:szCs w:val="21"/>
        </w:rPr>
        <w:t>登录“政采云”平台，用“项目采购-开标评标”功能进行解密投标文件。若供应商在规定时间内投标文件无法解密或解密失败（含未提交），则投标无效。</w:t>
      </w:r>
    </w:p>
    <w:p>
      <w:pPr>
        <w:pStyle w:val="41"/>
        <w:numPr>
          <w:ilvl w:val="0"/>
          <w:numId w:val="1"/>
        </w:numPr>
        <w:spacing w:before="0" w:beforeAutospacing="0" w:after="0" w:afterAutospacing="0" w:line="500" w:lineRule="exact"/>
        <w:ind w:firstLine="422" w:firstLineChars="200"/>
        <w:jc w:val="both"/>
        <w:rPr>
          <w:rStyle w:val="48"/>
          <w:rFonts w:ascii="宋体" w:hAnsi="宋体" w:cs="宋体"/>
          <w:color w:val="000000"/>
          <w:sz w:val="21"/>
          <w:szCs w:val="21"/>
          <w:shd w:val="clear" w:color="auto" w:fill="FFFFFF"/>
        </w:rPr>
      </w:pPr>
      <w:bookmarkStart w:id="33" w:name="_Toc35393794"/>
      <w:bookmarkStart w:id="34" w:name="_Toc28359007"/>
      <w:bookmarkStart w:id="35" w:name="_Toc28359084"/>
      <w:bookmarkStart w:id="36" w:name="_Toc35393625"/>
      <w:r>
        <w:rPr>
          <w:rStyle w:val="48"/>
          <w:rFonts w:hint="eastAsia" w:ascii="宋体" w:hAnsi="宋体" w:cs="宋体"/>
          <w:color w:val="000000"/>
          <w:sz w:val="21"/>
          <w:szCs w:val="21"/>
          <w:shd w:val="clear" w:color="auto" w:fill="FFFFFF"/>
        </w:rPr>
        <w:t>公告期限</w:t>
      </w:r>
    </w:p>
    <w:p>
      <w:pPr>
        <w:tabs>
          <w:tab w:val="left" w:pos="1260"/>
        </w:tabs>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自本公告发布之日起5个工作日。</w:t>
      </w:r>
    </w:p>
    <w:p>
      <w:pPr>
        <w:tabs>
          <w:tab w:val="left" w:pos="1260"/>
        </w:tabs>
        <w:autoSpaceDE/>
        <w:autoSpaceDN/>
        <w:adjustRightInd/>
        <w:spacing w:line="500" w:lineRule="exact"/>
        <w:ind w:firstLine="422" w:firstLineChars="200"/>
        <w:jc w:val="both"/>
        <w:rPr>
          <w:rFonts w:hAnsi="宋体" w:cs="宋体"/>
          <w:color w:val="000000"/>
        </w:rPr>
      </w:pPr>
      <w:r>
        <w:rPr>
          <w:rFonts w:hint="eastAsia" w:hAnsi="宋体" w:cs="宋体"/>
          <w:b/>
          <w:color w:val="000000"/>
          <w:sz w:val="21"/>
          <w:szCs w:val="21"/>
        </w:rPr>
        <w:t>六、公告地址：</w:t>
      </w:r>
      <w:r>
        <w:rPr>
          <w:rFonts w:hint="eastAsia" w:hAnsi="宋体" w:cs="宋体"/>
          <w:color w:val="000000"/>
          <w:sz w:val="21"/>
          <w:szCs w:val="21"/>
        </w:rPr>
        <w:t>浙江政府采购网(http://zfcg.czt.zj.gov.cn/)。</w:t>
      </w:r>
    </w:p>
    <w:p>
      <w:pPr>
        <w:tabs>
          <w:tab w:val="left" w:pos="1260"/>
        </w:tabs>
        <w:autoSpaceDE/>
        <w:autoSpaceDN/>
        <w:adjustRightInd/>
        <w:snapToGrid w:val="0"/>
        <w:spacing w:line="500" w:lineRule="exact"/>
        <w:ind w:firstLine="422" w:firstLineChars="200"/>
        <w:jc w:val="both"/>
        <w:rPr>
          <w:rFonts w:hAnsi="宋体" w:cs="宋体"/>
          <w:color w:val="000000"/>
          <w:sz w:val="21"/>
          <w:szCs w:val="21"/>
        </w:rPr>
      </w:pPr>
      <w:r>
        <w:rPr>
          <w:rFonts w:hint="eastAsia" w:hAnsi="宋体" w:cs="宋体"/>
          <w:b/>
          <w:color w:val="000000"/>
          <w:sz w:val="21"/>
          <w:szCs w:val="21"/>
        </w:rPr>
        <w:t>七、其他补充事宜</w:t>
      </w:r>
    </w:p>
    <w:p>
      <w:pPr>
        <w:tabs>
          <w:tab w:val="left" w:pos="1260"/>
        </w:tabs>
        <w:adjustRightInd/>
        <w:spacing w:line="500" w:lineRule="exact"/>
        <w:ind w:firstLine="420" w:firstLineChars="200"/>
        <w:rPr>
          <w:rFonts w:hAnsi="宋体" w:cs="宋体"/>
          <w:bCs/>
          <w:color w:val="000000"/>
          <w:sz w:val="21"/>
          <w:szCs w:val="21"/>
        </w:rPr>
      </w:pPr>
      <w:r>
        <w:rPr>
          <w:rFonts w:hint="eastAsia" w:hAnsi="宋体" w:cs="宋体"/>
          <w:bCs/>
          <w:color w:val="000000"/>
          <w:sz w:val="21"/>
          <w:szCs w:val="21"/>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tabs>
          <w:tab w:val="left" w:pos="1260"/>
        </w:tabs>
        <w:autoSpaceDE/>
        <w:autoSpaceDN/>
        <w:adjustRightInd/>
        <w:spacing w:line="500" w:lineRule="exact"/>
        <w:ind w:firstLine="420" w:firstLineChars="200"/>
        <w:rPr>
          <w:rFonts w:hAnsi="宋体" w:cs="宋体"/>
          <w:bCs/>
          <w:color w:val="000000"/>
          <w:sz w:val="21"/>
          <w:szCs w:val="21"/>
        </w:rPr>
      </w:pPr>
      <w:r>
        <w:rPr>
          <w:rFonts w:hint="eastAsia" w:hAnsi="宋体" w:cs="宋体"/>
          <w:bCs/>
          <w:color w:val="000000"/>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tabs>
          <w:tab w:val="left" w:pos="1260"/>
        </w:tabs>
        <w:autoSpaceDE/>
        <w:autoSpaceDN/>
        <w:adjustRightInd/>
        <w:spacing w:line="500" w:lineRule="exact"/>
        <w:ind w:firstLine="420"/>
        <w:jc w:val="both"/>
        <w:rPr>
          <w:rFonts w:hAnsi="宋体" w:cs="宋体"/>
          <w:color w:val="000000"/>
        </w:rPr>
      </w:pPr>
      <w:r>
        <w:rPr>
          <w:rFonts w:hint="eastAsia" w:hAnsi="宋体" w:cs="宋体"/>
          <w:bCs/>
          <w:color w:val="000000"/>
          <w:sz w:val="21"/>
          <w:szCs w:val="21"/>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应在法定质疑期内一次性提出针对同一采购程序环节的质疑。</w:t>
      </w:r>
    </w:p>
    <w:p>
      <w:pPr>
        <w:widowControl/>
        <w:tabs>
          <w:tab w:val="left" w:pos="1260"/>
        </w:tabs>
        <w:autoSpaceDE/>
        <w:autoSpaceDN/>
        <w:adjustRightInd/>
        <w:spacing w:line="500" w:lineRule="exact"/>
        <w:ind w:firstLine="420"/>
        <w:jc w:val="both"/>
        <w:rPr>
          <w:rFonts w:hAnsi="宋体" w:cs="宋体"/>
          <w:bCs/>
          <w:color w:val="000000"/>
          <w:sz w:val="21"/>
          <w:szCs w:val="21"/>
        </w:rPr>
      </w:pPr>
      <w:r>
        <w:rPr>
          <w:rFonts w:hint="eastAsia" w:hAnsi="宋体" w:cs="宋体"/>
          <w:bCs/>
          <w:color w:val="000000"/>
          <w:sz w:val="21"/>
          <w:szCs w:val="21"/>
        </w:rPr>
        <w:t>4.其他事项：见招标文件。 </w:t>
      </w:r>
    </w:p>
    <w:p>
      <w:pPr>
        <w:widowControl/>
        <w:tabs>
          <w:tab w:val="left" w:pos="1260"/>
        </w:tabs>
        <w:autoSpaceDE/>
        <w:autoSpaceDN/>
        <w:adjustRightInd/>
        <w:spacing w:line="500" w:lineRule="exact"/>
        <w:ind w:firstLine="420"/>
        <w:jc w:val="both"/>
        <w:rPr>
          <w:rFonts w:hAnsi="宋体" w:cs="宋体"/>
          <w:bCs/>
          <w:color w:val="000000"/>
          <w:sz w:val="21"/>
          <w:szCs w:val="21"/>
        </w:rPr>
      </w:pPr>
      <w:r>
        <w:rPr>
          <w:rFonts w:hint="eastAsia" w:hAnsi="宋体" w:cs="宋体"/>
          <w:bCs/>
          <w:color w:val="000000"/>
          <w:sz w:val="21"/>
          <w:szCs w:val="21"/>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https://zfcg. czt.zj. gov.cn/)的中小企业信用融资栏目了解相关信息。供应商可以通过浙江政府采购网(https://zfcg. czt.zj. gov.cn/)首页的“政采云金融服务”模块进入申请，还可以通过政府采购云平台(https://www.zcygov.cn/)首页的“金融服务”模块进入申请。</w:t>
      </w:r>
    </w:p>
    <w:p>
      <w:pPr>
        <w:widowControl/>
        <w:tabs>
          <w:tab w:val="left" w:pos="1260"/>
        </w:tabs>
        <w:autoSpaceDE/>
        <w:autoSpaceDN/>
        <w:adjustRightInd/>
        <w:spacing w:line="500" w:lineRule="exact"/>
        <w:ind w:firstLine="420"/>
        <w:jc w:val="both"/>
        <w:rPr>
          <w:rFonts w:hAnsi="宋体" w:cs="宋体"/>
          <w:bCs/>
          <w:color w:val="000000"/>
          <w:sz w:val="21"/>
          <w:szCs w:val="21"/>
        </w:rPr>
      </w:pPr>
      <w:r>
        <w:rPr>
          <w:rFonts w:hint="eastAsia" w:hAnsi="宋体" w:cs="宋体"/>
          <w:bCs/>
          <w:color w:val="000000"/>
          <w:sz w:val="21"/>
          <w:szCs w:val="21"/>
        </w:rPr>
        <w:t>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widowControl/>
        <w:tabs>
          <w:tab w:val="left" w:pos="1260"/>
        </w:tabs>
        <w:autoSpaceDE/>
        <w:autoSpaceDN/>
        <w:adjustRightInd/>
        <w:spacing w:line="500" w:lineRule="exact"/>
        <w:ind w:firstLine="420"/>
        <w:jc w:val="both"/>
        <w:rPr>
          <w:rFonts w:hAnsi="宋体" w:cs="宋体"/>
          <w:b/>
          <w:color w:val="000000"/>
          <w:sz w:val="21"/>
          <w:szCs w:val="21"/>
        </w:rPr>
      </w:pPr>
      <w:r>
        <w:rPr>
          <w:rFonts w:hint="eastAsia" w:hAnsi="宋体" w:cs="宋体"/>
          <w:b/>
          <w:color w:val="000000"/>
          <w:sz w:val="21"/>
          <w:szCs w:val="21"/>
        </w:rPr>
        <w:t>政府采购金融服务提示：</w:t>
      </w:r>
    </w:p>
    <w:p>
      <w:pPr>
        <w:spacing w:line="540" w:lineRule="exact"/>
        <w:ind w:firstLine="420" w:firstLineChars="200"/>
        <w:rPr>
          <w:rFonts w:hAnsi="宋体" w:cs="宋体"/>
          <w:color w:val="000000"/>
          <w:sz w:val="21"/>
          <w:szCs w:val="21"/>
        </w:rPr>
      </w:pPr>
      <w:r>
        <w:rPr>
          <w:rFonts w:hint="eastAsia" w:hAnsi="宋体" w:cs="宋体"/>
          <w:color w:val="000000"/>
          <w:sz w:val="21"/>
          <w:szCs w:val="21"/>
        </w:rPr>
        <w:t>为扩大政府采购金融服务面，除政采云网上金融服务合作银行外，金华市范围增加线下合作银行两家，具体信息如下：</w:t>
      </w:r>
    </w:p>
    <w:p>
      <w:pPr>
        <w:spacing w:line="540" w:lineRule="exact"/>
        <w:ind w:firstLine="420" w:firstLineChars="200"/>
        <w:rPr>
          <w:rFonts w:hAnsi="宋体" w:cs="宋体"/>
          <w:color w:val="000000"/>
          <w:sz w:val="21"/>
          <w:szCs w:val="21"/>
        </w:rPr>
      </w:pPr>
      <w:r>
        <w:rPr>
          <w:rFonts w:hint="eastAsia" w:hAnsi="宋体" w:cs="宋体"/>
          <w:color w:val="000000"/>
          <w:sz w:val="21"/>
          <w:szCs w:val="21"/>
        </w:rPr>
        <w:t>金华银行文创支行    联系人：  姜峰       联系电话：13905792828      0579-82479020</w:t>
      </w:r>
    </w:p>
    <w:p>
      <w:pPr>
        <w:spacing w:line="540" w:lineRule="exact"/>
        <w:ind w:firstLine="420" w:firstLineChars="200"/>
        <w:rPr>
          <w:rFonts w:hAnsi="宋体" w:cs="宋体"/>
          <w:color w:val="000000"/>
          <w:sz w:val="21"/>
          <w:szCs w:val="21"/>
        </w:rPr>
      </w:pPr>
      <w:r>
        <w:rPr>
          <w:rFonts w:hint="eastAsia" w:hAnsi="宋体" w:cs="宋体"/>
          <w:color w:val="000000"/>
          <w:sz w:val="21"/>
          <w:szCs w:val="21"/>
        </w:rPr>
        <w:t>浙商银行金华分行    联系人：  朱晨祥     联系电话： 15857978811     0579-82999581</w:t>
      </w:r>
    </w:p>
    <w:p>
      <w:pPr>
        <w:pStyle w:val="41"/>
        <w:spacing w:before="0" w:beforeAutospacing="0" w:after="0" w:afterAutospacing="0" w:line="500" w:lineRule="exact"/>
        <w:ind w:firstLine="422" w:firstLineChars="200"/>
        <w:rPr>
          <w:rFonts w:ascii="宋体" w:cs="宋体"/>
          <w:color w:val="000000"/>
          <w:sz w:val="21"/>
          <w:szCs w:val="21"/>
        </w:rPr>
      </w:pPr>
      <w:r>
        <w:rPr>
          <w:rStyle w:val="48"/>
          <w:rFonts w:hint="eastAsia" w:ascii="宋体" w:hAnsi="宋体" w:cs="宋体"/>
          <w:color w:val="000000"/>
          <w:sz w:val="21"/>
          <w:szCs w:val="21"/>
          <w:shd w:val="clear" w:color="auto" w:fill="FFFFFF"/>
        </w:rPr>
        <w:t>八、电子投标事项特别说明</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1.本项目实行电子投标，投标供应商应按照本项目采购文件和政采云平台的要求编制、加密并递交响应文件。供应商在使用系统进行投标的过程中遇到涉及平台使用的任何问题，可致电政采云平台技术支持热线咨询，联系方式：400-881-7190。</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2.投标人应在开标前完成 CA 数字证书办理。（办理流程详见http://zfcg.czt.zj.gov.cn/bidClientTemplate/2019-05-27/12945.html）。完成 CA 数字证书办理预计一周左右，建议各投标人抓紧时间办理。</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3.投标人通过政采云平台“电子交易客户端”制作响应文件，电子投标工具请供应商自行前往浙江省政府采购网下载并安装，（下载网址： http://zfcg.czt.zj.gov.cn/bidClientTemplate/2019-05-27/12946.html）。</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4.投标人将加密的电子版响应文件于投标截止时间前上传到政采云系统中。</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5.具体的响应文件加密上传等操作详见政采云平台操作指南。https://edu.zcygov.cn/luban/e-biding?utm=a0004.2ef5001f.0001.0109.da8b35e0da8611e98d8937b7ef8a3544 。</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注：建议使用谷歌浏览器，使用其他浏览器可能发生无法解密等未知情况。</w:t>
      </w:r>
    </w:p>
    <w:p>
      <w:pPr>
        <w:pStyle w:val="41"/>
        <w:spacing w:before="0" w:beforeAutospacing="0" w:after="0" w:afterAutospacing="0" w:line="500" w:lineRule="exact"/>
        <w:ind w:firstLine="420" w:firstLineChars="200"/>
        <w:rPr>
          <w:rFonts w:ascii="宋体" w:cs="宋体"/>
          <w:color w:val="000000"/>
          <w:sz w:val="21"/>
          <w:szCs w:val="21"/>
        </w:rPr>
      </w:pPr>
      <w:r>
        <w:rPr>
          <w:rFonts w:hint="eastAsia" w:ascii="宋体" w:cs="宋体"/>
          <w:color w:val="000000"/>
          <w:sz w:val="21"/>
          <w:szCs w:val="21"/>
          <w:shd w:val="clear" w:color="auto" w:fill="FFFFFF"/>
        </w:rPr>
        <w:t>6.投标人应当在投标截止时间前完成电子响应文件的传输递交，并可以补充、修改或者撤回电子响应文件。补充或者修改电子响应文件的，应当先行撤回原文件，补充、修改后重新传输递交。投标截止时间前未完成传输的，视为撤回响应文件。投标、响应截止时间后送达的投标、响应文件，将被政采云平台拒收。</w:t>
      </w:r>
      <w:bookmarkEnd w:id="33"/>
      <w:bookmarkEnd w:id="34"/>
      <w:bookmarkEnd w:id="35"/>
      <w:bookmarkEnd w:id="36"/>
    </w:p>
    <w:p>
      <w:pPr>
        <w:tabs>
          <w:tab w:val="left" w:pos="1260"/>
        </w:tabs>
        <w:autoSpaceDE/>
        <w:autoSpaceDN/>
        <w:adjustRightInd/>
        <w:snapToGrid w:val="0"/>
        <w:spacing w:line="500" w:lineRule="exact"/>
        <w:ind w:firstLine="316" w:firstLineChars="150"/>
        <w:jc w:val="both"/>
        <w:rPr>
          <w:rFonts w:hAnsi="宋体" w:cs="宋体"/>
          <w:b/>
          <w:color w:val="000000"/>
          <w:sz w:val="21"/>
          <w:szCs w:val="21"/>
        </w:rPr>
      </w:pPr>
      <w:r>
        <w:rPr>
          <w:rFonts w:hint="eastAsia" w:hAnsi="宋体" w:cs="宋体"/>
          <w:b/>
          <w:color w:val="000000"/>
          <w:sz w:val="21"/>
          <w:szCs w:val="21"/>
        </w:rPr>
        <w:t>九、对本次招标提出询问，请按以下方式联系。</w:t>
      </w:r>
      <w:bookmarkEnd w:id="25"/>
      <w:bookmarkEnd w:id="26"/>
      <w:bookmarkEnd w:id="27"/>
      <w:bookmarkEnd w:id="28"/>
    </w:p>
    <w:p>
      <w:pPr>
        <w:tabs>
          <w:tab w:val="left" w:pos="1260"/>
        </w:tabs>
        <w:autoSpaceDE/>
        <w:autoSpaceDN/>
        <w:adjustRightInd/>
        <w:snapToGrid w:val="0"/>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1.采购单位信息</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名 称：金华市婺城区自然资源和规划事务服务中心、金华市自然资源和规划局金华经济技术开发区分局、金华市金东区土地储备中心（金华市金东区自然资源和规划事务服务中心）、金华双龙风景旅游区管理委员会　　</w:t>
      </w:r>
    </w:p>
    <w:p>
      <w:pPr>
        <w:pStyle w:val="41"/>
        <w:spacing w:before="0" w:beforeAutospacing="0" w:after="0" w:afterAutospacing="0" w:line="500" w:lineRule="exact"/>
        <w:ind w:firstLine="420" w:firstLineChars="200"/>
        <w:rPr>
          <w:rFonts w:ascii="宋体" w:cs="宋体"/>
          <w:sz w:val="21"/>
          <w:szCs w:val="21"/>
        </w:rPr>
      </w:pPr>
      <w:r>
        <w:rPr>
          <w:rFonts w:hint="eastAsia" w:ascii="宋体" w:cs="宋体"/>
          <w:sz w:val="21"/>
          <w:szCs w:val="21"/>
        </w:rPr>
        <w:t>联系人：盛女士   联系电话：0579-82069023</w:t>
      </w:r>
    </w:p>
    <w:p>
      <w:pPr>
        <w:tabs>
          <w:tab w:val="left" w:pos="1260"/>
        </w:tabs>
        <w:autoSpaceDE/>
        <w:autoSpaceDN/>
        <w:snapToGrid w:val="0"/>
        <w:spacing w:line="500" w:lineRule="exact"/>
        <w:ind w:firstLine="420" w:firstLineChars="200"/>
        <w:rPr>
          <w:rFonts w:hAnsi="宋体" w:cs="宋体"/>
          <w:sz w:val="21"/>
          <w:szCs w:val="21"/>
        </w:rPr>
      </w:pPr>
      <w:r>
        <w:rPr>
          <w:rFonts w:hint="eastAsia" w:hAnsi="宋体" w:cs="宋体"/>
          <w:sz w:val="21"/>
          <w:szCs w:val="21"/>
        </w:rPr>
        <w:t>质疑联系人（询问）：龚先生        质疑联系方式（询问）：0579-82069061</w:t>
      </w:r>
    </w:p>
    <w:p>
      <w:pPr>
        <w:tabs>
          <w:tab w:val="left" w:pos="1260"/>
        </w:tabs>
        <w:autoSpaceDE/>
        <w:autoSpaceDN/>
        <w:snapToGrid w:val="0"/>
        <w:spacing w:line="500" w:lineRule="exact"/>
        <w:ind w:firstLine="420" w:firstLineChars="200"/>
        <w:jc w:val="both"/>
        <w:rPr>
          <w:rFonts w:hAnsi="宋体" w:cs="宋体"/>
          <w:sz w:val="21"/>
          <w:szCs w:val="21"/>
        </w:rPr>
      </w:pPr>
      <w:r>
        <w:rPr>
          <w:rFonts w:hint="eastAsia" w:hAnsi="宋体" w:cs="宋体"/>
          <w:sz w:val="21"/>
          <w:szCs w:val="21"/>
        </w:rPr>
        <w:t>地址： 金华市双龙南街818号14楼</w:t>
      </w:r>
    </w:p>
    <w:p>
      <w:pPr>
        <w:tabs>
          <w:tab w:val="left" w:pos="1260"/>
        </w:tabs>
        <w:autoSpaceDE/>
        <w:autoSpaceDN/>
        <w:adjustRightInd/>
        <w:snapToGrid w:val="0"/>
        <w:spacing w:line="500" w:lineRule="exact"/>
        <w:ind w:firstLine="422" w:firstLineChars="200"/>
        <w:jc w:val="both"/>
        <w:rPr>
          <w:rFonts w:hAnsi="宋体" w:cs="宋体"/>
          <w:b/>
          <w:sz w:val="21"/>
          <w:szCs w:val="21"/>
        </w:rPr>
      </w:pPr>
      <w:r>
        <w:rPr>
          <w:rFonts w:hint="eastAsia" w:hAnsi="宋体" w:cs="宋体"/>
          <w:b/>
          <w:sz w:val="21"/>
          <w:szCs w:val="21"/>
        </w:rPr>
        <w:t>2.采购代理机构信息</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 xml:space="preserve">名称：金华市天盈招标代理有限公司 　　　　　　　　　　 </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地址：金华市创新街18号南楼四楼 　   </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传真：0579-82460882   　</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项目联系人（询问）：于玲琍　    项目联系方式（询问）：0579-82162067</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质疑联系人（询问）：夏翰宇　    质疑联系方式（询问）：0579-82474058 </w:t>
      </w:r>
    </w:p>
    <w:p>
      <w:pPr>
        <w:tabs>
          <w:tab w:val="left" w:pos="1260"/>
        </w:tabs>
        <w:autoSpaceDE/>
        <w:autoSpaceDN/>
        <w:adjustRightInd/>
        <w:snapToGrid w:val="0"/>
        <w:spacing w:line="500" w:lineRule="exact"/>
        <w:ind w:firstLine="422" w:firstLineChars="200"/>
        <w:jc w:val="both"/>
        <w:rPr>
          <w:rFonts w:hAnsi="宋体" w:cs="宋体"/>
          <w:b/>
          <w:color w:val="000000" w:themeColor="text1"/>
          <w:sz w:val="21"/>
          <w:szCs w:val="21"/>
        </w:rPr>
      </w:pPr>
      <w:r>
        <w:rPr>
          <w:rFonts w:hint="eastAsia" w:hAnsi="宋体" w:cs="宋体"/>
          <w:b/>
          <w:color w:val="000000" w:themeColor="text1"/>
          <w:sz w:val="21"/>
          <w:szCs w:val="21"/>
        </w:rPr>
        <w:t>3.同级政府采购监督管理部门</w:t>
      </w:r>
    </w:p>
    <w:p>
      <w:pPr>
        <w:pStyle w:val="41"/>
        <w:widowControl w:val="0"/>
        <w:adjustRightInd w:val="0"/>
        <w:snapToGrid w:val="0"/>
        <w:spacing w:before="0" w:beforeAutospacing="0" w:after="0" w:afterAutospacing="0" w:line="500" w:lineRule="exact"/>
        <w:ind w:firstLine="420" w:firstLineChars="200"/>
        <w:rPr>
          <w:rFonts w:ascii="宋体" w:cs="宋体"/>
          <w:color w:val="000000" w:themeColor="text1"/>
          <w:sz w:val="21"/>
          <w:szCs w:val="21"/>
          <w:shd w:val="clear" w:color="auto" w:fill="FFFFFF"/>
        </w:rPr>
      </w:pPr>
      <w:r>
        <w:rPr>
          <w:rFonts w:hint="eastAsia" w:ascii="宋体" w:cs="宋体"/>
          <w:color w:val="000000" w:themeColor="text1"/>
          <w:sz w:val="21"/>
          <w:szCs w:val="21"/>
          <w:shd w:val="clear" w:color="auto" w:fill="FFFFFF"/>
        </w:rPr>
        <w:t>名称：金华市财政局政府采购监管处　　　　　　　　　　　</w:t>
      </w:r>
    </w:p>
    <w:p>
      <w:pPr>
        <w:pStyle w:val="41"/>
        <w:widowControl w:val="0"/>
        <w:adjustRightInd w:val="0"/>
        <w:snapToGrid w:val="0"/>
        <w:spacing w:before="0" w:beforeAutospacing="0" w:after="0" w:afterAutospacing="0" w:line="500" w:lineRule="exact"/>
        <w:ind w:firstLine="420" w:firstLineChars="200"/>
        <w:rPr>
          <w:rFonts w:ascii="宋体" w:cs="宋体"/>
          <w:color w:val="000000" w:themeColor="text1"/>
          <w:sz w:val="21"/>
          <w:szCs w:val="21"/>
          <w:shd w:val="clear" w:color="auto" w:fill="FFFFFF"/>
        </w:rPr>
      </w:pPr>
      <w:r>
        <w:rPr>
          <w:rFonts w:hint="eastAsia" w:ascii="宋体" w:cs="宋体"/>
          <w:color w:val="000000" w:themeColor="text1"/>
          <w:sz w:val="21"/>
          <w:szCs w:val="21"/>
          <w:shd w:val="clear" w:color="auto" w:fill="FFFFFF"/>
        </w:rPr>
        <w:t>地址：金华市双龙南街801号 　　　　　　　　　　　 　   </w:t>
      </w:r>
    </w:p>
    <w:p>
      <w:pPr>
        <w:pStyle w:val="41"/>
        <w:widowControl w:val="0"/>
        <w:adjustRightInd w:val="0"/>
        <w:snapToGrid w:val="0"/>
        <w:spacing w:before="0" w:beforeAutospacing="0" w:after="0" w:afterAutospacing="0" w:line="500" w:lineRule="exact"/>
        <w:ind w:firstLine="420" w:firstLineChars="200"/>
        <w:rPr>
          <w:rFonts w:ascii="宋体" w:cs="宋体"/>
          <w:color w:val="000000" w:themeColor="text1"/>
          <w:sz w:val="21"/>
          <w:szCs w:val="21"/>
          <w:shd w:val="clear" w:color="auto" w:fill="FFFFFF"/>
        </w:rPr>
      </w:pPr>
      <w:r>
        <w:rPr>
          <w:rFonts w:hint="eastAsia" w:ascii="宋体" w:cs="宋体"/>
          <w:color w:val="000000" w:themeColor="text1"/>
          <w:sz w:val="21"/>
          <w:szCs w:val="21"/>
          <w:shd w:val="clear" w:color="auto" w:fill="FFFFFF"/>
        </w:rPr>
        <w:t>联系人 ：徐女士　　　　　　　　　　　</w:t>
      </w:r>
    </w:p>
    <w:p>
      <w:pPr>
        <w:tabs>
          <w:tab w:val="left" w:pos="1260"/>
        </w:tabs>
        <w:autoSpaceDE/>
        <w:autoSpaceDN/>
        <w:snapToGrid w:val="0"/>
        <w:spacing w:line="500" w:lineRule="exact"/>
        <w:ind w:firstLine="420" w:firstLineChars="200"/>
        <w:rPr>
          <w:rFonts w:hAnsi="宋体" w:cs="宋体"/>
          <w:color w:val="000000" w:themeColor="text1"/>
          <w:sz w:val="21"/>
          <w:szCs w:val="21"/>
        </w:rPr>
      </w:pPr>
      <w:r>
        <w:rPr>
          <w:rFonts w:hint="eastAsia" w:cs="宋体"/>
          <w:color w:val="000000" w:themeColor="text1"/>
          <w:sz w:val="21"/>
          <w:szCs w:val="21"/>
          <w:shd w:val="clear" w:color="auto" w:fill="FFFFFF"/>
        </w:rPr>
        <w:t>监督投诉电话：0579-82468735</w:t>
      </w:r>
    </w:p>
    <w:p>
      <w:pPr>
        <w:pStyle w:val="44"/>
        <w:ind w:left="0" w:leftChars="0" w:firstLineChars="200"/>
        <w:rPr>
          <w:rFonts w:ascii="宋体" w:hAnsi="宋体" w:cs="宋体"/>
          <w:color w:val="000000"/>
        </w:rPr>
      </w:pPr>
      <w:r>
        <w:rPr>
          <w:rFonts w:hint="eastAsia" w:ascii="宋体" w:cs="宋体"/>
          <w:color w:val="000000"/>
          <w:sz w:val="21"/>
          <w:szCs w:val="21"/>
          <w:shd w:val="clear" w:color="auto" w:fill="FFFFFF"/>
        </w:rPr>
        <w:t>　</w:t>
      </w:r>
      <w:r>
        <w:rPr>
          <w:rFonts w:hint="eastAsia" w:ascii="宋体" w:hAnsi="宋体" w:cs="宋体"/>
          <w:color w:val="000000"/>
        </w:rPr>
        <w:br w:type="page"/>
      </w:r>
    </w:p>
    <w:bookmarkEnd w:id="10"/>
    <w:bookmarkEnd w:id="11"/>
    <w:bookmarkEnd w:id="12"/>
    <w:bookmarkEnd w:id="13"/>
    <w:p>
      <w:pPr>
        <w:pStyle w:val="3"/>
        <w:spacing w:line="360" w:lineRule="auto"/>
        <w:jc w:val="center"/>
        <w:rPr>
          <w:rFonts w:ascii="宋体" w:hAnsi="宋体" w:cs="宋体"/>
          <w:color w:val="000000" w:themeColor="text1"/>
          <w:sz w:val="30"/>
          <w:szCs w:val="30"/>
        </w:rPr>
      </w:pPr>
      <w:bookmarkStart w:id="37" w:name="_Toc351559941"/>
      <w:r>
        <w:rPr>
          <w:rFonts w:hint="eastAsia" w:ascii="宋体" w:hAnsi="宋体" w:cs="宋体"/>
          <w:color w:val="000000" w:themeColor="text1"/>
          <w:sz w:val="30"/>
          <w:szCs w:val="30"/>
        </w:rPr>
        <w:t>第二章  招标需求</w:t>
      </w:r>
      <w:bookmarkEnd w:id="37"/>
    </w:p>
    <w:p>
      <w:pPr>
        <w:pStyle w:val="2"/>
        <w:spacing w:before="0" w:after="0" w:line="500" w:lineRule="exact"/>
        <w:ind w:firstLine="422" w:firstLineChars="200"/>
        <w:jc w:val="both"/>
        <w:rPr>
          <w:rFonts w:ascii="宋体" w:hAnsi="宋体" w:eastAsia="宋体" w:cs="宋体"/>
          <w:color w:val="000000" w:themeColor="text1"/>
          <w:sz w:val="21"/>
          <w:szCs w:val="21"/>
        </w:rPr>
      </w:pPr>
      <w:bookmarkStart w:id="38" w:name="_Toc25588"/>
      <w:bookmarkStart w:id="39" w:name="_Toc487792301"/>
      <w:bookmarkStart w:id="40" w:name="_Toc487792261"/>
      <w:bookmarkStart w:id="41" w:name="_Toc32525"/>
      <w:bookmarkStart w:id="42" w:name="_Toc16467"/>
      <w:bookmarkStart w:id="43" w:name="_Toc351559942"/>
      <w:r>
        <w:rPr>
          <w:rFonts w:hint="eastAsia" w:ascii="宋体" w:hAnsi="宋体" w:eastAsia="宋体" w:cs="宋体"/>
          <w:color w:val="000000" w:themeColor="text1"/>
          <w:sz w:val="21"/>
          <w:szCs w:val="21"/>
        </w:rPr>
        <w:t>一、采购内容摘要</w:t>
      </w:r>
    </w:p>
    <w:tbl>
      <w:tblPr>
        <w:tblStyle w:val="45"/>
        <w:tblpPr w:leftFromText="180" w:rightFromText="180" w:vertAnchor="text" w:horzAnchor="page" w:tblpX="1269" w:tblpY="266"/>
        <w:tblOverlap w:val="never"/>
        <w:tblW w:w="9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
        <w:gridCol w:w="2606"/>
        <w:gridCol w:w="1476"/>
        <w:gridCol w:w="2800"/>
        <w:gridCol w:w="757"/>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348"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序号</w:t>
            </w:r>
          </w:p>
        </w:tc>
        <w:tc>
          <w:tcPr>
            <w:tcW w:w="2606"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采购内容</w:t>
            </w:r>
          </w:p>
        </w:tc>
        <w:tc>
          <w:tcPr>
            <w:tcW w:w="1476"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范围</w:t>
            </w:r>
          </w:p>
        </w:tc>
        <w:tc>
          <w:tcPr>
            <w:tcW w:w="2800"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服务要求</w:t>
            </w:r>
          </w:p>
        </w:tc>
        <w:tc>
          <w:tcPr>
            <w:tcW w:w="757"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数量</w:t>
            </w:r>
          </w:p>
        </w:tc>
        <w:tc>
          <w:tcPr>
            <w:tcW w:w="1552"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预算金额</w:t>
            </w:r>
          </w:p>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最高限价</w:t>
            </w:r>
          </w:p>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348" w:type="dxa"/>
            <w:vMerge w:val="restart"/>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w:t>
            </w:r>
          </w:p>
        </w:tc>
        <w:tc>
          <w:tcPr>
            <w:tcW w:w="2606" w:type="dxa"/>
            <w:vMerge w:val="restart"/>
            <w:vAlign w:val="center"/>
          </w:tcPr>
          <w:p>
            <w:pPr>
              <w:tabs>
                <w:tab w:val="left" w:pos="1260"/>
              </w:tabs>
              <w:snapToGrid w:val="0"/>
              <w:spacing w:line="288" w:lineRule="auto"/>
              <w:rPr>
                <w:rFonts w:hAnsi="宋体" w:cs="宋体"/>
                <w:color w:val="000000" w:themeColor="text1"/>
                <w:sz w:val="21"/>
                <w:szCs w:val="21"/>
              </w:rPr>
            </w:pPr>
            <w:r>
              <w:rPr>
                <w:rFonts w:hint="eastAsia" w:hAnsi="宋体" w:cs="宋体"/>
                <w:color w:val="000000" w:themeColor="text1"/>
                <w:sz w:val="21"/>
                <w:szCs w:val="21"/>
              </w:rPr>
              <w:t>《金华市中心城区婺城片区（乡镇级）国土空间总体规划》（简称“婺城片区乡镇级总规”）</w:t>
            </w: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婺城</w:t>
            </w:r>
            <w:r>
              <w:rPr>
                <w:rFonts w:hint="eastAsia" w:hAnsi="宋体" w:cs="宋体"/>
                <w:color w:val="000000" w:themeColor="text1"/>
                <w:sz w:val="21"/>
                <w:szCs w:val="21"/>
                <w:lang w:eastAsia="zh-CN"/>
              </w:rPr>
              <w:t>区</w:t>
            </w:r>
          </w:p>
        </w:tc>
        <w:tc>
          <w:tcPr>
            <w:tcW w:w="2800" w:type="dxa"/>
            <w:vMerge w:val="restart"/>
            <w:vAlign w:val="center"/>
          </w:tcPr>
          <w:p>
            <w:pPr>
              <w:pStyle w:val="20"/>
              <w:snapToGrid w:val="0"/>
              <w:spacing w:line="288" w:lineRule="auto"/>
              <w:ind w:firstLineChars="200"/>
              <w:jc w:val="both"/>
              <w:rPr>
                <w:rFonts w:hAnsi="宋体" w:cs="宋体"/>
                <w:color w:val="000000" w:themeColor="text1"/>
                <w:sz w:val="21"/>
                <w:szCs w:val="21"/>
              </w:rPr>
            </w:pPr>
            <w:r>
              <w:rPr>
                <w:rFonts w:hint="eastAsia" w:hAnsi="宋体" w:cs="宋体"/>
                <w:color w:val="000000" w:themeColor="text1"/>
                <w:sz w:val="21"/>
                <w:szCs w:val="21"/>
              </w:rPr>
              <w:t>根据《浙江省市、县、乡镇级国土空间总体规划审查管理办法（试行）》、《浙江省乡镇级国土空间总体规划编制技术要点》和省厅相关要求，对市区中心城区范围和国土空间总体规划进行编制，并出具高质量高水平的规划成果，规划成果纳入到国土空间规划“一张图”。</w:t>
            </w: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Ansi="宋体" w:cs="宋体"/>
                <w:color w:val="000000" w:themeColor="text1"/>
                <w:sz w:val="21"/>
                <w:szCs w:val="21"/>
              </w:rPr>
              <w:t>293</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348"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2606" w:type="dxa"/>
            <w:vMerge w:val="continue"/>
            <w:vAlign w:val="center"/>
          </w:tcPr>
          <w:p>
            <w:pPr>
              <w:tabs>
                <w:tab w:val="left" w:pos="1260"/>
              </w:tabs>
              <w:snapToGrid w:val="0"/>
              <w:spacing w:line="288" w:lineRule="auto"/>
              <w:rPr>
                <w:rFonts w:hAnsi="宋体" w:cs="宋体"/>
                <w:color w:val="000000" w:themeColor="text1"/>
                <w:sz w:val="21"/>
                <w:szCs w:val="21"/>
              </w:rPr>
            </w:pP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金华开发区</w:t>
            </w:r>
          </w:p>
        </w:tc>
        <w:tc>
          <w:tcPr>
            <w:tcW w:w="2800" w:type="dxa"/>
            <w:vMerge w:val="continue"/>
            <w:vAlign w:val="center"/>
          </w:tcPr>
          <w:p>
            <w:pPr>
              <w:pStyle w:val="20"/>
              <w:snapToGrid w:val="0"/>
              <w:spacing w:line="288" w:lineRule="auto"/>
              <w:ind w:firstLine="0" w:firstLineChars="0"/>
              <w:rPr>
                <w:rFonts w:hAnsi="宋体" w:cs="宋体"/>
                <w:color w:val="000000" w:themeColor="text1"/>
                <w:sz w:val="21"/>
                <w:szCs w:val="21"/>
              </w:rPr>
            </w:pP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9</w:t>
            </w:r>
            <w:r>
              <w:rPr>
                <w:rFonts w:hAnsi="宋体" w:cs="宋体"/>
                <w:color w:val="000000" w:themeColor="text1"/>
                <w:sz w:val="21"/>
                <w:szCs w:val="21"/>
              </w:rPr>
              <w:t>1</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348"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2606" w:type="dxa"/>
            <w:vMerge w:val="continue"/>
            <w:vAlign w:val="center"/>
          </w:tcPr>
          <w:p>
            <w:pPr>
              <w:tabs>
                <w:tab w:val="left" w:pos="1260"/>
              </w:tabs>
              <w:snapToGrid w:val="0"/>
              <w:spacing w:line="288" w:lineRule="auto"/>
              <w:rPr>
                <w:rFonts w:hAnsi="宋体" w:cs="宋体"/>
                <w:color w:val="000000" w:themeColor="text1"/>
                <w:sz w:val="21"/>
                <w:szCs w:val="21"/>
              </w:rPr>
            </w:pP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双龙管委会</w:t>
            </w:r>
          </w:p>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（罗店镇）</w:t>
            </w:r>
          </w:p>
        </w:tc>
        <w:tc>
          <w:tcPr>
            <w:tcW w:w="2800" w:type="dxa"/>
            <w:vMerge w:val="continue"/>
            <w:vAlign w:val="center"/>
          </w:tcPr>
          <w:p>
            <w:pPr>
              <w:pStyle w:val="20"/>
              <w:snapToGrid w:val="0"/>
              <w:spacing w:line="288" w:lineRule="auto"/>
              <w:ind w:firstLine="0" w:firstLineChars="0"/>
              <w:rPr>
                <w:rFonts w:hAnsi="宋体" w:cs="宋体"/>
                <w:color w:val="000000" w:themeColor="text1"/>
                <w:sz w:val="21"/>
                <w:szCs w:val="21"/>
              </w:rPr>
            </w:pP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7</w:t>
            </w:r>
            <w:r>
              <w:rPr>
                <w:rFonts w:hAnsi="宋体" w:cs="宋体"/>
                <w:color w:val="000000" w:themeColor="text1"/>
                <w:sz w:val="21"/>
                <w:szCs w:val="21"/>
              </w:rPr>
              <w:t>6</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48" w:type="dxa"/>
            <w:vMerge w:val="restart"/>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2</w:t>
            </w:r>
          </w:p>
        </w:tc>
        <w:tc>
          <w:tcPr>
            <w:tcW w:w="2606" w:type="dxa"/>
            <w:vMerge w:val="restart"/>
            <w:vAlign w:val="center"/>
          </w:tcPr>
          <w:p>
            <w:pPr>
              <w:tabs>
                <w:tab w:val="left" w:pos="1260"/>
              </w:tabs>
              <w:snapToGrid w:val="0"/>
              <w:spacing w:line="288" w:lineRule="auto"/>
              <w:rPr>
                <w:rFonts w:hAnsi="宋体" w:cs="宋体"/>
                <w:color w:val="000000" w:themeColor="text1"/>
                <w:sz w:val="21"/>
                <w:szCs w:val="21"/>
              </w:rPr>
            </w:pPr>
            <w:r>
              <w:rPr>
                <w:rFonts w:hint="eastAsia" w:hAnsi="宋体" w:cs="宋体"/>
                <w:color w:val="000000" w:themeColor="text1"/>
                <w:sz w:val="21"/>
                <w:szCs w:val="21"/>
              </w:rPr>
              <w:t>《金华市中心城区金东片区（乡镇级）国土空间总体规划》（简称“金东片区乡镇级总规”）</w:t>
            </w: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金东区</w:t>
            </w:r>
          </w:p>
        </w:tc>
        <w:tc>
          <w:tcPr>
            <w:tcW w:w="2800" w:type="dxa"/>
            <w:vMerge w:val="continue"/>
            <w:vAlign w:val="center"/>
          </w:tcPr>
          <w:p>
            <w:pPr>
              <w:pStyle w:val="20"/>
              <w:snapToGrid w:val="0"/>
              <w:spacing w:line="288" w:lineRule="auto"/>
              <w:ind w:firstLine="0" w:firstLineChars="0"/>
              <w:rPr>
                <w:rFonts w:hAnsi="宋体" w:cs="宋体"/>
                <w:color w:val="000000" w:themeColor="text1"/>
                <w:sz w:val="21"/>
                <w:szCs w:val="21"/>
              </w:rPr>
            </w:pP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Ansi="宋体" w:cs="宋体"/>
                <w:color w:val="000000" w:themeColor="text1"/>
                <w:sz w:val="21"/>
                <w:szCs w:val="21"/>
              </w:rPr>
              <w:t>218</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48"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2606"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1476"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双龙管委会</w:t>
            </w:r>
          </w:p>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（赤松镇）</w:t>
            </w:r>
          </w:p>
        </w:tc>
        <w:tc>
          <w:tcPr>
            <w:tcW w:w="2800" w:type="dxa"/>
            <w:vMerge w:val="continue"/>
            <w:vAlign w:val="center"/>
          </w:tcPr>
          <w:p>
            <w:pPr>
              <w:pStyle w:val="20"/>
              <w:snapToGrid w:val="0"/>
              <w:spacing w:line="288" w:lineRule="auto"/>
              <w:ind w:firstLine="0" w:firstLineChars="0"/>
              <w:rPr>
                <w:rFonts w:hAnsi="宋体" w:cs="宋体"/>
                <w:color w:val="000000" w:themeColor="text1"/>
                <w:sz w:val="21"/>
                <w:szCs w:val="21"/>
              </w:rPr>
            </w:pP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5</w:t>
            </w:r>
            <w:r>
              <w:rPr>
                <w:rFonts w:hAnsi="宋体" w:cs="宋体"/>
                <w:color w:val="000000" w:themeColor="text1"/>
                <w:sz w:val="21"/>
                <w:szCs w:val="21"/>
              </w:rPr>
              <w:t>7</w:t>
            </w:r>
            <w:r>
              <w:rPr>
                <w:rFonts w:hint="eastAsia" w:hAnsi="宋体" w:cs="宋体"/>
                <w:color w:val="000000" w:themeColor="text1"/>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7987" w:type="dxa"/>
            <w:gridSpan w:val="5"/>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lang w:val="en-US" w:eastAsia="zh-CN"/>
              </w:rPr>
              <w:t xml:space="preserve">                                                                </w:t>
            </w:r>
            <w:r>
              <w:rPr>
                <w:rFonts w:hint="eastAsia" w:hAnsi="宋体" w:cs="宋体"/>
                <w:color w:val="000000" w:themeColor="text1"/>
                <w:sz w:val="21"/>
                <w:szCs w:val="21"/>
              </w:rPr>
              <w:t>合  计</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7</w:t>
            </w:r>
            <w:r>
              <w:rPr>
                <w:rFonts w:hAnsi="宋体" w:cs="宋体"/>
                <w:color w:val="000000" w:themeColor="text1"/>
                <w:sz w:val="21"/>
                <w:szCs w:val="21"/>
              </w:rPr>
              <w:t>35</w:t>
            </w:r>
            <w:r>
              <w:rPr>
                <w:rFonts w:hint="eastAsia" w:hAnsi="宋体" w:cs="宋体"/>
                <w:color w:val="000000" w:themeColor="text1"/>
                <w:sz w:val="21"/>
                <w:szCs w:val="21"/>
              </w:rPr>
              <w:t>万元</w:t>
            </w:r>
          </w:p>
        </w:tc>
      </w:tr>
    </w:tbl>
    <w:p>
      <w:pPr>
        <w:pStyle w:val="2"/>
        <w:spacing w:before="0" w:after="0" w:line="500" w:lineRule="exact"/>
        <w:ind w:firstLine="422"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二、项目概况</w:t>
      </w:r>
    </w:p>
    <w:p>
      <w:pPr>
        <w:spacing w:line="500" w:lineRule="exact"/>
        <w:ind w:firstLine="420" w:firstLineChars="200"/>
        <w:rPr>
          <w:rFonts w:hAnsi="宋体"/>
          <w:color w:val="000000"/>
          <w:sz w:val="21"/>
          <w:szCs w:val="21"/>
        </w:rPr>
      </w:pPr>
      <w:r>
        <w:rPr>
          <w:rFonts w:hint="eastAsia" w:hAnsi="宋体"/>
          <w:color w:val="000000"/>
          <w:sz w:val="21"/>
          <w:szCs w:val="21"/>
        </w:rPr>
        <w:t>依据《自然资源部关于全面开展国土空间总体规划工作的通知》（自然资发〔2019〕87号）、《浙江省自然资源厅关于进一步做好国土空间规划编制工作的通知》（浙自然资厅函[2022]1544号）等文件要求，结合《浙江省市、县、乡镇级国土空间总体规划审查管理办法》、《浙江省乡镇级国土空间总体规划编制技术要点》等内容，按照“编审分离、管批统一、分层监管”的原则，开展市区中心城区婺城区、金华开发区、金东区、双龙管委会乡镇级国土空间总体规划编制，规划成果纳入到国土空间规划“一张图”。</w:t>
      </w:r>
    </w:p>
    <w:p>
      <w:pPr>
        <w:pStyle w:val="2"/>
        <w:spacing w:before="0" w:after="0" w:line="500" w:lineRule="exact"/>
        <w:ind w:firstLine="422"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三、编制范围</w:t>
      </w:r>
    </w:p>
    <w:p>
      <w:pPr>
        <w:spacing w:line="500" w:lineRule="exact"/>
        <w:ind w:firstLine="420" w:firstLineChars="200"/>
        <w:rPr>
          <w:rFonts w:hAnsi="宋体"/>
          <w:color w:val="000000"/>
          <w:sz w:val="21"/>
          <w:szCs w:val="21"/>
        </w:rPr>
      </w:pPr>
      <w:r>
        <w:rPr>
          <w:rFonts w:hint="eastAsia" w:hAnsi="宋体"/>
          <w:color w:val="000000"/>
          <w:sz w:val="21"/>
          <w:szCs w:val="21"/>
        </w:rPr>
        <w:t>婺城片区乡镇级总体规划范围：为中心城区控制范围婺城区行政辖区，包括城东、城中、城西、城北、新狮、江南、三江、西关、秋滨9个街道；雅畈、白龙桥、罗店等3个镇；竹马、乾西、长山、苏孟等4个乡，规划面积约为460平方公里。</w:t>
      </w:r>
    </w:p>
    <w:p>
      <w:pPr>
        <w:spacing w:line="500" w:lineRule="exact"/>
        <w:ind w:firstLine="420" w:firstLineChars="200"/>
        <w:rPr>
          <w:rFonts w:hAnsi="宋体"/>
          <w:color w:val="000000"/>
          <w:sz w:val="21"/>
          <w:szCs w:val="21"/>
        </w:rPr>
      </w:pPr>
      <w:r>
        <w:rPr>
          <w:rFonts w:hint="eastAsia" w:hAnsi="宋体"/>
          <w:color w:val="000000"/>
          <w:sz w:val="21"/>
          <w:szCs w:val="21"/>
        </w:rPr>
        <w:t>金东片区乡镇级总体规划范围：为中心城区控制范围金东区行政辖区，包括东孝、多湖街道2个街道；孝顺、傅村、塘雅、赤松等4个镇，曹宅、澧浦镇等2个局部区域托管区，规划面积约为340平方公里。</w:t>
      </w:r>
    </w:p>
    <w:p>
      <w:pPr>
        <w:pStyle w:val="2"/>
        <w:spacing w:before="0" w:after="0" w:line="500" w:lineRule="exact"/>
        <w:ind w:firstLine="422"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四、规划内容</w:t>
      </w:r>
    </w:p>
    <w:p>
      <w:pPr>
        <w:spacing w:line="500" w:lineRule="exact"/>
        <w:ind w:firstLine="420" w:firstLineChars="200"/>
        <w:jc w:val="both"/>
        <w:rPr>
          <w:rFonts w:hAnsi="宋体"/>
          <w:color w:val="000000"/>
          <w:sz w:val="21"/>
          <w:szCs w:val="21"/>
        </w:rPr>
      </w:pPr>
      <w:r>
        <w:rPr>
          <w:rFonts w:hint="eastAsia" w:hAnsi="宋体"/>
          <w:color w:val="000000"/>
          <w:sz w:val="21"/>
          <w:szCs w:val="21"/>
        </w:rPr>
        <w:t>根据《浙江省乡镇级国土空间总体规划编制技术要点》,</w:t>
      </w:r>
      <w:r>
        <w:rPr>
          <w:rFonts w:hAnsi="宋体"/>
          <w:color w:val="000000"/>
          <w:sz w:val="21"/>
          <w:szCs w:val="21"/>
        </w:rPr>
        <w:t>乡镇</w:t>
      </w:r>
      <w:r>
        <w:rPr>
          <w:rFonts w:hint="eastAsia" w:hAnsi="宋体"/>
          <w:color w:val="000000"/>
          <w:sz w:val="21"/>
          <w:szCs w:val="21"/>
        </w:rPr>
        <w:t>级国土空间规划应“深化布局，完善功能；细化边界，管控落地；注重实操，突出近期</w:t>
      </w:r>
      <w:r>
        <w:rPr>
          <w:rFonts w:hAnsi="宋体"/>
          <w:color w:val="000000"/>
          <w:sz w:val="21"/>
          <w:szCs w:val="21"/>
        </w:rPr>
        <w:t>”</w:t>
      </w:r>
      <w:r>
        <w:rPr>
          <w:rFonts w:hint="eastAsia" w:hAnsi="宋体"/>
          <w:color w:val="000000"/>
          <w:sz w:val="21"/>
          <w:szCs w:val="21"/>
        </w:rPr>
        <w:t>的总体原则和要求，落实完善市县级国土空间总体规划。规划的核心内容包含目标定位、空间控制线、用地布局规划、用途分区规划、用途分类规划、历史文化保护、自然资源保护利用、国土综合整治与修复、国土空间格局安全与保障、重大项目和工程、详细规划编制引导、规划实施保障等十二个方面。主要</w:t>
      </w:r>
      <w:r>
        <w:rPr>
          <w:rFonts w:hint="eastAsia" w:hAnsi="宋体"/>
          <w:color w:val="000000"/>
          <w:sz w:val="21"/>
          <w:szCs w:val="21"/>
          <w:lang w:eastAsia="zh-CN"/>
        </w:rPr>
        <w:t>内容包括但不限于</w:t>
      </w:r>
      <w:r>
        <w:rPr>
          <w:rFonts w:hint="eastAsia" w:hAnsi="宋体"/>
          <w:color w:val="000000"/>
          <w:sz w:val="21"/>
          <w:szCs w:val="21"/>
        </w:rPr>
        <w:t>以下内容：</w:t>
      </w:r>
    </w:p>
    <w:p>
      <w:pPr>
        <w:spacing w:line="500" w:lineRule="exact"/>
        <w:ind w:firstLine="420" w:firstLineChars="200"/>
        <w:jc w:val="both"/>
        <w:rPr>
          <w:rFonts w:hAnsi="宋体"/>
          <w:color w:val="000000"/>
          <w:sz w:val="21"/>
          <w:szCs w:val="21"/>
        </w:rPr>
      </w:pPr>
      <w:r>
        <w:rPr>
          <w:rFonts w:hint="eastAsia" w:hAnsi="宋体"/>
          <w:color w:val="000000"/>
          <w:sz w:val="21"/>
          <w:szCs w:val="21"/>
        </w:rPr>
        <w:t>1.整体谋划长远发展战略。以市区国土空间总体规划为基础，替代传统分区规划的作用，以婺城、金义新区行政管辖范围为界，针对自身特点和资源禀赋，研判发展的重点、方向，体现片区发展诉求，按照“目标-指标-策略-机制”的思路，将片区战略要求进行深化落地。</w:t>
      </w:r>
    </w:p>
    <w:p>
      <w:pPr>
        <w:spacing w:line="500" w:lineRule="exact"/>
        <w:ind w:firstLine="420" w:firstLineChars="200"/>
        <w:jc w:val="both"/>
        <w:rPr>
          <w:rFonts w:hAnsi="宋体"/>
          <w:color w:val="000000"/>
          <w:sz w:val="21"/>
          <w:szCs w:val="21"/>
        </w:rPr>
      </w:pPr>
      <w:r>
        <w:rPr>
          <w:rFonts w:hint="eastAsia" w:hAnsi="宋体"/>
          <w:color w:val="000000"/>
          <w:sz w:val="21"/>
          <w:szCs w:val="21"/>
        </w:rPr>
        <w:t>2.以问题为导向，明确存量时期中心城区空间布局优化方向和实现路径。重点包括对农用地、生态用地、建设用地的布局。农用地方面，将上级规划下达的耕地和永久基本农田保护任务落实到图斑地块，细化落实上位规划下达的耕地集中连片整治任务；落实永久基本农田储备区的规模和布局。进一步明确林地、湿地以及陆地水域的空间布局。生态用地方面，明确保留、新增、减少林地的规模布局，落实森林覆盖率指标要求；明确保留、新增、减少湿地和陆地水域的规模布局，落实上位规划湿地面积指标要求，明确重要水域、河道、重要湿地的名称、位置、类型、范围、面积。建设用地方面，明确规划期内乡镇（片区）建设用地布局，重点明确公共服务设施、市政公用设施等用地布局、规模，规划深度原则上到二级地类，对于涉及约束性指标的用地应细化至三级地类。研究市级国土空间总体规划中留白用地的功能用途导向，形成对详细规划的引导。</w:t>
      </w:r>
    </w:p>
    <w:p>
      <w:pPr>
        <w:spacing w:line="500" w:lineRule="exact"/>
        <w:ind w:firstLine="420" w:firstLineChars="200"/>
        <w:jc w:val="both"/>
        <w:rPr>
          <w:rFonts w:hAnsi="宋体"/>
          <w:color w:val="000000"/>
          <w:sz w:val="21"/>
          <w:szCs w:val="21"/>
        </w:rPr>
      </w:pPr>
      <w:r>
        <w:rPr>
          <w:rFonts w:hint="eastAsia" w:hAnsi="宋体"/>
          <w:color w:val="000000"/>
          <w:sz w:val="21"/>
          <w:szCs w:val="21"/>
        </w:rPr>
        <w:t>3.进一步深化、细化用途分区、用途分类规划。</w:t>
      </w:r>
      <w:r>
        <w:rPr>
          <w:rFonts w:hAnsi="宋体"/>
          <w:color w:val="000000"/>
          <w:sz w:val="21"/>
          <w:szCs w:val="21"/>
        </w:rPr>
        <w:t>依据《浙江省国土空间规划分区分类指南（修订试行）》，结合乡镇（片区）空间发展策略，细化落实上位国土空间总体规划划定的规划用途分区至二级用途分区，明确范围边界和面积。</w:t>
      </w:r>
      <w:r>
        <w:rPr>
          <w:rFonts w:hint="eastAsia" w:hAnsi="宋体"/>
          <w:color w:val="000000"/>
          <w:sz w:val="21"/>
          <w:szCs w:val="21"/>
        </w:rPr>
        <w:t>重点应将城镇发展区、乡村发展区细分至二级用途分区，乡村发展区应结合用地布局方案，细化村庄建设区、一般农业区、农田整备区、林业发展区等二级分区。用途分类规划应重点划定新增生态修复空间、整备区新增耕地、新增建设用地、农村集体经营性建设用地等内容。</w:t>
      </w:r>
    </w:p>
    <w:p>
      <w:pPr>
        <w:spacing w:line="500" w:lineRule="exact"/>
        <w:ind w:firstLine="420" w:firstLineChars="200"/>
        <w:jc w:val="both"/>
        <w:rPr>
          <w:rFonts w:hAnsi="宋体"/>
          <w:color w:val="000000"/>
          <w:sz w:val="21"/>
          <w:szCs w:val="21"/>
        </w:rPr>
      </w:pPr>
      <w:r>
        <w:rPr>
          <w:rFonts w:hint="eastAsia" w:hAnsi="宋体"/>
          <w:color w:val="000000"/>
          <w:sz w:val="21"/>
          <w:szCs w:val="21"/>
        </w:rPr>
        <w:t>4.统筹衔接重大专项，落实、深化空间控制线，保障安全与底线。落实上位总体规划，衔接历史文化保护、河道蓝线、绿地系统等专项规划，在市级国土空间规划的基础上，传导落实三线与历史文化保护线，落实重点的黄线、橙线、绿线、蓝线等，划定村庄建设控制线，明确主次干路的道路红线。衔接消防规划、防洪排涝规划、抗震防灾规划等防灾减灾专项规划，</w:t>
      </w:r>
      <w:r>
        <w:rPr>
          <w:rFonts w:hAnsi="宋体"/>
          <w:color w:val="000000"/>
          <w:sz w:val="21"/>
          <w:szCs w:val="21"/>
        </w:rPr>
        <w:t>提出防洪潮、抗震、消防、人防、防疫、防台风等主要灾害防治的标准、措施以及设施布点要求。提出乡镇（片区）对于突发重大公共安全事件的应对措施。</w:t>
      </w:r>
    </w:p>
    <w:p>
      <w:pPr>
        <w:spacing w:line="500" w:lineRule="exact"/>
        <w:ind w:firstLine="420" w:firstLineChars="200"/>
        <w:jc w:val="both"/>
        <w:rPr>
          <w:rFonts w:hAnsi="宋体"/>
          <w:color w:val="000000"/>
          <w:sz w:val="21"/>
          <w:szCs w:val="21"/>
        </w:rPr>
      </w:pPr>
      <w:r>
        <w:rPr>
          <w:rFonts w:hint="eastAsia" w:hAnsi="宋体"/>
          <w:color w:val="000000"/>
          <w:sz w:val="21"/>
          <w:szCs w:val="21"/>
        </w:rPr>
        <w:t>5.衔接近期发展建设任务，保障近期重大项目。</w:t>
      </w:r>
      <w:r>
        <w:rPr>
          <w:rFonts w:hAnsi="宋体"/>
          <w:color w:val="000000"/>
          <w:sz w:val="21"/>
          <w:szCs w:val="21"/>
        </w:rPr>
        <w:t>落实上位规划明确的重大项目和工程，</w:t>
      </w:r>
      <w:r>
        <w:rPr>
          <w:rFonts w:hint="eastAsia" w:hAnsi="宋体"/>
          <w:color w:val="000000"/>
          <w:sz w:val="21"/>
          <w:szCs w:val="21"/>
        </w:rPr>
        <w:t>进一步衔接、梳理</w:t>
      </w:r>
      <w:r>
        <w:rPr>
          <w:rFonts w:hAnsi="宋体"/>
          <w:color w:val="000000"/>
          <w:sz w:val="21"/>
          <w:szCs w:val="21"/>
        </w:rPr>
        <w:t>本</w:t>
      </w:r>
      <w:r>
        <w:rPr>
          <w:rFonts w:hint="eastAsia" w:hAnsi="宋体"/>
          <w:color w:val="000000"/>
          <w:sz w:val="21"/>
          <w:szCs w:val="21"/>
        </w:rPr>
        <w:t>片区</w:t>
      </w:r>
      <w:r>
        <w:rPr>
          <w:rFonts w:hAnsi="宋体"/>
          <w:color w:val="000000"/>
          <w:sz w:val="21"/>
          <w:szCs w:val="21"/>
        </w:rPr>
        <w:t>的重大项目和工程清单，</w:t>
      </w:r>
      <w:r>
        <w:rPr>
          <w:rFonts w:hint="eastAsia" w:hAnsi="宋体"/>
          <w:color w:val="000000"/>
          <w:sz w:val="21"/>
          <w:szCs w:val="21"/>
        </w:rPr>
        <w:t>明确城镇开发边界内、外的项目名称、类型、等级等。</w:t>
      </w:r>
    </w:p>
    <w:p>
      <w:pPr>
        <w:spacing w:line="500" w:lineRule="exact"/>
        <w:ind w:firstLine="420" w:firstLineChars="200"/>
        <w:jc w:val="both"/>
        <w:rPr>
          <w:rFonts w:hAnsi="宋体"/>
          <w:color w:val="000000" w:themeColor="text1"/>
          <w:sz w:val="21"/>
          <w:szCs w:val="21"/>
        </w:rPr>
      </w:pPr>
      <w:r>
        <w:rPr>
          <w:rFonts w:hint="eastAsia" w:hAnsi="宋体"/>
          <w:color w:val="000000"/>
          <w:sz w:val="21"/>
          <w:szCs w:val="21"/>
        </w:rPr>
        <w:t>6.形成对详细规划编制单元指引。乡镇级国土空间总体规划应划分详细规划编制单元，包括城镇单元、村庄单元和特定功能单元，并明确向下位规划的传导内容。参照《浙江省</w:t>
      </w:r>
      <w:r>
        <w:rPr>
          <w:rFonts w:hint="eastAsia" w:hAnsi="宋体"/>
          <w:color w:val="000000" w:themeColor="text1"/>
          <w:sz w:val="21"/>
          <w:szCs w:val="21"/>
        </w:rPr>
        <w:t>详细规划编制单元划分技术导则（试行）》，明确各详规编制单元的边界、类型、编码、约束性指标、空间控制线、公共服务设施和市政基础设施等。</w:t>
      </w:r>
    </w:p>
    <w:p>
      <w:pPr>
        <w:pStyle w:val="2"/>
        <w:spacing w:before="0" w:after="0" w:line="500" w:lineRule="exact"/>
        <w:ind w:firstLine="420" w:firstLineChars="200"/>
        <w:jc w:val="both"/>
        <w:rPr>
          <w:rFonts w:ascii="宋体" w:hAnsi="宋体" w:eastAsia="宋体" w:cs="宋体"/>
          <w:b w:val="0"/>
          <w:bCs w:val="0"/>
          <w:color w:val="000000" w:themeColor="text1"/>
          <w:sz w:val="21"/>
          <w:szCs w:val="21"/>
        </w:rPr>
      </w:pPr>
      <w:r>
        <w:rPr>
          <w:rFonts w:hint="eastAsia" w:ascii="宋体" w:hAnsi="宋体" w:eastAsia="宋体" w:cs="宋体"/>
          <w:b w:val="0"/>
          <w:bCs w:val="0"/>
          <w:color w:val="000000" w:themeColor="text1"/>
          <w:sz w:val="21"/>
          <w:szCs w:val="21"/>
        </w:rPr>
        <w:t>7.其它在规划编制期间，涉及到规划审查报批最新要求需开展的相关工作（双方协商）。</w:t>
      </w:r>
    </w:p>
    <w:p>
      <w:pPr>
        <w:pStyle w:val="2"/>
        <w:spacing w:before="0" w:after="0" w:line="500" w:lineRule="exact"/>
        <w:ind w:firstLine="422" w:firstLineChars="200"/>
        <w:jc w:val="both"/>
        <w:rPr>
          <w:rFonts w:ascii="宋体" w:hAnsi="宋体" w:eastAsia="宋体" w:cs="宋体"/>
          <w:b w:val="0"/>
          <w:color w:val="000000" w:themeColor="text1"/>
          <w:kern w:val="44"/>
          <w:sz w:val="21"/>
          <w:szCs w:val="21"/>
        </w:rPr>
      </w:pPr>
      <w:r>
        <w:rPr>
          <w:rFonts w:hint="eastAsia" w:ascii="宋体" w:hAnsi="宋体" w:eastAsia="宋体" w:cs="宋体"/>
          <w:color w:val="000000" w:themeColor="text1"/>
          <w:sz w:val="21"/>
          <w:szCs w:val="21"/>
        </w:rPr>
        <w:t>五、规划要求</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1、时间要求</w:t>
      </w:r>
    </w:p>
    <w:p>
      <w:pPr>
        <w:spacing w:line="500" w:lineRule="exact"/>
        <w:ind w:firstLine="420" w:firstLineChars="200"/>
        <w:jc w:val="both"/>
        <w:rPr>
          <w:rFonts w:hAnsi="宋体" w:cs="宋体"/>
          <w:sz w:val="21"/>
          <w:szCs w:val="21"/>
        </w:rPr>
      </w:pPr>
      <w:r>
        <w:rPr>
          <w:rFonts w:hint="eastAsia" w:hAnsi="宋体" w:cs="宋体"/>
          <w:sz w:val="21"/>
          <w:szCs w:val="21"/>
        </w:rPr>
        <w:t>合同签订生效后12个月内完成。</w:t>
      </w:r>
    </w:p>
    <w:p>
      <w:pPr>
        <w:numPr>
          <w:ilvl w:val="0"/>
          <w:numId w:val="2"/>
        </w:numPr>
        <w:spacing w:line="500" w:lineRule="exact"/>
        <w:ind w:firstLine="420" w:firstLineChars="200"/>
        <w:jc w:val="both"/>
        <w:rPr>
          <w:rFonts w:hAnsi="宋体" w:cs="宋体"/>
          <w:color w:val="000000"/>
          <w:sz w:val="21"/>
          <w:szCs w:val="21"/>
        </w:rPr>
      </w:pPr>
      <w:r>
        <w:rPr>
          <w:rFonts w:hint="eastAsia" w:hAnsi="宋体" w:cs="宋体"/>
          <w:color w:val="000000"/>
          <w:sz w:val="21"/>
          <w:szCs w:val="21"/>
        </w:rPr>
        <w:t>进度安排</w:t>
      </w:r>
    </w:p>
    <w:p>
      <w:pPr>
        <w:spacing w:line="500" w:lineRule="exact"/>
        <w:ind w:firstLine="420" w:firstLineChars="200"/>
        <w:jc w:val="both"/>
        <w:rPr>
          <w:rFonts w:hAnsi="宋体"/>
          <w:color w:val="000000"/>
          <w:sz w:val="21"/>
          <w:szCs w:val="21"/>
        </w:rPr>
      </w:pPr>
      <w:r>
        <w:rPr>
          <w:rFonts w:hint="eastAsia" w:hAnsi="宋体"/>
          <w:color w:val="000000"/>
          <w:sz w:val="21"/>
          <w:szCs w:val="21"/>
        </w:rPr>
        <w:t>进度安排按省厅要求进行动态调整，初步计划如下：</w:t>
      </w:r>
    </w:p>
    <w:p>
      <w:pPr>
        <w:spacing w:line="500" w:lineRule="exact"/>
        <w:ind w:firstLine="420" w:firstLineChars="200"/>
        <w:jc w:val="both"/>
        <w:rPr>
          <w:rFonts w:hAnsi="宋体"/>
          <w:color w:val="000000"/>
          <w:sz w:val="21"/>
          <w:szCs w:val="21"/>
        </w:rPr>
      </w:pPr>
      <w:r>
        <w:rPr>
          <w:rFonts w:hint="eastAsia" w:hAnsi="宋体"/>
          <w:color w:val="000000"/>
          <w:sz w:val="21"/>
          <w:szCs w:val="21"/>
        </w:rPr>
        <w:t>（1）前期筹备（1个月）</w:t>
      </w:r>
    </w:p>
    <w:p>
      <w:pPr>
        <w:spacing w:line="500" w:lineRule="exact"/>
        <w:ind w:firstLine="420" w:firstLineChars="200"/>
        <w:jc w:val="both"/>
        <w:rPr>
          <w:rFonts w:hAnsi="宋体"/>
          <w:color w:val="000000"/>
          <w:sz w:val="21"/>
          <w:szCs w:val="21"/>
        </w:rPr>
      </w:pPr>
      <w:r>
        <w:rPr>
          <w:rFonts w:hint="eastAsia" w:hAnsi="宋体"/>
          <w:color w:val="000000"/>
          <w:sz w:val="21"/>
          <w:szCs w:val="21"/>
        </w:rPr>
        <w:t>招投标工作，开展前期调研、资料收集等工作，对现状资料、已有规划进行分析整理开展前期研究，形成初步方案。</w:t>
      </w:r>
    </w:p>
    <w:p>
      <w:pPr>
        <w:spacing w:line="500" w:lineRule="exact"/>
        <w:ind w:firstLine="420" w:firstLineChars="200"/>
        <w:jc w:val="both"/>
        <w:rPr>
          <w:rFonts w:hAnsi="宋体"/>
          <w:color w:val="000000"/>
          <w:sz w:val="21"/>
          <w:szCs w:val="21"/>
        </w:rPr>
      </w:pPr>
      <w:r>
        <w:rPr>
          <w:rFonts w:hint="eastAsia" w:hAnsi="宋体"/>
          <w:color w:val="000000"/>
          <w:sz w:val="21"/>
          <w:szCs w:val="21"/>
        </w:rPr>
        <w:t>（2）方案编制（2个月）</w:t>
      </w:r>
    </w:p>
    <w:p>
      <w:pPr>
        <w:spacing w:line="500" w:lineRule="exact"/>
        <w:ind w:firstLine="420" w:firstLineChars="200"/>
        <w:jc w:val="both"/>
        <w:rPr>
          <w:rFonts w:hAnsi="宋体"/>
          <w:color w:val="000000"/>
          <w:sz w:val="21"/>
          <w:szCs w:val="21"/>
        </w:rPr>
      </w:pPr>
      <w:r>
        <w:rPr>
          <w:rFonts w:hint="eastAsia" w:hAnsi="宋体"/>
          <w:color w:val="000000"/>
          <w:sz w:val="21"/>
          <w:szCs w:val="21"/>
        </w:rPr>
        <w:t>修改完善初步方案，形成中期方案，通过金华市自然资源和规划局牵头组织的内部审查。</w:t>
      </w:r>
    </w:p>
    <w:p>
      <w:pPr>
        <w:spacing w:line="500" w:lineRule="exact"/>
        <w:ind w:firstLine="420" w:firstLineChars="200"/>
        <w:jc w:val="both"/>
        <w:rPr>
          <w:rFonts w:hAnsi="宋体"/>
          <w:color w:val="000000"/>
          <w:sz w:val="21"/>
          <w:szCs w:val="21"/>
        </w:rPr>
      </w:pPr>
      <w:r>
        <w:rPr>
          <w:rFonts w:hint="eastAsia" w:hAnsi="宋体"/>
          <w:color w:val="000000"/>
          <w:sz w:val="21"/>
          <w:szCs w:val="21"/>
        </w:rPr>
        <w:t>（3）方案评审（1个月）</w:t>
      </w:r>
    </w:p>
    <w:p>
      <w:pPr>
        <w:spacing w:line="500" w:lineRule="exact"/>
        <w:ind w:firstLine="420" w:firstLineChars="200"/>
        <w:jc w:val="both"/>
        <w:rPr>
          <w:rFonts w:hAnsi="宋体"/>
          <w:color w:val="000000"/>
          <w:sz w:val="21"/>
          <w:szCs w:val="21"/>
        </w:rPr>
      </w:pPr>
      <w:r>
        <w:rPr>
          <w:rFonts w:hint="eastAsia" w:hAnsi="宋体"/>
          <w:color w:val="000000"/>
          <w:sz w:val="21"/>
          <w:szCs w:val="21"/>
        </w:rPr>
        <w:t>对中期成果进行修改优化，并通过评审会。</w:t>
      </w:r>
    </w:p>
    <w:p>
      <w:pPr>
        <w:spacing w:line="500" w:lineRule="exact"/>
        <w:ind w:firstLine="420" w:firstLineChars="200"/>
        <w:jc w:val="both"/>
        <w:rPr>
          <w:rFonts w:hAnsi="宋体"/>
          <w:color w:val="000000"/>
          <w:sz w:val="21"/>
          <w:szCs w:val="21"/>
        </w:rPr>
      </w:pPr>
      <w:r>
        <w:rPr>
          <w:rFonts w:hint="eastAsia" w:hAnsi="宋体"/>
          <w:color w:val="000000"/>
          <w:sz w:val="21"/>
          <w:szCs w:val="21"/>
        </w:rPr>
        <w:t>（4）成果论证、听证、公示（2个月）</w:t>
      </w:r>
    </w:p>
    <w:p>
      <w:pPr>
        <w:spacing w:line="500" w:lineRule="exact"/>
        <w:ind w:firstLine="420" w:firstLineChars="200"/>
        <w:jc w:val="both"/>
        <w:rPr>
          <w:rFonts w:hAnsi="宋体"/>
          <w:color w:val="000000"/>
          <w:sz w:val="21"/>
          <w:szCs w:val="21"/>
        </w:rPr>
      </w:pPr>
      <w:r>
        <w:rPr>
          <w:rFonts w:hint="eastAsia" w:hAnsi="宋体"/>
          <w:color w:val="000000"/>
          <w:sz w:val="21"/>
          <w:szCs w:val="21"/>
        </w:rPr>
        <w:t>方案修改成熟后，有序开展规划方案的成果论证、听证、公示等环节。</w:t>
      </w:r>
    </w:p>
    <w:p>
      <w:pPr>
        <w:spacing w:line="500" w:lineRule="exact"/>
        <w:ind w:firstLine="420" w:firstLineChars="200"/>
        <w:jc w:val="both"/>
        <w:rPr>
          <w:rFonts w:hAnsi="宋体"/>
          <w:color w:val="000000"/>
          <w:sz w:val="21"/>
          <w:szCs w:val="21"/>
        </w:rPr>
      </w:pPr>
      <w:r>
        <w:rPr>
          <w:rFonts w:hint="eastAsia" w:hAnsi="宋体"/>
          <w:color w:val="000000"/>
          <w:sz w:val="21"/>
          <w:szCs w:val="21"/>
        </w:rPr>
        <w:t>（5）成果报批（2个月）</w:t>
      </w:r>
    </w:p>
    <w:p>
      <w:pPr>
        <w:spacing w:line="500" w:lineRule="exact"/>
        <w:ind w:firstLine="420" w:firstLineChars="200"/>
        <w:jc w:val="both"/>
        <w:rPr>
          <w:rFonts w:hAnsi="宋体"/>
          <w:color w:val="000000"/>
          <w:sz w:val="21"/>
          <w:szCs w:val="21"/>
        </w:rPr>
      </w:pPr>
      <w:r>
        <w:rPr>
          <w:rFonts w:hint="eastAsia" w:hAnsi="宋体"/>
          <w:color w:val="000000"/>
          <w:sz w:val="21"/>
          <w:szCs w:val="21"/>
        </w:rPr>
        <w:t>形成规划报批成果，按照程序完成报批。规划成果经批准后，依法公告。</w:t>
      </w:r>
    </w:p>
    <w:p>
      <w:pPr>
        <w:spacing w:line="500" w:lineRule="exact"/>
        <w:ind w:firstLine="420" w:firstLineChars="200"/>
        <w:jc w:val="both"/>
        <w:rPr>
          <w:rFonts w:hAnsi="宋体"/>
          <w:color w:val="000000"/>
          <w:sz w:val="21"/>
          <w:szCs w:val="21"/>
        </w:rPr>
      </w:pPr>
      <w:r>
        <w:rPr>
          <w:rFonts w:hint="eastAsia" w:hAnsi="宋体"/>
          <w:color w:val="000000"/>
          <w:sz w:val="21"/>
          <w:szCs w:val="21"/>
        </w:rPr>
        <w:t>六、成果要求</w:t>
      </w:r>
    </w:p>
    <w:p>
      <w:pPr>
        <w:spacing w:line="500" w:lineRule="exact"/>
        <w:ind w:firstLine="420" w:firstLineChars="200"/>
        <w:jc w:val="both"/>
        <w:rPr>
          <w:rFonts w:hAnsi="宋体"/>
          <w:color w:val="000000"/>
          <w:sz w:val="21"/>
          <w:szCs w:val="21"/>
        </w:rPr>
      </w:pPr>
      <w:r>
        <w:rPr>
          <w:rFonts w:hint="eastAsia" w:hAnsi="宋体"/>
          <w:color w:val="000000"/>
          <w:sz w:val="21"/>
          <w:szCs w:val="21"/>
        </w:rPr>
        <w:t>根据《浙江省乡镇级国土空间总体规划编制技术要点》等要求和编制任务要求，分别形成婺城片区乡镇级总规、金东片区乡镇级总规两套正式报批成果。根据上级要求或管理要求，酌情按行政管理范围拆分文本。各成果内容包括以下内容：</w:t>
      </w:r>
    </w:p>
    <w:p>
      <w:pPr>
        <w:spacing w:line="500" w:lineRule="exact"/>
        <w:ind w:firstLine="422" w:firstLineChars="200"/>
        <w:rPr>
          <w:rFonts w:hAnsi="宋体"/>
          <w:b/>
          <w:bCs/>
          <w:color w:val="000000"/>
          <w:sz w:val="21"/>
          <w:szCs w:val="21"/>
        </w:rPr>
      </w:pPr>
      <w:r>
        <w:rPr>
          <w:rFonts w:hint="eastAsia" w:hAnsi="宋体"/>
          <w:b/>
          <w:bCs/>
          <w:color w:val="000000"/>
          <w:sz w:val="21"/>
          <w:szCs w:val="21"/>
        </w:rPr>
        <w:t>（1）法定性文件。即规划文本、规划图集、数据库及相关附件，按照相关规定要求编制。</w:t>
      </w:r>
    </w:p>
    <w:p>
      <w:pPr>
        <w:spacing w:line="500" w:lineRule="exact"/>
        <w:ind w:firstLine="420" w:firstLineChars="200"/>
        <w:rPr>
          <w:rFonts w:hAnsi="宋体"/>
          <w:color w:val="000000"/>
          <w:sz w:val="21"/>
          <w:szCs w:val="21"/>
        </w:rPr>
      </w:pPr>
      <w:r>
        <w:rPr>
          <w:rFonts w:hint="eastAsia" w:hAnsi="宋体"/>
          <w:color w:val="000000"/>
          <w:sz w:val="21"/>
          <w:szCs w:val="21"/>
        </w:rPr>
        <w:t>其中规划图集（法定图件）包括不限于：</w:t>
      </w:r>
    </w:p>
    <w:p>
      <w:pPr>
        <w:spacing w:line="500" w:lineRule="exact"/>
        <w:ind w:firstLine="420" w:firstLineChars="200"/>
        <w:rPr>
          <w:rFonts w:hAnsi="宋体"/>
          <w:color w:val="000000"/>
          <w:sz w:val="21"/>
          <w:szCs w:val="21"/>
        </w:rPr>
      </w:pPr>
      <w:r>
        <w:rPr>
          <w:rFonts w:hAnsi="宋体"/>
          <w:color w:val="000000"/>
          <w:sz w:val="21"/>
          <w:szCs w:val="21"/>
        </w:rPr>
        <w:t>1）国土空间控制线规划图（三条控制线图、其他重点控制线图）</w:t>
      </w:r>
    </w:p>
    <w:p>
      <w:pPr>
        <w:spacing w:line="500" w:lineRule="exact"/>
        <w:ind w:firstLine="420" w:firstLineChars="200"/>
        <w:rPr>
          <w:rFonts w:hAnsi="宋体"/>
          <w:color w:val="000000"/>
          <w:sz w:val="21"/>
          <w:szCs w:val="21"/>
        </w:rPr>
      </w:pPr>
      <w:r>
        <w:rPr>
          <w:rFonts w:hAnsi="宋体"/>
          <w:color w:val="000000"/>
          <w:sz w:val="21"/>
          <w:szCs w:val="21"/>
        </w:rPr>
        <w:t>2）国土空间用途分区规划图</w:t>
      </w:r>
    </w:p>
    <w:p>
      <w:pPr>
        <w:spacing w:line="500" w:lineRule="exact"/>
        <w:ind w:firstLine="420" w:firstLineChars="200"/>
        <w:rPr>
          <w:rFonts w:hAnsi="宋体"/>
          <w:color w:val="000000"/>
          <w:sz w:val="21"/>
          <w:szCs w:val="21"/>
        </w:rPr>
      </w:pPr>
      <w:r>
        <w:rPr>
          <w:rFonts w:hAnsi="宋体"/>
          <w:color w:val="000000"/>
          <w:sz w:val="21"/>
          <w:szCs w:val="21"/>
        </w:rPr>
        <w:t>3）国土空间用途规划图</w:t>
      </w:r>
    </w:p>
    <w:p>
      <w:pPr>
        <w:spacing w:line="500" w:lineRule="exact"/>
        <w:ind w:firstLine="420" w:firstLineChars="200"/>
        <w:rPr>
          <w:rFonts w:hAnsi="宋体"/>
          <w:color w:val="000000"/>
          <w:sz w:val="21"/>
          <w:szCs w:val="21"/>
        </w:rPr>
      </w:pPr>
      <w:r>
        <w:rPr>
          <w:rFonts w:hAnsi="宋体"/>
          <w:color w:val="000000"/>
          <w:sz w:val="21"/>
          <w:szCs w:val="21"/>
        </w:rPr>
        <w:t>4）详细规划编制单元划分图</w:t>
      </w:r>
    </w:p>
    <w:p>
      <w:pPr>
        <w:spacing w:line="500" w:lineRule="exact"/>
        <w:ind w:firstLine="420" w:firstLineChars="200"/>
        <w:rPr>
          <w:rFonts w:hAnsi="宋体"/>
          <w:color w:val="000000"/>
          <w:sz w:val="21"/>
          <w:szCs w:val="21"/>
        </w:rPr>
      </w:pPr>
      <w:r>
        <w:rPr>
          <w:rFonts w:hAnsi="宋体"/>
          <w:color w:val="000000"/>
          <w:sz w:val="21"/>
          <w:szCs w:val="21"/>
        </w:rPr>
        <w:t>5）</w:t>
      </w:r>
      <w:r>
        <w:rPr>
          <w:rFonts w:hint="eastAsia" w:hAnsi="宋体"/>
          <w:color w:val="000000"/>
          <w:sz w:val="21"/>
          <w:szCs w:val="21"/>
        </w:rPr>
        <w:t>中心城区（实体范围）</w:t>
      </w:r>
      <w:r>
        <w:rPr>
          <w:rFonts w:hAnsi="宋体"/>
          <w:color w:val="000000"/>
          <w:sz w:val="21"/>
          <w:szCs w:val="21"/>
        </w:rPr>
        <w:t>重点控制线规划图</w:t>
      </w:r>
    </w:p>
    <w:p>
      <w:pPr>
        <w:spacing w:line="500" w:lineRule="exact"/>
        <w:ind w:firstLine="420" w:firstLineChars="200"/>
        <w:rPr>
          <w:rFonts w:hAnsi="宋体"/>
          <w:color w:val="000000"/>
          <w:sz w:val="21"/>
          <w:szCs w:val="21"/>
        </w:rPr>
      </w:pPr>
      <w:r>
        <w:rPr>
          <w:rFonts w:hAnsi="宋体"/>
          <w:color w:val="000000"/>
          <w:sz w:val="21"/>
          <w:szCs w:val="21"/>
        </w:rPr>
        <w:t>6）</w:t>
      </w:r>
      <w:r>
        <w:rPr>
          <w:rFonts w:hint="eastAsia" w:hAnsi="宋体"/>
          <w:color w:val="000000"/>
          <w:sz w:val="21"/>
          <w:szCs w:val="21"/>
        </w:rPr>
        <w:t>中心城区（实体范围）</w:t>
      </w:r>
      <w:r>
        <w:rPr>
          <w:rFonts w:hAnsi="宋体"/>
          <w:color w:val="000000"/>
          <w:sz w:val="21"/>
          <w:szCs w:val="21"/>
        </w:rPr>
        <w:t>用途分区规划图</w:t>
      </w:r>
    </w:p>
    <w:p>
      <w:pPr>
        <w:spacing w:line="500" w:lineRule="exact"/>
        <w:ind w:firstLine="420" w:firstLineChars="200"/>
        <w:rPr>
          <w:rFonts w:hAnsi="宋体"/>
          <w:color w:val="000000"/>
          <w:sz w:val="21"/>
          <w:szCs w:val="21"/>
        </w:rPr>
      </w:pPr>
      <w:r>
        <w:rPr>
          <w:rFonts w:hAnsi="宋体"/>
          <w:color w:val="000000"/>
          <w:sz w:val="21"/>
          <w:szCs w:val="21"/>
        </w:rPr>
        <w:t>7）</w:t>
      </w:r>
      <w:r>
        <w:rPr>
          <w:rFonts w:hint="eastAsia" w:hAnsi="宋体"/>
          <w:color w:val="000000"/>
          <w:sz w:val="21"/>
          <w:szCs w:val="21"/>
        </w:rPr>
        <w:t>中心城区（实体范围）</w:t>
      </w:r>
      <w:r>
        <w:rPr>
          <w:rFonts w:hAnsi="宋体"/>
          <w:color w:val="000000"/>
          <w:sz w:val="21"/>
          <w:szCs w:val="21"/>
        </w:rPr>
        <w:t>道路交通规划图</w:t>
      </w:r>
    </w:p>
    <w:p>
      <w:pPr>
        <w:spacing w:line="500" w:lineRule="exact"/>
        <w:ind w:firstLine="420" w:firstLineChars="200"/>
        <w:rPr>
          <w:rFonts w:hAnsi="宋体"/>
          <w:color w:val="000000"/>
          <w:sz w:val="21"/>
          <w:szCs w:val="21"/>
        </w:rPr>
      </w:pPr>
      <w:r>
        <w:rPr>
          <w:rFonts w:hAnsi="宋体"/>
          <w:color w:val="000000"/>
          <w:sz w:val="21"/>
          <w:szCs w:val="21"/>
        </w:rPr>
        <w:t>8）其他规划认为需要的图件</w:t>
      </w:r>
    </w:p>
    <w:p>
      <w:pPr>
        <w:spacing w:line="500" w:lineRule="exact"/>
        <w:ind w:firstLine="422" w:firstLineChars="200"/>
        <w:rPr>
          <w:rFonts w:hAnsi="宋体"/>
          <w:b/>
          <w:bCs/>
          <w:color w:val="000000"/>
          <w:sz w:val="21"/>
          <w:szCs w:val="21"/>
        </w:rPr>
      </w:pPr>
      <w:r>
        <w:rPr>
          <w:rFonts w:hint="eastAsia" w:hAnsi="宋体"/>
          <w:b/>
          <w:bCs/>
          <w:color w:val="000000"/>
          <w:sz w:val="21"/>
          <w:szCs w:val="21"/>
        </w:rPr>
        <w:t>（2）研究性文件。包括规划说明、分析图集、专题报告等内容。</w:t>
      </w:r>
    </w:p>
    <w:p>
      <w:pPr>
        <w:spacing w:line="500" w:lineRule="exact"/>
        <w:ind w:firstLine="420" w:firstLineChars="200"/>
        <w:rPr>
          <w:rFonts w:hAnsi="宋体"/>
          <w:color w:val="000000"/>
          <w:sz w:val="21"/>
          <w:szCs w:val="21"/>
        </w:rPr>
      </w:pPr>
      <w:r>
        <w:rPr>
          <w:rFonts w:hint="eastAsia" w:hAnsi="宋体"/>
          <w:color w:val="000000"/>
          <w:sz w:val="21"/>
          <w:szCs w:val="21"/>
        </w:rPr>
        <w:t>其中分析图集包括不限于：</w:t>
      </w:r>
    </w:p>
    <w:p>
      <w:pPr>
        <w:spacing w:line="500" w:lineRule="exact"/>
        <w:ind w:firstLine="420" w:firstLineChars="200"/>
        <w:rPr>
          <w:rFonts w:hAnsi="宋体"/>
          <w:color w:val="000000"/>
          <w:sz w:val="21"/>
          <w:szCs w:val="21"/>
        </w:rPr>
      </w:pPr>
      <w:r>
        <w:rPr>
          <w:rFonts w:hint="eastAsia" w:hAnsi="宋体"/>
          <w:color w:val="000000"/>
          <w:sz w:val="21"/>
          <w:szCs w:val="21"/>
        </w:rPr>
        <w:t>1）行政区划图</w:t>
      </w:r>
    </w:p>
    <w:p>
      <w:pPr>
        <w:spacing w:line="500" w:lineRule="exact"/>
        <w:ind w:firstLine="420" w:firstLineChars="200"/>
        <w:rPr>
          <w:rFonts w:hAnsi="宋体"/>
          <w:color w:val="000000"/>
          <w:sz w:val="21"/>
          <w:szCs w:val="21"/>
        </w:rPr>
      </w:pPr>
      <w:r>
        <w:rPr>
          <w:rFonts w:hint="eastAsia" w:hAnsi="宋体"/>
          <w:color w:val="000000"/>
          <w:sz w:val="21"/>
          <w:szCs w:val="21"/>
        </w:rPr>
        <w:t>2）国土空间用地现状图</w:t>
      </w:r>
    </w:p>
    <w:p>
      <w:pPr>
        <w:spacing w:line="500" w:lineRule="exact"/>
        <w:ind w:firstLine="420" w:firstLineChars="200"/>
        <w:rPr>
          <w:rFonts w:hAnsi="宋体"/>
          <w:color w:val="000000"/>
          <w:sz w:val="21"/>
          <w:szCs w:val="21"/>
        </w:rPr>
      </w:pPr>
      <w:r>
        <w:rPr>
          <w:rFonts w:hint="eastAsia" w:hAnsi="宋体"/>
          <w:color w:val="000000"/>
          <w:sz w:val="21"/>
          <w:szCs w:val="21"/>
        </w:rPr>
        <w:t>3）道路交通现状图</w:t>
      </w:r>
    </w:p>
    <w:p>
      <w:pPr>
        <w:spacing w:line="500" w:lineRule="exact"/>
        <w:ind w:firstLine="420" w:firstLineChars="200"/>
        <w:rPr>
          <w:rFonts w:hAnsi="宋体"/>
          <w:color w:val="000000"/>
          <w:sz w:val="21"/>
          <w:szCs w:val="21"/>
        </w:rPr>
      </w:pPr>
      <w:r>
        <w:rPr>
          <w:rFonts w:hint="eastAsia" w:hAnsi="宋体"/>
          <w:color w:val="000000"/>
          <w:sz w:val="21"/>
          <w:szCs w:val="21"/>
        </w:rPr>
        <w:t>4）基础设施现状图</w:t>
      </w:r>
    </w:p>
    <w:p>
      <w:pPr>
        <w:spacing w:line="500" w:lineRule="exact"/>
        <w:ind w:firstLine="420" w:firstLineChars="200"/>
        <w:rPr>
          <w:rFonts w:hAnsi="宋体"/>
          <w:color w:val="000000"/>
          <w:sz w:val="21"/>
          <w:szCs w:val="21"/>
        </w:rPr>
      </w:pPr>
      <w:r>
        <w:rPr>
          <w:rFonts w:hint="eastAsia" w:hAnsi="宋体"/>
          <w:color w:val="000000"/>
          <w:sz w:val="21"/>
          <w:szCs w:val="21"/>
        </w:rPr>
        <w:t>5）自然灾害风险分布图</w:t>
      </w:r>
    </w:p>
    <w:p>
      <w:pPr>
        <w:spacing w:line="500" w:lineRule="exact"/>
        <w:ind w:firstLine="420" w:firstLineChars="200"/>
        <w:rPr>
          <w:rFonts w:hAnsi="宋体"/>
          <w:color w:val="000000"/>
          <w:sz w:val="21"/>
          <w:szCs w:val="21"/>
        </w:rPr>
      </w:pPr>
      <w:r>
        <w:rPr>
          <w:rFonts w:hint="eastAsia" w:hAnsi="宋体"/>
          <w:color w:val="000000"/>
          <w:sz w:val="21"/>
          <w:szCs w:val="21"/>
        </w:rPr>
        <w:t>6）用地现状图</w:t>
      </w:r>
    </w:p>
    <w:p>
      <w:pPr>
        <w:spacing w:line="500" w:lineRule="exact"/>
        <w:ind w:firstLine="420" w:firstLineChars="200"/>
        <w:rPr>
          <w:rFonts w:hAnsi="宋体"/>
          <w:color w:val="000000"/>
          <w:sz w:val="21"/>
          <w:szCs w:val="21"/>
        </w:rPr>
      </w:pPr>
      <w:r>
        <w:rPr>
          <w:rFonts w:hint="eastAsia" w:hAnsi="宋体"/>
          <w:color w:val="000000"/>
          <w:sz w:val="21"/>
          <w:szCs w:val="21"/>
        </w:rPr>
        <w:t>7）公共服务设施现状图</w:t>
      </w:r>
    </w:p>
    <w:p>
      <w:pPr>
        <w:spacing w:line="500" w:lineRule="exact"/>
        <w:ind w:firstLine="420" w:firstLineChars="200"/>
        <w:rPr>
          <w:rFonts w:hAnsi="宋体"/>
          <w:color w:val="000000"/>
          <w:sz w:val="21"/>
          <w:szCs w:val="21"/>
        </w:rPr>
      </w:pPr>
      <w:r>
        <w:rPr>
          <w:rFonts w:hint="eastAsia" w:hAnsi="宋体"/>
          <w:color w:val="000000"/>
          <w:sz w:val="21"/>
          <w:szCs w:val="21"/>
        </w:rPr>
        <w:t>8）空间控制线矛盾分析图</w:t>
      </w:r>
    </w:p>
    <w:p>
      <w:pPr>
        <w:spacing w:line="500" w:lineRule="exact"/>
        <w:ind w:firstLine="420" w:firstLineChars="200"/>
        <w:rPr>
          <w:rFonts w:hAnsi="宋体"/>
          <w:color w:val="000000"/>
          <w:sz w:val="21"/>
          <w:szCs w:val="21"/>
        </w:rPr>
      </w:pPr>
      <w:r>
        <w:rPr>
          <w:rFonts w:hAnsi="宋体"/>
          <w:color w:val="000000"/>
          <w:sz w:val="21"/>
          <w:szCs w:val="21"/>
        </w:rPr>
        <w:t>9）国土空间控制线规划图（三条控制线图、其他重点控制线图）（法定图件）</w:t>
      </w:r>
    </w:p>
    <w:p>
      <w:pPr>
        <w:spacing w:line="500" w:lineRule="exact"/>
        <w:ind w:firstLine="420" w:firstLineChars="200"/>
        <w:rPr>
          <w:rFonts w:hAnsi="宋体"/>
          <w:color w:val="000000"/>
          <w:sz w:val="21"/>
          <w:szCs w:val="21"/>
        </w:rPr>
      </w:pPr>
      <w:r>
        <w:rPr>
          <w:rFonts w:hAnsi="宋体"/>
          <w:color w:val="000000"/>
          <w:sz w:val="21"/>
          <w:szCs w:val="21"/>
        </w:rPr>
        <w:t>10）农业空间规划图</w:t>
      </w:r>
    </w:p>
    <w:p>
      <w:pPr>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1）生态空间规划图</w:t>
      </w:r>
    </w:p>
    <w:p>
      <w:pPr>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2）城镇空间规划图</w:t>
      </w:r>
    </w:p>
    <w:p>
      <w:pPr>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3）国土空间用途分区规划图（法定图件）</w:t>
      </w:r>
    </w:p>
    <w:p>
      <w:pPr>
        <w:spacing w:line="500" w:lineRule="exact"/>
        <w:ind w:firstLine="420" w:firstLineChars="200"/>
        <w:rPr>
          <w:rFonts w:hAnsi="宋体"/>
          <w:color w:val="000000"/>
          <w:sz w:val="21"/>
          <w:szCs w:val="21"/>
        </w:rPr>
      </w:pPr>
      <w:r>
        <w:rPr>
          <w:rFonts w:hAnsi="宋体"/>
          <w:color w:val="000000"/>
          <w:sz w:val="21"/>
          <w:szCs w:val="21"/>
        </w:rPr>
        <w:t>14</w:t>
      </w:r>
      <w:r>
        <w:rPr>
          <w:rFonts w:hint="eastAsia" w:hAnsi="宋体"/>
          <w:color w:val="000000"/>
          <w:sz w:val="21"/>
          <w:szCs w:val="21"/>
        </w:rPr>
        <w:t>）</w:t>
      </w:r>
      <w:r>
        <w:rPr>
          <w:rFonts w:hAnsi="宋体"/>
          <w:color w:val="000000"/>
          <w:sz w:val="21"/>
          <w:szCs w:val="21"/>
        </w:rPr>
        <w:t>国土空间用地布局规划图</w:t>
      </w:r>
    </w:p>
    <w:p>
      <w:pPr>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5）国土空间用途规划图（法定图件）</w:t>
      </w:r>
    </w:p>
    <w:p>
      <w:pPr>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6）城乡生活圈和公共服务设施规划图</w:t>
      </w:r>
    </w:p>
    <w:p>
      <w:pPr>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7）交通设施规划图</w:t>
      </w:r>
    </w:p>
    <w:p>
      <w:pPr>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8）基础设施规划图</w:t>
      </w:r>
    </w:p>
    <w:p>
      <w:pPr>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9）防灾减灾规划图</w:t>
      </w:r>
    </w:p>
    <w:p>
      <w:pPr>
        <w:spacing w:line="500" w:lineRule="exact"/>
        <w:ind w:firstLine="420" w:firstLineChars="200"/>
        <w:rPr>
          <w:rFonts w:hAnsi="宋体"/>
          <w:color w:val="000000"/>
          <w:sz w:val="21"/>
          <w:szCs w:val="21"/>
        </w:rPr>
      </w:pPr>
      <w:r>
        <w:rPr>
          <w:rFonts w:hAnsi="宋体"/>
          <w:color w:val="000000"/>
          <w:sz w:val="21"/>
          <w:szCs w:val="21"/>
        </w:rPr>
        <w:t>20）历史文化保护规划图</w:t>
      </w:r>
    </w:p>
    <w:p>
      <w:pPr>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1）水资源安全保障和水源涵养保护规划图</w:t>
      </w:r>
    </w:p>
    <w:p>
      <w:pPr>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2）矿产资源规划图</w:t>
      </w:r>
    </w:p>
    <w:p>
      <w:pPr>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3）生态修复和综合整治规划图</w:t>
      </w:r>
    </w:p>
    <w:p>
      <w:pPr>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4）详细规划编制单元划分图（法定图件）</w:t>
      </w:r>
    </w:p>
    <w:p>
      <w:pPr>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5）近期国土空间用地规划图</w:t>
      </w:r>
    </w:p>
    <w:p>
      <w:pPr>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6）</w:t>
      </w:r>
      <w:r>
        <w:rPr>
          <w:rFonts w:hint="eastAsia" w:hAnsi="宋体"/>
          <w:color w:val="000000"/>
          <w:sz w:val="21"/>
          <w:szCs w:val="21"/>
        </w:rPr>
        <w:t>中心城区（实体范围）</w:t>
      </w:r>
      <w:r>
        <w:rPr>
          <w:rFonts w:hAnsi="宋体"/>
          <w:color w:val="000000"/>
          <w:sz w:val="21"/>
          <w:szCs w:val="21"/>
        </w:rPr>
        <w:t>国土空间用地规划图</w:t>
      </w:r>
    </w:p>
    <w:p>
      <w:pPr>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7）</w:t>
      </w:r>
      <w:r>
        <w:rPr>
          <w:rFonts w:hint="eastAsia" w:hAnsi="宋体"/>
          <w:color w:val="000000"/>
          <w:sz w:val="21"/>
          <w:szCs w:val="21"/>
        </w:rPr>
        <w:t>中心城区（实体范围）</w:t>
      </w:r>
      <w:r>
        <w:rPr>
          <w:rFonts w:hAnsi="宋体"/>
          <w:color w:val="000000"/>
          <w:sz w:val="21"/>
          <w:szCs w:val="21"/>
        </w:rPr>
        <w:t>重点控制线规划图（法定图件）</w:t>
      </w:r>
    </w:p>
    <w:p>
      <w:pPr>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8）</w:t>
      </w:r>
      <w:r>
        <w:rPr>
          <w:rFonts w:hint="eastAsia" w:hAnsi="宋体"/>
          <w:color w:val="000000"/>
          <w:sz w:val="21"/>
          <w:szCs w:val="21"/>
        </w:rPr>
        <w:t>中心城区（实体范围）</w:t>
      </w:r>
      <w:r>
        <w:rPr>
          <w:rFonts w:hAnsi="宋体"/>
          <w:color w:val="000000"/>
          <w:sz w:val="21"/>
          <w:szCs w:val="21"/>
        </w:rPr>
        <w:t>用途分区规划图（法定图件）</w:t>
      </w:r>
    </w:p>
    <w:p>
      <w:pPr>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9）</w:t>
      </w:r>
      <w:r>
        <w:rPr>
          <w:rFonts w:hint="eastAsia" w:hAnsi="宋体"/>
          <w:color w:val="000000"/>
          <w:sz w:val="21"/>
          <w:szCs w:val="21"/>
        </w:rPr>
        <w:t>中心城区（实体范围）</w:t>
      </w:r>
      <w:r>
        <w:rPr>
          <w:rFonts w:hAnsi="宋体"/>
          <w:color w:val="000000"/>
          <w:sz w:val="21"/>
          <w:szCs w:val="21"/>
        </w:rPr>
        <w:t>生活圈和公共服务设施体系规划图</w:t>
      </w:r>
    </w:p>
    <w:p>
      <w:pPr>
        <w:spacing w:line="500" w:lineRule="exact"/>
        <w:ind w:firstLine="420" w:firstLineChars="200"/>
        <w:rPr>
          <w:rFonts w:hAnsi="宋体"/>
          <w:color w:val="000000"/>
          <w:sz w:val="21"/>
          <w:szCs w:val="21"/>
        </w:rPr>
      </w:pPr>
      <w:r>
        <w:rPr>
          <w:rFonts w:hint="eastAsia" w:hAnsi="宋体"/>
          <w:color w:val="000000"/>
          <w:sz w:val="21"/>
          <w:szCs w:val="21"/>
        </w:rPr>
        <w:t>3</w:t>
      </w:r>
      <w:r>
        <w:rPr>
          <w:rFonts w:hAnsi="宋体"/>
          <w:color w:val="000000"/>
          <w:sz w:val="21"/>
          <w:szCs w:val="21"/>
        </w:rPr>
        <w:t>0）</w:t>
      </w:r>
      <w:r>
        <w:rPr>
          <w:rFonts w:hint="eastAsia" w:hAnsi="宋体"/>
          <w:color w:val="000000"/>
          <w:sz w:val="21"/>
          <w:szCs w:val="21"/>
        </w:rPr>
        <w:t>中心城区（实体范围）</w:t>
      </w:r>
      <w:r>
        <w:rPr>
          <w:rFonts w:hAnsi="宋体"/>
          <w:color w:val="000000"/>
          <w:sz w:val="21"/>
          <w:szCs w:val="21"/>
        </w:rPr>
        <w:t>道路交通规划图（法定图件）</w:t>
      </w:r>
    </w:p>
    <w:p>
      <w:pPr>
        <w:spacing w:line="500" w:lineRule="exact"/>
        <w:ind w:firstLine="420" w:firstLineChars="200"/>
        <w:rPr>
          <w:rFonts w:hAnsi="宋体"/>
          <w:color w:val="000000"/>
          <w:sz w:val="21"/>
          <w:szCs w:val="21"/>
        </w:rPr>
      </w:pPr>
      <w:r>
        <w:rPr>
          <w:rFonts w:hint="eastAsia" w:hAnsi="宋体"/>
          <w:color w:val="000000"/>
          <w:sz w:val="21"/>
          <w:szCs w:val="21"/>
        </w:rPr>
        <w:t>3</w:t>
      </w:r>
      <w:r>
        <w:rPr>
          <w:rFonts w:hAnsi="宋体"/>
          <w:color w:val="000000"/>
          <w:sz w:val="21"/>
          <w:szCs w:val="21"/>
        </w:rPr>
        <w:t>1）</w:t>
      </w:r>
      <w:r>
        <w:rPr>
          <w:rFonts w:hint="eastAsia" w:hAnsi="宋体"/>
          <w:color w:val="000000"/>
          <w:sz w:val="21"/>
          <w:szCs w:val="21"/>
        </w:rPr>
        <w:t>中心城区（实体范围）</w:t>
      </w:r>
      <w:r>
        <w:rPr>
          <w:rFonts w:hAnsi="宋体"/>
          <w:color w:val="000000"/>
          <w:sz w:val="21"/>
          <w:szCs w:val="21"/>
        </w:rPr>
        <w:t>市政基础设施规划图</w:t>
      </w:r>
    </w:p>
    <w:p>
      <w:pPr>
        <w:spacing w:line="500" w:lineRule="exact"/>
        <w:ind w:firstLine="420" w:firstLineChars="200"/>
        <w:rPr>
          <w:rFonts w:hAnsi="宋体"/>
          <w:color w:val="000000"/>
          <w:sz w:val="21"/>
          <w:szCs w:val="21"/>
        </w:rPr>
      </w:pPr>
      <w:r>
        <w:rPr>
          <w:rFonts w:hint="eastAsia" w:hAnsi="宋体"/>
          <w:color w:val="000000"/>
          <w:sz w:val="21"/>
          <w:szCs w:val="21"/>
        </w:rPr>
        <w:t>3</w:t>
      </w:r>
      <w:r>
        <w:rPr>
          <w:rFonts w:hAnsi="宋体"/>
          <w:color w:val="000000"/>
          <w:sz w:val="21"/>
          <w:szCs w:val="21"/>
        </w:rPr>
        <w:t>2）</w:t>
      </w:r>
      <w:r>
        <w:rPr>
          <w:rFonts w:hint="eastAsia" w:hAnsi="宋体"/>
          <w:color w:val="000000"/>
          <w:sz w:val="21"/>
          <w:szCs w:val="21"/>
        </w:rPr>
        <w:t>中心城区（实体范围）</w:t>
      </w:r>
      <w:r>
        <w:rPr>
          <w:rFonts w:hAnsi="宋体"/>
          <w:color w:val="000000"/>
          <w:sz w:val="21"/>
          <w:szCs w:val="21"/>
        </w:rPr>
        <w:t>综合防灾减灾规划图</w:t>
      </w:r>
    </w:p>
    <w:p>
      <w:pPr>
        <w:spacing w:line="500" w:lineRule="exact"/>
        <w:ind w:firstLine="420" w:firstLineChars="200"/>
        <w:rPr>
          <w:rFonts w:hAnsi="宋体"/>
          <w:color w:val="000000"/>
          <w:sz w:val="21"/>
          <w:szCs w:val="21"/>
        </w:rPr>
      </w:pPr>
      <w:r>
        <w:rPr>
          <w:rFonts w:hAnsi="宋体"/>
          <w:color w:val="000000"/>
          <w:sz w:val="21"/>
          <w:szCs w:val="21"/>
        </w:rPr>
        <w:t>33）其他规划认为需要的图件</w:t>
      </w:r>
    </w:p>
    <w:p>
      <w:pPr>
        <w:spacing w:line="500" w:lineRule="exact"/>
        <w:ind w:firstLine="422" w:firstLineChars="200"/>
        <w:rPr>
          <w:rFonts w:hAnsi="宋体"/>
          <w:b/>
          <w:bCs/>
          <w:color w:val="000000" w:themeColor="text1"/>
          <w:sz w:val="21"/>
          <w:szCs w:val="21"/>
        </w:rPr>
      </w:pPr>
      <w:r>
        <w:rPr>
          <w:rFonts w:hint="eastAsia" w:hAnsi="宋体"/>
          <w:b/>
          <w:bCs/>
          <w:color w:val="000000"/>
          <w:sz w:val="21"/>
          <w:szCs w:val="21"/>
        </w:rPr>
        <w:t>（3）其他文件。主要包括公示文件等。</w:t>
      </w:r>
    </w:p>
    <w:p>
      <w:pPr>
        <w:spacing w:line="500" w:lineRule="exact"/>
        <w:ind w:firstLine="420" w:firstLineChars="200"/>
        <w:rPr>
          <w:rFonts w:hAnsi="宋体"/>
          <w:color w:val="000000" w:themeColor="text1"/>
          <w:sz w:val="21"/>
          <w:szCs w:val="21"/>
        </w:rPr>
      </w:pPr>
      <w:r>
        <w:rPr>
          <w:rFonts w:hint="eastAsia" w:hAnsi="宋体"/>
          <w:color w:val="000000" w:themeColor="text1"/>
          <w:sz w:val="21"/>
          <w:szCs w:val="21"/>
        </w:rPr>
        <w:t>注：坐标系统采用“2000国家大地坐标系（CGCS2000）”，高程系统采用“1985国家高程基准”。</w:t>
      </w:r>
    </w:p>
    <w:p>
      <w:pPr>
        <w:pStyle w:val="2"/>
        <w:spacing w:before="0" w:after="0" w:line="500" w:lineRule="exact"/>
        <w:ind w:firstLine="422" w:firstLineChars="20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七、团队构成及服务承诺</w:t>
      </w:r>
    </w:p>
    <w:p>
      <w:pPr>
        <w:spacing w:line="500" w:lineRule="exact"/>
        <w:ind w:firstLine="420" w:firstLineChars="200"/>
        <w:rPr>
          <w:rFonts w:hAnsi="宋体"/>
          <w:color w:val="000000" w:themeColor="text1"/>
          <w:sz w:val="21"/>
          <w:szCs w:val="21"/>
        </w:rPr>
      </w:pPr>
      <w:r>
        <w:rPr>
          <w:rFonts w:hint="eastAsia" w:hAnsi="宋体" w:cs="宋体"/>
          <w:color w:val="000000" w:themeColor="text1"/>
          <w:sz w:val="21"/>
          <w:szCs w:val="21"/>
        </w:rPr>
        <w:t>★本项目设总</w:t>
      </w:r>
      <w:r>
        <w:rPr>
          <w:rFonts w:hint="eastAsia" w:hAnsi="宋体"/>
          <w:color w:val="000000" w:themeColor="text1"/>
          <w:sz w:val="21"/>
          <w:szCs w:val="21"/>
        </w:rPr>
        <w:t>项目负责人一名。</w:t>
      </w:r>
      <w:r>
        <w:rPr>
          <w:rFonts w:hint="eastAsia" w:hAnsi="宋体" w:cs="宋体"/>
          <w:color w:val="000000" w:themeColor="text1"/>
          <w:sz w:val="21"/>
          <w:szCs w:val="21"/>
        </w:rPr>
        <w:t>总</w:t>
      </w:r>
      <w:r>
        <w:rPr>
          <w:rFonts w:hint="eastAsia" w:hAnsi="宋体"/>
          <w:color w:val="000000" w:themeColor="text1"/>
          <w:sz w:val="21"/>
          <w:szCs w:val="21"/>
        </w:rPr>
        <w:t>项目负责人应有城乡规划高级职称，同时具有注册城市规划师资格。项目负责人在服务周期内原则上由同一人担任。如非因不可抗力，导致项目负责人更换的，须由具有同等能力水平和业务水准的人员担任，且报经招标人同意后方可更换。</w:t>
      </w:r>
    </w:p>
    <w:p>
      <w:pPr>
        <w:spacing w:line="500" w:lineRule="exact"/>
        <w:ind w:firstLine="420" w:firstLineChars="200"/>
        <w:rPr>
          <w:rFonts w:hAnsi="宋体"/>
          <w:color w:val="000000" w:themeColor="text1"/>
          <w:sz w:val="21"/>
          <w:szCs w:val="21"/>
        </w:rPr>
      </w:pPr>
      <w:r>
        <w:rPr>
          <w:rFonts w:hint="eastAsia" w:hAnsi="宋体"/>
          <w:color w:val="000000" w:themeColor="text1"/>
          <w:sz w:val="21"/>
          <w:szCs w:val="21"/>
        </w:rPr>
        <w:t>项目团队结合实际情况，</w:t>
      </w:r>
      <w:r>
        <w:rPr>
          <w:rFonts w:hint="eastAsia" w:hAnsi="宋体" w:cs="宋体"/>
          <w:color w:val="000000" w:themeColor="text1"/>
          <w:sz w:val="21"/>
          <w:szCs w:val="21"/>
        </w:rPr>
        <w:t>设婺城片区、金东片区两个团队，各设主创规划师和联络人</w:t>
      </w:r>
      <w:r>
        <w:rPr>
          <w:rFonts w:hint="eastAsia" w:hAnsi="宋体"/>
          <w:color w:val="000000" w:themeColor="text1"/>
          <w:sz w:val="21"/>
          <w:szCs w:val="21"/>
        </w:rPr>
        <w:t>一名。分别组建</w:t>
      </w:r>
      <w:r>
        <w:rPr>
          <w:rFonts w:hint="eastAsia" w:hAnsi="宋体"/>
          <w:color w:val="000000" w:themeColor="text1"/>
          <w:sz w:val="21"/>
          <w:szCs w:val="21"/>
          <w:lang w:eastAsia="zh-CN"/>
        </w:rPr>
        <w:t>十</w:t>
      </w:r>
      <w:r>
        <w:rPr>
          <w:rFonts w:hint="eastAsia" w:hAnsi="宋体"/>
          <w:color w:val="000000" w:themeColor="text1"/>
          <w:sz w:val="21"/>
          <w:szCs w:val="21"/>
        </w:rPr>
        <w:t>人以上专业技术团队，专业需覆盖规划、土地管理、交通、市政、产业等。</w:t>
      </w:r>
    </w:p>
    <w:p>
      <w:pPr>
        <w:spacing w:line="500" w:lineRule="exact"/>
        <w:ind w:firstLine="420" w:firstLineChars="200"/>
        <w:rPr>
          <w:rFonts w:hAnsi="宋体"/>
          <w:color w:val="000000" w:themeColor="text1"/>
          <w:sz w:val="21"/>
          <w:szCs w:val="21"/>
        </w:rPr>
      </w:pPr>
      <w:r>
        <w:rPr>
          <w:rFonts w:hint="eastAsia" w:hAnsi="宋体"/>
          <w:color w:val="000000" w:themeColor="text1"/>
          <w:sz w:val="21"/>
          <w:szCs w:val="21"/>
        </w:rPr>
        <w:t>中标人应在项目服务期内做出驻地服务承诺，设计周期内，至少需安排</w:t>
      </w:r>
      <w:r>
        <w:rPr>
          <w:rFonts w:hint="eastAsia" w:hAnsi="宋体"/>
          <w:color w:val="000000" w:themeColor="text1"/>
          <w:sz w:val="21"/>
          <w:szCs w:val="21"/>
          <w:lang w:eastAsia="zh-CN"/>
        </w:rPr>
        <w:t>一名人员</w:t>
      </w:r>
      <w:r>
        <w:rPr>
          <w:rFonts w:hint="eastAsia" w:hAnsi="宋体"/>
          <w:color w:val="000000" w:themeColor="text1"/>
          <w:sz w:val="21"/>
          <w:szCs w:val="21"/>
        </w:rPr>
        <w:t>作为长期驻地负责人。驻地负责人应服从采购人的工作安排。采购人有方案汇报、讨论或主要节点驻地服务等需求时，中标人须及时响应并组织团队在24小时之内到达。方案需由</w:t>
      </w:r>
      <w:r>
        <w:rPr>
          <w:rFonts w:hint="eastAsia" w:hAnsi="宋体" w:cs="宋体"/>
          <w:color w:val="000000" w:themeColor="text1"/>
          <w:sz w:val="21"/>
          <w:szCs w:val="21"/>
        </w:rPr>
        <w:t>总</w:t>
      </w:r>
      <w:r>
        <w:rPr>
          <w:rFonts w:hint="eastAsia" w:hAnsi="宋体"/>
          <w:color w:val="000000" w:themeColor="text1"/>
          <w:sz w:val="21"/>
          <w:szCs w:val="21"/>
        </w:rPr>
        <w:t>项目负责人或</w:t>
      </w:r>
      <w:r>
        <w:rPr>
          <w:rFonts w:hint="eastAsia" w:hAnsi="宋体" w:cs="宋体"/>
          <w:color w:val="000000" w:themeColor="text1"/>
          <w:sz w:val="21"/>
          <w:szCs w:val="21"/>
        </w:rPr>
        <w:t>主创规划师</w:t>
      </w:r>
      <w:r>
        <w:rPr>
          <w:rFonts w:hint="eastAsia" w:hAnsi="宋体"/>
          <w:color w:val="000000" w:themeColor="text1"/>
          <w:sz w:val="21"/>
          <w:szCs w:val="21"/>
        </w:rPr>
        <w:t>项目负责人汇报。</w:t>
      </w:r>
    </w:p>
    <w:p>
      <w:pPr>
        <w:pStyle w:val="2"/>
        <w:spacing w:before="0" w:after="0" w:line="500" w:lineRule="exact"/>
        <w:ind w:firstLine="422" w:firstLineChars="20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八、费用及支付方式</w:t>
      </w:r>
    </w:p>
    <w:p>
      <w:pPr>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1.付款方式</w:t>
      </w:r>
    </w:p>
    <w:p>
      <w:pPr>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由各个采购人根据各自管辖范围内区域的规划编制中标金额分别与中标人签合同，并在各付款阶段根据各自合同金额的比例支付。</w:t>
      </w:r>
    </w:p>
    <w:p>
      <w:pPr>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（1）合同签订后且具备实施条件后7个工作日内，由采购人向中标人支付合同金额的30%；</w:t>
      </w:r>
    </w:p>
    <w:p>
      <w:pPr>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（2）规划方案通过评审会后，支付合同金额的40%；</w:t>
      </w:r>
    </w:p>
    <w:p>
      <w:pPr>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（3）规划成果获批复实施，并提交全部成果后30日内支付合同金额的30%。</w:t>
      </w:r>
    </w:p>
    <w:p>
      <w:pPr>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2.若联合体单位中标，联合体各方应当共同与招标人签订采购合同，联合体协议及合同中应明确联合体各方职责、费用，并就采购合同约定的事项对采购人承担连带责任。每次付款前，联合体各方应分别向采购人出具相应金额合法有效的发票。</w:t>
      </w:r>
    </w:p>
    <w:p>
      <w:pPr>
        <w:pStyle w:val="44"/>
        <w:spacing w:after="0" w:line="500" w:lineRule="exact"/>
        <w:ind w:left="0" w:leftChars="0"/>
        <w:rPr>
          <w:rFonts w:hint="eastAsia" w:hAnsi="宋体" w:cs="宋体"/>
          <w:color w:val="000000" w:themeColor="text1"/>
          <w:sz w:val="21"/>
          <w:szCs w:val="21"/>
          <w:highlight w:val="none"/>
        </w:rPr>
      </w:pPr>
      <w:r>
        <w:rPr>
          <w:rFonts w:hint="eastAsia" w:hAnsi="宋体" w:cs="宋体"/>
          <w:b/>
          <w:bCs/>
          <w:color w:val="000000" w:themeColor="text1"/>
          <w:sz w:val="21"/>
          <w:szCs w:val="21"/>
          <w:highlight w:val="none"/>
        </w:rPr>
        <w:t>备注：</w:t>
      </w:r>
      <w:r>
        <w:rPr>
          <w:rFonts w:hint="eastAsia" w:hAnsi="宋体" w:cs="宋体"/>
          <w:color w:val="000000" w:themeColor="text1"/>
          <w:sz w:val="21"/>
          <w:szCs w:val="21"/>
          <w:highlight w:val="none"/>
        </w:rPr>
        <w:t>①如在签订合同时，中标人明确表示无需预付款或者主动要求降低预付款比例的，可降低预付款比例。</w:t>
      </w:r>
    </w:p>
    <w:p>
      <w:pPr>
        <w:pStyle w:val="44"/>
        <w:spacing w:after="0" w:line="500" w:lineRule="exact"/>
        <w:ind w:left="0" w:leftChars="0"/>
        <w:rPr>
          <w:color w:val="000000"/>
        </w:rPr>
      </w:pPr>
      <w:r>
        <w:rPr>
          <w:rFonts w:hint="eastAsia" w:hAnsi="宋体" w:cs="宋体"/>
          <w:color w:val="000000" w:themeColor="text1"/>
          <w:sz w:val="21"/>
          <w:szCs w:val="21"/>
          <w:highlight w:val="none"/>
        </w:rPr>
        <w:t>②</w:t>
      </w:r>
      <w:r>
        <w:rPr>
          <w:rFonts w:hint="eastAsia" w:hAnsi="宋体" w:cs="宋体"/>
          <w:color w:val="000000" w:themeColor="text1"/>
          <w:sz w:val="21"/>
          <w:szCs w:val="21"/>
          <w:highlight w:val="none"/>
          <w:lang w:val="zh-CN"/>
        </w:rPr>
        <w:t>为支持和促进中小企业发展，进一步发挥政府采购政策功能，浙江省财政厅出台浙财采监〔2020〕3 号文件，企业若有购买保险/保函或者融资意向，可登录政采云平台融资服务（https://jinrong.zcygov.cn/），查看相应融资政策文件及各相关服务方案，咨询热线400-903-9583。</w:t>
      </w:r>
    </w:p>
    <w:p>
      <w:pPr>
        <w:pStyle w:val="2"/>
        <w:spacing w:before="0" w:after="0" w:line="500" w:lineRule="exact"/>
        <w:ind w:firstLine="422"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九、合同签订</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中标人自接到《中标通知书》后应在20日内，按指定的地点与采购人签订合同。</w:t>
      </w:r>
    </w:p>
    <w:p>
      <w:pPr>
        <w:pStyle w:val="2"/>
        <w:spacing w:before="0" w:after="0" w:line="500" w:lineRule="exact"/>
        <w:ind w:firstLine="422" w:firstLineChars="200"/>
        <w:jc w:val="both"/>
        <w:rPr>
          <w:rFonts w:ascii="宋体" w:hAnsi="宋体" w:eastAsia="宋体" w:cs="宋体"/>
          <w:color w:val="000000"/>
          <w:sz w:val="21"/>
          <w:szCs w:val="21"/>
        </w:rPr>
      </w:pPr>
      <w:r>
        <w:rPr>
          <w:rFonts w:hint="eastAsia" w:ascii="宋体" w:hAnsi="宋体" w:eastAsia="宋体" w:cs="宋体"/>
          <w:color w:val="000000"/>
          <w:sz w:val="21"/>
          <w:szCs w:val="21"/>
        </w:rPr>
        <w:t>十、知识产权归属与相关法律问题</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1.采购人有权利和义务通过媒体、杂志或其它形式公开展示方案成果,征求市民意见。</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2.设计成果公布前，除采购人及其授权单位之外的任何单位和个人无权以任何形式公开展示、利用有效投标设计成果。如违反此项规定，采购人有权将其所应得酬金作为违约金扣除，以补偿因此产生的损失。</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3.中标人提交的设计成果应保持原创性，不得包含任何侵犯第三方知识产权的材料，否则由此产生的后果由中标人承担。</w:t>
      </w:r>
    </w:p>
    <w:bookmarkEnd w:id="38"/>
    <w:bookmarkEnd w:id="39"/>
    <w:bookmarkEnd w:id="40"/>
    <w:bookmarkEnd w:id="41"/>
    <w:bookmarkEnd w:id="42"/>
    <w:p>
      <w:pPr>
        <w:pStyle w:val="3"/>
        <w:spacing w:line="360" w:lineRule="auto"/>
        <w:jc w:val="center"/>
        <w:rPr>
          <w:rFonts w:ascii="宋体" w:hAnsi="宋体" w:cs="宋体"/>
          <w:sz w:val="30"/>
          <w:szCs w:val="30"/>
        </w:rPr>
      </w:pPr>
      <w:r>
        <w:rPr>
          <w:rFonts w:hint="eastAsia" w:ascii="宋体" w:hAnsi="宋体" w:cs="宋体"/>
          <w:sz w:val="30"/>
          <w:szCs w:val="30"/>
        </w:rPr>
        <w:br w:type="page"/>
      </w:r>
    </w:p>
    <w:p>
      <w:pPr>
        <w:pStyle w:val="3"/>
        <w:spacing w:line="360" w:lineRule="auto"/>
        <w:jc w:val="center"/>
        <w:rPr>
          <w:rFonts w:ascii="宋体" w:hAnsi="宋体" w:cs="宋体"/>
          <w:sz w:val="30"/>
          <w:szCs w:val="30"/>
        </w:rPr>
      </w:pPr>
      <w:r>
        <w:rPr>
          <w:rFonts w:hint="eastAsia" w:ascii="宋体" w:hAnsi="宋体" w:cs="宋体"/>
          <w:sz w:val="30"/>
          <w:szCs w:val="30"/>
        </w:rPr>
        <w:t>第三章  投标人须知</w:t>
      </w:r>
      <w:bookmarkEnd w:id="43"/>
    </w:p>
    <w:p>
      <w:pPr>
        <w:pStyle w:val="3"/>
        <w:spacing w:line="360" w:lineRule="auto"/>
        <w:jc w:val="center"/>
        <w:rPr>
          <w:rFonts w:ascii="宋体" w:hAnsi="宋体" w:cs="宋体"/>
          <w:sz w:val="30"/>
          <w:szCs w:val="30"/>
        </w:rPr>
      </w:pPr>
      <w:bookmarkStart w:id="44" w:name="_Toc351559943"/>
      <w:r>
        <w:rPr>
          <w:rFonts w:hint="eastAsia" w:ascii="宋体" w:hAnsi="宋体" w:cs="宋体"/>
          <w:sz w:val="30"/>
          <w:szCs w:val="30"/>
        </w:rPr>
        <w:t>前附表</w:t>
      </w:r>
      <w:bookmarkEnd w:id="44"/>
    </w:p>
    <w:tbl>
      <w:tblPr>
        <w:tblStyle w:val="45"/>
        <w:tblW w:w="988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8"/>
        <w:gridCol w:w="1575"/>
        <w:gridCol w:w="75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序号</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2940" w:firstLineChars="1400"/>
              <w:rPr>
                <w:rFonts w:hAnsi="宋体" w:cs="宋体"/>
                <w:color w:val="000000"/>
                <w:sz w:val="21"/>
                <w:szCs w:val="21"/>
              </w:rPr>
            </w:pPr>
            <w:r>
              <w:rPr>
                <w:rFonts w:hint="eastAsia" w:hAnsi="宋体" w:cs="宋体"/>
                <w:color w:val="000000"/>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color w:val="000000" w:themeColor="text1"/>
                <w:sz w:val="21"/>
                <w:szCs w:val="21"/>
              </w:rPr>
            </w:pPr>
            <w:r>
              <w:rPr>
                <w:rFonts w:hint="eastAsia" w:hAnsi="宋体" w:cs="宋体"/>
                <w:color w:val="000000" w:themeColor="text1"/>
                <w:sz w:val="21"/>
                <w:szCs w:val="21"/>
              </w:rPr>
              <w:t>项目名称：</w:t>
            </w:r>
            <w:r>
              <w:rPr>
                <w:rFonts w:hint="eastAsia" w:hAnsi="宋体" w:cs="宋体"/>
                <w:b/>
                <w:bCs/>
                <w:color w:val="000000" w:themeColor="text1"/>
                <w:sz w:val="21"/>
                <w:szCs w:val="21"/>
              </w:rPr>
              <w:t>《金华市区中心城区婺城片区（乡镇级）国土空间总体规划》、《金华市区中心城区金东片区（乡镇级）国土空间总体规划》</w:t>
            </w:r>
            <w:r>
              <w:rPr>
                <w:rFonts w:hint="eastAsia" w:hAnsi="宋体" w:cs="宋体"/>
                <w:color w:val="000000" w:themeColor="text1"/>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2</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b/>
                <w:bCs/>
                <w:color w:val="000000" w:themeColor="text1"/>
                <w:sz w:val="21"/>
                <w:szCs w:val="21"/>
              </w:rPr>
            </w:pPr>
            <w:r>
              <w:rPr>
                <w:rFonts w:hint="eastAsia" w:hAnsi="宋体" w:cs="宋体"/>
                <w:b/>
                <w:bCs/>
                <w:color w:val="000000" w:themeColor="text1"/>
                <w:sz w:val="21"/>
                <w:szCs w:val="21"/>
              </w:rPr>
              <w:t>投标报价及费用：</w:t>
            </w:r>
          </w:p>
          <w:p>
            <w:pPr>
              <w:snapToGrid w:val="0"/>
              <w:spacing w:line="460" w:lineRule="exact"/>
              <w:ind w:firstLine="422" w:firstLineChars="200"/>
              <w:rPr>
                <w:rFonts w:hAnsi="宋体" w:cs="宋体"/>
                <w:b/>
                <w:bCs/>
                <w:color w:val="000000" w:themeColor="text1"/>
                <w:sz w:val="21"/>
                <w:szCs w:val="21"/>
              </w:rPr>
            </w:pPr>
            <w:r>
              <w:rPr>
                <w:rFonts w:hint="eastAsia" w:hAnsi="宋体" w:cs="宋体"/>
                <w:b/>
                <w:bCs/>
                <w:color w:val="000000" w:themeColor="text1"/>
                <w:sz w:val="21"/>
                <w:szCs w:val="21"/>
              </w:rPr>
              <w:t xml:space="preserve">1、本项目投标应以明确的费用进行报价； </w:t>
            </w:r>
          </w:p>
          <w:p>
            <w:pPr>
              <w:snapToGrid w:val="0"/>
              <w:spacing w:line="460" w:lineRule="exact"/>
              <w:ind w:firstLine="422" w:firstLineChars="200"/>
              <w:rPr>
                <w:rFonts w:hAnsi="宋体" w:cs="宋体"/>
                <w:b/>
                <w:bCs/>
                <w:color w:val="000000" w:themeColor="text1"/>
                <w:sz w:val="21"/>
                <w:szCs w:val="21"/>
              </w:rPr>
            </w:pPr>
            <w:r>
              <w:rPr>
                <w:rFonts w:hint="eastAsia" w:hAnsi="宋体" w:cs="宋体"/>
                <w:b/>
                <w:bCs/>
                <w:color w:val="000000" w:themeColor="text1"/>
                <w:sz w:val="21"/>
                <w:szCs w:val="21"/>
              </w:rPr>
              <w:t>2、不论投标结果如何，投标人均应自行承担所有与投标有关的全部费用；</w:t>
            </w:r>
          </w:p>
          <w:p>
            <w:pPr>
              <w:snapToGrid w:val="0"/>
              <w:spacing w:line="460" w:lineRule="exact"/>
              <w:ind w:firstLine="422" w:firstLineChars="200"/>
              <w:rPr>
                <w:rFonts w:hAnsi="宋体" w:cs="宋体"/>
                <w:b/>
                <w:bCs/>
                <w:color w:val="000000" w:themeColor="text1"/>
                <w:sz w:val="21"/>
                <w:szCs w:val="21"/>
              </w:rPr>
            </w:pPr>
            <w:r>
              <w:rPr>
                <w:rFonts w:hint="eastAsia" w:hAnsi="宋体" w:cs="宋体"/>
                <w:b/>
                <w:color w:val="000000" w:themeColor="text1"/>
                <w:sz w:val="21"/>
                <w:szCs w:val="21"/>
              </w:rPr>
              <w:t>3、投标人取得中标资格后，</w:t>
            </w:r>
            <w:r>
              <w:rPr>
                <w:rFonts w:hAnsi="宋体" w:cs="Arial"/>
                <w:b/>
                <w:color w:val="000000" w:themeColor="text1"/>
                <w:sz w:val="21"/>
                <w:szCs w:val="21"/>
              </w:rPr>
              <w:t>须</w:t>
            </w:r>
            <w:r>
              <w:rPr>
                <w:rFonts w:hint="eastAsia" w:hAnsi="宋体" w:cs="Arial"/>
                <w:b/>
                <w:color w:val="000000" w:themeColor="text1"/>
                <w:sz w:val="21"/>
                <w:szCs w:val="21"/>
              </w:rPr>
              <w:t>参</w:t>
            </w:r>
            <w:r>
              <w:rPr>
                <w:rFonts w:hAnsi="宋体" w:cs="Arial"/>
                <w:b/>
                <w:color w:val="000000" w:themeColor="text1"/>
                <w:sz w:val="21"/>
                <w:szCs w:val="21"/>
              </w:rPr>
              <w:t>照原国家计委的计价格（2002）1980号《关于招标代理服务收费管理暂行办法的通知》文件规定</w:t>
            </w:r>
            <w:r>
              <w:rPr>
                <w:rFonts w:hint="eastAsia" w:hAnsi="宋体" w:cs="Arial"/>
                <w:b/>
                <w:color w:val="000000" w:themeColor="text1"/>
                <w:sz w:val="21"/>
                <w:szCs w:val="21"/>
              </w:rPr>
              <w:t>标准</w:t>
            </w:r>
            <w:r>
              <w:rPr>
                <w:rFonts w:hAnsi="宋体" w:cs="Arial"/>
                <w:b/>
                <w:color w:val="000000" w:themeColor="text1"/>
                <w:sz w:val="21"/>
                <w:szCs w:val="21"/>
              </w:rPr>
              <w:t>向招标代理机构支付</w:t>
            </w:r>
            <w:r>
              <w:rPr>
                <w:rFonts w:hint="eastAsia" w:hAnsi="宋体" w:cs="Arial"/>
                <w:b/>
                <w:color w:val="000000" w:themeColor="text1"/>
                <w:sz w:val="21"/>
                <w:szCs w:val="21"/>
              </w:rPr>
              <w:t>中标金额（100万以内部分按1.275%计取，100万以上-500万以上部分按0.64%计取，500万以上按0.36%计取）采购代理</w:t>
            </w:r>
            <w:r>
              <w:rPr>
                <w:rFonts w:hAnsi="宋体" w:cs="Arial"/>
                <w:b/>
                <w:color w:val="000000" w:themeColor="text1"/>
                <w:sz w:val="21"/>
                <w:szCs w:val="21"/>
              </w:rPr>
              <w:t>服务费</w:t>
            </w:r>
            <w:r>
              <w:rPr>
                <w:rFonts w:hint="eastAsia" w:hAnsi="宋体" w:cs="Arial"/>
                <w:b/>
                <w:color w:val="000000" w:themeColor="text1"/>
                <w:sz w:val="21"/>
                <w:szCs w:val="21"/>
              </w:rPr>
              <w:t>，</w:t>
            </w:r>
            <w:r>
              <w:rPr>
                <w:rFonts w:hint="eastAsia" w:hAnsi="宋体" w:cs="宋体"/>
                <w:b/>
                <w:color w:val="000000" w:themeColor="text1"/>
                <w:sz w:val="21"/>
                <w:szCs w:val="21"/>
              </w:rPr>
              <w:t>户名：金华市天盈招标代理有限公司   开户银行：金华银行股份有限公司多湖支行</w:t>
            </w:r>
          </w:p>
          <w:p>
            <w:pPr>
              <w:snapToGrid w:val="0"/>
              <w:spacing w:line="460" w:lineRule="exact"/>
              <w:rPr>
                <w:rFonts w:hAnsi="宋体" w:cs="宋体"/>
                <w:b/>
                <w:bCs/>
                <w:color w:val="000000" w:themeColor="text1"/>
                <w:sz w:val="21"/>
                <w:szCs w:val="21"/>
              </w:rPr>
            </w:pPr>
            <w:r>
              <w:rPr>
                <w:rFonts w:hint="eastAsia" w:hAnsi="宋体" w:cs="宋体"/>
                <w:b/>
                <w:color w:val="000000" w:themeColor="text1"/>
                <w:sz w:val="21"/>
                <w:szCs w:val="21"/>
              </w:rPr>
              <w:t xml:space="preserve">银行账号：0188990822000064。（汇款用途请注明“采购代理服务费”及项目编号 ： </w:t>
            </w:r>
            <w:r>
              <w:rPr>
                <w:rFonts w:hint="eastAsia" w:hAnsi="宋体" w:cs="宋体"/>
                <w:b/>
                <w:color w:val="000000" w:themeColor="text1"/>
                <w:sz w:val="21"/>
                <w:szCs w:val="21"/>
                <w:lang w:val="en-US" w:eastAsia="zh-CN"/>
              </w:rPr>
              <w:t>325</w:t>
            </w:r>
            <w:r>
              <w:rPr>
                <w:rFonts w:hint="eastAsia" w:hAnsi="宋体" w:cs="宋体"/>
                <w:b/>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3</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color w:val="000000"/>
                <w:sz w:val="21"/>
                <w:szCs w:val="21"/>
              </w:rPr>
            </w:pPr>
            <w:r>
              <w:rPr>
                <w:rFonts w:hint="eastAsia" w:hAnsi="宋体" w:cs="宋体"/>
                <w:color w:val="000000"/>
                <w:sz w:val="21"/>
                <w:szCs w:val="21"/>
              </w:rPr>
              <w:t>答疑与澄清：投标人如认为招标文件表述不清晰、存在歧视性、排他性或者其他违法内容的，应当自知道或者应知其权益受到损害之日起7个工作日内，以书面形式要求招标采购单位作出书面解释、澄清或者向招标采购单位提出书面质疑；招标采购单位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4</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hAnsi="宋体" w:cs="宋体"/>
                <w:b/>
                <w:bCs/>
                <w:color w:val="000000"/>
                <w:sz w:val="21"/>
                <w:szCs w:val="21"/>
              </w:rPr>
            </w:pPr>
            <w:r>
              <w:rPr>
                <w:rFonts w:hint="eastAsia" w:hAnsi="宋体" w:cs="宋体"/>
                <w:b/>
                <w:bCs/>
                <w:color w:val="000000"/>
                <w:sz w:val="21"/>
                <w:szCs w:val="21"/>
              </w:rPr>
              <w:t>政策落实：</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1、扶持中小企业（监狱企业、残疾人福利性单位）：</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（1）项目预算：</w:t>
            </w:r>
            <w:r>
              <w:rPr>
                <w:rFonts w:hint="eastAsia" w:hAnsi="宋体" w:cs="宋体"/>
                <w:sz w:val="21"/>
                <w:szCs w:val="21"/>
              </w:rPr>
              <w:t xml:space="preserve"> 735万元。</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（2）项目属性：</w:t>
            </w:r>
            <w:r>
              <w:rPr>
                <w:rFonts w:hint="eastAsia" w:hAnsi="宋体" w:cs="宋体"/>
                <w:color w:val="000000"/>
                <w:sz w:val="21"/>
                <w:szCs w:val="21"/>
                <w:u w:val="single"/>
              </w:rPr>
              <w:t xml:space="preserve"> ②  </w:t>
            </w:r>
            <w:r>
              <w:rPr>
                <w:rFonts w:hint="eastAsia" w:hAnsi="宋体" w:cs="宋体"/>
                <w:color w:val="000000"/>
                <w:sz w:val="21"/>
                <w:szCs w:val="21"/>
              </w:rPr>
              <w:t>（①货物类/②服务类/③工程类）</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（3）项目对应的中小企业划分标准所属行业：</w:t>
            </w:r>
            <w:r>
              <w:rPr>
                <w:rFonts w:hint="eastAsia" w:hAnsi="宋体" w:cs="宋体"/>
                <w:color w:val="000000"/>
                <w:sz w:val="21"/>
                <w:szCs w:val="21"/>
                <w:u w:val="single"/>
              </w:rPr>
              <w:t>其他未列明行业---科学研究和技术服务业</w:t>
            </w:r>
            <w:r>
              <w:rPr>
                <w:rFonts w:hint="eastAsia" w:hAnsi="宋体" w:cs="宋体"/>
                <w:color w:val="000000"/>
                <w:sz w:val="21"/>
                <w:szCs w:val="21"/>
              </w:rPr>
              <w:t xml:space="preserve"> （具体根据《中小企业划型标准规定》执行）</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（4）本项目</w:t>
            </w:r>
            <w:r>
              <w:rPr>
                <w:rFonts w:hint="eastAsia" w:hAnsi="宋体" w:cs="宋体"/>
                <w:color w:val="000000"/>
                <w:sz w:val="21"/>
                <w:szCs w:val="21"/>
                <w:u w:val="single"/>
              </w:rPr>
              <w:t>否</w:t>
            </w:r>
            <w:r>
              <w:rPr>
                <w:rFonts w:hint="eastAsia" w:hAnsi="宋体" w:cs="宋体"/>
                <w:color w:val="000000"/>
                <w:sz w:val="21"/>
                <w:szCs w:val="21"/>
              </w:rPr>
              <w:t>（是/否）属于预留份额专门面向中小企业采购的项目。</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（5）对于经主管预算单位统筹后未预留份额专门面向中小企业采购的采购项目，以及预留份额项目中的非预留部分采购包，对小微企业报价给予</w:t>
            </w:r>
            <w:r>
              <w:rPr>
                <w:rFonts w:hint="eastAsia" w:hAnsi="宋体" w:cs="宋体"/>
                <w:color w:val="000000"/>
                <w:sz w:val="21"/>
                <w:szCs w:val="21"/>
                <w:u w:val="single"/>
              </w:rPr>
              <w:t>10%</w:t>
            </w:r>
            <w:r>
              <w:rPr>
                <w:rFonts w:hint="eastAsia" w:hAnsi="宋体" w:cs="宋体"/>
                <w:color w:val="000000"/>
                <w:sz w:val="21"/>
                <w:szCs w:val="21"/>
              </w:rPr>
              <w:t xml:space="preserve">的扣除，用扣除后的价格参加评审。 </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对于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hAnsi="宋体" w:cs="宋体"/>
                <w:color w:val="000000"/>
                <w:sz w:val="21"/>
                <w:szCs w:val="21"/>
                <w:u w:val="single"/>
              </w:rPr>
              <w:t>6%</w:t>
            </w:r>
            <w:r>
              <w:rPr>
                <w:rFonts w:hint="eastAsia" w:hAnsi="宋体" w:cs="宋体"/>
                <w:color w:val="000000"/>
                <w:sz w:val="21"/>
                <w:szCs w:val="21"/>
              </w:rPr>
              <w:t>的扣除，用扣除后的价格参加评审。</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2、节能产品、环境标志产品的强制采购政策</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不适用。）</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3、节能产品、环境标志产品的优先采购政策</w:t>
            </w:r>
          </w:p>
          <w:p>
            <w:pPr>
              <w:snapToGrid w:val="0"/>
              <w:spacing w:line="460" w:lineRule="exact"/>
              <w:rPr>
                <w:rFonts w:hAnsi="宋体" w:cs="宋体"/>
                <w:color w:val="000000"/>
                <w:sz w:val="21"/>
                <w:szCs w:val="21"/>
              </w:rPr>
            </w:pPr>
            <w:r>
              <w:rPr>
                <w:rFonts w:hint="eastAsia" w:hAnsi="宋体" w:cs="宋体"/>
                <w:color w:val="000000"/>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5</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信用查询：</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根据《关于在政府采购活动中查询及使用信用记录有关问题的通知》财库[2016]125号的规定：</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（1）招标人或采购代理机构将对本项目供应商的信用记录进行查询。查询渠道为信用中国网站（www.creditchina.gov.cn）、中国政府采购网（www.ccgp.gov.cn）；</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（2）截止时点：提交投标文件（响应文件）截止时间前3年内；</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（3）查询记录和证据的留存：信用信息查询记录和证据以网页截图等方式留存。</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jc w:val="both"/>
              <w:textAlignment w:val="bottom"/>
              <w:rPr>
                <w:rFonts w:hAnsi="宋体" w:cs="宋体"/>
                <w:b/>
                <w:bCs/>
                <w:color w:val="000000"/>
                <w:sz w:val="21"/>
                <w:szCs w:val="21"/>
              </w:rPr>
            </w:pPr>
            <w:r>
              <w:rPr>
                <w:rFonts w:hint="eastAsia" w:hAnsi="宋体" w:cs="宋体"/>
                <w:bCs/>
                <w:color w:val="000000"/>
                <w:sz w:val="21"/>
                <w:szCs w:val="21"/>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6</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节能产品</w:t>
            </w:r>
          </w:p>
        </w:tc>
        <w:tc>
          <w:tcPr>
            <w:tcW w:w="752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sym w:font="Wingdings 2" w:char="00A3"/>
            </w:r>
            <w:r>
              <w:rPr>
                <w:rFonts w:hint="eastAsia" w:hAnsi="宋体" w:cs="宋体"/>
                <w:bCs/>
                <w:color w:val="000000"/>
                <w:sz w:val="21"/>
                <w:szCs w:val="21"/>
              </w:rPr>
              <w:t xml:space="preserve"> 强制采购节能产品</w:t>
            </w:r>
          </w:p>
          <w:p>
            <w:pPr>
              <w:pStyle w:val="110"/>
              <w:spacing w:line="460" w:lineRule="exact"/>
              <w:textAlignment w:val="bottom"/>
              <w:rPr>
                <w:rFonts w:hAnsi="宋体" w:cs="宋体"/>
                <w:bCs/>
                <w:color w:val="000000"/>
                <w:sz w:val="21"/>
              </w:rPr>
            </w:pPr>
            <w:r>
              <w:rPr>
                <w:rFonts w:hint="eastAsia" w:hAnsi="宋体" w:cs="宋体"/>
                <w:bCs/>
                <w:color w:val="000000"/>
                <w:sz w:val="21"/>
              </w:rPr>
              <w:t>□ 优先采购节能产品</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sym w:font="Wingdings" w:char="00FE"/>
            </w:r>
            <w:r>
              <w:rPr>
                <w:rFonts w:hint="eastAsia" w:hAnsi="宋体" w:cs="宋体"/>
                <w:bCs/>
                <w:color w:val="000000"/>
                <w:sz w:val="21"/>
                <w:szCs w:val="21"/>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7</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环境标志产品</w:t>
            </w:r>
          </w:p>
        </w:tc>
        <w:tc>
          <w:tcPr>
            <w:tcW w:w="7526" w:type="dxa"/>
            <w:tcBorders>
              <w:top w:val="single" w:color="auto" w:sz="4" w:space="0"/>
              <w:left w:val="single" w:color="auto" w:sz="4" w:space="0"/>
              <w:bottom w:val="single" w:color="auto" w:sz="4" w:space="0"/>
              <w:right w:val="single" w:color="auto" w:sz="4" w:space="0"/>
            </w:tcBorders>
            <w:vAlign w:val="center"/>
          </w:tcPr>
          <w:p>
            <w:pPr>
              <w:pStyle w:val="110"/>
              <w:spacing w:line="460" w:lineRule="exact"/>
              <w:textAlignment w:val="bottom"/>
              <w:rPr>
                <w:rFonts w:hAnsi="宋体" w:cs="宋体"/>
                <w:bCs/>
                <w:color w:val="000000"/>
                <w:sz w:val="21"/>
              </w:rPr>
            </w:pPr>
            <w:r>
              <w:rPr>
                <w:rFonts w:hint="eastAsia" w:hAnsi="宋体" w:cs="宋体"/>
                <w:bCs/>
                <w:color w:val="000000"/>
                <w:sz w:val="21"/>
              </w:rPr>
              <w:t>□ 优先采购环境标志产品</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sym w:font="Wingdings" w:char="00FE"/>
            </w:r>
            <w:r>
              <w:rPr>
                <w:rFonts w:hint="eastAsia" w:hAnsi="宋体" w:cs="宋体"/>
                <w:bCs/>
                <w:color w:val="000000"/>
                <w:sz w:val="21"/>
                <w:szCs w:val="21"/>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8</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textAlignment w:val="bottom"/>
              <w:rPr>
                <w:rFonts w:hAnsi="宋体" w:cs="宋体"/>
                <w:color w:val="000000"/>
                <w:sz w:val="21"/>
                <w:szCs w:val="21"/>
              </w:rPr>
            </w:pPr>
            <w:r>
              <w:rPr>
                <w:rFonts w:hint="eastAsia" w:hAnsi="宋体" w:cs="宋体"/>
                <w:color w:val="000000"/>
                <w:sz w:val="21"/>
                <w:szCs w:val="21"/>
              </w:rPr>
              <w:t>投标文件的递交：</w:t>
            </w:r>
          </w:p>
          <w:p>
            <w:pPr>
              <w:snapToGrid w:val="0"/>
              <w:spacing w:line="460" w:lineRule="exact"/>
              <w:textAlignment w:val="bottom"/>
              <w:rPr>
                <w:rFonts w:hAnsi="宋体" w:cs="宋体"/>
                <w:color w:val="000000"/>
                <w:sz w:val="21"/>
                <w:szCs w:val="21"/>
              </w:rPr>
            </w:pPr>
            <w:r>
              <w:rPr>
                <w:rFonts w:hint="eastAsia" w:hAnsi="宋体" w:cs="宋体"/>
                <w:color w:val="000000"/>
                <w:sz w:val="21"/>
                <w:szCs w:val="21"/>
              </w:rPr>
              <w:t>本项目投标文件分资格文件、商务技术文件、报价文件三部分。投标人应以以下方式递交投标文件：</w:t>
            </w:r>
          </w:p>
          <w:p>
            <w:pPr>
              <w:snapToGrid w:val="0"/>
              <w:spacing w:line="460" w:lineRule="exact"/>
              <w:textAlignment w:val="bottom"/>
              <w:rPr>
                <w:rFonts w:hAnsi="宋体" w:cs="宋体"/>
                <w:color w:val="000000"/>
                <w:sz w:val="21"/>
                <w:szCs w:val="21"/>
              </w:rPr>
            </w:pPr>
            <w:r>
              <w:rPr>
                <w:rFonts w:hint="eastAsia" w:hAnsi="宋体" w:cs="宋体"/>
                <w:color w:val="000000"/>
                <w:sz w:val="21"/>
                <w:szCs w:val="21"/>
              </w:rPr>
              <w:t>★1.本项目实行“网上电子投标、电子评标”，投标人应于投标截止时间前在“政采云”（ 电子交易客户端）上传输、递交电子版投标文件（包括资格文件、商务技术文件和报价文件）；</w:t>
            </w:r>
          </w:p>
          <w:p>
            <w:pPr>
              <w:snapToGrid w:val="0"/>
              <w:spacing w:line="460" w:lineRule="exact"/>
              <w:textAlignment w:val="bottom"/>
              <w:rPr>
                <w:rFonts w:hAnsi="宋体" w:cs="宋体"/>
                <w:color w:val="000000"/>
                <w:sz w:val="21"/>
                <w:szCs w:val="21"/>
              </w:rPr>
            </w:pPr>
            <w:r>
              <w:rPr>
                <w:rFonts w:hint="eastAsia" w:hAnsi="宋体" w:cs="宋体"/>
                <w:color w:val="000000"/>
                <w:sz w:val="21"/>
                <w:szCs w:val="21"/>
              </w:rPr>
              <w:t>2. 本招标文件所涉及的法定代表人或其授权代表签字或盖章的内容，如果投标单位没有法定代表人电子签章，涉及到法定代表人或其授权代表签字或盖章的内容，投标单位可以线下签字或盖章后扫描上传。</w:t>
            </w:r>
          </w:p>
          <w:p>
            <w:pPr>
              <w:snapToGrid w:val="0"/>
              <w:spacing w:line="460" w:lineRule="exact"/>
              <w:textAlignment w:val="bottom"/>
            </w:pPr>
            <w:r>
              <w:rPr>
                <w:rFonts w:hint="eastAsia" w:hAnsi="宋体" w:cs="宋体"/>
                <w:color w:val="000000"/>
                <w:sz w:val="21"/>
                <w:szCs w:val="21"/>
              </w:rPr>
              <w:t>★联合体投标的，须以联合体投标人的牵头单位的CA进行投标文件制作。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9</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textAlignment w:val="bottom"/>
              <w:rPr>
                <w:rFonts w:hAnsi="宋体" w:cs="宋体"/>
                <w:color w:val="000000"/>
                <w:sz w:val="21"/>
                <w:szCs w:val="21"/>
              </w:rPr>
            </w:pPr>
            <w:r>
              <w:rPr>
                <w:rFonts w:hint="eastAsia" w:hAnsi="宋体" w:cs="宋体"/>
                <w:color w:val="000000"/>
                <w:sz w:val="21"/>
                <w:szCs w:val="21"/>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10</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textAlignment w:val="bottom"/>
              <w:rPr>
                <w:rFonts w:hAnsi="宋体" w:cs="宋体"/>
                <w:color w:val="000000"/>
                <w:sz w:val="21"/>
                <w:szCs w:val="21"/>
              </w:rPr>
            </w:pPr>
            <w:r>
              <w:rPr>
                <w:rFonts w:hint="eastAsia" w:hAnsi="宋体" w:cs="宋体"/>
                <w:color w:val="000000"/>
                <w:sz w:val="21"/>
                <w:szCs w:val="21"/>
              </w:rPr>
              <w:t>结果公示：结果公示于浙江政府采购网(</w:t>
            </w:r>
            <w:r>
              <w:fldChar w:fldCharType="begin"/>
            </w:r>
            <w:r>
              <w:instrText xml:space="preserve"> HYPERLINK "http://www.zjzfcg.gov.cn/" </w:instrText>
            </w:r>
            <w:r>
              <w:fldChar w:fldCharType="separate"/>
            </w:r>
            <w:r>
              <w:rPr>
                <w:rFonts w:hint="eastAsia" w:hAnsi="宋体" w:cs="宋体"/>
                <w:color w:val="000000"/>
                <w:sz w:val="21"/>
                <w:szCs w:val="21"/>
              </w:rPr>
              <w:t>http://zfcg.czt.zj.gov.cn/</w:t>
            </w:r>
            <w:r>
              <w:rPr>
                <w:rFonts w:hint="eastAsia" w:hAnsi="宋体" w:cs="宋体"/>
                <w:color w:val="000000"/>
                <w:sz w:val="21"/>
                <w:szCs w:val="21"/>
              </w:rPr>
              <w:fldChar w:fldCharType="end"/>
            </w:r>
            <w:r>
              <w:rPr>
                <w:rFonts w:hint="eastAsia" w:hAnsi="宋体" w:cs="宋体"/>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11</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textAlignment w:val="bottom"/>
              <w:rPr>
                <w:rFonts w:hAnsi="宋体" w:cs="宋体"/>
                <w:color w:val="000000"/>
                <w:sz w:val="21"/>
                <w:szCs w:val="21"/>
              </w:rPr>
            </w:pPr>
            <w:r>
              <w:rPr>
                <w:rFonts w:hint="eastAsia" w:hAnsi="宋体" w:cs="宋体"/>
                <w:color w:val="000000"/>
                <w:sz w:val="21"/>
                <w:szCs w:val="21"/>
              </w:rPr>
              <w:t>签订合同时间：中标通知书发出后20日内。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12</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color w:val="000000"/>
                <w:sz w:val="21"/>
                <w:szCs w:val="21"/>
              </w:rPr>
            </w:pPr>
            <w:r>
              <w:rPr>
                <w:rFonts w:hint="eastAsia" w:hAnsi="宋体" w:cs="宋体"/>
                <w:color w:val="000000"/>
                <w:sz w:val="21"/>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13</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color w:val="000000"/>
                <w:sz w:val="21"/>
                <w:szCs w:val="21"/>
              </w:rPr>
            </w:pPr>
            <w:r>
              <w:rPr>
                <w:rFonts w:hint="eastAsia" w:hAnsi="宋体" w:cs="宋体"/>
                <w:color w:val="000000"/>
                <w:sz w:val="21"/>
                <w:szCs w:val="21"/>
              </w:rPr>
              <w:t>解释：本招标文件的解释权属于招标采购单位。</w:t>
            </w:r>
          </w:p>
        </w:tc>
      </w:tr>
    </w:tbl>
    <w:p>
      <w:pPr>
        <w:autoSpaceDE/>
        <w:autoSpaceDN/>
        <w:adjustRightInd/>
        <w:spacing w:line="500" w:lineRule="exact"/>
        <w:ind w:firstLine="482" w:firstLineChars="200"/>
        <w:jc w:val="both"/>
        <w:rPr>
          <w:rFonts w:hAnsi="宋体" w:cs="宋体"/>
          <w:b/>
          <w:color w:val="000000" w:themeColor="text1"/>
          <w:sz w:val="24"/>
          <w:szCs w:val="24"/>
        </w:rPr>
      </w:pPr>
      <w:r>
        <w:rPr>
          <w:rFonts w:hint="eastAsia" w:hAnsi="宋体" w:cs="宋体"/>
          <w:b/>
          <w:color w:val="000000"/>
          <w:sz w:val="24"/>
          <w:szCs w:val="24"/>
        </w:rPr>
        <w:t>一、总则</w:t>
      </w:r>
    </w:p>
    <w:p>
      <w:pPr>
        <w:autoSpaceDE/>
        <w:autoSpaceDN/>
        <w:adjustRightInd/>
        <w:spacing w:line="500" w:lineRule="exact"/>
        <w:ind w:firstLine="422" w:firstLineChars="200"/>
        <w:jc w:val="both"/>
        <w:rPr>
          <w:rFonts w:hAnsi="宋体" w:cs="宋体"/>
          <w:b/>
          <w:color w:val="000000" w:themeColor="text1"/>
          <w:sz w:val="21"/>
          <w:szCs w:val="21"/>
        </w:rPr>
      </w:pPr>
      <w:r>
        <w:rPr>
          <w:rFonts w:hint="eastAsia" w:hAnsi="宋体" w:cs="宋体"/>
          <w:b/>
          <w:color w:val="000000" w:themeColor="text1"/>
          <w:sz w:val="21"/>
          <w:szCs w:val="21"/>
        </w:rPr>
        <w:t>（一）适用范围</w:t>
      </w:r>
    </w:p>
    <w:p>
      <w:pPr>
        <w:autoSpaceDE/>
        <w:autoSpaceDN/>
        <w:adjustRightInd/>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本招标文件适用于《金华市区中心城区婺城片区（乡镇级）国土空间总体规划》、《金华市区中心城区金东片区（乡镇级）国土空间总体规划》的招标、投标、评标、定标、验收、合同履约、付款等行为（法律、法规另有规定的，从其规定）。</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（二）定义</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1、招标采购单位系指组织本次招标的代理机构和招标人（采购单位）。</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2、“投标人”系指向招标方提交投标文件的单位或个人或投标联合体。</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3、“服务”系指招标文件规定投标人须承担的服务、技术协助、培训、技术指导以及其他类似的义务。</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4、“项目”系指投标人按招标文件规定向招标人提供的符合要求的服务成果。</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5、“书面形式”包括信函、传真、电报等。</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6、“</w:t>
      </w:r>
      <w:r>
        <w:rPr>
          <w:rFonts w:hint="eastAsia" w:hAnsi="宋体" w:cs="宋体"/>
          <w:bCs/>
          <w:color w:val="000000"/>
          <w:sz w:val="21"/>
          <w:szCs w:val="21"/>
        </w:rPr>
        <w:t>★</w:t>
      </w:r>
      <w:r>
        <w:rPr>
          <w:rFonts w:hint="eastAsia" w:hAnsi="宋体" w:cs="宋体"/>
          <w:color w:val="000000"/>
          <w:sz w:val="21"/>
          <w:szCs w:val="21"/>
        </w:rPr>
        <w:t>”系指实质性要求条款。</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（三）招标方式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本次招标采用公开招标方式进行。</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（四）投标委托</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如投标人代表不是法定代表人，须有法定代表人（或“联合体投标人牵头单位的法定代表人”，下同）出具的授权委托书。</w:t>
      </w:r>
    </w:p>
    <w:p>
      <w:pPr>
        <w:autoSpaceDE/>
        <w:autoSpaceDN/>
        <w:adjustRightInd/>
        <w:spacing w:line="500" w:lineRule="exact"/>
        <w:ind w:firstLine="422" w:firstLineChars="200"/>
        <w:jc w:val="both"/>
        <w:rPr>
          <w:rFonts w:hAnsi="宋体" w:cs="宋体"/>
          <w:b/>
          <w:color w:val="000000" w:themeColor="text1"/>
          <w:sz w:val="21"/>
          <w:szCs w:val="21"/>
        </w:rPr>
      </w:pPr>
      <w:r>
        <w:rPr>
          <w:rFonts w:hint="eastAsia" w:hAnsi="宋体" w:cs="宋体"/>
          <w:b/>
          <w:color w:val="000000"/>
          <w:sz w:val="21"/>
          <w:szCs w:val="21"/>
        </w:rPr>
        <w:t>（五）投标费用</w:t>
      </w:r>
    </w:p>
    <w:p>
      <w:pPr>
        <w:autoSpaceDE/>
        <w:autoSpaceDN/>
        <w:adjustRightInd/>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不论投标结果如何，投标人均应自行承担所有与投标有关的全部费用（招标文件有相反规定的除外）。</w:t>
      </w:r>
    </w:p>
    <w:p>
      <w:pPr>
        <w:autoSpaceDE/>
        <w:autoSpaceDN/>
        <w:snapToGrid w:val="0"/>
        <w:spacing w:line="500" w:lineRule="exact"/>
        <w:ind w:firstLine="422" w:firstLineChars="200"/>
        <w:jc w:val="both"/>
        <w:rPr>
          <w:rFonts w:hAnsi="宋体" w:cs="宋体"/>
          <w:b/>
          <w:color w:val="000000" w:themeColor="text1"/>
          <w:sz w:val="21"/>
          <w:szCs w:val="21"/>
        </w:rPr>
      </w:pPr>
      <w:r>
        <w:rPr>
          <w:rFonts w:hint="eastAsia" w:hAnsi="宋体" w:cs="宋体"/>
          <w:b/>
          <w:color w:val="000000" w:themeColor="text1"/>
          <w:sz w:val="21"/>
          <w:szCs w:val="21"/>
        </w:rPr>
        <w:t>（六）联合体投标</w:t>
      </w:r>
    </w:p>
    <w:p>
      <w:pPr>
        <w:autoSpaceDE/>
        <w:autoSpaceDN/>
        <w:snapToGrid w:val="0"/>
        <w:spacing w:line="500" w:lineRule="exact"/>
        <w:ind w:firstLine="420" w:firstLineChars="200"/>
        <w:rPr>
          <w:rFonts w:hAnsi="宋体" w:cs="宋体"/>
          <w:color w:val="000000" w:themeColor="text1"/>
          <w:sz w:val="21"/>
          <w:szCs w:val="21"/>
        </w:rPr>
      </w:pPr>
      <w:r>
        <w:rPr>
          <w:rFonts w:hint="eastAsia" w:hAnsi="宋体" w:cs="宋体"/>
          <w:color w:val="000000" w:themeColor="text1"/>
          <w:sz w:val="21"/>
          <w:szCs w:val="21"/>
        </w:rPr>
        <w:t>本项目接受联合体投标。</w:t>
      </w:r>
    </w:p>
    <w:p>
      <w:pPr>
        <w:autoSpaceDE/>
        <w:autoSpaceDN/>
        <w:snapToGrid w:val="0"/>
        <w:spacing w:line="500" w:lineRule="exact"/>
        <w:ind w:firstLine="420" w:firstLineChars="200"/>
        <w:rPr>
          <w:rFonts w:hAnsi="宋体" w:cs="宋体"/>
          <w:color w:val="000000" w:themeColor="text1"/>
          <w:sz w:val="21"/>
          <w:szCs w:val="21"/>
        </w:rPr>
      </w:pPr>
      <w:r>
        <w:rPr>
          <w:rFonts w:hint="eastAsia" w:hAnsi="宋体" w:cs="宋体"/>
          <w:color w:val="000000" w:themeColor="text1"/>
          <w:sz w:val="21"/>
          <w:szCs w:val="21"/>
        </w:rPr>
        <w:t>1</w:t>
      </w:r>
      <w:r>
        <w:rPr>
          <w:rFonts w:hAnsi="宋体" w:cs="宋体"/>
          <w:color w:val="000000" w:themeColor="text1"/>
          <w:sz w:val="21"/>
          <w:szCs w:val="21"/>
        </w:rPr>
        <w:t>.</w:t>
      </w:r>
      <w:r>
        <w:rPr>
          <w:rFonts w:hint="eastAsia" w:hAnsi="宋体" w:cs="宋体"/>
          <w:color w:val="000000" w:themeColor="text1"/>
          <w:sz w:val="21"/>
          <w:szCs w:val="21"/>
        </w:rPr>
        <w:t>联合体投标，联合体成员不超过3家（含牵头人在内）。</w:t>
      </w:r>
    </w:p>
    <w:p>
      <w:pPr>
        <w:autoSpaceDE/>
        <w:autoSpaceDN/>
        <w:snapToGrid w:val="0"/>
        <w:spacing w:line="500" w:lineRule="exact"/>
        <w:ind w:firstLine="420" w:firstLineChars="200"/>
        <w:rPr>
          <w:rFonts w:hAnsi="宋体" w:cs="宋体"/>
          <w:color w:val="000000" w:themeColor="text1"/>
          <w:sz w:val="21"/>
          <w:szCs w:val="21"/>
        </w:rPr>
      </w:pPr>
      <w:r>
        <w:rPr>
          <w:rFonts w:hAnsi="宋体" w:cs="宋体"/>
          <w:color w:val="000000" w:themeColor="text1"/>
          <w:sz w:val="21"/>
          <w:szCs w:val="21"/>
        </w:rPr>
        <w:t>2</w:t>
      </w:r>
      <w:r>
        <w:rPr>
          <w:rFonts w:hint="eastAsia" w:hAnsi="宋体" w:cs="宋体"/>
          <w:color w:val="000000" w:themeColor="text1"/>
          <w:sz w:val="21"/>
          <w:szCs w:val="21"/>
        </w:rPr>
        <w:t>.为了支持中小企业发展，本项目允许大中型企业与小微企业组成联合体参与投标。组成联合体的小微企业均应不属于大企业的分支机构，不存在控股股东为大企业的情形，也不存在与大企业的负责人为同一人的情形。</w:t>
      </w:r>
    </w:p>
    <w:p>
      <w:pPr>
        <w:autoSpaceDE/>
        <w:autoSpaceDN/>
        <w:snapToGrid w:val="0"/>
        <w:spacing w:line="500" w:lineRule="exact"/>
        <w:ind w:firstLine="420" w:firstLineChars="200"/>
        <w:rPr>
          <w:rFonts w:hAnsi="宋体" w:cs="宋体"/>
          <w:color w:val="000000" w:themeColor="text1"/>
          <w:sz w:val="21"/>
          <w:szCs w:val="21"/>
        </w:rPr>
      </w:pPr>
      <w:r>
        <w:rPr>
          <w:rFonts w:hAnsi="宋体" w:cs="宋体"/>
          <w:color w:val="000000" w:themeColor="text1"/>
          <w:sz w:val="21"/>
          <w:szCs w:val="21"/>
        </w:rPr>
        <w:t>3</w:t>
      </w:r>
      <w:r>
        <w:rPr>
          <w:rFonts w:hint="eastAsia" w:hAnsi="宋体" w:cs="宋体"/>
          <w:color w:val="000000" w:themeColor="text1"/>
          <w:sz w:val="21"/>
          <w:szCs w:val="21"/>
        </w:rPr>
        <w:t>.以联合体形式参加投标的，联合体各方均应当符合《政府采购法》第二十二条规定的条件。</w:t>
      </w:r>
    </w:p>
    <w:p>
      <w:pPr>
        <w:autoSpaceDE/>
        <w:autoSpaceDN/>
        <w:snapToGrid w:val="0"/>
        <w:spacing w:line="500" w:lineRule="exact"/>
        <w:ind w:firstLine="420" w:firstLineChars="200"/>
        <w:jc w:val="both"/>
        <w:rPr>
          <w:rFonts w:hAnsi="宋体" w:cs="宋体"/>
          <w:color w:val="000000" w:themeColor="text1"/>
          <w:sz w:val="21"/>
          <w:szCs w:val="21"/>
        </w:rPr>
      </w:pPr>
      <w:r>
        <w:rPr>
          <w:rFonts w:hAnsi="宋体" w:cs="宋体"/>
          <w:color w:val="000000" w:themeColor="text1"/>
          <w:sz w:val="21"/>
          <w:szCs w:val="21"/>
        </w:rPr>
        <w:t>4</w:t>
      </w:r>
      <w:r>
        <w:rPr>
          <w:rFonts w:hint="eastAsia" w:hAnsi="宋体" w:cs="宋体"/>
          <w:color w:val="000000" w:themeColor="text1"/>
          <w:sz w:val="21"/>
          <w:szCs w:val="21"/>
        </w:rPr>
        <w:t>.联合体投标时，联合体各方之间应当签订联合协议，明确联合体投标人的牵头单位，并约定联合体各方应当承担的工作和相应的责任，以及联合体中中小企业与小微企业所承担工作的合同份额占到合同总金额的百分比，然后，将联合协议连同投标文件一并提交。联合体中有同类资质的投标人按照联合体分工承担相同工作的，应当按照资质等级较低的投标人确定资质等级。联合体各方签订联合协议后，不得再以自己的名义单独在同一项目中投标，也不得组成新的联合体参加同一项目投标。联合体各方在同一招标项目中以自己名义单独投标或者参加其他联合体投标的，相关投标均无效。</w:t>
      </w:r>
    </w:p>
    <w:p>
      <w:pPr>
        <w:autoSpaceDE/>
        <w:autoSpaceDN/>
        <w:snapToGrid w:val="0"/>
        <w:spacing w:line="500" w:lineRule="exact"/>
        <w:ind w:firstLine="420" w:firstLineChars="200"/>
        <w:jc w:val="both"/>
        <w:rPr>
          <w:rFonts w:hAnsi="宋体" w:cs="宋体"/>
          <w:color w:val="000000" w:themeColor="text1"/>
          <w:sz w:val="21"/>
          <w:szCs w:val="21"/>
        </w:rPr>
      </w:pPr>
      <w:r>
        <w:rPr>
          <w:rFonts w:hAnsi="宋体" w:cs="宋体"/>
          <w:color w:val="000000" w:themeColor="text1"/>
          <w:sz w:val="21"/>
          <w:szCs w:val="21"/>
        </w:rPr>
        <w:t>5</w:t>
      </w:r>
      <w:r>
        <w:rPr>
          <w:rFonts w:hint="eastAsia" w:hAnsi="宋体" w:cs="宋体"/>
          <w:color w:val="000000" w:themeColor="text1"/>
          <w:sz w:val="21"/>
          <w:szCs w:val="21"/>
        </w:rPr>
        <w:t>.联合体各方应当共同与招标人签订采购合同，就采购合同约定的事项对招标人承担连带责任。</w:t>
      </w:r>
    </w:p>
    <w:p>
      <w:pPr>
        <w:pStyle w:val="44"/>
        <w:adjustRightInd w:val="0"/>
        <w:snapToGrid w:val="0"/>
        <w:spacing w:after="0" w:line="520" w:lineRule="exact"/>
        <w:ind w:left="0" w:leftChars="0" w:firstLineChars="200"/>
        <w:rPr>
          <w:rFonts w:ascii="宋体" w:hAnsi="宋体" w:cs="宋体"/>
          <w:color w:val="000000" w:themeColor="text1"/>
          <w:kern w:val="0"/>
          <w:sz w:val="21"/>
          <w:szCs w:val="21"/>
        </w:rPr>
      </w:pPr>
      <w:r>
        <w:rPr>
          <w:rFonts w:ascii="宋体" w:hAnsi="宋体" w:cs="宋体"/>
          <w:color w:val="000000" w:themeColor="text1"/>
          <w:kern w:val="0"/>
          <w:sz w:val="21"/>
          <w:szCs w:val="21"/>
        </w:rPr>
        <w:t>6</w:t>
      </w:r>
      <w:r>
        <w:rPr>
          <w:rFonts w:hint="eastAsia" w:ascii="宋体" w:hAnsi="宋体" w:cs="宋体"/>
          <w:color w:val="000000" w:themeColor="text1"/>
          <w:kern w:val="0"/>
          <w:sz w:val="21"/>
          <w:szCs w:val="21"/>
        </w:rPr>
        <w:t>.以联合体形式参加政府采购活动，联合体各方均为中小企业的，联合体视同中小企业。其中，联合体各方均为小微企业的，联合体视同小微企业。</w:t>
      </w:r>
    </w:p>
    <w:p>
      <w:pPr>
        <w:autoSpaceDE/>
        <w:autoSpaceDN/>
        <w:adjustRightInd/>
        <w:spacing w:line="500" w:lineRule="exact"/>
        <w:ind w:firstLine="422" w:firstLineChars="200"/>
        <w:jc w:val="both"/>
        <w:rPr>
          <w:rFonts w:hAnsi="宋体" w:cs="宋体"/>
          <w:b/>
          <w:color w:val="000000" w:themeColor="text1"/>
          <w:sz w:val="21"/>
          <w:szCs w:val="21"/>
        </w:rPr>
      </w:pPr>
      <w:r>
        <w:rPr>
          <w:rFonts w:hint="eastAsia" w:hAnsi="宋体" w:cs="宋体"/>
          <w:b/>
          <w:color w:val="000000" w:themeColor="text1"/>
          <w:sz w:val="21"/>
          <w:szCs w:val="21"/>
        </w:rPr>
        <w:t>（七）转包与分包</w:t>
      </w:r>
    </w:p>
    <w:p>
      <w:pPr>
        <w:autoSpaceDE/>
        <w:autoSpaceDN/>
        <w:adjustRightInd/>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1、转包：本项目不允许转包。</w:t>
      </w:r>
    </w:p>
    <w:p>
      <w:pPr>
        <w:snapToGrid w:val="0"/>
        <w:spacing w:line="500" w:lineRule="exact"/>
        <w:ind w:firstLine="420" w:firstLineChars="200"/>
        <w:rPr>
          <w:rFonts w:hAnsi="宋体" w:cs="宋体"/>
          <w:color w:val="000000" w:themeColor="text1"/>
          <w:sz w:val="21"/>
          <w:szCs w:val="21"/>
        </w:rPr>
      </w:pPr>
      <w:r>
        <w:rPr>
          <w:rFonts w:hint="eastAsia" w:hAnsi="宋体" w:cs="宋体"/>
          <w:color w:val="000000"/>
          <w:sz w:val="21"/>
          <w:szCs w:val="21"/>
        </w:rPr>
        <w:t>2、</w:t>
      </w:r>
      <w:r>
        <w:rPr>
          <w:rFonts w:hint="eastAsia" w:hAnsi="宋体" w:cs="宋体"/>
          <w:color w:val="000000" w:themeColor="text1"/>
          <w:sz w:val="21"/>
          <w:szCs w:val="21"/>
        </w:rPr>
        <w:t>分包：本项目允许分包。分包供应商应同时满足城乡规划乙级（及以上）或土地规划乙级（及以上）资质要求【注：因国家机构改革，城乡规划编制甲级证书、土地规划乙级（含）以上资质到期的，按国家要求视同有效的，视同有效】。为了支持中小企业发展，本项目鼓励大中型企业向小微企业合理分包。接受分包合同的小微企业均应不属于大企业的分支机构，不存在控股股东为大企业的情形，也不存在与大企业的负责人为同一人的情形。</w:t>
      </w:r>
    </w:p>
    <w:p>
      <w:pPr>
        <w:autoSpaceDE/>
        <w:autoSpaceDN/>
        <w:adjustRightInd/>
        <w:snapToGrid w:val="0"/>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投标人在工作分包时，应当在投标文件中载明分包承担主体、分包工作内容及分包合同份额占到合同总金额的百分比，分包承担主体应当具备相应资质条件且不得再次分包。</w:t>
      </w:r>
    </w:p>
    <w:p>
      <w:pPr>
        <w:autoSpaceDE/>
        <w:autoSpaceDN/>
        <w:adjustRightInd/>
        <w:snapToGrid w:val="0"/>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政府采购合同采用分包履行的，中标供应商就采购项目和分包项目向采购人负责，分包供应商就分包项目承担责任。</w:t>
      </w:r>
    </w:p>
    <w:p>
      <w:pPr>
        <w:tabs>
          <w:tab w:val="left" w:pos="1260"/>
        </w:tabs>
        <w:snapToGrid w:val="0"/>
        <w:spacing w:line="500" w:lineRule="exact"/>
        <w:ind w:firstLine="420" w:firstLineChars="200"/>
        <w:rPr>
          <w:color w:val="000000" w:themeColor="text1"/>
        </w:rPr>
      </w:pPr>
      <w:r>
        <w:rPr>
          <w:rFonts w:hint="eastAsia" w:hAnsi="宋体" w:cs="宋体"/>
          <w:bCs/>
          <w:color w:val="000000" w:themeColor="text1"/>
          <w:sz w:val="21"/>
          <w:szCs w:val="21"/>
        </w:rPr>
        <w:t>★</w:t>
      </w:r>
      <w:r>
        <w:rPr>
          <w:rFonts w:hint="eastAsia" w:hAnsi="宋体"/>
          <w:color w:val="000000" w:themeColor="text1"/>
          <w:sz w:val="21"/>
          <w:szCs w:val="21"/>
        </w:rPr>
        <w:t>本项目允许将部分专题研究内容进行分包，但分包</w:t>
      </w:r>
      <w:r>
        <w:rPr>
          <w:rFonts w:hint="eastAsia" w:hAnsi="宋体" w:cs="宋体"/>
          <w:color w:val="000000" w:themeColor="text1"/>
          <w:sz w:val="21"/>
          <w:szCs w:val="21"/>
        </w:rPr>
        <w:t>供应商</w:t>
      </w:r>
      <w:r>
        <w:rPr>
          <w:rFonts w:hint="eastAsia" w:hAnsi="宋体"/>
          <w:color w:val="000000" w:themeColor="text1"/>
          <w:sz w:val="21"/>
          <w:szCs w:val="21"/>
        </w:rPr>
        <w:t>应经采购人审核，通过后才能执行分包动作。分包合同需经过采购人审核。</w:t>
      </w:r>
    </w:p>
    <w:p>
      <w:pPr>
        <w:autoSpaceDE/>
        <w:autoSpaceDN/>
        <w:adjustRightInd/>
        <w:spacing w:line="500" w:lineRule="exact"/>
        <w:ind w:firstLine="422" w:firstLineChars="200"/>
        <w:jc w:val="both"/>
        <w:rPr>
          <w:rFonts w:hAnsi="宋体" w:cs="宋体"/>
          <w:b/>
          <w:color w:val="000000" w:themeColor="text1"/>
          <w:sz w:val="21"/>
          <w:szCs w:val="21"/>
        </w:rPr>
      </w:pPr>
      <w:r>
        <w:rPr>
          <w:rFonts w:hint="eastAsia" w:hAnsi="宋体" w:cs="宋体"/>
          <w:b/>
          <w:color w:val="000000" w:themeColor="text1"/>
          <w:sz w:val="21"/>
          <w:szCs w:val="21"/>
        </w:rPr>
        <w:t>（八）特别说明</w:t>
      </w:r>
    </w:p>
    <w:p>
      <w:pPr>
        <w:autoSpaceDE/>
        <w:autoSpaceDN/>
        <w:adjustRightInd/>
        <w:snapToGrid w:val="0"/>
        <w:spacing w:line="520" w:lineRule="exact"/>
        <w:ind w:firstLine="420" w:firstLineChars="200"/>
        <w:jc w:val="both"/>
        <w:rPr>
          <w:rFonts w:hAnsi="宋体" w:cs="宋体"/>
          <w:color w:val="000000"/>
          <w:sz w:val="21"/>
          <w:szCs w:val="21"/>
        </w:rPr>
      </w:pPr>
      <w:r>
        <w:rPr>
          <w:rFonts w:hint="eastAsia" w:hAnsi="宋体" w:cs="宋体"/>
          <w:bCs/>
          <w:color w:val="000000"/>
          <w:sz w:val="21"/>
          <w:szCs w:val="21"/>
        </w:rPr>
        <w:t>★</w:t>
      </w:r>
      <w:r>
        <w:rPr>
          <w:rFonts w:hint="eastAsia" w:hAnsi="宋体" w:cs="宋体"/>
          <w:color w:val="000000"/>
          <w:sz w:val="21"/>
          <w:szCs w:val="21"/>
        </w:rPr>
        <w:t>1.</w:t>
      </w:r>
      <w:r>
        <w:rPr>
          <w:rFonts w:hint="eastAsia" w:hAnsi="宋体" w:cs="宋体"/>
          <w:b/>
          <w:bCs/>
          <w:color w:val="000000"/>
          <w:sz w:val="21"/>
          <w:szCs w:val="21"/>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rPr>
        <w:t>2、</w:t>
      </w:r>
      <w:r>
        <w:rPr>
          <w:rFonts w:hint="eastAsia" w:hAnsi="宋体" w:cs="宋体"/>
          <w:b/>
          <w:color w:val="000000"/>
          <w:sz w:val="21"/>
          <w:szCs w:val="21"/>
        </w:rPr>
        <w:t>“政采云”平台运营机构，以及与该机构有直接控股或者管理关系可能影响采购公正性的任何单位和个人，不得在该平台进行的政府采购项目电子交易中投标、响应政府采购项目。</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3、投标人投标所使用的资格、信誉、荣誉、业绩与企业认证必须为本法人（或本投标联合体）所拥有。投标人投标所使用的采购项目实施人员必须为本法人（或本投标联合体）员工（或必须为本法人或控股公司正式员工）。</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4、投标人应仔细阅读招标文件的所有内容，按照招标文件的要求提交投标文件。投标人必须对投标文件所提供的全部资料的真实性承担法律责任，并无条件接受采购代理机构、招标人及政府采购监督管理部门等对其中任何资料进行核实的要求。</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5、投标人在投标活动中提供任何虚假材料，其投标无效。</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（九）质疑和投诉</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投标人认为招标文件、招标过程或中标结果使自己的合法权益受到损害的，应当在知道或者应知其权益受到损害之日起七个工作日内，以书面形式向招标人、采购代理机构提出质疑。投标人对招标采购单位的质疑答复不满意或者招标采购单位未在规定时间内作出答复的，可以在答复期满后十五个工作日内向同级采购监管部门投诉。</w:t>
      </w:r>
    </w:p>
    <w:p>
      <w:pPr>
        <w:autoSpaceDE/>
        <w:autoSpaceDN/>
        <w:adjustRightInd/>
        <w:snapToGrid w:val="0"/>
        <w:spacing w:line="500" w:lineRule="exact"/>
        <w:ind w:firstLine="420" w:firstLineChars="200"/>
        <w:jc w:val="both"/>
        <w:rPr>
          <w:rFonts w:hAnsi="宋体" w:cs="宋体"/>
          <w:bCs/>
          <w:color w:val="000000"/>
          <w:sz w:val="21"/>
          <w:szCs w:val="21"/>
        </w:rPr>
      </w:pPr>
      <w:r>
        <w:rPr>
          <w:rFonts w:hint="eastAsia" w:hAnsi="宋体" w:cs="宋体"/>
          <w:color w:val="000000"/>
          <w:sz w:val="21"/>
          <w:szCs w:val="21"/>
        </w:rPr>
        <w:t>2、质疑、投诉应当符合中华人民共和国财政部令第94号《政府采购质疑和投诉办法》的规定，并分别采用财政部发布的《政府采购供应商质疑函范本》和《政府采购供应商投诉书范本》等书面形式，质疑书、投诉书均应明确阐述招标文件、招标过程或中标结果中使自己合法权益受到损害的实质性内容，提供相关事实、依据和证据及其来源或线索，便于有关单位调查、答复和处理。</w:t>
      </w:r>
      <w:r>
        <w:rPr>
          <w:rFonts w:hint="eastAsia" w:hAnsi="宋体" w:cs="宋体"/>
          <w:bCs/>
          <w:color w:val="000000"/>
          <w:sz w:val="21"/>
          <w:szCs w:val="21"/>
        </w:rPr>
        <w:t>质疑函范本、投诉书范本请到浙江政府采购网下载专区下载。</w:t>
      </w:r>
    </w:p>
    <w:p>
      <w:pPr>
        <w:autoSpaceDE/>
        <w:autoSpaceDN/>
        <w:adjustRightInd/>
        <w:snapToGrid w:val="0"/>
        <w:spacing w:line="500" w:lineRule="exact"/>
        <w:ind w:firstLine="420" w:firstLineChars="200"/>
        <w:jc w:val="both"/>
        <w:rPr>
          <w:rFonts w:hAnsi="宋体" w:cs="宋体"/>
          <w:color w:val="000000"/>
          <w:sz w:val="21"/>
          <w:szCs w:val="21"/>
          <w:lang w:val="zh-CN"/>
        </w:rPr>
      </w:pPr>
      <w:r>
        <w:rPr>
          <w:rFonts w:hint="eastAsia" w:hAnsi="宋体" w:cs="宋体"/>
          <w:color w:val="000000"/>
          <w:sz w:val="21"/>
          <w:szCs w:val="21"/>
        </w:rPr>
        <w:t>3、</w:t>
      </w:r>
      <w:r>
        <w:rPr>
          <w:rFonts w:hint="eastAsia" w:hAnsi="宋体" w:cs="宋体"/>
          <w:color w:val="000000"/>
          <w:sz w:val="21"/>
          <w:szCs w:val="21"/>
          <w:lang w:val="zh-CN"/>
        </w:rPr>
        <w:t>投标人须在法定质疑期内一次性提出针对同一采购程序环节的质疑。未按上述要求提供的质疑函，采购代理机构有权不予受理。</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4、以联合体形式参加政府采购活动的，其质疑投诉应当由组成联合体的所有联合体供应商共同提出。</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二、招标文件</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（一）招标文件的构成。本招标文件由以下部分组成：</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1、招标公告</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2、招标需求</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3、投标人须知</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4、评标办法及标准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5、合同主要条款</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6、投标文件格式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7、本项目招标文件的澄清、答复、修改、补充的内容（如有）</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（二）投标人的风险</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投标人没有按照招标文件要求提供全部资料，或者投标人没有对招标文件在各方面作出实质性响应是投标人的风险，并可能导致其投标被拒绝。</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招标人、采购代理机构不保证所有已完成报名的投标人都符合资格要求。</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（三）招标文件的澄清与修改</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投标人如认为招标文件表述不清晰、存在歧视性、排他性或者其他违法内容的，应当自知道或者应知其权益受到损害之日起7个工作日内，以书面形式要求招标采购单位作出书面解释、澄清或者向招标采购单位提出书面质疑；招标采购单位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2、采购代理机构必须以书面形式答复投标人要求澄清的问题，并将不包含问题来源的答复书面通知所有购买招标文件的投标人，除书面答复以外的其他澄清方式及澄清内容均无效。</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3、招标文件澄清、答复、修改、补充的内容为招标文件的组成部分。当招标文件与招标文件的答复、澄清、修改、补充通知就同一内容的表述不一致时，以最后发出的书面文件为准。</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4、招标文件的澄清、答复、修改或补充都应该通过本代理机构以法定形式发布，招标人非通过本机构，不得擅自澄清、答复、修改或补充招标文件。</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三、投标文件的编制</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注：投标人应保证所提供文件资料的真实性，所有文件资料必须是针对本次投标的。如发现投标人提供了虚假文件资料，其投标将被拒绝，并自行承担相应的法律责任。</w:t>
      </w:r>
    </w:p>
    <w:p>
      <w:pPr>
        <w:tabs>
          <w:tab w:val="left" w:pos="6955"/>
        </w:tabs>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（一）投标文件的形式</w:t>
      </w:r>
      <w:r>
        <w:rPr>
          <w:rFonts w:hint="eastAsia" w:hAnsi="宋体" w:cs="宋体"/>
          <w:b/>
          <w:color w:val="000000"/>
          <w:sz w:val="21"/>
          <w:szCs w:val="21"/>
        </w:rPr>
        <w:tab/>
      </w:r>
    </w:p>
    <w:p>
      <w:pPr>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1.投标文件为电子投标文件。</w:t>
      </w:r>
    </w:p>
    <w:p>
      <w:pPr>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1.1电子投标文件：电子投标文件按政采云平台供应商项目采购-电子交易操作指南（</w:t>
      </w:r>
      <w:r>
        <w:rPr>
          <w:rFonts w:hint="eastAsia" w:hAnsi="宋体" w:cs="宋体"/>
          <w:color w:val="000000"/>
          <w:sz w:val="21"/>
          <w:szCs w:val="21"/>
          <w:shd w:val="clear" w:color="auto" w:fill="FFFFFF"/>
        </w:rPr>
        <w:t>https://edu.zcygov.cn/luban/e-biding?utm=a0004.2ef5001f.0001.0109.da8b35e0da8611e98d8937b7ef8a3544</w:t>
      </w:r>
      <w:r>
        <w:rPr>
          <w:rFonts w:hint="eastAsia" w:hAnsi="宋体" w:cs="宋体"/>
          <w:b/>
          <w:color w:val="000000"/>
          <w:sz w:val="21"/>
          <w:szCs w:val="21"/>
        </w:rPr>
        <w:t>）及本招标文件要求制作、加密并递交；</w:t>
      </w:r>
    </w:p>
    <w:p>
      <w:pPr>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（二）投标文件的组成</w:t>
      </w:r>
    </w:p>
    <w:p>
      <w:pPr>
        <w:snapToGrid w:val="0"/>
        <w:spacing w:line="500" w:lineRule="exact"/>
        <w:ind w:firstLine="422" w:firstLineChars="200"/>
        <w:outlineLvl w:val="0"/>
        <w:rPr>
          <w:rFonts w:hAnsi="宋体" w:cs="宋体"/>
          <w:b/>
          <w:sz w:val="21"/>
          <w:szCs w:val="21"/>
        </w:rPr>
      </w:pPr>
      <w:r>
        <w:rPr>
          <w:rFonts w:hint="eastAsia" w:hAnsi="宋体" w:cs="宋体"/>
          <w:b/>
          <w:color w:val="000000"/>
          <w:sz w:val="21"/>
          <w:szCs w:val="21"/>
        </w:rPr>
        <w:t>投标文件（电子投标文件）由资格文件、商务技术文件和报价文件三部分组成。</w:t>
      </w:r>
      <w:r>
        <w:rPr>
          <w:rFonts w:hint="eastAsia" w:hAnsi="宋体" w:cs="宋体"/>
          <w:b/>
          <w:sz w:val="21"/>
          <w:szCs w:val="21"/>
        </w:rPr>
        <w:t>各投标人可自行选择一个或多个标项进行投标；投多个标项时，投标文件必须按标项分别制作(上传)电子投标文件。</w:t>
      </w:r>
    </w:p>
    <w:p>
      <w:pPr>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电子投标文件中所须加盖公章部分均采用CA签章。</w:t>
      </w:r>
    </w:p>
    <w:p>
      <w:pPr>
        <w:snapToGrid w:val="0"/>
        <w:spacing w:line="500" w:lineRule="exact"/>
        <w:ind w:firstLine="422" w:firstLineChars="200"/>
        <w:outlineLvl w:val="0"/>
        <w:rPr>
          <w:rFonts w:hAnsi="宋体" w:cs="宋体"/>
          <w:color w:val="000000"/>
          <w:sz w:val="21"/>
          <w:szCs w:val="21"/>
        </w:rPr>
      </w:pPr>
      <w:r>
        <w:rPr>
          <w:rFonts w:hint="eastAsia" w:hAnsi="宋体" w:cs="宋体"/>
          <w:b/>
          <w:color w:val="000000"/>
          <w:sz w:val="21"/>
          <w:szCs w:val="21"/>
        </w:rPr>
        <w:t>注：本项目投标价格的信息只允许出现在“报价文件”中，不得出现在资格文件、商务技术文件中。</w:t>
      </w:r>
    </w:p>
    <w:p>
      <w:pPr>
        <w:snapToGrid w:val="0"/>
        <w:spacing w:line="460" w:lineRule="atLeast"/>
        <w:ind w:firstLine="422" w:firstLineChars="200"/>
        <w:textAlignment w:val="bottom"/>
        <w:rPr>
          <w:rFonts w:hAnsi="宋体" w:cs="宋体"/>
          <w:b/>
          <w:color w:val="000000"/>
          <w:sz w:val="21"/>
          <w:szCs w:val="21"/>
        </w:rPr>
      </w:pPr>
      <w:r>
        <w:rPr>
          <w:rFonts w:hint="eastAsia" w:hAnsi="宋体" w:cs="宋体"/>
          <w:b/>
          <w:color w:val="000000"/>
          <w:sz w:val="21"/>
          <w:szCs w:val="21"/>
        </w:rPr>
        <w:t>1.资格文件部分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（1）投标人（包括投标联合体各方）有效期内的营业执照及其他相关资质证书（复印件加盖有效公章）；</w:t>
      </w:r>
    </w:p>
    <w:p>
      <w:pPr>
        <w:widowControl/>
        <w:autoSpaceDE/>
        <w:autoSpaceDN/>
        <w:adjustRightInd/>
        <w:spacing w:line="500" w:lineRule="exact"/>
        <w:ind w:firstLine="420" w:firstLineChars="200"/>
        <w:rPr>
          <w:rFonts w:hAnsi="宋体" w:cs="宋体"/>
          <w:color w:val="000000"/>
          <w:sz w:val="21"/>
          <w:szCs w:val="21"/>
        </w:rPr>
      </w:pPr>
      <w:r>
        <w:rPr>
          <w:rFonts w:hint="eastAsia" w:hAnsi="宋体" w:cs="宋体"/>
          <w:color w:val="000000"/>
          <w:sz w:val="21"/>
          <w:szCs w:val="21"/>
        </w:rPr>
        <w:t>（2）投标人（包括投标联合体各方）符合参加政府采购活动应当具备的一般条件的承诺函（格式见附件）；</w:t>
      </w:r>
    </w:p>
    <w:p>
      <w:pPr>
        <w:widowControl/>
        <w:autoSpaceDE/>
        <w:autoSpaceDN/>
        <w:adjustRightInd/>
        <w:spacing w:line="500" w:lineRule="exact"/>
        <w:ind w:firstLine="420" w:firstLineChars="200"/>
        <w:rPr>
          <w:rFonts w:hAnsi="宋体" w:cs="宋体"/>
          <w:b/>
          <w:color w:val="000000"/>
          <w:sz w:val="21"/>
          <w:szCs w:val="21"/>
        </w:rPr>
      </w:pPr>
      <w:r>
        <w:rPr>
          <w:rFonts w:hint="eastAsia" w:hAnsi="宋体" w:cs="宋体"/>
          <w:color w:val="000000"/>
          <w:sz w:val="21"/>
          <w:szCs w:val="21"/>
        </w:rPr>
        <w:t>（3）本项目的特定资格要求（格式见附件）。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（4）联合协议（联合体投标时须提供）；（格式见附件）</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（5）分包意向协议（分包时须提供）；（格式见附件）</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color w:val="000000"/>
          <w:sz w:val="21"/>
          <w:szCs w:val="21"/>
        </w:rPr>
        <w:t>2.</w:t>
      </w:r>
      <w:r>
        <w:rPr>
          <w:rFonts w:hint="eastAsia" w:hAnsi="宋体" w:cs="宋体"/>
          <w:b/>
          <w:bCs/>
          <w:color w:val="000000"/>
          <w:sz w:val="21"/>
          <w:szCs w:val="21"/>
        </w:rPr>
        <w:t>商务技术文件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（1）投标人技术商务标自评得分汇总表；（格式内容参照技术商务评分表，格式见附件）；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（2）投标人（或联合体投标人的牵头单位）法定代表人授权委托书(格式见附件)；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（3）投标人（包括投标联合体各方）情况表（格式见附件）；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（4）投标人（包括投标联合体各方）2019年1月1日以来类似案例成功的业绩（须提供对应采购合同复印件等相关资料）（加盖公章）（格式见附件）；</w:t>
      </w:r>
    </w:p>
    <w:p>
      <w:pPr>
        <w:autoSpaceDE/>
        <w:autoSpaceDN/>
        <w:adjustRightInd/>
        <w:snapToGrid w:val="0"/>
        <w:spacing w:line="500" w:lineRule="exact"/>
        <w:ind w:firstLine="420" w:firstLineChars="200"/>
        <w:jc w:val="both"/>
        <w:rPr>
          <w:rFonts w:hAnsi="宋体" w:cs="宋体"/>
          <w:color w:val="000000"/>
        </w:rPr>
      </w:pPr>
      <w:r>
        <w:rPr>
          <w:rFonts w:hint="eastAsia" w:hAnsi="宋体" w:cs="宋体"/>
          <w:color w:val="000000"/>
          <w:sz w:val="21"/>
          <w:szCs w:val="21"/>
        </w:rPr>
        <w:t>（5）投标人（包括投标联合体各方）技术人员配备情况（格式见附件）；</w:t>
      </w:r>
    </w:p>
    <w:p>
      <w:pPr>
        <w:autoSpaceDE/>
        <w:autoSpaceDN/>
        <w:adjustRightInd/>
        <w:snapToGrid w:val="0"/>
        <w:spacing w:line="500" w:lineRule="exact"/>
        <w:ind w:firstLine="420" w:firstLineChars="200"/>
        <w:jc w:val="both"/>
        <w:rPr>
          <w:rFonts w:hAnsi="宋体" w:cs="宋体"/>
          <w:color w:val="000000"/>
        </w:rPr>
      </w:pPr>
      <w:r>
        <w:rPr>
          <w:rFonts w:hint="eastAsia" w:hAnsi="宋体" w:cs="宋体"/>
          <w:color w:val="000000"/>
          <w:sz w:val="21"/>
          <w:szCs w:val="21"/>
        </w:rPr>
        <w:t>（6）投标人（包括投标联合体各方）荣誉（格式见附件）；</w:t>
      </w:r>
    </w:p>
    <w:p>
      <w:pPr>
        <w:spacing w:line="500" w:lineRule="exact"/>
        <w:ind w:firstLine="420" w:firstLineChars="200"/>
        <w:rPr>
          <w:rFonts w:hAnsi="宋体" w:cs="宋体"/>
          <w:color w:val="000000"/>
          <w:sz w:val="21"/>
          <w:szCs w:val="21"/>
        </w:rPr>
      </w:pPr>
      <w:r>
        <w:rPr>
          <w:rFonts w:hint="eastAsia" w:hAnsi="宋体" w:cs="宋体"/>
          <w:color w:val="000000"/>
          <w:sz w:val="21"/>
          <w:szCs w:val="21"/>
        </w:rPr>
        <w:t>（7）服务要求响应表（格式见附件）；</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（8）项目理解、重点难点、编制思路、工作内容（进度）、成果构成；</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（9）服务保障</w:t>
      </w:r>
      <w:r>
        <w:rPr>
          <w:rFonts w:hint="eastAsia" w:hAnsi="宋体" w:cs="Arial"/>
          <w:color w:val="000000"/>
          <w:sz w:val="21"/>
          <w:szCs w:val="21"/>
        </w:rPr>
        <w:t>（格式自拟）</w:t>
      </w:r>
      <w:r>
        <w:rPr>
          <w:rFonts w:hint="eastAsia" w:hAnsi="宋体" w:cs="宋体"/>
          <w:color w:val="000000"/>
          <w:sz w:val="21"/>
          <w:szCs w:val="21"/>
        </w:rPr>
        <w:t>；</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（10）评分标准涉及的或投标人（包括投标联合体各方）认为需要提供的其他文件和说明。（格式自拟）</w:t>
      </w:r>
    </w:p>
    <w:p>
      <w:pPr>
        <w:autoSpaceDE/>
        <w:autoSpaceDN/>
        <w:adjustRightInd/>
        <w:spacing w:line="500" w:lineRule="exact"/>
        <w:ind w:firstLine="420" w:firstLineChars="200"/>
        <w:jc w:val="both"/>
        <w:rPr>
          <w:rFonts w:hAnsi="宋体" w:cs="宋体"/>
          <w:b/>
          <w:color w:val="000000"/>
          <w:sz w:val="21"/>
          <w:szCs w:val="21"/>
        </w:rPr>
      </w:pPr>
      <w:r>
        <w:rPr>
          <w:rFonts w:hint="eastAsia" w:hAnsi="宋体" w:cs="宋体"/>
          <w:bCs/>
          <w:color w:val="000000"/>
          <w:sz w:val="21"/>
          <w:szCs w:val="21"/>
        </w:rPr>
        <w:t>★</w:t>
      </w:r>
      <w:r>
        <w:rPr>
          <w:rFonts w:hint="eastAsia" w:hAnsi="宋体" w:cs="宋体"/>
          <w:b/>
          <w:color w:val="000000"/>
          <w:sz w:val="21"/>
          <w:szCs w:val="21"/>
        </w:rPr>
        <w:t>注：</w:t>
      </w:r>
      <w:r>
        <w:rPr>
          <w:rFonts w:hint="eastAsia" w:hAnsi="宋体" w:cs="宋体"/>
          <w:b/>
          <w:bCs/>
          <w:color w:val="000000"/>
          <w:sz w:val="21"/>
          <w:szCs w:val="21"/>
        </w:rPr>
        <w:t>商务技术标</w:t>
      </w:r>
      <w:r>
        <w:rPr>
          <w:rFonts w:hint="eastAsia" w:hAnsi="宋体" w:cs="宋体"/>
          <w:b/>
          <w:color w:val="000000"/>
          <w:sz w:val="21"/>
          <w:szCs w:val="21"/>
        </w:rPr>
        <w:t>中不得含有投标报价的信息，否则按废标处理。</w:t>
      </w:r>
    </w:p>
    <w:p>
      <w:pPr>
        <w:snapToGrid w:val="0"/>
        <w:spacing w:line="460" w:lineRule="atLeast"/>
        <w:ind w:firstLine="422" w:firstLineChars="200"/>
        <w:rPr>
          <w:rFonts w:hAnsi="宋体" w:cs="宋体"/>
          <w:b/>
          <w:color w:val="000000"/>
          <w:sz w:val="21"/>
          <w:szCs w:val="21"/>
        </w:rPr>
      </w:pPr>
      <w:r>
        <w:rPr>
          <w:rFonts w:hint="eastAsia" w:hAnsi="宋体" w:cs="宋体"/>
          <w:b/>
          <w:color w:val="000000"/>
          <w:sz w:val="21"/>
          <w:szCs w:val="21"/>
        </w:rPr>
        <w:t>3.报价文件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（1）投标函（格式见附件）；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（2）开标（报价）一览表（格式见附件）；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中小企业声明函》、《联合协议》（与小微企业组成联合体投标时须提供）、《分包意向协议》（向小微企业分包时须提供）；（本项目对应的中小企业划分标准所属行业为“其他未列明行业---科学研究和技术服务业 ”；格式见附件，如未提供的，评审时不给予政策性价格扣除）。</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（4）投标人（包括投标联合体各方）针对报价需要说明的其他文件和说明（格式自拟）。</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（三）投标文件的语言及计量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1、投标文件以及投标方与招标方就有关投标事宜的所有来往函电，均应以中文汉语书写。除签名、盖章、专用名称等特殊情形外，以中文汉语以外的文字表述的投标文件视同未提供。</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2、投标计量单位，招标文件已有明确规定的，使用招标文件规定的计量单位。招标文件没有规定的，应采用中华人民共和国法定计量单位（货币单位：人民币元），否则视同未响应。</w:t>
      </w:r>
    </w:p>
    <w:p>
      <w:pPr>
        <w:autoSpaceDE/>
        <w:autoSpaceDN/>
        <w:adjustRightInd/>
        <w:spacing w:line="500" w:lineRule="exact"/>
        <w:ind w:firstLine="422" w:firstLineChars="200"/>
        <w:jc w:val="both"/>
        <w:rPr>
          <w:rFonts w:hAnsi="宋体" w:cs="宋体"/>
          <w:b/>
          <w:color w:val="000000" w:themeColor="text1"/>
          <w:sz w:val="21"/>
          <w:szCs w:val="21"/>
        </w:rPr>
      </w:pPr>
      <w:r>
        <w:rPr>
          <w:rFonts w:hint="eastAsia" w:hAnsi="宋体" w:cs="宋体"/>
          <w:b/>
          <w:color w:val="000000"/>
          <w:sz w:val="21"/>
          <w:szCs w:val="21"/>
        </w:rPr>
        <w:t>（四）投标</w:t>
      </w:r>
      <w:r>
        <w:rPr>
          <w:rFonts w:hint="eastAsia" w:hAnsi="宋体" w:cs="宋体"/>
          <w:b/>
          <w:color w:val="000000" w:themeColor="text1"/>
          <w:sz w:val="21"/>
          <w:szCs w:val="21"/>
        </w:rPr>
        <w:t>报价</w:t>
      </w:r>
    </w:p>
    <w:p>
      <w:pPr>
        <w:snapToGrid w:val="0"/>
        <w:spacing w:line="500" w:lineRule="exact"/>
        <w:ind w:firstLine="420" w:firstLineChars="200"/>
        <w:rPr>
          <w:rStyle w:val="73"/>
          <w:rFonts w:ascii="Times New Roman" w:hAnsi="宋体"/>
          <w:color w:val="000000" w:themeColor="text1"/>
          <w:sz w:val="21"/>
          <w:szCs w:val="21"/>
        </w:rPr>
      </w:pPr>
      <w:r>
        <w:rPr>
          <w:rFonts w:hint="eastAsia" w:hAnsi="宋体" w:cs="宋体"/>
          <w:color w:val="000000" w:themeColor="text1"/>
          <w:sz w:val="21"/>
          <w:szCs w:val="21"/>
        </w:rPr>
        <w:t>1、</w:t>
      </w:r>
      <w:r>
        <w:rPr>
          <w:rStyle w:val="73"/>
          <w:rFonts w:hAnsi="宋体"/>
          <w:color w:val="000000" w:themeColor="text1"/>
          <w:sz w:val="21"/>
          <w:szCs w:val="21"/>
        </w:rPr>
        <w:t>投标人的投标报价，应是完成招标文件中规定的所有服务和其它相关工作任务的全部工作费用，且不得</w:t>
      </w:r>
      <w:r>
        <w:rPr>
          <w:rStyle w:val="73"/>
          <w:rFonts w:ascii="Times New Roman" w:hAnsi="宋体"/>
          <w:color w:val="000000" w:themeColor="text1"/>
          <w:sz w:val="21"/>
          <w:szCs w:val="21"/>
        </w:rPr>
        <w:t>以任何理由予以重复，作为投标人计算实际结算价的依据。</w:t>
      </w:r>
      <w:r>
        <w:rPr>
          <w:rFonts w:hint="eastAsia" w:hAnsi="宋体" w:cs="宋体"/>
          <w:color w:val="000000" w:themeColor="text1"/>
          <w:sz w:val="21"/>
          <w:szCs w:val="21"/>
        </w:rPr>
        <w:t>应包括：前期调研费、方案编制、劳务、专用工具、专用设备、伴随服务、技术图纸资料等所有含税费用，论证、招标代理费用、驻地人员相关费用、评审费用、招标代理费用等与项目相关的一切费用。同时，还应包含支付给员工的工资和国家强制缴纳的各种社会保障资金，以及供应商认为需要的其他费用等。投标报价为签订合同的依据。中标后，中标人的投标报价即为本项目合同的总价。</w:t>
      </w:r>
    </w:p>
    <w:p>
      <w:pPr>
        <w:snapToGrid w:val="0"/>
        <w:spacing w:line="500" w:lineRule="exact"/>
        <w:ind w:firstLine="422" w:firstLineChars="200"/>
        <w:rPr>
          <w:rStyle w:val="73"/>
          <w:rFonts w:hAnsi="宋体"/>
          <w:sz w:val="21"/>
          <w:szCs w:val="21"/>
        </w:rPr>
      </w:pPr>
      <w:r>
        <w:rPr>
          <w:rStyle w:val="73"/>
          <w:rFonts w:hint="eastAsia" w:ascii="Times New Roman" w:hAnsi="宋体"/>
          <w:b/>
          <w:bCs/>
          <w:sz w:val="21"/>
          <w:szCs w:val="21"/>
        </w:rPr>
        <w:t>★2、本项目设有最高限价，投标人的投标报价超过采购人设定的各范围内的最高限价（预算金额的，详见如下表格内容），按投标无效处理。</w:t>
      </w:r>
    </w:p>
    <w:tbl>
      <w:tblPr>
        <w:tblStyle w:val="45"/>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940"/>
        <w:gridCol w:w="2532"/>
        <w:gridCol w:w="757"/>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08"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序号</w:t>
            </w:r>
          </w:p>
        </w:tc>
        <w:tc>
          <w:tcPr>
            <w:tcW w:w="3940"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采购内容</w:t>
            </w:r>
          </w:p>
        </w:tc>
        <w:tc>
          <w:tcPr>
            <w:tcW w:w="2532"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范围</w:t>
            </w:r>
          </w:p>
        </w:tc>
        <w:tc>
          <w:tcPr>
            <w:tcW w:w="757"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数量</w:t>
            </w:r>
          </w:p>
        </w:tc>
        <w:tc>
          <w:tcPr>
            <w:tcW w:w="1552"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预算金额</w:t>
            </w:r>
          </w:p>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8" w:type="dxa"/>
            <w:vMerge w:val="restart"/>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w:t>
            </w:r>
          </w:p>
        </w:tc>
        <w:tc>
          <w:tcPr>
            <w:tcW w:w="3940" w:type="dxa"/>
            <w:vMerge w:val="restart"/>
            <w:vAlign w:val="center"/>
          </w:tcPr>
          <w:p>
            <w:pPr>
              <w:snapToGrid w:val="0"/>
              <w:spacing w:line="500" w:lineRule="exact"/>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《金华市中心城区婺城片区（乡镇级）国土空间总体规划》（简称“婺城片区乡镇级总规”）</w:t>
            </w:r>
          </w:p>
        </w:tc>
        <w:tc>
          <w:tcPr>
            <w:tcW w:w="2532" w:type="dxa"/>
            <w:vAlign w:val="center"/>
          </w:tcPr>
          <w:p>
            <w:pPr>
              <w:snapToGrid w:val="0"/>
              <w:spacing w:line="500" w:lineRule="exact"/>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婺城区</w:t>
            </w:r>
          </w:p>
        </w:tc>
        <w:tc>
          <w:tcPr>
            <w:tcW w:w="757"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1项</w:t>
            </w:r>
          </w:p>
        </w:tc>
        <w:tc>
          <w:tcPr>
            <w:tcW w:w="1552"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ascii="Times New Roman" w:hAnsi="宋体" w:eastAsia="宋体" w:cs="Times New Roman"/>
                <w:color w:val="000000"/>
                <w:sz w:val="21"/>
                <w:szCs w:val="21"/>
                <w:lang w:val="en-US" w:eastAsia="zh-CN" w:bidi="ar-SA"/>
              </w:rPr>
              <w:t>293</w:t>
            </w:r>
            <w:r>
              <w:rPr>
                <w:rStyle w:val="73"/>
                <w:rFonts w:hint="eastAsia" w:ascii="Times New Roman" w:hAnsi="宋体" w:eastAsia="宋体" w:cs="Times New Roman"/>
                <w:color w:val="000000"/>
                <w:sz w:val="21"/>
                <w:szCs w:val="21"/>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8"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3940" w:type="dxa"/>
            <w:vMerge w:val="continue"/>
            <w:vAlign w:val="center"/>
          </w:tcPr>
          <w:p>
            <w:pPr>
              <w:snapToGrid w:val="0"/>
              <w:spacing w:line="500" w:lineRule="exact"/>
              <w:ind w:firstLine="420" w:firstLineChars="200"/>
              <w:rPr>
                <w:rStyle w:val="73"/>
                <w:rFonts w:ascii="Times New Roman" w:hAnsi="宋体" w:eastAsia="宋体" w:cs="Times New Roman"/>
                <w:color w:val="000000"/>
                <w:sz w:val="21"/>
                <w:szCs w:val="21"/>
                <w:lang w:val="en-US" w:eastAsia="zh-CN" w:bidi="ar-SA"/>
              </w:rPr>
            </w:pPr>
          </w:p>
        </w:tc>
        <w:tc>
          <w:tcPr>
            <w:tcW w:w="2532" w:type="dxa"/>
            <w:vAlign w:val="center"/>
          </w:tcPr>
          <w:p>
            <w:pPr>
              <w:snapToGrid w:val="0"/>
              <w:spacing w:line="500" w:lineRule="exact"/>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金华开发区</w:t>
            </w:r>
          </w:p>
        </w:tc>
        <w:tc>
          <w:tcPr>
            <w:tcW w:w="757"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1项</w:t>
            </w:r>
          </w:p>
        </w:tc>
        <w:tc>
          <w:tcPr>
            <w:tcW w:w="1552"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9</w:t>
            </w:r>
            <w:r>
              <w:rPr>
                <w:rStyle w:val="73"/>
                <w:rFonts w:ascii="Times New Roman" w:hAnsi="宋体" w:eastAsia="宋体" w:cs="Times New Roman"/>
                <w:color w:val="000000"/>
                <w:sz w:val="21"/>
                <w:szCs w:val="21"/>
                <w:lang w:val="en-US" w:eastAsia="zh-CN" w:bidi="ar-SA"/>
              </w:rPr>
              <w:t>1</w:t>
            </w:r>
            <w:r>
              <w:rPr>
                <w:rStyle w:val="73"/>
                <w:rFonts w:hint="eastAsia" w:ascii="Times New Roman" w:hAnsi="宋体" w:eastAsia="宋体" w:cs="Times New Roman"/>
                <w:color w:val="000000"/>
                <w:sz w:val="21"/>
                <w:szCs w:val="21"/>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08"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3940" w:type="dxa"/>
            <w:vMerge w:val="continue"/>
            <w:vAlign w:val="center"/>
          </w:tcPr>
          <w:p>
            <w:pPr>
              <w:snapToGrid w:val="0"/>
              <w:spacing w:line="500" w:lineRule="exact"/>
              <w:ind w:firstLine="420" w:firstLineChars="200"/>
              <w:rPr>
                <w:rStyle w:val="73"/>
                <w:rFonts w:ascii="Times New Roman" w:hAnsi="宋体" w:eastAsia="宋体" w:cs="Times New Roman"/>
                <w:color w:val="000000"/>
                <w:sz w:val="21"/>
                <w:szCs w:val="21"/>
                <w:lang w:val="en-US" w:eastAsia="zh-CN" w:bidi="ar-SA"/>
              </w:rPr>
            </w:pPr>
          </w:p>
        </w:tc>
        <w:tc>
          <w:tcPr>
            <w:tcW w:w="2532" w:type="dxa"/>
            <w:vAlign w:val="center"/>
          </w:tcPr>
          <w:p>
            <w:pPr>
              <w:snapToGrid w:val="0"/>
              <w:spacing w:line="500" w:lineRule="exact"/>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双龙管委会（罗店镇）</w:t>
            </w:r>
          </w:p>
        </w:tc>
        <w:tc>
          <w:tcPr>
            <w:tcW w:w="757"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1项</w:t>
            </w:r>
          </w:p>
        </w:tc>
        <w:tc>
          <w:tcPr>
            <w:tcW w:w="1552"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7</w:t>
            </w:r>
            <w:r>
              <w:rPr>
                <w:rStyle w:val="73"/>
                <w:rFonts w:ascii="Times New Roman" w:hAnsi="宋体" w:eastAsia="宋体" w:cs="Times New Roman"/>
                <w:color w:val="000000"/>
                <w:sz w:val="21"/>
                <w:szCs w:val="21"/>
                <w:lang w:val="en-US" w:eastAsia="zh-CN" w:bidi="ar-SA"/>
              </w:rPr>
              <w:t>6</w:t>
            </w:r>
            <w:r>
              <w:rPr>
                <w:rStyle w:val="73"/>
                <w:rFonts w:hint="eastAsia" w:ascii="Times New Roman" w:hAnsi="宋体" w:eastAsia="宋体" w:cs="Times New Roman"/>
                <w:color w:val="000000"/>
                <w:sz w:val="21"/>
                <w:szCs w:val="21"/>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vMerge w:val="restart"/>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2</w:t>
            </w:r>
          </w:p>
        </w:tc>
        <w:tc>
          <w:tcPr>
            <w:tcW w:w="3940" w:type="dxa"/>
            <w:vMerge w:val="restart"/>
            <w:vAlign w:val="center"/>
          </w:tcPr>
          <w:p>
            <w:pPr>
              <w:snapToGrid w:val="0"/>
              <w:spacing w:line="500" w:lineRule="exact"/>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《金华市中心城区金东片区（乡镇级）国土空间总体规划》（简称“金东片区乡镇级总规”）</w:t>
            </w:r>
          </w:p>
        </w:tc>
        <w:tc>
          <w:tcPr>
            <w:tcW w:w="2532" w:type="dxa"/>
            <w:vAlign w:val="center"/>
          </w:tcPr>
          <w:p>
            <w:pPr>
              <w:snapToGrid w:val="0"/>
              <w:spacing w:line="500" w:lineRule="exact"/>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金东区</w:t>
            </w:r>
          </w:p>
        </w:tc>
        <w:tc>
          <w:tcPr>
            <w:tcW w:w="757"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1项</w:t>
            </w:r>
          </w:p>
        </w:tc>
        <w:tc>
          <w:tcPr>
            <w:tcW w:w="1552"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ascii="Times New Roman" w:hAnsi="宋体" w:eastAsia="宋体" w:cs="Times New Roman"/>
                <w:color w:val="000000"/>
                <w:sz w:val="21"/>
                <w:szCs w:val="21"/>
                <w:lang w:val="en-US" w:eastAsia="zh-CN" w:bidi="ar-SA"/>
              </w:rPr>
              <w:t>218</w:t>
            </w:r>
            <w:r>
              <w:rPr>
                <w:rStyle w:val="73"/>
                <w:rFonts w:hint="eastAsia" w:ascii="Times New Roman" w:hAnsi="宋体" w:eastAsia="宋体" w:cs="Times New Roman"/>
                <w:color w:val="000000"/>
                <w:sz w:val="21"/>
                <w:szCs w:val="21"/>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8"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3940" w:type="dxa"/>
            <w:vMerge w:val="continue"/>
            <w:vAlign w:val="center"/>
          </w:tcPr>
          <w:p>
            <w:pPr>
              <w:snapToGrid w:val="0"/>
              <w:spacing w:line="500" w:lineRule="exact"/>
              <w:ind w:firstLine="420" w:firstLineChars="200"/>
              <w:rPr>
                <w:rStyle w:val="73"/>
                <w:rFonts w:ascii="Times New Roman" w:hAnsi="宋体" w:eastAsia="宋体" w:cs="Times New Roman"/>
                <w:color w:val="000000"/>
                <w:sz w:val="21"/>
                <w:szCs w:val="21"/>
                <w:lang w:val="en-US" w:eastAsia="zh-CN" w:bidi="ar-SA"/>
              </w:rPr>
            </w:pPr>
          </w:p>
        </w:tc>
        <w:tc>
          <w:tcPr>
            <w:tcW w:w="2532" w:type="dxa"/>
            <w:vAlign w:val="center"/>
          </w:tcPr>
          <w:p>
            <w:pPr>
              <w:snapToGrid w:val="0"/>
              <w:spacing w:line="500" w:lineRule="exact"/>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双龙管委会（赤松镇）</w:t>
            </w:r>
          </w:p>
        </w:tc>
        <w:tc>
          <w:tcPr>
            <w:tcW w:w="757"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1项</w:t>
            </w:r>
          </w:p>
        </w:tc>
        <w:tc>
          <w:tcPr>
            <w:tcW w:w="1552" w:type="dxa"/>
            <w:vAlign w:val="center"/>
          </w:tcPr>
          <w:p>
            <w:pPr>
              <w:snapToGrid w:val="0"/>
              <w:spacing w:line="500" w:lineRule="exact"/>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5</w:t>
            </w:r>
            <w:r>
              <w:rPr>
                <w:rStyle w:val="73"/>
                <w:rFonts w:ascii="Times New Roman" w:hAnsi="宋体" w:eastAsia="宋体" w:cs="Times New Roman"/>
                <w:color w:val="000000"/>
                <w:sz w:val="21"/>
                <w:szCs w:val="21"/>
                <w:lang w:val="en-US" w:eastAsia="zh-CN" w:bidi="ar-SA"/>
              </w:rPr>
              <w:t>7</w:t>
            </w:r>
            <w:r>
              <w:rPr>
                <w:rStyle w:val="73"/>
                <w:rFonts w:hint="eastAsia" w:ascii="Times New Roman" w:hAnsi="宋体" w:eastAsia="宋体" w:cs="Times New Roman"/>
                <w:color w:val="000000"/>
                <w:sz w:val="21"/>
                <w:szCs w:val="21"/>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937" w:type="dxa"/>
            <w:gridSpan w:val="4"/>
            <w:vAlign w:val="center"/>
          </w:tcPr>
          <w:p>
            <w:pPr>
              <w:pStyle w:val="20"/>
              <w:snapToGrid w:val="0"/>
              <w:spacing w:line="288" w:lineRule="auto"/>
              <w:ind w:firstLine="0" w:firstLineChars="0"/>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 xml:space="preserve">                                                                   合计：</w:t>
            </w:r>
          </w:p>
        </w:tc>
        <w:tc>
          <w:tcPr>
            <w:tcW w:w="1552" w:type="dxa"/>
            <w:vAlign w:val="center"/>
          </w:tcPr>
          <w:p>
            <w:pPr>
              <w:pStyle w:val="20"/>
              <w:snapToGrid w:val="0"/>
              <w:spacing w:line="288" w:lineRule="auto"/>
              <w:ind w:firstLine="0" w:firstLineChars="0"/>
              <w:jc w:val="center"/>
              <w:rPr>
                <w:rStyle w:val="73"/>
                <w:rFonts w:ascii="Times New Roman" w:hAnsi="宋体" w:eastAsia="宋体" w:cs="Times New Roman"/>
                <w:color w:val="000000"/>
                <w:sz w:val="21"/>
                <w:szCs w:val="21"/>
                <w:lang w:val="en-US" w:eastAsia="zh-CN" w:bidi="ar-SA"/>
              </w:rPr>
            </w:pPr>
            <w:r>
              <w:rPr>
                <w:rStyle w:val="73"/>
                <w:rFonts w:hint="eastAsia" w:ascii="Times New Roman" w:hAnsi="宋体" w:eastAsia="宋体" w:cs="Times New Roman"/>
                <w:color w:val="000000"/>
                <w:sz w:val="21"/>
                <w:szCs w:val="21"/>
                <w:lang w:val="en-US" w:eastAsia="zh-CN" w:bidi="ar-SA"/>
              </w:rPr>
              <w:t>735万元</w:t>
            </w:r>
          </w:p>
        </w:tc>
      </w:tr>
    </w:tbl>
    <w:p>
      <w:pPr>
        <w:snapToGrid w:val="0"/>
        <w:spacing w:line="500" w:lineRule="exact"/>
        <w:ind w:firstLine="420" w:firstLineChars="200"/>
        <w:rPr>
          <w:rStyle w:val="73"/>
          <w:rFonts w:hAnsi="宋体"/>
          <w:color w:val="000000"/>
          <w:sz w:val="21"/>
          <w:szCs w:val="21"/>
        </w:rPr>
      </w:pPr>
      <w:r>
        <w:rPr>
          <w:rStyle w:val="73"/>
          <w:rFonts w:hint="eastAsia" w:hAnsi="宋体"/>
          <w:color w:val="000000"/>
          <w:sz w:val="21"/>
          <w:szCs w:val="21"/>
        </w:rPr>
        <w:t>3、</w:t>
      </w:r>
      <w:r>
        <w:rPr>
          <w:rStyle w:val="73"/>
          <w:rFonts w:hAnsi="宋体"/>
          <w:color w:val="000000"/>
          <w:sz w:val="21"/>
          <w:szCs w:val="21"/>
        </w:rPr>
        <w:t>投标人应根据自身综合实力、市场行情、本项目具体特点和技术要求进行报价。除政策性文件规定以外，投标人所报价格在合同实施期间不因市场变化因素而变动。</w:t>
      </w:r>
    </w:p>
    <w:p>
      <w:pPr>
        <w:tabs>
          <w:tab w:val="left" w:pos="1260"/>
        </w:tabs>
        <w:snapToGrid w:val="0"/>
        <w:spacing w:line="500" w:lineRule="exact"/>
        <w:ind w:firstLine="315" w:firstLineChars="150"/>
        <w:rPr>
          <w:rStyle w:val="73"/>
          <w:rFonts w:hAnsi="宋体"/>
          <w:color w:val="000000"/>
          <w:sz w:val="21"/>
          <w:szCs w:val="21"/>
        </w:rPr>
      </w:pPr>
      <w:r>
        <w:rPr>
          <w:rStyle w:val="73"/>
          <w:rFonts w:hAnsi="宋体"/>
          <w:color w:val="000000"/>
          <w:sz w:val="21"/>
          <w:szCs w:val="21"/>
        </w:rPr>
        <w:t>★</w:t>
      </w:r>
      <w:r>
        <w:rPr>
          <w:rStyle w:val="73"/>
          <w:rFonts w:hint="eastAsia" w:hAnsi="宋体"/>
          <w:color w:val="000000"/>
          <w:sz w:val="21"/>
          <w:szCs w:val="21"/>
        </w:rPr>
        <w:t>4、</w:t>
      </w:r>
      <w:r>
        <w:rPr>
          <w:rStyle w:val="73"/>
          <w:rFonts w:hAnsi="宋体"/>
          <w:color w:val="000000"/>
          <w:sz w:val="21"/>
          <w:szCs w:val="21"/>
        </w:rPr>
        <w:t>投标文件只允许有一个报价，有选择的或有条件的报价将不予接受。</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（五）投标文件的有效期</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bCs/>
          <w:color w:val="000000"/>
          <w:sz w:val="21"/>
          <w:szCs w:val="21"/>
        </w:rPr>
        <w:t>★</w:t>
      </w:r>
      <w:r>
        <w:rPr>
          <w:rFonts w:hint="eastAsia" w:hAnsi="宋体" w:cs="宋体"/>
          <w:color w:val="000000"/>
          <w:sz w:val="21"/>
          <w:szCs w:val="21"/>
        </w:rPr>
        <w:t>1、自投标截止日起90天投标文件应保持有效。有效期不足的投标文件将被拒绝。</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2、在特殊情况下，招标人可与投标人协商延长投标书的有效期，这种要求和答复均以书面形式进行。</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3、中标人的投标文件自开标之日起至合同履行完毕止均应保持有效。</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（六）投标文件的签署和份数</w:t>
      </w:r>
    </w:p>
    <w:p>
      <w:pPr>
        <w:widowControl/>
        <w:snapToGrid w:val="0"/>
        <w:spacing w:line="460" w:lineRule="exact"/>
        <w:ind w:firstLine="420"/>
        <w:rPr>
          <w:rFonts w:hAnsi="宋体" w:cs="宋体"/>
          <w:color w:val="000000"/>
          <w:sz w:val="21"/>
        </w:rPr>
      </w:pPr>
      <w:r>
        <w:rPr>
          <w:rFonts w:hint="eastAsia" w:hAnsi="宋体" w:cs="宋体"/>
          <w:color w:val="000000"/>
          <w:sz w:val="21"/>
          <w:szCs w:val="24"/>
        </w:rPr>
        <w:t>1.</w:t>
      </w:r>
      <w:r>
        <w:rPr>
          <w:rFonts w:hint="eastAsia" w:hAnsi="宋体" w:cs="宋体"/>
          <w:color w:val="000000"/>
          <w:sz w:val="21"/>
        </w:rPr>
        <w:t>电子投标文件部分：</w:t>
      </w:r>
    </w:p>
    <w:p>
      <w:pPr>
        <w:widowControl/>
        <w:snapToGrid w:val="0"/>
        <w:spacing w:line="460" w:lineRule="exact"/>
        <w:ind w:firstLine="420"/>
        <w:rPr>
          <w:rFonts w:hAnsi="宋体" w:cs="宋体"/>
          <w:color w:val="000000"/>
          <w:sz w:val="21"/>
        </w:rPr>
      </w:pPr>
      <w:r>
        <w:rPr>
          <w:rFonts w:hint="eastAsia" w:hAnsi="宋体" w:cs="宋体"/>
          <w:color w:val="000000"/>
          <w:sz w:val="21"/>
        </w:rPr>
        <w:t>投标人应根据“政采云供应商项目采购-电子交易操作指南”及本招标文件规定的格式和顺序编制电子投标文件并进行关联定位。</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（七）投标文件的包装、递交、修改和撤回</w:t>
      </w:r>
    </w:p>
    <w:p>
      <w:pPr>
        <w:widowControl/>
        <w:autoSpaceDE/>
        <w:autoSpaceDN/>
        <w:adjustRightInd/>
        <w:snapToGrid w:val="0"/>
        <w:spacing w:line="460" w:lineRule="exact"/>
        <w:ind w:firstLine="420"/>
        <w:jc w:val="both"/>
        <w:rPr>
          <w:rFonts w:hAnsi="宋体" w:cs="宋体"/>
          <w:b/>
          <w:bCs/>
          <w:color w:val="000000"/>
          <w:sz w:val="21"/>
          <w:szCs w:val="21"/>
        </w:rPr>
      </w:pPr>
      <w:r>
        <w:rPr>
          <w:rFonts w:hint="eastAsia" w:hAnsi="宋体" w:cs="宋体"/>
          <w:b/>
          <w:bCs/>
          <w:color w:val="000000"/>
          <w:sz w:val="21"/>
          <w:szCs w:val="21"/>
        </w:rPr>
        <w:t>1．投标人应当在投标截止时间前在“政采云”（</w:t>
      </w:r>
      <w:r>
        <w:rPr>
          <w:rFonts w:hint="eastAsia" w:hAnsi="宋体" w:cs="宋体"/>
          <w:color w:val="000000"/>
          <w:sz w:val="21"/>
          <w:szCs w:val="21"/>
          <w:shd w:val="clear" w:color="auto" w:fill="FFFFFF"/>
        </w:rPr>
        <w:t xml:space="preserve"> 电子交易客户端</w:t>
      </w:r>
      <w:r>
        <w:rPr>
          <w:rFonts w:hint="eastAsia" w:hAnsi="宋体" w:cs="宋体"/>
          <w:b/>
          <w:bCs/>
          <w:color w:val="000000"/>
          <w:sz w:val="21"/>
          <w:szCs w:val="21"/>
        </w:rPr>
        <w:t>）上自行上传加密的电子投标文件。</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bCs/>
          <w:color w:val="000000"/>
          <w:sz w:val="21"/>
          <w:szCs w:val="21"/>
        </w:rPr>
        <w:t>★</w:t>
      </w:r>
      <w:r>
        <w:rPr>
          <w:rFonts w:hint="eastAsia" w:hAnsi="宋体" w:cs="宋体"/>
          <w:color w:val="000000"/>
          <w:sz w:val="21"/>
          <w:szCs w:val="21"/>
        </w:rPr>
        <w:t>2.投标人未在“政采云”（</w:t>
      </w:r>
      <w:r>
        <w:rPr>
          <w:rFonts w:hint="eastAsia" w:hAnsi="宋体" w:cs="宋体"/>
          <w:color w:val="000000"/>
          <w:sz w:val="21"/>
          <w:szCs w:val="21"/>
          <w:shd w:val="clear" w:color="auto" w:fill="FFFFFF"/>
        </w:rPr>
        <w:t xml:space="preserve"> 电子交易客户端</w:t>
      </w:r>
      <w:r>
        <w:rPr>
          <w:rFonts w:hint="eastAsia" w:hAnsi="宋体" w:cs="宋体"/>
          <w:color w:val="000000"/>
          <w:sz w:val="21"/>
          <w:szCs w:val="21"/>
        </w:rPr>
        <w:t>）上自行上传加密的电子投标文件的，投标无效。</w:t>
      </w:r>
    </w:p>
    <w:p>
      <w:pPr>
        <w:autoSpaceDE/>
        <w:autoSpaceDN/>
        <w:adjustRightInd/>
        <w:spacing w:line="500" w:lineRule="exact"/>
        <w:ind w:firstLine="422" w:firstLineChars="200"/>
        <w:jc w:val="both"/>
        <w:rPr>
          <w:rFonts w:hAnsi="宋体" w:cs="宋体"/>
          <w:b/>
          <w:bCs/>
          <w:color w:val="000000"/>
          <w:sz w:val="21"/>
          <w:szCs w:val="21"/>
        </w:rPr>
      </w:pPr>
      <w:r>
        <w:rPr>
          <w:rFonts w:hint="eastAsia" w:hAnsi="宋体" w:cs="宋体"/>
          <w:b/>
          <w:bCs/>
          <w:color w:val="000000"/>
          <w:sz w:val="21"/>
          <w:szCs w:val="21"/>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4.截止开标时间，政采云（</w:t>
      </w:r>
      <w:r>
        <w:rPr>
          <w:rFonts w:hint="eastAsia" w:hAnsi="宋体" w:cs="宋体"/>
          <w:color w:val="000000"/>
          <w:sz w:val="21"/>
          <w:szCs w:val="21"/>
          <w:shd w:val="clear" w:color="auto" w:fill="FFFFFF"/>
        </w:rPr>
        <w:t>电子交易客户端</w:t>
      </w:r>
      <w:r>
        <w:rPr>
          <w:rFonts w:hint="eastAsia" w:hAnsi="宋体" w:cs="宋体"/>
          <w:color w:val="000000"/>
          <w:sz w:val="21"/>
          <w:szCs w:val="21"/>
        </w:rPr>
        <w:t>）自动提取所有投标文件，投标人须在解密时限内完成解密，解密时限由财政部门设置，投标人在规定的时间内都已解密完成，则系统自动结束解密，采购代理机构开启投标文件；投标人超过解密时限的，系统默认自动放弃。</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（八）投标无效的情形</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1、在符合性审查和商务评审时，如发现下列情形之一的，投标文件将被视为无效：</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（1）资格证明文件不全的，或者不符合招标文件标明的资格要求的；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（2）投标文件无投标人（或联合体投标人的牵头单位）的法定代表人或其授权代表签字，或未提供法定代表人授权委托书；</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（3）投标代表人未能出具身份证明或与法定代表人授权委托人身份不符的；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（4）投标文件格式不规范、项目不齐全或者内容虚假的；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（5）投标文件的实质性内容未使用中文表述、意思表述不明确、前后矛盾或者使用计量单位不符合招标文件要求的（经评标委员会认定并允许其当场更正的笔误除外）；</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（6）投标有效期、交货时间、质保期等商务条款不能满足招标文件要求的；</w:t>
      </w:r>
    </w:p>
    <w:p>
      <w:pPr>
        <w:widowControl/>
        <w:snapToGrid w:val="0"/>
        <w:spacing w:line="460" w:lineRule="exact"/>
        <w:ind w:firstLine="420"/>
        <w:rPr>
          <w:rFonts w:hAnsi="宋体" w:cs="宋体"/>
          <w:color w:val="000000"/>
          <w:sz w:val="21"/>
        </w:rPr>
      </w:pPr>
      <w:r>
        <w:rPr>
          <w:rFonts w:hint="eastAsia" w:hAnsi="宋体" w:cs="宋体"/>
          <w:color w:val="000000"/>
          <w:sz w:val="21"/>
        </w:rPr>
        <w:t>（7）电子投标文件解密失败的；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（8）联合体投标的没有提交共同投标协议（联合协议）的；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（9）未实质性响应招标文件要求或者投标文件有招标方不能接受的附加条件的。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2、在技术评审时，如发现下列情形之一的，投标文件将被视为无效：</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（1）未提供或未如实提供投标货物的技术参数，或者投标文件标明的响应或偏离与事实不符或虚假投标的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（2）明显不符合招标文件要求的规格型号、质量标准，或者与招标文件中标“</w:t>
      </w:r>
      <w:r>
        <w:rPr>
          <w:rFonts w:hint="eastAsia" w:hAnsi="宋体" w:cs="宋体"/>
          <w:bCs/>
          <w:color w:val="000000"/>
          <w:sz w:val="21"/>
          <w:szCs w:val="21"/>
        </w:rPr>
        <w:t>★</w:t>
      </w:r>
      <w:r>
        <w:rPr>
          <w:rFonts w:hint="eastAsia" w:hAnsi="宋体" w:cs="宋体"/>
          <w:color w:val="000000"/>
          <w:sz w:val="21"/>
          <w:szCs w:val="21"/>
        </w:rPr>
        <w:t>”的技术指标、主要功能项目发生实质性偏离的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（3）允许偏离的技术、性能指标或者辅助功能项目发生负偏离达15项（含）以上的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（4）投标技术方案不明确，存在一个或一个以上备选（替代）投标方案的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（5）与其他参加本次投标供应商的投标文件（技术文件）的文字表述内容相同连续20行以上或者差错相同2处以上的。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3、在报价评审时，如发现下列情形之一的，投标文件将被视为无效：</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（1）未采用人民币报价或者未按照招标文件标明的币种报价的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（2）投标报价具有选择性，或者开标价格与投标文件承诺的优惠（折扣）价格不一致的</w:t>
      </w:r>
    </w:p>
    <w:p>
      <w:pPr>
        <w:spacing w:line="500" w:lineRule="exact"/>
        <w:ind w:firstLine="420" w:firstLineChars="200"/>
        <w:rPr>
          <w:rFonts w:hAnsi="宋体" w:cs="宋体"/>
          <w:color w:val="000000"/>
          <w:sz w:val="21"/>
          <w:szCs w:val="21"/>
        </w:rPr>
      </w:pPr>
      <w:r>
        <w:rPr>
          <w:rFonts w:hint="eastAsia" w:hAnsi="宋体" w:cs="宋体"/>
          <w:color w:val="000000"/>
          <w:sz w:val="21"/>
          <w:szCs w:val="21"/>
        </w:rPr>
        <w:t>（3）投标人的投标报价超过最高限价的</w:t>
      </w:r>
    </w:p>
    <w:p>
      <w:pPr>
        <w:spacing w:line="500" w:lineRule="exact"/>
        <w:ind w:firstLine="420" w:firstLineChars="200"/>
        <w:rPr>
          <w:rFonts w:hAnsi="宋体" w:cs="宋体"/>
          <w:color w:val="000000"/>
          <w:sz w:val="21"/>
          <w:szCs w:val="21"/>
        </w:rPr>
      </w:pPr>
      <w:r>
        <w:rPr>
          <w:rFonts w:hint="eastAsia" w:hAnsi="宋体" w:cs="宋体"/>
          <w:color w:val="000000"/>
          <w:sz w:val="21"/>
          <w:szCs w:val="21"/>
        </w:rPr>
        <w:t>（4）评标委员会一致认为将获得成交候选资格的投标人报价或某些分项报价明显不合理，有降低质量、不能诚信履约的可能，且该投标人未在规定期限内作出解释，或所作解释不合理，经评标委员会取得一致意见后，确定该投标无效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rPr>
        <w:t>（5）投标人在线制作投标文件时《开标（报价）一览表》中填写的金额与解密后“电子加密投标文件”中《开标（报价）一览表》填写的金额不一致的，以解密后“电子加密投标文件”中《开标（报价）一览表》填写的金额为准，投标供应商拒绝接受此调整的，按无效投标处理。</w:t>
      </w:r>
    </w:p>
    <w:p>
      <w:pPr>
        <w:autoSpaceDE/>
        <w:autoSpaceDN/>
        <w:adjustRightInd/>
        <w:snapToGrid w:val="0"/>
        <w:spacing w:line="500" w:lineRule="exact"/>
        <w:ind w:firstLine="420"/>
        <w:rPr>
          <w:rFonts w:hAnsi="宋体" w:cs="宋体"/>
          <w:sz w:val="21"/>
        </w:rPr>
      </w:pPr>
      <w:r>
        <w:rPr>
          <w:rFonts w:hint="eastAsia" w:hAnsi="宋体" w:cs="宋体"/>
          <w:color w:val="000000"/>
          <w:sz w:val="21"/>
          <w:szCs w:val="21"/>
        </w:rPr>
        <w:t>4、</w:t>
      </w:r>
      <w:r>
        <w:rPr>
          <w:rFonts w:hint="eastAsia" w:hAnsi="宋体" w:cs="宋体"/>
          <w:sz w:val="21"/>
        </w:rPr>
        <w:t>有下列情形之一的，视为投标人串通投标，其投标无效：</w:t>
      </w:r>
    </w:p>
    <w:p>
      <w:pPr>
        <w:autoSpaceDE/>
        <w:autoSpaceDN/>
        <w:adjustRightInd/>
        <w:snapToGrid w:val="0"/>
        <w:spacing w:line="500" w:lineRule="exact"/>
        <w:ind w:firstLine="420"/>
        <w:rPr>
          <w:rFonts w:hAnsi="宋体" w:cs="宋体"/>
          <w:sz w:val="21"/>
        </w:rPr>
      </w:pPr>
      <w:r>
        <w:rPr>
          <w:rFonts w:hint="eastAsia" w:hAnsi="宋体" w:cs="宋体"/>
          <w:sz w:val="21"/>
        </w:rPr>
        <w:t>（1）不同投标人的投标文件由同一单位或者个人编制（同一IP地址上传投标、响应文件）；</w:t>
      </w:r>
    </w:p>
    <w:p>
      <w:pPr>
        <w:autoSpaceDE/>
        <w:autoSpaceDN/>
        <w:adjustRightInd/>
        <w:snapToGrid w:val="0"/>
        <w:spacing w:line="500" w:lineRule="exact"/>
        <w:ind w:firstLine="420"/>
        <w:rPr>
          <w:rFonts w:hAnsi="宋体" w:cs="宋体"/>
          <w:sz w:val="21"/>
        </w:rPr>
      </w:pPr>
      <w:r>
        <w:rPr>
          <w:rFonts w:hint="eastAsia" w:hAnsi="宋体" w:cs="宋体"/>
          <w:sz w:val="21"/>
        </w:rPr>
        <w:t>（2）不同投标人委托同一单位或者个人办理投标事宜；</w:t>
      </w:r>
    </w:p>
    <w:p>
      <w:pPr>
        <w:autoSpaceDE/>
        <w:autoSpaceDN/>
        <w:adjustRightInd/>
        <w:snapToGrid w:val="0"/>
        <w:spacing w:line="500" w:lineRule="exact"/>
        <w:ind w:firstLine="420"/>
        <w:rPr>
          <w:rFonts w:hAnsi="宋体" w:cs="宋体"/>
          <w:sz w:val="21"/>
        </w:rPr>
      </w:pPr>
      <w:r>
        <w:rPr>
          <w:rFonts w:hint="eastAsia" w:hAnsi="宋体" w:cs="宋体"/>
          <w:sz w:val="21"/>
        </w:rPr>
        <w:t>（3）不同投标人的投标文件载明的项目管理成员或者联系人员为同一人；</w:t>
      </w:r>
    </w:p>
    <w:p>
      <w:pPr>
        <w:autoSpaceDE/>
        <w:autoSpaceDN/>
        <w:adjustRightInd/>
        <w:snapToGrid w:val="0"/>
        <w:spacing w:line="500" w:lineRule="exact"/>
        <w:ind w:firstLine="420"/>
        <w:rPr>
          <w:rFonts w:hAnsi="宋体" w:cs="宋体"/>
          <w:sz w:val="21"/>
        </w:rPr>
      </w:pPr>
      <w:r>
        <w:rPr>
          <w:rFonts w:hint="eastAsia" w:hAnsi="宋体" w:cs="宋体"/>
          <w:sz w:val="21"/>
        </w:rPr>
        <w:t>（4）不同投标人的投标文件异常一致或者投标报价呈规律性差异；</w:t>
      </w:r>
    </w:p>
    <w:p>
      <w:pPr>
        <w:autoSpaceDE/>
        <w:autoSpaceDN/>
        <w:adjustRightInd/>
        <w:snapToGrid w:val="0"/>
        <w:spacing w:line="500" w:lineRule="exact"/>
        <w:ind w:firstLine="420"/>
        <w:rPr>
          <w:rFonts w:hAnsi="宋体" w:cs="宋体"/>
          <w:sz w:val="21"/>
        </w:rPr>
      </w:pPr>
      <w:r>
        <w:rPr>
          <w:rFonts w:hint="eastAsia" w:hAnsi="宋体" w:cs="宋体"/>
          <w:sz w:val="21"/>
        </w:rPr>
        <w:t>（5）不同投标人的投标文件相互混装；</w:t>
      </w:r>
    </w:p>
    <w:p>
      <w:pPr>
        <w:autoSpaceDE/>
        <w:autoSpaceDN/>
        <w:adjustRightInd/>
        <w:snapToGrid w:val="0"/>
        <w:spacing w:line="500" w:lineRule="exact"/>
        <w:ind w:firstLine="420"/>
        <w:rPr>
          <w:rFonts w:hAnsi="宋体" w:cs="宋体"/>
          <w:sz w:val="21"/>
        </w:rPr>
      </w:pPr>
      <w:r>
        <w:rPr>
          <w:rFonts w:hint="eastAsia" w:hAnsi="宋体" w:cs="宋体"/>
          <w:sz w:val="21"/>
        </w:rPr>
        <w:t>（6）不同投标人的投标保证金（如有）从同一单位或者个人的账户转出。</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5、被拒绝的投标文件为无效投标文件。</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四、开标</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1.开标会由采购代理机构主持，宣布开标会议开始；</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2.在开标后投标供应商登录“政采云”平台，用“项目采购-开标评标”功能进行解密投标文件。</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若投标供应商在规定时间内无法解密或解密失败的，视为投标文件撤回。</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3.采购人或采购代理机构先对投标人的资格进行审查，如评审小组对投标文件有疑问，对投标人进行在线询标，投标人须在澄清截止时间前上传澄清函，若在澄清截止时间前未进行有效澄清的，逾期将不再接受澄清。资格审查不合格的投标人不再进入商务技术文件及报价文件的评审。</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4.评标委员会先对商务技术文件进行评审，如对投标文件有疑问，对投标人进行在线询标，投标人须在发起的澄清截止时间前上传澄清函，若在发起的澄清截止时间前未进行有效澄清的，逾期将不再接受澄清。商务技术文件不合格的投标人不再进入报价文件评审。</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5.资信商务技术文件评审结果在线公布后，在线开启报价文件，并由评标委员会进行报价评审。</w:t>
      </w:r>
      <w:r>
        <w:rPr>
          <w:rFonts w:hint="eastAsia" w:hAnsi="宋体" w:cs="宋体"/>
          <w:color w:val="000000"/>
          <w:sz w:val="21"/>
        </w:rPr>
        <w:t>投标供应商在线制作投标</w:t>
      </w:r>
      <w:r>
        <w:rPr>
          <w:rFonts w:hint="eastAsia" w:hAnsi="宋体" w:cs="宋体"/>
          <w:color w:val="000000"/>
          <w:sz w:val="21"/>
          <w:szCs w:val="21"/>
        </w:rPr>
        <w:t>报价</w:t>
      </w:r>
      <w:r>
        <w:rPr>
          <w:rFonts w:hint="eastAsia" w:hAnsi="宋体" w:cs="宋体"/>
          <w:color w:val="000000"/>
          <w:sz w:val="21"/>
        </w:rPr>
        <w:t>文件中填写的金额与解密后“电子加密投标</w:t>
      </w:r>
      <w:r>
        <w:rPr>
          <w:rFonts w:hint="eastAsia" w:hAnsi="宋体" w:cs="宋体"/>
          <w:color w:val="000000"/>
          <w:sz w:val="21"/>
          <w:szCs w:val="21"/>
        </w:rPr>
        <w:t>报价</w:t>
      </w:r>
      <w:r>
        <w:rPr>
          <w:rFonts w:hint="eastAsia" w:hAnsi="宋体" w:cs="宋体"/>
          <w:color w:val="000000"/>
          <w:sz w:val="21"/>
        </w:rPr>
        <w:t>文件”中填写的金额不一致时，以解密后“电子加密投标</w:t>
      </w:r>
      <w:r>
        <w:rPr>
          <w:rFonts w:hint="eastAsia" w:hAnsi="宋体" w:cs="宋体"/>
          <w:color w:val="000000"/>
          <w:sz w:val="21"/>
          <w:szCs w:val="21"/>
        </w:rPr>
        <w:t>报价</w:t>
      </w:r>
      <w:r>
        <w:rPr>
          <w:rFonts w:hint="eastAsia" w:hAnsi="宋体" w:cs="宋体"/>
          <w:color w:val="000000"/>
          <w:sz w:val="21"/>
        </w:rPr>
        <w:t>文件”中填写的金额为准，投标供应商拒绝接受此规定的，按无效标处理。</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6. 综合评审结果在线公布各投标人得分汇总，并在线提交（宣布）中标候选人。</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7.</w:t>
      </w:r>
      <w:r>
        <w:rPr>
          <w:rFonts w:hint="eastAsia" w:hAnsi="宋体" w:cs="宋体"/>
          <w:color w:val="000000"/>
          <w:sz w:val="22"/>
          <w:szCs w:val="22"/>
        </w:rPr>
        <w:t xml:space="preserve"> 评审结束后，代理机构宣布开标结束，并公布采购结果</w:t>
      </w:r>
      <w:r>
        <w:rPr>
          <w:rFonts w:hint="eastAsia" w:hAnsi="宋体" w:cs="宋体"/>
          <w:color w:val="000000"/>
          <w:sz w:val="21"/>
          <w:szCs w:val="21"/>
        </w:rPr>
        <w:t>。</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注：政采云公司如对电子化开标及评审程序有调整的，按调整后的程序操作。</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五、评标</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（一）组建评标委员会</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招标单位和代理机构将根据本项目的特点依法组建评标委员会，评标委员会由招标单位和有关技术、经济等方面五名以上（含五名）单数的专家组成，其中技术、经济等方面的专家不少于成员总数的三分之二。专家统一在浙江省政府采购专家管理系统（政采云）的专家库中随机抽取。</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（二）评标的方式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本项目采用不公开方式评标，评标的依据为招标文件和投标文件。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（三）评标程序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1、形式审查</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招标人代表和代理机构工作人员协助评标委员会对投标人的资格和投标文件的完整性、合法性等进行审查。</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2、实质审查与比较</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（1）评标委员会审查投标文件的实质性内容是否符合招标文件的实质性要求。</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（2）评标委员会将根据投标人的投标文件进行审查、核对，如有疑问，将对投标人进行询标，投标人要向评标委员会澄清有关问题，并最终以书面形式进行答复。</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投标人代表未到场或者拒绝澄清或者澄清的内容改变了投标文件的实质性内容的，评标委员会有权对该投标文件作出不利于投标人的评判。</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（3）各投标人的技术商务得分为所有评委的有效评分的算术平均数，由指定专人进行计算复核。</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（4）代理机构工作人员协助评标委员会根据本项目的评分标准计算各投标人的投标报价得分。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（5）评标委员会完成评标后，评委对各部分得分汇总，计算出本项目最终得分、评标价等。评标委员会按评标原则推荐中标候选人同时起草评标报告。</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（四）澄清问题的形式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（五）错误修正</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投标文件如果出现计算或表达上的错误，修正错误的原则如下：</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1、投标文件的大写金额（折扣）和小写金额（折扣）不一致的，以大写金额为准；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2、对不同文字文本投标文件的解释发生异议的，以中文文本为准。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（六）评标原则和评标办法</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2、评标办法。具体评标内容及评分标准等详见《第四章：评标办法及评分标准》。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（七）评标过程的监控</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本项目评标过程实行全程录音、录像监控，投标人在评标过程中所进行的试图影响评标结果的不公正活动，可能导致其投标被拒绝。</w:t>
      </w:r>
    </w:p>
    <w:p>
      <w:pPr>
        <w:autoSpaceDE/>
        <w:autoSpaceDN/>
        <w:adjustRightInd/>
        <w:spacing w:line="500" w:lineRule="exact"/>
        <w:ind w:firstLine="422" w:firstLineChars="200"/>
        <w:jc w:val="both"/>
        <w:rPr>
          <w:rFonts w:hAnsi="宋体" w:cs="宋体"/>
          <w:b/>
          <w:bCs/>
          <w:color w:val="000000"/>
          <w:sz w:val="21"/>
          <w:szCs w:val="21"/>
        </w:rPr>
      </w:pPr>
      <w:r>
        <w:rPr>
          <w:rFonts w:hint="eastAsia" w:hAnsi="宋体" w:cs="宋体"/>
          <w:b/>
          <w:bCs/>
          <w:color w:val="000000"/>
          <w:sz w:val="21"/>
          <w:szCs w:val="21"/>
        </w:rPr>
        <w:t>（八）中止电子交易活动的情形</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采购过程中出现以下情形，导致电子交易平台无法正常运行，或者无法保证电子交易的公平、公正和安全时，中止电子交易活动：</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1.电子交易平台发生故障而无法登录访问的；</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2.电子交易平台应用或数据库出现错误，不能进行正常操作的；</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3.电子交易平台发现严重安全漏洞，有潜在泄密危险的；</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4.病毒发作导致不能进行正常操作的；</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5.其他无法保证电子交易的公平、公正和安全的情况。</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出现前款规定情形，不影响采购公平、公正性的，采购组织机构可以待上述情形消除后继续组织电子交易活动，也可以决定某些环节以纸质形式进行评审；影响或可能影响采购公平、公正性的，应当重新采购。</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六、定标</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（一）确定中标人。本项目由招标人（或招标人事先授权评标委员会）确定中标人。</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1、采购代理机构在评标结束后2个工作日内将评标报告交招标人确认。</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2、投标人对评标结果无异议的，招标人应在收到评标报告后5个工作日内对评标结果进行确认。如有投标人对评标结果提出质疑的，招标人可在质疑处理完毕后确定中标人。</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3、中标结果公示期：1个工作日。</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4、中标结果公示的同时采购代理机构以书面形式发出《中标通知书》。</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七、合同授予</w:t>
      </w:r>
    </w:p>
    <w:p>
      <w:pPr>
        <w:pStyle w:val="7"/>
        <w:autoSpaceDE/>
        <w:autoSpaceDN/>
        <w:adjustRightInd w:val="0"/>
        <w:snapToGrid w:val="0"/>
        <w:spacing w:line="500" w:lineRule="exact"/>
        <w:ind w:firstLine="422" w:firstLineChars="200"/>
        <w:rPr>
          <w:rFonts w:ascii="宋体" w:hAnsi="宋体" w:cs="宋体"/>
          <w:b/>
          <w:color w:val="000000"/>
          <w:sz w:val="21"/>
          <w:szCs w:val="21"/>
        </w:rPr>
      </w:pPr>
      <w:r>
        <w:rPr>
          <w:rFonts w:hint="eastAsia" w:ascii="宋体" w:hAnsi="宋体" w:cs="宋体"/>
          <w:b/>
          <w:color w:val="000000"/>
          <w:sz w:val="21"/>
          <w:szCs w:val="21"/>
        </w:rPr>
        <w:t>1. 合同的签订</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1.1除不可抗力等特殊情况外，采购人原则上应当在中标通知书发出之日起</w:t>
      </w:r>
      <w:r>
        <w:rPr>
          <w:rFonts w:ascii="宋体" w:hAnsi="宋体" w:cs="宋体"/>
          <w:color w:val="000000"/>
          <w:kern w:val="0"/>
          <w:szCs w:val="21"/>
        </w:rPr>
        <w:t>20日</w:t>
      </w:r>
      <w:r>
        <w:rPr>
          <w:rFonts w:ascii="宋体" w:hAnsi="宋体" w:cs="宋体"/>
          <w:color w:val="000000"/>
          <w:szCs w:val="21"/>
        </w:rPr>
        <w:t>内，与成交人按照采购文件确定的事项签订政府采购合同，并在签订之日起2个工作日内将政府采购合同在浙江政府采购网上公告。</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1.2成交人按规定的日期、时间、地点，由法定代表人或其授权代表与采购人代表签订合同。如成交人为联合体的，由联合体成员各方法定代表人或其授权代表与采购人代表签订合同。</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1.3如签订合同并生效后，供应商无故拒绝或延期，除按照合同条款处理外，列入不良行为记录一次，并给予通报。</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1.4成交人拒绝与采购人签订合同的，采购人可以按照评审报告推荐的中标或者成交候选人名单排序，确定下一候选人为成交人，也可以重新开展政府采购活动。</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1.5采购合同由采购人与成交人根据采购文件、响应文件等内容通过政府采购电子交易平台在线签订，自动备案。</w:t>
      </w:r>
    </w:p>
    <w:p>
      <w:pPr>
        <w:pStyle w:val="111"/>
        <w:adjustRightInd w:val="0"/>
        <w:snapToGrid w:val="0"/>
        <w:spacing w:line="500" w:lineRule="exact"/>
        <w:ind w:firstLine="420"/>
        <w:rPr>
          <w:rFonts w:hint="default" w:ascii="宋体" w:hAnsi="宋体" w:cs="宋体"/>
          <w:b/>
          <w:color w:val="000000"/>
          <w:szCs w:val="21"/>
        </w:rPr>
      </w:pPr>
      <w:r>
        <w:rPr>
          <w:rFonts w:ascii="宋体" w:hAnsi="宋体" w:cs="宋体"/>
          <w:b/>
          <w:color w:val="000000"/>
          <w:szCs w:val="21"/>
        </w:rPr>
        <w:t>1.6政府采购货物和服务项目不得收取质量保证金。政府采购工程以及与工程建设有关的货物、服务，采用招标方式采购的，按国家和省有关规定执行。</w:t>
      </w:r>
    </w:p>
    <w:p>
      <w:pPr>
        <w:pStyle w:val="7"/>
        <w:autoSpaceDE/>
        <w:autoSpaceDN/>
        <w:adjustRightInd w:val="0"/>
        <w:snapToGrid w:val="0"/>
        <w:spacing w:line="500" w:lineRule="exact"/>
        <w:ind w:firstLine="422" w:firstLineChars="200"/>
        <w:rPr>
          <w:rFonts w:ascii="宋体" w:hAnsi="宋体" w:cs="宋体"/>
          <w:b/>
          <w:color w:val="000000"/>
          <w:sz w:val="21"/>
          <w:szCs w:val="21"/>
        </w:rPr>
      </w:pPr>
      <w:r>
        <w:rPr>
          <w:rFonts w:hint="eastAsia" w:ascii="宋体" w:hAnsi="宋体" w:cs="宋体"/>
          <w:b/>
          <w:color w:val="000000"/>
          <w:sz w:val="21"/>
          <w:szCs w:val="21"/>
        </w:rPr>
        <w:t>2. 履约保证金（本项目无）</w:t>
      </w:r>
    </w:p>
    <w:p>
      <w:pPr>
        <w:pStyle w:val="41"/>
        <w:adjustRightInd w:val="0"/>
        <w:snapToGrid w:val="0"/>
        <w:spacing w:beforeAutospacing="0" w:afterAutospacing="0" w:line="500" w:lineRule="exact"/>
        <w:ind w:firstLine="422" w:firstLineChars="200"/>
        <w:rPr>
          <w:rFonts w:ascii="宋体" w:cs="宋体"/>
          <w:b/>
          <w:bCs/>
          <w:color w:val="000000"/>
          <w:sz w:val="21"/>
          <w:szCs w:val="21"/>
        </w:rPr>
      </w:pPr>
      <w:r>
        <w:rPr>
          <w:rFonts w:hint="eastAsia" w:ascii="宋体" w:cs="宋体"/>
          <w:b/>
          <w:color w:val="000000"/>
          <w:sz w:val="21"/>
          <w:szCs w:val="21"/>
        </w:rPr>
        <w:t xml:space="preserve">2.1 </w:t>
      </w:r>
      <w:r>
        <w:rPr>
          <w:rFonts w:hint="eastAsia" w:ascii="宋体" w:cs="宋体"/>
          <w:b/>
          <w:bCs/>
          <w:color w:val="000000"/>
          <w:sz w:val="21"/>
          <w:szCs w:val="21"/>
        </w:rPr>
        <w:t>拟签订的合同文本要求成交人提交履约保证金的，供应商应当以支票、汇票、本票或者金融机构、担保机构出具的保函等非现金形式提交。履约保证金的数额不得超过政府采购合同金额的1%。鼓励和支持供应商以履约保函形式提供履约保证金。</w:t>
      </w:r>
    </w:p>
    <w:p>
      <w:pPr>
        <w:tabs>
          <w:tab w:val="left" w:pos="0"/>
        </w:tabs>
        <w:autoSpaceDE/>
        <w:autoSpaceDN/>
        <w:snapToGrid w:val="0"/>
        <w:spacing w:line="500" w:lineRule="exact"/>
        <w:ind w:firstLine="482"/>
        <w:rPr>
          <w:rFonts w:hAnsi="宋体" w:cs="宋体"/>
          <w:color w:val="000000"/>
          <w:sz w:val="21"/>
          <w:szCs w:val="21"/>
        </w:rPr>
      </w:pPr>
      <w:r>
        <w:rPr>
          <w:rFonts w:hint="eastAsia" w:hAnsi="宋体" w:cs="宋体"/>
          <w:color w:val="000000"/>
          <w:sz w:val="21"/>
          <w:szCs w:val="2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2.2 签订合同后，如中标人不按双方合同约定履约，则没收其全部履约保证金，履约保证金不足以赔偿损失的，按实际损失赔偿。</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2.3 中标人履约期满，履约保证金（或履约保函）在质量免费服务期满且无违约和质量问题后，予以无息退还。（若有违约，则按合同约定或依法认定的金额予以扣除）。</w:t>
      </w:r>
    </w:p>
    <w:p>
      <w:pPr>
        <w:pStyle w:val="7"/>
        <w:autoSpaceDE/>
        <w:autoSpaceDN/>
        <w:snapToGrid w:val="0"/>
        <w:spacing w:line="500" w:lineRule="exact"/>
        <w:ind w:firstLine="422" w:firstLineChars="200"/>
        <w:rPr>
          <w:rFonts w:ascii="宋体" w:hAnsi="宋体" w:cs="宋体"/>
          <w:b/>
          <w:color w:val="000000"/>
          <w:sz w:val="21"/>
          <w:szCs w:val="21"/>
        </w:rPr>
      </w:pPr>
      <w:r>
        <w:rPr>
          <w:rFonts w:hint="eastAsia" w:ascii="宋体" w:hAnsi="宋体" w:cs="宋体"/>
          <w:b/>
          <w:color w:val="000000"/>
          <w:sz w:val="21"/>
          <w:szCs w:val="21"/>
        </w:rPr>
        <w:t>3. 预付款</w:t>
      </w:r>
    </w:p>
    <w:p>
      <w:pPr>
        <w:tabs>
          <w:tab w:val="left" w:pos="0"/>
        </w:tabs>
        <w:autoSpaceDE/>
        <w:autoSpaceDN/>
        <w:snapToGrid w:val="0"/>
        <w:spacing w:line="500" w:lineRule="exact"/>
        <w:ind w:firstLine="482"/>
        <w:rPr>
          <w:rFonts w:hAnsi="宋体" w:cs="宋体"/>
          <w:color w:val="000000"/>
          <w:sz w:val="21"/>
          <w:szCs w:val="21"/>
        </w:rPr>
      </w:pPr>
      <w:r>
        <w:rPr>
          <w:rFonts w:hint="eastAsia" w:hAnsi="宋体" w:cs="宋体"/>
          <w:color w:val="000000"/>
          <w:sz w:val="21"/>
          <w:szCs w:val="21"/>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tabs>
          <w:tab w:val="left" w:pos="0"/>
        </w:tabs>
        <w:autoSpaceDE/>
        <w:autoSpaceDN/>
        <w:snapToGrid w:val="0"/>
        <w:spacing w:line="500" w:lineRule="exact"/>
        <w:ind w:firstLine="482"/>
        <w:rPr>
          <w:rFonts w:hAnsi="宋体" w:cs="宋体"/>
          <w:color w:val="000000"/>
          <w:sz w:val="21"/>
          <w:szCs w:val="21"/>
        </w:rPr>
      </w:pPr>
      <w:r>
        <w:rPr>
          <w:rFonts w:hint="eastAsia" w:hAnsi="宋体" w:cs="宋体"/>
          <w:color w:val="000000"/>
          <w:sz w:val="21"/>
          <w:szCs w:val="21"/>
        </w:rPr>
        <w:t>如在签订合同时，成交人明确表示无需预付款或者主动要求降低预付款比例的，可降低预付款比例（预付款保函同步调整）。</w:t>
      </w:r>
    </w:p>
    <w:p>
      <w:pPr>
        <w:pStyle w:val="2"/>
        <w:spacing w:before="0" w:after="0" w:line="500" w:lineRule="exact"/>
        <w:ind w:firstLine="420" w:firstLineChars="200"/>
        <w:jc w:val="both"/>
        <w:rPr>
          <w:rFonts w:hAnsi="宋体" w:cs="宋体"/>
          <w:b w:val="0"/>
          <w:bCs w:val="0"/>
          <w:color w:val="000000"/>
          <w:sz w:val="21"/>
          <w:szCs w:val="21"/>
        </w:rPr>
      </w:pPr>
      <w:r>
        <w:rPr>
          <w:rFonts w:hint="eastAsia" w:hAnsi="宋体" w:cs="宋体"/>
          <w:b w:val="0"/>
          <w:bCs w:val="0"/>
          <w:color w:val="000000"/>
          <w:sz w:val="21"/>
          <w:szCs w:val="21"/>
        </w:rPr>
        <w:t>本项目预付款的约定详见本招标文件“第二章 招标需求”之“八、费用及支付方式”。</w:t>
      </w:r>
    </w:p>
    <w:p>
      <w:pPr>
        <w:pStyle w:val="7"/>
        <w:autoSpaceDE/>
        <w:autoSpaceDN/>
        <w:snapToGrid w:val="0"/>
        <w:spacing w:line="500" w:lineRule="exact"/>
        <w:ind w:firstLine="422" w:firstLineChars="200"/>
        <w:rPr>
          <w:rFonts w:ascii="宋体" w:hAnsi="宋体" w:cs="宋体"/>
          <w:b/>
          <w:color w:val="000000"/>
          <w:sz w:val="21"/>
          <w:szCs w:val="21"/>
        </w:rPr>
      </w:pPr>
      <w:r>
        <w:rPr>
          <w:rFonts w:hint="eastAsia" w:ascii="宋体" w:hAnsi="宋体" w:cs="宋体"/>
          <w:b/>
          <w:color w:val="000000"/>
          <w:sz w:val="21"/>
          <w:szCs w:val="21"/>
        </w:rPr>
        <w:t>4.资金支付</w:t>
      </w:r>
    </w:p>
    <w:p>
      <w:pPr>
        <w:pStyle w:val="7"/>
        <w:spacing w:line="500" w:lineRule="exact"/>
        <w:ind w:firstLine="422" w:firstLineChars="200"/>
        <w:rPr>
          <w:rFonts w:hAnsi="宋体" w:cs="宋体"/>
          <w:sz w:val="21"/>
          <w:szCs w:val="21"/>
        </w:rPr>
      </w:pPr>
      <w:r>
        <w:rPr>
          <w:rFonts w:hint="eastAsia" w:ascii="宋体" w:hAnsi="宋体" w:cs="宋体"/>
          <w:b/>
          <w:color w:val="000000"/>
          <w:sz w:val="21"/>
          <w:szCs w:val="21"/>
        </w:rPr>
        <w:t>采购单位应当及时</w:t>
      </w:r>
      <w:r>
        <w:rPr>
          <w:rFonts w:hint="eastAsia" w:ascii="宋体" w:hAnsi="宋体" w:cs="宋体"/>
          <w:color w:val="000000"/>
          <w:sz w:val="21"/>
          <w:szCs w:val="21"/>
        </w:rPr>
        <w:t>组织项目验收，</w:t>
      </w:r>
      <w:r>
        <w:rPr>
          <w:rFonts w:hint="eastAsia" w:ascii="宋体" w:hAnsi="宋体" w:cs="宋体"/>
          <w:b/>
          <w:bCs/>
          <w:color w:val="000000"/>
          <w:sz w:val="21"/>
          <w:szCs w:val="21"/>
        </w:rPr>
        <w:t>不得以政府部门审计作为支付供应商款项的条件。</w:t>
      </w:r>
      <w:r>
        <w:rPr>
          <w:rFonts w:hint="eastAsia" w:ascii="宋体" w:hAnsi="宋体" w:cs="宋体"/>
          <w:color w:val="000000"/>
          <w:sz w:val="21"/>
          <w:szCs w:val="21"/>
        </w:rPr>
        <w:t>采购单位对于满足合同约定支付条件的，</w:t>
      </w:r>
      <w:r>
        <w:rPr>
          <w:rFonts w:hint="eastAsia" w:ascii="宋体" w:hAnsi="宋体" w:cs="宋体"/>
          <w:b/>
          <w:bCs/>
          <w:color w:val="000000"/>
          <w:sz w:val="21"/>
          <w:szCs w:val="21"/>
        </w:rPr>
        <w:t>自收到发票后7个工作日内</w:t>
      </w:r>
      <w:r>
        <w:rPr>
          <w:rFonts w:hint="eastAsia" w:ascii="宋体" w:hAnsi="宋体" w:cs="宋体"/>
          <w:color w:val="000000"/>
          <w:sz w:val="21"/>
          <w:szCs w:val="21"/>
        </w:rPr>
        <w:t>将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r>
        <w:rPr>
          <w:rFonts w:hint="eastAsia" w:hAnsi="宋体" w:cs="宋体"/>
          <w:sz w:val="21"/>
          <w:szCs w:val="21"/>
        </w:rPr>
        <w:t xml:space="preserve"> </w:t>
      </w:r>
    </w:p>
    <w:p>
      <w:pPr>
        <w:spacing w:line="500" w:lineRule="exact"/>
        <w:ind w:firstLine="420"/>
        <w:rPr>
          <w:rFonts w:hAnsi="宋体" w:cs="宋体"/>
          <w:b/>
          <w:bCs/>
          <w:color w:val="000000"/>
          <w:sz w:val="21"/>
          <w:szCs w:val="21"/>
        </w:rPr>
      </w:pPr>
      <w:r>
        <w:rPr>
          <w:rFonts w:hint="eastAsia" w:hAnsi="宋体" w:cs="宋体"/>
          <w:b/>
          <w:bCs/>
          <w:sz w:val="21"/>
          <w:szCs w:val="21"/>
        </w:rPr>
        <w:t xml:space="preserve"> 本项的资金支付</w:t>
      </w:r>
      <w:r>
        <w:rPr>
          <w:rFonts w:hint="eastAsia" w:hAnsi="宋体" w:cs="宋体"/>
          <w:b/>
          <w:bCs/>
          <w:color w:val="000000"/>
          <w:sz w:val="21"/>
          <w:szCs w:val="21"/>
        </w:rPr>
        <w:t>约定详见本招标文件“第二章 招标需求”之“</w:t>
      </w:r>
      <w:r>
        <w:rPr>
          <w:rFonts w:hint="eastAsia" w:ascii="Arial" w:hAnsi="宋体" w:eastAsia="黑体" w:cs="宋体"/>
          <w:color w:val="000000"/>
          <w:sz w:val="21"/>
          <w:szCs w:val="21"/>
        </w:rPr>
        <w:t>八、费用及支付方式</w:t>
      </w:r>
      <w:r>
        <w:rPr>
          <w:rFonts w:hint="eastAsia" w:hAnsi="宋体" w:cs="宋体"/>
          <w:b/>
          <w:bCs/>
          <w:color w:val="000000"/>
          <w:sz w:val="21"/>
          <w:szCs w:val="21"/>
        </w:rPr>
        <w:t>”。</w:t>
      </w:r>
    </w:p>
    <w:p>
      <w:pPr>
        <w:snapToGrid w:val="0"/>
        <w:spacing w:line="500" w:lineRule="exact"/>
        <w:ind w:firstLine="422" w:firstLineChars="200"/>
        <w:rPr>
          <w:rFonts w:hAnsi="宋体" w:cs="宋体"/>
          <w:b/>
          <w:bCs/>
          <w:sz w:val="21"/>
          <w:szCs w:val="21"/>
        </w:rPr>
      </w:pPr>
      <w:bookmarkStart w:id="45" w:name="_Toc97649962"/>
      <w:r>
        <w:rPr>
          <w:rFonts w:hint="eastAsia" w:hAnsi="宋体" w:cs="宋体"/>
          <w:b/>
          <w:sz w:val="21"/>
          <w:szCs w:val="21"/>
        </w:rPr>
        <w:t>八、项目验收</w:t>
      </w:r>
      <w:bookmarkEnd w:id="45"/>
    </w:p>
    <w:p>
      <w:pPr>
        <w:tabs>
          <w:tab w:val="left" w:pos="0"/>
        </w:tabs>
        <w:snapToGrid w:val="0"/>
        <w:spacing w:line="500" w:lineRule="exact"/>
        <w:ind w:firstLine="480"/>
        <w:rPr>
          <w:rFonts w:hAnsi="宋体" w:cs="宋体"/>
          <w:color w:val="000000"/>
          <w:sz w:val="21"/>
          <w:szCs w:val="21"/>
        </w:rPr>
      </w:pPr>
      <w:r>
        <w:rPr>
          <w:rFonts w:hint="eastAsia" w:hAnsi="宋体" w:cs="宋体"/>
          <w:color w:val="000000"/>
          <w:sz w:val="21"/>
          <w:szCs w:val="21"/>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500" w:lineRule="exact"/>
        <w:ind w:firstLine="480"/>
        <w:rPr>
          <w:rFonts w:hAnsi="宋体" w:cs="宋体"/>
          <w:color w:val="000000"/>
          <w:sz w:val="21"/>
          <w:szCs w:val="21"/>
        </w:rPr>
      </w:pPr>
      <w:r>
        <w:rPr>
          <w:rFonts w:hint="eastAsia" w:hAnsi="宋体" w:cs="宋体"/>
          <w:color w:val="000000"/>
          <w:sz w:val="21"/>
          <w:szCs w:val="21"/>
        </w:rPr>
        <w:t>2.采购人可以邀请参加本项目的其他供应商或者第三方机构参与验收。参与验收的供应商或者第三方机构的意见作为验收书的参考资料一并存档。</w:t>
      </w:r>
    </w:p>
    <w:p>
      <w:pPr>
        <w:autoSpaceDE/>
        <w:autoSpaceDN/>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autoSpaceDE/>
        <w:autoSpaceDN/>
        <w:snapToGrid w:val="0"/>
        <w:spacing w:line="500" w:lineRule="exact"/>
        <w:ind w:firstLine="422" w:firstLineChars="200"/>
        <w:rPr>
          <w:rFonts w:hAnsi="宋体" w:cs="宋体"/>
          <w:b/>
          <w:bCs/>
          <w:color w:val="000000"/>
          <w:sz w:val="21"/>
          <w:szCs w:val="21"/>
        </w:rPr>
      </w:pPr>
      <w:r>
        <w:rPr>
          <w:rFonts w:hint="eastAsia" w:hAnsi="宋体" w:cs="宋体"/>
          <w:b/>
          <w:color w:val="000000"/>
          <w:sz w:val="21"/>
          <w:szCs w:val="21"/>
        </w:rPr>
        <w:t>4.采购人原则上应当在</w:t>
      </w:r>
      <w:r>
        <w:rPr>
          <w:rFonts w:hint="eastAsia" w:hAnsi="宋体" w:cs="宋体"/>
          <w:b/>
          <w:bCs/>
          <w:color w:val="000000"/>
          <w:sz w:val="21"/>
          <w:szCs w:val="21"/>
        </w:rPr>
        <w:t>履约验收之日起2个工作日内</w:t>
      </w:r>
      <w:r>
        <w:rPr>
          <w:rFonts w:hint="eastAsia" w:hAnsi="宋体" w:cs="宋体"/>
          <w:b/>
          <w:color w:val="000000"/>
          <w:sz w:val="21"/>
          <w:szCs w:val="21"/>
        </w:rPr>
        <w:t>，将</w:t>
      </w:r>
      <w:r>
        <w:rPr>
          <w:rFonts w:hint="eastAsia" w:hAnsi="宋体" w:cs="宋体"/>
          <w:b/>
          <w:bCs/>
          <w:color w:val="000000"/>
          <w:sz w:val="21"/>
          <w:szCs w:val="21"/>
        </w:rPr>
        <w:t>履约验收结果在浙江政府采购网上公告。</w:t>
      </w:r>
    </w:p>
    <w:p>
      <w:pPr>
        <w:autoSpaceDE/>
        <w:autoSpaceDN/>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5.验收合格的项目，采购人将根据采购合同的约定及时向供应商支付采购资金、退还履约保证金。</w:t>
      </w:r>
    </w:p>
    <w:p>
      <w:pPr>
        <w:tabs>
          <w:tab w:val="left" w:pos="0"/>
        </w:tabs>
        <w:snapToGrid w:val="0"/>
        <w:spacing w:line="500" w:lineRule="exact"/>
        <w:ind w:firstLine="480"/>
        <w:rPr>
          <w:rFonts w:hAnsi="宋体" w:cs="宋体"/>
          <w:color w:val="000000"/>
          <w:sz w:val="21"/>
          <w:szCs w:val="21"/>
        </w:rPr>
      </w:pPr>
      <w:r>
        <w:rPr>
          <w:rFonts w:hint="eastAsia" w:hAnsi="宋体" w:cs="宋体"/>
          <w:color w:val="000000"/>
          <w:sz w:val="21"/>
          <w:szCs w:val="21"/>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widowControl/>
        <w:snapToGrid w:val="0"/>
        <w:spacing w:line="500" w:lineRule="exact"/>
        <w:ind w:firstLine="420"/>
        <w:rPr>
          <w:rFonts w:hAnsi="宋体" w:cs="宋体"/>
          <w:b/>
          <w:color w:val="000000"/>
          <w:sz w:val="24"/>
          <w:szCs w:val="22"/>
        </w:rPr>
      </w:pPr>
      <w:r>
        <w:rPr>
          <w:rFonts w:hint="eastAsia" w:hAnsi="宋体" w:cs="宋体"/>
          <w:b/>
          <w:color w:val="000000"/>
          <w:sz w:val="24"/>
          <w:szCs w:val="22"/>
        </w:rPr>
        <w:t>九、电子投标特别提醒</w:t>
      </w:r>
    </w:p>
    <w:p>
      <w:pPr>
        <w:widowControl/>
        <w:snapToGrid w:val="0"/>
        <w:spacing w:line="500" w:lineRule="exact"/>
        <w:ind w:firstLine="420"/>
        <w:rPr>
          <w:rFonts w:hAnsi="宋体" w:cs="宋体"/>
          <w:color w:val="000000"/>
          <w:sz w:val="21"/>
          <w:szCs w:val="22"/>
        </w:rPr>
      </w:pPr>
      <w:r>
        <w:rPr>
          <w:rFonts w:hint="eastAsia" w:hAnsi="宋体" w:cs="宋体"/>
          <w:color w:val="000000"/>
          <w:sz w:val="21"/>
          <w:szCs w:val="22"/>
        </w:rPr>
        <w:t>1.请所有供应商在政采云系统准时参加线上开标活动,并且要求法定代表人或授权委托人全程在线。</w:t>
      </w:r>
    </w:p>
    <w:p>
      <w:pPr>
        <w:widowControl/>
        <w:snapToGrid w:val="0"/>
        <w:spacing w:line="500" w:lineRule="exact"/>
        <w:ind w:firstLine="420"/>
        <w:rPr>
          <w:rFonts w:hAnsi="宋体" w:cs="宋体"/>
          <w:color w:val="000000"/>
          <w:sz w:val="21"/>
          <w:szCs w:val="22"/>
        </w:rPr>
      </w:pPr>
      <w:r>
        <w:rPr>
          <w:rFonts w:hint="eastAsia" w:hAnsi="宋体" w:cs="宋体"/>
          <w:color w:val="000000"/>
          <w:sz w:val="21"/>
          <w:szCs w:val="22"/>
        </w:rPr>
        <w:t>2.投标截止时间后，代理机构将线上开启解密，供应商需及时用CA锁在线解密，解密时间一般为半小时（解密时限由财政部门设置），逾期解密，供应商自行承担风险。</w:t>
      </w:r>
    </w:p>
    <w:p>
      <w:pPr>
        <w:widowControl/>
        <w:snapToGrid w:val="0"/>
        <w:spacing w:line="500" w:lineRule="exact"/>
        <w:ind w:firstLine="420"/>
        <w:rPr>
          <w:rFonts w:hAnsi="宋体" w:cs="宋体"/>
          <w:color w:val="000000"/>
          <w:sz w:val="21"/>
          <w:szCs w:val="22"/>
        </w:rPr>
      </w:pPr>
      <w:r>
        <w:rPr>
          <w:rFonts w:hint="eastAsia" w:hAnsi="宋体" w:cs="宋体"/>
          <w:color w:val="000000"/>
          <w:sz w:val="21"/>
          <w:szCs w:val="22"/>
        </w:rPr>
        <w:t>3.解密响应文件的CA锁必须跟制作响应文件的CA锁为同一个，否则将导致解密失败。</w:t>
      </w:r>
    </w:p>
    <w:p>
      <w:pPr>
        <w:widowControl/>
        <w:snapToGrid w:val="0"/>
        <w:spacing w:line="500" w:lineRule="exact"/>
        <w:ind w:firstLine="420"/>
        <w:rPr>
          <w:rFonts w:hAnsi="宋体" w:cs="宋体"/>
          <w:color w:val="000000"/>
          <w:sz w:val="21"/>
          <w:szCs w:val="22"/>
        </w:rPr>
      </w:pPr>
      <w:r>
        <w:rPr>
          <w:rFonts w:hint="eastAsia" w:hAnsi="宋体" w:cs="宋体"/>
          <w:color w:val="000000"/>
          <w:sz w:val="21"/>
          <w:szCs w:val="22"/>
        </w:rPr>
        <w:t>4.</w:t>
      </w:r>
      <w:r>
        <w:rPr>
          <w:rFonts w:hint="eastAsia" w:hAnsi="宋体" w:cs="宋体"/>
          <w:color w:val="000000"/>
          <w:sz w:val="21"/>
          <w:szCs w:val="22"/>
          <w:lang w:val="zh-CN"/>
        </w:rPr>
        <w:t>请务必确保投标文件制作客户端为最新版本，旧版本可能导致投标文件解密失败。</w:t>
      </w:r>
    </w:p>
    <w:p>
      <w:pPr>
        <w:autoSpaceDE/>
        <w:autoSpaceDN/>
        <w:adjustRightInd/>
        <w:spacing w:line="460" w:lineRule="exact"/>
        <w:jc w:val="both"/>
        <w:rPr>
          <w:rFonts w:hAnsi="宋体" w:cs="宋体"/>
          <w:color w:val="000000"/>
          <w:sz w:val="21"/>
          <w:szCs w:val="21"/>
        </w:rPr>
      </w:pPr>
      <w:r>
        <w:rPr>
          <w:rFonts w:hint="eastAsia" w:hAnsi="宋体" w:cs="宋体"/>
          <w:color w:val="000000"/>
          <w:sz w:val="21"/>
          <w:szCs w:val="21"/>
        </w:rPr>
        <w:br w:type="page"/>
      </w:r>
    </w:p>
    <w:p>
      <w:pPr>
        <w:pStyle w:val="3"/>
        <w:spacing w:line="360" w:lineRule="auto"/>
        <w:jc w:val="center"/>
        <w:rPr>
          <w:rFonts w:ascii="宋体" w:hAnsi="宋体" w:cs="宋体"/>
          <w:sz w:val="30"/>
          <w:szCs w:val="30"/>
        </w:rPr>
      </w:pPr>
      <w:bookmarkStart w:id="46" w:name="_Toc351559944"/>
      <w:r>
        <w:rPr>
          <w:rFonts w:hint="eastAsia" w:ascii="宋体" w:hAnsi="宋体" w:cs="宋体"/>
          <w:sz w:val="30"/>
          <w:szCs w:val="30"/>
        </w:rPr>
        <w:t>第四章 评标办法及评分标准</w:t>
      </w:r>
      <w:bookmarkEnd w:id="46"/>
    </w:p>
    <w:p>
      <w:pPr>
        <w:autoSpaceDE/>
        <w:autoSpaceDN/>
        <w:adjustRightInd/>
        <w:spacing w:line="500" w:lineRule="exact"/>
        <w:ind w:firstLine="420" w:firstLineChars="200"/>
        <w:jc w:val="both"/>
        <w:rPr>
          <w:rFonts w:hAnsi="宋体" w:cs="宋体"/>
          <w:color w:val="000000"/>
          <w:sz w:val="21"/>
          <w:szCs w:val="21"/>
        </w:rPr>
      </w:pP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为公正、公平、科学地选择中标人，根据《中华人民共和国政府采购法》等有关法律法规的规定，并结合本项目的实际，制定本办法。</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本办法仅适用本项目的评标。</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color w:val="000000"/>
          <w:sz w:val="21"/>
          <w:szCs w:val="21"/>
        </w:rPr>
        <w:t>一、总则</w:t>
      </w:r>
    </w:p>
    <w:p>
      <w:pPr>
        <w:numPr>
          <w:ilvl w:val="0"/>
          <w:numId w:val="3"/>
        </w:num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本次评标采用综合评分法，总</w:t>
      </w:r>
      <w:r>
        <w:rPr>
          <w:rFonts w:hint="eastAsia" w:hAnsi="宋体" w:cs="宋体"/>
          <w:color w:val="000000" w:themeColor="text1"/>
          <w:sz w:val="21"/>
          <w:szCs w:val="21"/>
        </w:rPr>
        <w:t>分为100分，由价格分10分、技术商务分90分等二部分组成。合格投标人的评标得分为各项目汇总得分，中标候选资格按评标得分由高到低顺序排列，汇总得分相同的，按投标报价由低到高顺序排列；汇总得分且</w:t>
      </w:r>
      <w:r>
        <w:rPr>
          <w:rFonts w:hint="eastAsia" w:hAnsi="宋体" w:cs="宋体"/>
          <w:color w:val="000000"/>
          <w:sz w:val="21"/>
          <w:szCs w:val="21"/>
        </w:rPr>
        <w:t>投标报价均相同的，按“项目理解+重点难点+编制思路</w:t>
      </w:r>
      <w:r>
        <w:rPr>
          <w:rFonts w:hint="eastAsia" w:hAnsi="宋体" w:cs="宋体"/>
          <w:color w:val="000000" w:themeColor="text1"/>
          <w:sz w:val="21"/>
          <w:szCs w:val="21"/>
        </w:rPr>
        <w:t>及发展策略研究</w:t>
      </w:r>
      <w:r>
        <w:rPr>
          <w:rFonts w:hint="eastAsia" w:hAnsi="宋体" w:cs="宋体"/>
          <w:color w:val="000000"/>
          <w:sz w:val="21"/>
          <w:szCs w:val="21"/>
        </w:rPr>
        <w:t>+工作内容+项目负责人+项目组成员”得分由高到低顺序排列决定。标项排名第一的投标人为中标候选人，排名第二的投标人为候补中标候选人……其他投标人中标候选资格依此类推。评分过程中采用四舍五入法，并保留小数2位。</w:t>
      </w:r>
    </w:p>
    <w:p>
      <w:pPr>
        <w:autoSpaceDE/>
        <w:autoSpaceDN/>
        <w:adjustRightInd/>
        <w:spacing w:line="460" w:lineRule="exact"/>
        <w:ind w:firstLine="420" w:firstLineChars="200"/>
        <w:jc w:val="both"/>
        <w:rPr>
          <w:rFonts w:hAnsi="宋体" w:cs="宋体"/>
          <w:b/>
          <w:color w:val="000000"/>
          <w:sz w:val="21"/>
          <w:szCs w:val="21"/>
        </w:rPr>
      </w:pPr>
      <w:r>
        <w:rPr>
          <w:rFonts w:hint="eastAsia" w:hAnsi="宋体" w:cs="宋体"/>
          <w:color w:val="000000"/>
          <w:sz w:val="21"/>
          <w:szCs w:val="21"/>
        </w:rPr>
        <w:t>投标人评标综合得分=价格分+技术商务分。</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color w:val="000000"/>
          <w:sz w:val="21"/>
          <w:szCs w:val="21"/>
        </w:rPr>
        <w:t>二、评审纪律和要求</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1.评审专家必须公平、公正评审，遵纪守法，客观、廉洁地履行职责。</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2.评审专家在评审开始前，应关闭并上交随身携带的各种通信工具。</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3.评审专家在评审过程中，未经许可不得中途离开评审现场，不得迟到早退。</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4.评审专家和工作人员不得透露评审过程中的讨论情况和评审结果。</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6.采购人、采购代理机构不得向评审委员会的评审专家作倾向性、误导性的解释或者说明。</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8.评审专家在评审过程中不得将自己的观点强加给其他评审专家，评审专家应自主发表见解，对评审意见承担个人责任。</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10.评审专家应当独立、客观、公正地提出评审意见，不得带有倾向性，不得影响其他评审专家评审，并在评审报告上签字；如对评审报告有异议的，可在报告上签署不同意见，并说明理由，否则将视为同意。</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11.评审专家应当遵守评审工作纪律，不得泄露评审文件、评审情况和评审中获悉的商业秘密。</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评审委员会在评审过程中发现投标人有行贿、提供虚假材料或者串通等违法行为的，应当及时向财政部门报告。</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12.招标文件内容违反国家有关强制性规定的，评审委员会应当停止评审并向采购代理机构说明情况。</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13.评审专家应当配合采购代理机构答复投标人提出的质疑。</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14.评审专家应当配合财政部门的投诉处理工作。</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15.评审专家有如下行为之一的，责令改正，给予警告，可以并处一千元以下的罚款：</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①明知应当回避而未主动回避的；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②在得知自己为评审专家身份后至评审结束前时段内私下接触投标人的；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③在评审过程中擅离职守，影响评审程序正常进行的；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④在评审过程有明显不合理或者不正当倾向性的；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⑤未按招标文件规定的评审方法和标准进行评审的。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⑥上述①至⑤行为影响中标结果的，中标结果无效。</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政府采购评审专家与投标人存在利害关系未回避的，处2万元以上5万元以下的罚款，禁止其参加政府采购评审活动。</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政府采购评审专家收受采购人、采购代理机构、投标人贿赂或者获取其他不正当利益，构成犯罪的，依法追究刑事责任；尚不构成犯罪的，处2万元以上5万元以下的罚款，禁止其参加政府采购评审活动。</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政府采购评审专家有上述违法行为的，其评审意见无效，不得获取评审费；有违法所得的，没收违法所得；给他人造成损失的，依法承担民事责任。</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color w:val="000000"/>
          <w:sz w:val="21"/>
          <w:szCs w:val="21"/>
        </w:rPr>
        <w:t>三、评标定标时对政府采购政策的落实要求</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1.采购项目需要落实的政府采购政策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1.2 支持绿色发展</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1.3支持中小企业发展</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1.3.1中小企业，是指在中华人民共和国境内依法设立，依据国务院批准的中小企业划分标准确定的中型企业、小型企业和微型企业，但与大企业的负责人为同一人，或者与大企业存在直接控股、管理关系的除外。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符合中小企业划分标准的个体工商户，在政府采购活动中视同中小企业。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1.3.2在政府采购活动中，供应商提供的货物、工程或者服务符合下列情形的，享受中小企业扶持政策：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1.3.2.1在货物采购项目中，货物由中小企业制造，即货物由中小企业生产且使用该中小企业商号或者注册商标；</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1.3.2.2在工程采购项目中，工程由中小企业承建，即工程施工单位为中小企业；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1.3.2.3在服务采购项目中，服务由中小企业承接，即提供服务的人员为中小企业依照《中华人民共和国劳动合同法》订立劳动合同的从业人员。</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在货物采购项目中，供应商提供的货物既有中小企业制造货物，也有大型企业制造货物的，不享受中小企业扶持政策。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以联合体形式参加政府采购活动，联合体各方均为中小企业的，联合体视同中小企业。其中，联合体各方均为小微企业的，联合体视同小微企业。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1.3.4符合《关于促进残疾人就业政府采购政策的通知》（财库〔2017〕141号）规定的条件并提供《残疾人福利性单位声明函》（附件1）的残疾人福利性单位视同小型、微型企业；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1.3.5符合《关于政府采购支持监狱企业发展有关问题的通知》（财库[2014]68号）规定的监狱企业并提供由省级以上监狱管理局、戒毒管理局（含新疆生产建设兵团）出具的属于监狱企业证明文件的，视同为小型、微型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1.3.7中小企业享受扶持政策获得政府采购合同的，小微企业不得将合同分包给大中型企业，中型企业不得将合同分包给大型企业。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1.4支持创新发展</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1.4.1 采购人优先采购被认定为首台套产品和“制造精品”的自主创新产品。</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https://zfcg. czt.zj. gov.cn/)的中小企业信用融资栏目了解相关信息。 供应商可以通过浙江政府采购网(https://zfcg. czt.zj. gov.cn/)首页的“浙江政采贷”模块进入申请，还可以通过政府采购云平台(https://wwwzcygov.cn/)首页的“金融服务”模块进入申请。</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color w:val="000000"/>
          <w:sz w:val="21"/>
          <w:szCs w:val="21"/>
        </w:rPr>
        <w:t>四、评标内容及标准</w:t>
      </w:r>
    </w:p>
    <w:p>
      <w:pPr>
        <w:autoSpaceDE/>
        <w:autoSpaceDN/>
        <w:adjustRightInd/>
        <w:spacing w:line="460" w:lineRule="exact"/>
        <w:ind w:firstLine="422" w:firstLineChars="200"/>
        <w:jc w:val="both"/>
        <w:rPr>
          <w:rFonts w:hAnsi="宋体" w:cs="宋体"/>
          <w:b/>
          <w:color w:val="000000" w:themeColor="text1"/>
          <w:sz w:val="21"/>
          <w:szCs w:val="21"/>
        </w:rPr>
      </w:pPr>
      <w:r>
        <w:rPr>
          <w:rFonts w:hint="eastAsia" w:hAnsi="宋体" w:cs="宋体"/>
          <w:b/>
          <w:color w:val="000000"/>
          <w:sz w:val="21"/>
          <w:szCs w:val="21"/>
        </w:rPr>
        <w:t>（一）价格分</w:t>
      </w:r>
      <w:r>
        <w:rPr>
          <w:rFonts w:hint="eastAsia" w:hAnsi="宋体" w:cs="宋体"/>
          <w:b/>
          <w:color w:val="000000" w:themeColor="text1"/>
          <w:sz w:val="21"/>
          <w:szCs w:val="21"/>
        </w:rPr>
        <w:t>（10分）</w:t>
      </w:r>
    </w:p>
    <w:p>
      <w:pPr>
        <w:autoSpaceDE/>
        <w:autoSpaceDN/>
        <w:adjustRightInd/>
        <w:spacing w:line="46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1、价格分采用低价优先法计算，即：以满足招标文件要求且进行了政策性价格扣除后，以评审价格的最低价者定为评标基准价，其价格分为满分。其他投标人的价格分统一按照下列公式计算：</w:t>
      </w:r>
    </w:p>
    <w:p>
      <w:pPr>
        <w:autoSpaceDE/>
        <w:autoSpaceDN/>
        <w:adjustRightInd/>
        <w:spacing w:line="46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其他投标人的价格分=（评标基准价/评审价格）×10%×100</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themeColor="text1"/>
          <w:sz w:val="21"/>
          <w:szCs w:val="21"/>
        </w:rPr>
        <w:t>在价格评审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在有效投标人数满足法定人数的前提下，评标委</w:t>
      </w:r>
      <w:r>
        <w:rPr>
          <w:rFonts w:hint="eastAsia" w:hAnsi="宋体" w:cs="宋体"/>
          <w:color w:val="000000"/>
          <w:sz w:val="21"/>
          <w:szCs w:val="21"/>
        </w:rPr>
        <w:t>员会依次确定满足招标文件要求且进行了政策性价格扣除后评审价格最低的有效投标报价为评标基准价。</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2、投标人的投标报价超过最高限价（预算金额：735万元）的，按投标无效处理。</w:t>
      </w:r>
    </w:p>
    <w:p>
      <w:pPr>
        <w:autoSpaceDE/>
        <w:autoSpaceDN/>
        <w:adjustRightInd/>
        <w:spacing w:line="460" w:lineRule="exact"/>
        <w:ind w:firstLine="422" w:firstLineChars="200"/>
        <w:jc w:val="both"/>
        <w:rPr>
          <w:rFonts w:hAnsi="宋体" w:cs="宋体"/>
          <w:b/>
          <w:bCs/>
          <w:color w:val="000000"/>
          <w:sz w:val="21"/>
          <w:szCs w:val="21"/>
        </w:rPr>
      </w:pPr>
      <w:r>
        <w:rPr>
          <w:rFonts w:hint="eastAsia" w:hAnsi="宋体" w:cs="宋体"/>
          <w:b/>
          <w:color w:val="000000"/>
          <w:sz w:val="21"/>
          <w:szCs w:val="21"/>
        </w:rPr>
        <w:t>3.</w:t>
      </w:r>
      <w:r>
        <w:rPr>
          <w:rFonts w:hint="eastAsia" w:hAnsi="宋体" w:cs="宋体"/>
          <w:b/>
          <w:bCs/>
          <w:color w:val="000000"/>
          <w:sz w:val="21"/>
          <w:szCs w:val="21"/>
        </w:rPr>
        <w:t>依照《政府采购促进中小企业发展管理办法》《国务院关于印发扎实稳住经济一揽子政策措施的通知》《浙江省财政厅关于进一步发挥政府采购政策功能全力推动经济稳进提质的通知》《财政部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Style w:val="45"/>
        <w:tblW w:w="9165" w:type="dxa"/>
        <w:jc w:val="center"/>
        <w:tblLayout w:type="fixed"/>
        <w:tblCellMar>
          <w:top w:w="0" w:type="dxa"/>
          <w:left w:w="108" w:type="dxa"/>
          <w:bottom w:w="0" w:type="dxa"/>
          <w:right w:w="108" w:type="dxa"/>
        </w:tblCellMar>
      </w:tblPr>
      <w:tblGrid>
        <w:gridCol w:w="728"/>
        <w:gridCol w:w="4615"/>
        <w:gridCol w:w="970"/>
        <w:gridCol w:w="2852"/>
      </w:tblGrid>
      <w:tr>
        <w:tblPrEx>
          <w:tblCellMar>
            <w:top w:w="0" w:type="dxa"/>
            <w:left w:w="108" w:type="dxa"/>
            <w:bottom w:w="0" w:type="dxa"/>
            <w:right w:w="108"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ind w:left="149"/>
              <w:jc w:val="both"/>
              <w:rPr>
                <w:rFonts w:hAnsi="宋体" w:cs="宋体"/>
                <w:color w:val="000000"/>
                <w:sz w:val="21"/>
                <w:szCs w:val="21"/>
              </w:rPr>
            </w:pPr>
            <w:r>
              <w:rPr>
                <w:rFonts w:hint="eastAsia" w:hAnsi="宋体" w:cs="宋体"/>
                <w:color w:val="000000"/>
                <w:spacing w:val="-1"/>
                <w:sz w:val="21"/>
                <w:szCs w:val="21"/>
              </w:rPr>
              <w:t>序号</w:t>
            </w:r>
          </w:p>
        </w:tc>
        <w:tc>
          <w:tcPr>
            <w:tcW w:w="4615"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hAnsi="宋体" w:cs="宋体"/>
                <w:color w:val="000000"/>
                <w:sz w:val="21"/>
                <w:szCs w:val="21"/>
              </w:rPr>
            </w:pPr>
            <w:r>
              <w:rPr>
                <w:rFonts w:hint="eastAsia" w:hAnsi="宋体" w:cs="宋体"/>
                <w:color w:val="000000"/>
                <w:spacing w:val="-1"/>
                <w:sz w:val="21"/>
                <w:szCs w:val="21"/>
              </w:rPr>
              <w:t>情形</w:t>
            </w:r>
          </w:p>
        </w:tc>
        <w:tc>
          <w:tcPr>
            <w:tcW w:w="970"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hAnsi="宋体" w:cs="宋体"/>
                <w:color w:val="000000"/>
                <w:sz w:val="21"/>
                <w:szCs w:val="21"/>
              </w:rPr>
            </w:pPr>
            <w:r>
              <w:rPr>
                <w:rFonts w:hint="eastAsia" w:hAnsi="宋体" w:cs="宋体"/>
                <w:color w:val="000000"/>
                <w:spacing w:val="-1"/>
                <w:sz w:val="21"/>
                <w:szCs w:val="21"/>
              </w:rPr>
              <w:t>评审价格扣除比例</w:t>
            </w:r>
          </w:p>
        </w:tc>
        <w:tc>
          <w:tcPr>
            <w:tcW w:w="2852"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hAnsi="宋体" w:cs="宋体"/>
                <w:color w:val="000000"/>
                <w:sz w:val="21"/>
                <w:szCs w:val="21"/>
              </w:rPr>
            </w:pPr>
            <w:r>
              <w:rPr>
                <w:rFonts w:hint="eastAsia" w:hAnsi="宋体" w:cs="宋体"/>
                <w:color w:val="000000"/>
                <w:spacing w:val="-1"/>
                <w:sz w:val="21"/>
                <w:szCs w:val="21"/>
              </w:rPr>
              <w:t>计算公式</w:t>
            </w:r>
          </w:p>
        </w:tc>
      </w:tr>
      <w:tr>
        <w:tblPrEx>
          <w:tblCellMar>
            <w:top w:w="0" w:type="dxa"/>
            <w:left w:w="108" w:type="dxa"/>
            <w:bottom w:w="0" w:type="dxa"/>
            <w:right w:w="108"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1</w:t>
            </w:r>
          </w:p>
        </w:tc>
        <w:tc>
          <w:tcPr>
            <w:tcW w:w="4615"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rPr>
                <w:rFonts w:hAnsi="宋体" w:cs="宋体"/>
                <w:color w:val="000000"/>
                <w:spacing w:val="-1"/>
                <w:kern w:val="2"/>
                <w:sz w:val="21"/>
                <w:szCs w:val="21"/>
              </w:rPr>
            </w:pPr>
            <w:r>
              <w:rPr>
                <w:rFonts w:hint="eastAsia" w:hAnsi="宋体" w:cs="宋体"/>
                <w:color w:val="000000"/>
                <w:spacing w:val="-1"/>
                <w:kern w:val="2"/>
                <w:sz w:val="21"/>
                <w:szCs w:val="21"/>
              </w:rPr>
              <w:t>中小企业的协议合同金额总计≥投标报价总金额</w:t>
            </w:r>
            <w:r>
              <w:rPr>
                <w:rFonts w:hint="eastAsia" w:hAnsi="宋体" w:cs="宋体"/>
                <w:color w:val="000000"/>
                <w:sz w:val="21"/>
                <w:szCs w:val="21"/>
              </w:rPr>
              <w:t>（合同总金额）</w:t>
            </w:r>
            <w:r>
              <w:rPr>
                <w:rFonts w:hint="eastAsia" w:hAnsi="宋体" w:cs="宋体"/>
                <w:color w:val="000000"/>
                <w:spacing w:val="-1"/>
                <w:kern w:val="2"/>
                <w:sz w:val="21"/>
                <w:szCs w:val="21"/>
              </w:rPr>
              <w:t>的40%，且小微企业的合同</w:t>
            </w:r>
            <w:r>
              <w:rPr>
                <w:rFonts w:hint="eastAsia" w:hAnsi="宋体" w:cs="宋体"/>
                <w:color w:val="000000"/>
                <w:sz w:val="21"/>
                <w:szCs w:val="21"/>
              </w:rPr>
              <w:t>份</w:t>
            </w:r>
            <w:r>
              <w:rPr>
                <w:rFonts w:hint="eastAsia" w:hAnsi="宋体" w:cs="宋体"/>
                <w:color w:val="000000"/>
                <w:spacing w:val="-1"/>
                <w:kern w:val="2"/>
                <w:sz w:val="21"/>
                <w:szCs w:val="21"/>
              </w:rPr>
              <w:t>额总计≥投标报价总金额</w:t>
            </w:r>
            <w:r>
              <w:rPr>
                <w:rFonts w:hint="eastAsia" w:hAnsi="宋体" w:cs="宋体"/>
                <w:color w:val="000000"/>
                <w:sz w:val="21"/>
                <w:szCs w:val="21"/>
              </w:rPr>
              <w:t>（合同总金额）</w:t>
            </w:r>
            <w:r>
              <w:rPr>
                <w:rFonts w:hint="eastAsia" w:hAnsi="宋体" w:cs="宋体"/>
                <w:color w:val="000000"/>
                <w:spacing w:val="-1"/>
                <w:kern w:val="2"/>
                <w:sz w:val="21"/>
                <w:szCs w:val="21"/>
              </w:rPr>
              <w:t>的30%</w:t>
            </w:r>
          </w:p>
        </w:tc>
        <w:tc>
          <w:tcPr>
            <w:tcW w:w="970"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6%</w:t>
            </w:r>
          </w:p>
        </w:tc>
        <w:tc>
          <w:tcPr>
            <w:tcW w:w="2852"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评审价格＝投标报价×(1-6%)</w:t>
            </w:r>
          </w:p>
        </w:tc>
      </w:tr>
      <w:tr>
        <w:tblPrEx>
          <w:tblCellMar>
            <w:top w:w="0" w:type="dxa"/>
            <w:left w:w="108" w:type="dxa"/>
            <w:bottom w:w="0" w:type="dxa"/>
            <w:right w:w="108" w:type="dxa"/>
          </w:tblCellMar>
        </w:tblPrEx>
        <w:trPr>
          <w:trHeight w:val="1293" w:hRule="atLeast"/>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2</w:t>
            </w:r>
          </w:p>
        </w:tc>
        <w:tc>
          <w:tcPr>
            <w:tcW w:w="4615"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rPr>
                <w:rFonts w:hAnsi="宋体" w:cs="宋体"/>
                <w:color w:val="000000"/>
                <w:spacing w:val="-1"/>
                <w:kern w:val="2"/>
                <w:sz w:val="21"/>
                <w:szCs w:val="21"/>
              </w:rPr>
            </w:pPr>
            <w:r>
              <w:rPr>
                <w:rFonts w:hint="eastAsia" w:hAnsi="宋体" w:cs="宋体"/>
                <w:color w:val="000000"/>
                <w:spacing w:val="-1"/>
                <w:sz w:val="21"/>
                <w:szCs w:val="21"/>
              </w:rPr>
              <w:t>服务全部</w:t>
            </w:r>
            <w:r>
              <w:rPr>
                <w:rFonts w:hint="eastAsia" w:hAnsi="宋体" w:cs="宋体"/>
                <w:color w:val="000000"/>
                <w:sz w:val="21"/>
                <w:szCs w:val="21"/>
              </w:rPr>
              <w:t>由小微企业（包括投标人自身、联合体投标的各成员、接受分包的各供应商成员）承担</w:t>
            </w:r>
          </w:p>
        </w:tc>
        <w:tc>
          <w:tcPr>
            <w:tcW w:w="970"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10%</w:t>
            </w:r>
          </w:p>
        </w:tc>
        <w:tc>
          <w:tcPr>
            <w:tcW w:w="2852"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评审价格＝投标报价×(1-10%)</w:t>
            </w:r>
          </w:p>
        </w:tc>
      </w:tr>
    </w:tbl>
    <w:p>
      <w:pPr>
        <w:widowControl/>
        <w:shd w:val="clear" w:color="auto" w:fill="FFFFFF"/>
        <w:autoSpaceDE/>
        <w:autoSpaceDN/>
        <w:adjustRightInd/>
        <w:spacing w:line="500" w:lineRule="exact"/>
        <w:ind w:firstLine="420" w:firstLineChars="200"/>
        <w:rPr>
          <w:rFonts w:hAnsi="宋体" w:cs="宋体"/>
          <w:b/>
          <w:color w:val="000000"/>
          <w:sz w:val="21"/>
          <w:szCs w:val="21"/>
        </w:rPr>
      </w:pPr>
      <w:r>
        <w:rPr>
          <w:rFonts w:hint="eastAsia" w:hAnsi="宋体" w:cs="宋体"/>
          <w:color w:val="000000"/>
          <w:sz w:val="21"/>
          <w:szCs w:val="21"/>
        </w:rPr>
        <w:t>注：①“中小企业”是指在中华人民共和国境内依法设立，依据国务院批准的中小企业划分标准确定的中型企业、小型企业和微型企业，但与大企业的负责人为同一人，或者与大企业存在直接控股、管理关系的除外；本项目采购标的对应的中小企业划分标准所属行业为中小企业划型标准规定（工信部联企业〔2011〕300号）中的</w:t>
      </w:r>
      <w:r>
        <w:rPr>
          <w:rFonts w:hint="eastAsia" w:hAnsi="宋体" w:cs="宋体"/>
          <w:color w:val="000000"/>
          <w:kern w:val="2"/>
          <w:sz w:val="21"/>
          <w:szCs w:val="21"/>
        </w:rPr>
        <w:t xml:space="preserve"> “其他未列明行业---科学研究和技术服务业 ”</w:t>
      </w:r>
      <w:r>
        <w:rPr>
          <w:rFonts w:hint="eastAsia" w:hAnsi="宋体" w:cs="宋体"/>
          <w:color w:val="000000"/>
          <w:sz w:val="21"/>
          <w:szCs w:val="21"/>
        </w:rPr>
        <w:t>行业；②符合中小企业划分标准的个体工商户，在本项目采购活动中视同中小企业；③残疾人福利性单位或监狱企业视同小型、微型企业执行。</w:t>
      </w:r>
    </w:p>
    <w:p>
      <w:pPr>
        <w:numPr>
          <w:ilvl w:val="0"/>
          <w:numId w:val="3"/>
        </w:numPr>
        <w:autoSpaceDE/>
        <w:autoSpaceDN/>
        <w:adjustRightInd/>
        <w:spacing w:line="500" w:lineRule="exact"/>
        <w:ind w:firstLine="422" w:firstLineChars="200"/>
        <w:jc w:val="both"/>
        <w:rPr>
          <w:rFonts w:hAnsi="宋体" w:cs="宋体"/>
          <w:b/>
          <w:bCs/>
          <w:color w:val="000000"/>
          <w:sz w:val="21"/>
          <w:szCs w:val="21"/>
        </w:rPr>
      </w:pPr>
      <w:r>
        <w:rPr>
          <w:rFonts w:hint="eastAsia" w:hAnsi="宋体" w:cs="宋体"/>
          <w:b/>
          <w:bCs/>
          <w:color w:val="000000"/>
          <w:sz w:val="21"/>
          <w:szCs w:val="21"/>
        </w:rPr>
        <w:t xml:space="preserve"> 技术商务分（90分）</w:t>
      </w:r>
    </w:p>
    <w:p>
      <w:pPr>
        <w:pStyle w:val="44"/>
        <w:ind w:left="680"/>
        <w:rPr>
          <w:rFonts w:hAnsi="宋体" w:cs="宋体"/>
          <w:b/>
          <w:bCs/>
          <w:color w:val="000000"/>
          <w:sz w:val="21"/>
          <w:szCs w:val="21"/>
        </w:rPr>
      </w:pPr>
    </w:p>
    <w:tbl>
      <w:tblPr>
        <w:tblStyle w:val="45"/>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894"/>
        <w:gridCol w:w="7185"/>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b/>
                <w:color w:val="000000" w:themeColor="text1"/>
                <w:sz w:val="21"/>
                <w:szCs w:val="21"/>
              </w:rPr>
            </w:pPr>
            <w:r>
              <w:rPr>
                <w:rFonts w:hint="eastAsia" w:hAnsi="宋体" w:cs="宋体"/>
                <w:b/>
                <w:color w:val="000000" w:themeColor="text1"/>
                <w:sz w:val="21"/>
                <w:szCs w:val="21"/>
              </w:rPr>
              <w:t>序号</w:t>
            </w:r>
          </w:p>
        </w:tc>
        <w:tc>
          <w:tcPr>
            <w:tcW w:w="8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b/>
                <w:color w:val="000000" w:themeColor="text1"/>
                <w:sz w:val="21"/>
                <w:szCs w:val="21"/>
              </w:rPr>
            </w:pPr>
            <w:r>
              <w:rPr>
                <w:rFonts w:hint="eastAsia" w:hAnsi="宋体" w:cs="宋体"/>
                <w:b/>
                <w:color w:val="000000" w:themeColor="text1"/>
                <w:sz w:val="21"/>
                <w:szCs w:val="21"/>
              </w:rPr>
              <w:t>评标</w:t>
            </w:r>
          </w:p>
          <w:p>
            <w:pPr>
              <w:spacing w:line="320" w:lineRule="exact"/>
              <w:jc w:val="center"/>
              <w:rPr>
                <w:rFonts w:hAnsi="宋体" w:cs="宋体"/>
                <w:b/>
                <w:color w:val="000000" w:themeColor="text1"/>
                <w:sz w:val="21"/>
                <w:szCs w:val="21"/>
              </w:rPr>
            </w:pPr>
            <w:r>
              <w:rPr>
                <w:rFonts w:hint="eastAsia" w:hAnsi="宋体" w:cs="宋体"/>
                <w:b/>
                <w:color w:val="000000" w:themeColor="text1"/>
                <w:sz w:val="21"/>
                <w:szCs w:val="21"/>
              </w:rPr>
              <w:t>内容</w:t>
            </w:r>
          </w:p>
        </w:tc>
        <w:tc>
          <w:tcPr>
            <w:tcW w:w="71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b/>
                <w:color w:val="000000" w:themeColor="text1"/>
                <w:sz w:val="21"/>
                <w:szCs w:val="21"/>
              </w:rPr>
            </w:pPr>
            <w:r>
              <w:rPr>
                <w:rFonts w:hint="eastAsia" w:hAnsi="宋体" w:cs="宋体"/>
                <w:b/>
                <w:color w:val="000000" w:themeColor="text1"/>
                <w:sz w:val="21"/>
                <w:szCs w:val="21"/>
              </w:rPr>
              <w:t>评分标准</w:t>
            </w:r>
          </w:p>
        </w:tc>
        <w:tc>
          <w:tcPr>
            <w:tcW w:w="7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b/>
                <w:color w:val="000000" w:themeColor="text1"/>
                <w:sz w:val="21"/>
                <w:szCs w:val="21"/>
              </w:rPr>
            </w:pPr>
            <w:r>
              <w:rPr>
                <w:rFonts w:hint="eastAsia" w:hAnsi="宋体" w:cs="宋体"/>
                <w:b/>
                <w:color w:val="000000" w:themeColor="text1"/>
                <w:sz w:val="21"/>
                <w:szCs w:val="21"/>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736"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1</w:t>
            </w:r>
          </w:p>
        </w:tc>
        <w:tc>
          <w:tcPr>
            <w:tcW w:w="894"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项目</w:t>
            </w:r>
          </w:p>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理解</w:t>
            </w:r>
          </w:p>
        </w:tc>
        <w:tc>
          <w:tcPr>
            <w:tcW w:w="7185" w:type="dxa"/>
            <w:tcBorders>
              <w:top w:val="single" w:color="auto" w:sz="4" w:space="0"/>
              <w:left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投标人对本项目基本情况的理解和分析，应包括并不限于项目背景、重大意义、现状优势与特色、现状问题与挑战、相关规划解读、相关标准解读，理解和分析准确、有深度、符合地方实际的，得</w:t>
            </w:r>
            <w:r>
              <w:rPr>
                <w:rFonts w:hAnsi="宋体" w:cs="宋体"/>
                <w:color w:val="000000" w:themeColor="text1"/>
                <w:sz w:val="21"/>
                <w:szCs w:val="21"/>
              </w:rPr>
              <w:t>12</w:t>
            </w:r>
            <w:r>
              <w:rPr>
                <w:rFonts w:hint="eastAsia" w:hAnsi="宋体" w:cs="宋体"/>
                <w:color w:val="000000" w:themeColor="text1"/>
                <w:sz w:val="21"/>
                <w:szCs w:val="21"/>
              </w:rPr>
              <w:t>分；理解和分析基本准确的，得9分；理解和分析一般的，得6分。本项最高得</w:t>
            </w:r>
            <w:r>
              <w:rPr>
                <w:rFonts w:hAnsi="宋体" w:cs="宋体"/>
                <w:color w:val="000000" w:themeColor="text1"/>
                <w:sz w:val="21"/>
                <w:szCs w:val="21"/>
              </w:rPr>
              <w:t>12</w:t>
            </w:r>
            <w:r>
              <w:rPr>
                <w:rFonts w:hint="eastAsia" w:hAnsi="宋体" w:cs="宋体"/>
                <w:color w:val="000000" w:themeColor="text1"/>
                <w:sz w:val="21"/>
                <w:szCs w:val="21"/>
              </w:rPr>
              <w:t>分。</w:t>
            </w:r>
          </w:p>
        </w:tc>
        <w:tc>
          <w:tcPr>
            <w:tcW w:w="768"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1</w:t>
            </w:r>
            <w:r>
              <w:rPr>
                <w:rFonts w:hAnsi="宋体" w:cs="宋体"/>
                <w:color w:val="000000" w:themeColor="text1"/>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6"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2</w:t>
            </w:r>
          </w:p>
        </w:tc>
        <w:tc>
          <w:tcPr>
            <w:tcW w:w="894"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重点</w:t>
            </w:r>
          </w:p>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难点</w:t>
            </w:r>
          </w:p>
        </w:tc>
        <w:tc>
          <w:tcPr>
            <w:tcW w:w="7185" w:type="dxa"/>
            <w:tcBorders>
              <w:top w:val="single" w:color="auto" w:sz="4" w:space="0"/>
              <w:left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投标人对本项目开展可能需要解决的重点难点问题进行预判。重难点判断准确、符合地方实际的，得</w:t>
            </w:r>
            <w:r>
              <w:rPr>
                <w:rFonts w:hAnsi="宋体" w:cs="宋体"/>
                <w:color w:val="000000" w:themeColor="text1"/>
                <w:sz w:val="21"/>
                <w:szCs w:val="21"/>
              </w:rPr>
              <w:t>12</w:t>
            </w:r>
            <w:r>
              <w:rPr>
                <w:rFonts w:hint="eastAsia" w:hAnsi="宋体" w:cs="宋体"/>
                <w:color w:val="000000" w:themeColor="text1"/>
                <w:sz w:val="21"/>
                <w:szCs w:val="21"/>
              </w:rPr>
              <w:t>分；重难点判断基本准确的，得9分；重难点判断一般的，得6分。本项最高得</w:t>
            </w:r>
            <w:r>
              <w:rPr>
                <w:rFonts w:hAnsi="宋体" w:cs="宋体"/>
                <w:color w:val="000000" w:themeColor="text1"/>
                <w:sz w:val="21"/>
                <w:szCs w:val="21"/>
              </w:rPr>
              <w:t>12</w:t>
            </w:r>
            <w:r>
              <w:rPr>
                <w:rFonts w:hint="eastAsia" w:hAnsi="宋体" w:cs="宋体"/>
                <w:color w:val="000000" w:themeColor="text1"/>
                <w:sz w:val="21"/>
                <w:szCs w:val="21"/>
              </w:rPr>
              <w:t>分。</w:t>
            </w:r>
          </w:p>
        </w:tc>
        <w:tc>
          <w:tcPr>
            <w:tcW w:w="768"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Ansi="宋体" w:cs="宋体"/>
                <w:color w:val="000000" w:themeColor="text1"/>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6" w:type="dxa"/>
            <w:vMerge w:val="restart"/>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3</w:t>
            </w:r>
          </w:p>
        </w:tc>
        <w:tc>
          <w:tcPr>
            <w:tcW w:w="894" w:type="dxa"/>
            <w:vMerge w:val="restart"/>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编制思路及发展策略研究</w:t>
            </w:r>
          </w:p>
        </w:tc>
        <w:tc>
          <w:tcPr>
            <w:tcW w:w="7185" w:type="dxa"/>
            <w:tcBorders>
              <w:top w:val="single" w:color="auto" w:sz="4" w:space="0"/>
              <w:left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评标委员会根据投标人对本项目的编制思路进行综合评分。编制思路清晰合理，得6分；编制思路基本合理的，得4分；编制思路合理性一般的，得2分；未提供的不得分。本项最高得</w:t>
            </w:r>
            <w:r>
              <w:rPr>
                <w:rFonts w:hAnsi="宋体" w:cs="宋体"/>
                <w:color w:val="000000" w:themeColor="text1"/>
                <w:sz w:val="21"/>
                <w:szCs w:val="21"/>
              </w:rPr>
              <w:t>6</w:t>
            </w:r>
            <w:r>
              <w:rPr>
                <w:rFonts w:hint="eastAsia" w:hAnsi="宋体" w:cs="宋体"/>
                <w:color w:val="000000" w:themeColor="text1"/>
                <w:sz w:val="21"/>
                <w:szCs w:val="21"/>
              </w:rPr>
              <w:t>分。</w:t>
            </w:r>
          </w:p>
        </w:tc>
        <w:tc>
          <w:tcPr>
            <w:tcW w:w="768"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6" w:type="dxa"/>
            <w:vMerge w:val="continue"/>
            <w:tcBorders>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p>
        </w:tc>
        <w:tc>
          <w:tcPr>
            <w:tcW w:w="894" w:type="dxa"/>
            <w:vMerge w:val="continue"/>
            <w:tcBorders>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p>
        </w:tc>
        <w:tc>
          <w:tcPr>
            <w:tcW w:w="7185" w:type="dxa"/>
            <w:tcBorders>
              <w:top w:val="single" w:color="auto" w:sz="4" w:space="0"/>
              <w:left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olor w:val="000000" w:themeColor="text1"/>
                <w:sz w:val="21"/>
                <w:szCs w:val="21"/>
              </w:rPr>
              <w:t>投标人以婺城、金义新区行政管辖范围为界，针对各片区特点和资源禀赋，研判发展的重点、方向，提出片区长远发展战略。目标方向清晰、发展战略明确的，得</w:t>
            </w:r>
            <w:r>
              <w:rPr>
                <w:rFonts w:hAnsi="宋体"/>
                <w:color w:val="000000" w:themeColor="text1"/>
                <w:sz w:val="21"/>
                <w:szCs w:val="21"/>
              </w:rPr>
              <w:t>6</w:t>
            </w:r>
            <w:r>
              <w:rPr>
                <w:rFonts w:hint="eastAsia" w:hAnsi="宋体"/>
                <w:color w:val="000000" w:themeColor="text1"/>
                <w:sz w:val="21"/>
                <w:szCs w:val="21"/>
              </w:rPr>
              <w:t>分；目标方向较为清晰、发展战略较为明确的，得</w:t>
            </w:r>
            <w:r>
              <w:rPr>
                <w:rFonts w:hAnsi="宋体"/>
                <w:color w:val="000000" w:themeColor="text1"/>
                <w:sz w:val="21"/>
                <w:szCs w:val="21"/>
              </w:rPr>
              <w:t>4</w:t>
            </w:r>
            <w:r>
              <w:rPr>
                <w:rFonts w:hint="eastAsia" w:hAnsi="宋体"/>
                <w:color w:val="000000" w:themeColor="text1"/>
                <w:sz w:val="21"/>
                <w:szCs w:val="21"/>
              </w:rPr>
              <w:t>分；目标方向不清晰、发展战略较为模糊的，得</w:t>
            </w:r>
            <w:r>
              <w:rPr>
                <w:rFonts w:hAnsi="宋体"/>
                <w:color w:val="000000" w:themeColor="text1"/>
                <w:sz w:val="21"/>
                <w:szCs w:val="21"/>
              </w:rPr>
              <w:t>2</w:t>
            </w:r>
            <w:r>
              <w:rPr>
                <w:rFonts w:hint="eastAsia" w:hAnsi="宋体"/>
                <w:color w:val="000000" w:themeColor="text1"/>
                <w:sz w:val="21"/>
                <w:szCs w:val="21"/>
              </w:rPr>
              <w:t>分。</w:t>
            </w:r>
            <w:r>
              <w:rPr>
                <w:rFonts w:hint="eastAsia" w:hAnsi="宋体" w:cs="宋体"/>
                <w:color w:val="000000" w:themeColor="text1"/>
                <w:sz w:val="21"/>
                <w:szCs w:val="21"/>
              </w:rPr>
              <w:t>本项最高得6分</w:t>
            </w:r>
            <w:r>
              <w:rPr>
                <w:rFonts w:hint="eastAsia" w:hAnsi="宋体"/>
                <w:color w:val="000000" w:themeColor="text1"/>
                <w:sz w:val="21"/>
                <w:szCs w:val="21"/>
              </w:rPr>
              <w:t>。</w:t>
            </w:r>
          </w:p>
        </w:tc>
        <w:tc>
          <w:tcPr>
            <w:tcW w:w="768"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Ansi="宋体" w:cs="宋体"/>
                <w:color w:val="000000" w:themeColor="text1"/>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6" w:type="dxa"/>
            <w:vMerge w:val="continue"/>
            <w:tcBorders>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p>
        </w:tc>
        <w:tc>
          <w:tcPr>
            <w:tcW w:w="894" w:type="dxa"/>
            <w:vMerge w:val="continue"/>
            <w:tcBorders>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p>
        </w:tc>
        <w:tc>
          <w:tcPr>
            <w:tcW w:w="7185" w:type="dxa"/>
            <w:tcBorders>
              <w:top w:val="single" w:color="auto" w:sz="4" w:space="0"/>
              <w:left w:val="single" w:color="auto" w:sz="4" w:space="0"/>
              <w:right w:val="single" w:color="auto" w:sz="4" w:space="0"/>
            </w:tcBorders>
            <w:vAlign w:val="center"/>
          </w:tcPr>
          <w:p>
            <w:pPr>
              <w:spacing w:line="320" w:lineRule="exact"/>
              <w:rPr>
                <w:rFonts w:hAnsi="宋体"/>
                <w:color w:val="000000" w:themeColor="text1"/>
                <w:sz w:val="21"/>
                <w:szCs w:val="21"/>
              </w:rPr>
            </w:pPr>
            <w:r>
              <w:rPr>
                <w:rFonts w:hint="eastAsia" w:hAnsi="宋体"/>
                <w:color w:val="000000" w:themeColor="text1"/>
                <w:sz w:val="21"/>
                <w:szCs w:val="21"/>
              </w:rPr>
              <w:t>投标人以问题为导向，提出中心城区空间布局优化方向和实现路径。布局优化方向清晰、实现路径明确的，得</w:t>
            </w:r>
            <w:r>
              <w:rPr>
                <w:rFonts w:hAnsi="宋体"/>
                <w:color w:val="000000" w:themeColor="text1"/>
                <w:sz w:val="21"/>
                <w:szCs w:val="21"/>
              </w:rPr>
              <w:t>8</w:t>
            </w:r>
            <w:r>
              <w:rPr>
                <w:rFonts w:hint="eastAsia" w:hAnsi="宋体"/>
                <w:color w:val="000000" w:themeColor="text1"/>
                <w:sz w:val="21"/>
                <w:szCs w:val="21"/>
              </w:rPr>
              <w:t>分；布局优化方向较为清晰、实现路径较为明确的，得6分；布局优化方向不清晰、实施路径较为模糊的，得4分。</w:t>
            </w:r>
            <w:r>
              <w:rPr>
                <w:rFonts w:hint="eastAsia" w:hAnsi="宋体" w:cs="宋体"/>
                <w:color w:val="000000" w:themeColor="text1"/>
                <w:sz w:val="21"/>
                <w:szCs w:val="21"/>
              </w:rPr>
              <w:t>本项最高得</w:t>
            </w:r>
            <w:r>
              <w:rPr>
                <w:rFonts w:hAnsi="宋体" w:cs="宋体"/>
                <w:color w:val="000000" w:themeColor="text1"/>
                <w:sz w:val="21"/>
                <w:szCs w:val="21"/>
              </w:rPr>
              <w:t>8</w:t>
            </w:r>
            <w:r>
              <w:rPr>
                <w:rFonts w:hint="eastAsia" w:hAnsi="宋体" w:cs="宋体"/>
                <w:color w:val="000000" w:themeColor="text1"/>
                <w:sz w:val="21"/>
                <w:szCs w:val="21"/>
              </w:rPr>
              <w:t>分</w:t>
            </w:r>
            <w:r>
              <w:rPr>
                <w:rFonts w:hint="eastAsia" w:hAnsi="宋体"/>
                <w:color w:val="000000" w:themeColor="text1"/>
                <w:sz w:val="21"/>
                <w:szCs w:val="21"/>
              </w:rPr>
              <w:t>。</w:t>
            </w:r>
          </w:p>
        </w:tc>
        <w:tc>
          <w:tcPr>
            <w:tcW w:w="768"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Ansi="宋体" w:cs="宋体"/>
                <w:color w:val="000000" w:themeColor="text1"/>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36"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4</w:t>
            </w:r>
          </w:p>
        </w:tc>
        <w:tc>
          <w:tcPr>
            <w:tcW w:w="894"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工作</w:t>
            </w:r>
          </w:p>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内容</w:t>
            </w:r>
          </w:p>
        </w:tc>
        <w:tc>
          <w:tcPr>
            <w:tcW w:w="7185" w:type="dxa"/>
            <w:tcBorders>
              <w:top w:val="single" w:color="auto" w:sz="4" w:space="0"/>
              <w:left w:val="single" w:color="auto" w:sz="4" w:space="0"/>
              <w:right w:val="single" w:color="auto" w:sz="4" w:space="0"/>
            </w:tcBorders>
            <w:vAlign w:val="center"/>
          </w:tcPr>
          <w:p>
            <w:pPr>
              <w:spacing w:line="320" w:lineRule="exact"/>
              <w:jc w:val="both"/>
              <w:rPr>
                <w:color w:val="000000" w:themeColor="text1"/>
              </w:rPr>
            </w:pPr>
            <w:r>
              <w:rPr>
                <w:rFonts w:hint="eastAsia" w:hAnsi="宋体" w:cs="宋体"/>
                <w:color w:val="000000" w:themeColor="text1"/>
                <w:sz w:val="21"/>
                <w:szCs w:val="21"/>
              </w:rPr>
              <w:t>投标人对本项目主要工作内容的阐述。按照《浙江省乡镇级国土空间总体规划编制技术要点》，根据投标人对</w:t>
            </w:r>
            <w:r>
              <w:rPr>
                <w:rFonts w:hint="eastAsia" w:hAnsi="宋体"/>
                <w:color w:val="000000" w:themeColor="text1"/>
                <w:sz w:val="21"/>
                <w:szCs w:val="21"/>
              </w:rPr>
              <w:t>目标定位、空间控制线、用地布局规划、用途分区规划、用途分类规划、历史文化保护、自然资源保护利用、国土综合整治与修复、国土空间格局安全与保障、重大项目和工程、详细规划编制引导、规划实施保障等内容的理解，同时结合金华市实际提出工作内容，工作内容要点完整、思路清晰、对策完善、落地实施性强的</w:t>
            </w:r>
            <w:r>
              <w:rPr>
                <w:rFonts w:hint="eastAsia" w:hAnsi="宋体" w:cs="宋体"/>
                <w:color w:val="000000" w:themeColor="text1"/>
                <w:sz w:val="21"/>
                <w:szCs w:val="21"/>
              </w:rPr>
              <w:t>，得</w:t>
            </w:r>
            <w:r>
              <w:rPr>
                <w:rFonts w:hAnsi="宋体" w:cs="宋体"/>
                <w:color w:val="000000" w:themeColor="text1"/>
                <w:sz w:val="21"/>
                <w:szCs w:val="21"/>
              </w:rPr>
              <w:t>14</w:t>
            </w:r>
            <w:r>
              <w:rPr>
                <w:rFonts w:hint="eastAsia" w:hAnsi="宋体" w:cs="宋体"/>
                <w:color w:val="000000" w:themeColor="text1"/>
                <w:sz w:val="21"/>
                <w:szCs w:val="21"/>
              </w:rPr>
              <w:t>分；工作内容思路较为清晰、内容基本完整的，得10分；工作内容一般、内容框架一般，得7分；本项最高得1</w:t>
            </w:r>
            <w:r>
              <w:rPr>
                <w:rFonts w:hAnsi="宋体" w:cs="宋体"/>
                <w:color w:val="000000" w:themeColor="text1"/>
                <w:sz w:val="21"/>
                <w:szCs w:val="21"/>
              </w:rPr>
              <w:t>4</w:t>
            </w:r>
            <w:r>
              <w:rPr>
                <w:rFonts w:hint="eastAsia" w:hAnsi="宋体" w:cs="宋体"/>
                <w:color w:val="000000" w:themeColor="text1"/>
                <w:sz w:val="21"/>
                <w:szCs w:val="21"/>
              </w:rPr>
              <w:t>分。</w:t>
            </w:r>
          </w:p>
        </w:tc>
        <w:tc>
          <w:tcPr>
            <w:tcW w:w="768"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Ansi="宋体" w:cs="宋体"/>
                <w:color w:val="000000" w:themeColor="text1"/>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6"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5</w:t>
            </w:r>
          </w:p>
        </w:tc>
        <w:tc>
          <w:tcPr>
            <w:tcW w:w="894"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工作</w:t>
            </w:r>
          </w:p>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进度</w:t>
            </w:r>
          </w:p>
        </w:tc>
        <w:tc>
          <w:tcPr>
            <w:tcW w:w="7185" w:type="dxa"/>
            <w:tcBorders>
              <w:top w:val="single" w:color="auto" w:sz="4" w:space="0"/>
              <w:left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评标委员会根据投标人对本项目具体内容提供对应的工作进度安排的阐述进行综合评分。工作进度安排合理、各阶段任务清晰、能够保证项目按时完成，得</w:t>
            </w:r>
            <w:r>
              <w:rPr>
                <w:rFonts w:hAnsi="宋体" w:cs="宋体"/>
                <w:color w:val="000000" w:themeColor="text1"/>
                <w:sz w:val="21"/>
                <w:szCs w:val="21"/>
              </w:rPr>
              <w:t>7</w:t>
            </w:r>
            <w:r>
              <w:rPr>
                <w:rFonts w:hint="eastAsia" w:hAnsi="宋体" w:cs="宋体"/>
                <w:color w:val="000000" w:themeColor="text1"/>
                <w:sz w:val="21"/>
                <w:szCs w:val="21"/>
              </w:rPr>
              <w:t>分；工作进度安排不合理性或各阶段任务不够具体清晰的，得4分；工作进度安排合理、各阶段任务清晰度一般的，得2分；不能保证项目按时完成或未提供的不得分。本项最高得</w:t>
            </w:r>
            <w:r>
              <w:rPr>
                <w:rFonts w:hAnsi="宋体" w:cs="宋体"/>
                <w:color w:val="000000" w:themeColor="text1"/>
                <w:sz w:val="21"/>
                <w:szCs w:val="21"/>
              </w:rPr>
              <w:t>7</w:t>
            </w:r>
            <w:r>
              <w:rPr>
                <w:rFonts w:hint="eastAsia" w:hAnsi="宋体" w:cs="宋体"/>
                <w:color w:val="000000" w:themeColor="text1"/>
                <w:sz w:val="21"/>
                <w:szCs w:val="21"/>
              </w:rPr>
              <w:t>分。</w:t>
            </w:r>
          </w:p>
        </w:tc>
        <w:tc>
          <w:tcPr>
            <w:tcW w:w="768"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Ansi="宋体" w:cs="宋体"/>
                <w:color w:val="000000" w:themeColor="text1"/>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36"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6</w:t>
            </w:r>
          </w:p>
        </w:tc>
        <w:tc>
          <w:tcPr>
            <w:tcW w:w="894"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成果</w:t>
            </w:r>
          </w:p>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构成</w:t>
            </w:r>
          </w:p>
        </w:tc>
        <w:tc>
          <w:tcPr>
            <w:tcW w:w="7185" w:type="dxa"/>
            <w:tcBorders>
              <w:top w:val="single" w:color="auto" w:sz="4" w:space="0"/>
              <w:left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评标委员会根据投标人对本项目的成果构成和形式进行综合评分。成果内容完整、形式符合要求，得</w:t>
            </w:r>
            <w:r>
              <w:rPr>
                <w:rFonts w:hAnsi="宋体" w:cs="宋体"/>
                <w:color w:val="000000" w:themeColor="text1"/>
                <w:sz w:val="21"/>
                <w:szCs w:val="21"/>
              </w:rPr>
              <w:t>3</w:t>
            </w:r>
            <w:r>
              <w:rPr>
                <w:rFonts w:hint="eastAsia" w:hAnsi="宋体" w:cs="宋体"/>
                <w:color w:val="000000" w:themeColor="text1"/>
                <w:sz w:val="21"/>
                <w:szCs w:val="21"/>
              </w:rPr>
              <w:t>分；成果内容不够完整性、形式与要求不符的，得2分；未提供的不得分。本项最高得</w:t>
            </w:r>
            <w:r>
              <w:rPr>
                <w:rFonts w:hAnsi="宋体" w:cs="宋体"/>
                <w:color w:val="000000" w:themeColor="text1"/>
                <w:sz w:val="21"/>
                <w:szCs w:val="21"/>
              </w:rPr>
              <w:t>3</w:t>
            </w:r>
            <w:r>
              <w:rPr>
                <w:rFonts w:hint="eastAsia" w:hAnsi="宋体" w:cs="宋体"/>
                <w:color w:val="000000" w:themeColor="text1"/>
                <w:sz w:val="21"/>
                <w:szCs w:val="21"/>
              </w:rPr>
              <w:t>分。</w:t>
            </w:r>
          </w:p>
        </w:tc>
        <w:tc>
          <w:tcPr>
            <w:tcW w:w="768"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Ansi="宋体" w:cs="宋体"/>
                <w:color w:val="000000" w:themeColor="text1"/>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36"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7</w:t>
            </w:r>
          </w:p>
        </w:tc>
        <w:tc>
          <w:tcPr>
            <w:tcW w:w="894"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服务</w:t>
            </w:r>
          </w:p>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保障</w:t>
            </w:r>
          </w:p>
        </w:tc>
        <w:tc>
          <w:tcPr>
            <w:tcW w:w="7185" w:type="dxa"/>
            <w:tcBorders>
              <w:top w:val="single" w:color="auto" w:sz="4" w:space="0"/>
              <w:left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评标委员会根据投标人对本项目的服务保障措施进行综合评分。服务保障措施具体、合理、可行，得6分；服务保障措施具体性、合理性、可行性欠佳的，得4分；未提供的不得分。本项最高得</w:t>
            </w:r>
            <w:r>
              <w:rPr>
                <w:rFonts w:hAnsi="宋体" w:cs="宋体"/>
                <w:color w:val="000000" w:themeColor="text1"/>
                <w:sz w:val="21"/>
                <w:szCs w:val="21"/>
              </w:rPr>
              <w:t>6</w:t>
            </w:r>
            <w:r>
              <w:rPr>
                <w:rFonts w:hint="eastAsia" w:hAnsi="宋体" w:cs="宋体"/>
                <w:color w:val="000000" w:themeColor="text1"/>
                <w:sz w:val="21"/>
                <w:szCs w:val="21"/>
              </w:rPr>
              <w:t>分。</w:t>
            </w:r>
          </w:p>
        </w:tc>
        <w:tc>
          <w:tcPr>
            <w:tcW w:w="768" w:type="dxa"/>
            <w:tcBorders>
              <w:top w:val="single" w:color="auto" w:sz="4" w:space="0"/>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36" w:type="dxa"/>
            <w:tcBorders>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8</w:t>
            </w:r>
          </w:p>
        </w:tc>
        <w:tc>
          <w:tcPr>
            <w:tcW w:w="8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项目</w:t>
            </w:r>
          </w:p>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负责人</w:t>
            </w:r>
          </w:p>
        </w:tc>
        <w:tc>
          <w:tcPr>
            <w:tcW w:w="71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项目负责人具备城乡规划专业教授级高级职称的得</w:t>
            </w:r>
            <w:r>
              <w:rPr>
                <w:rFonts w:hAnsi="宋体" w:cs="宋体"/>
                <w:color w:val="000000" w:themeColor="text1"/>
                <w:sz w:val="21"/>
                <w:szCs w:val="21"/>
              </w:rPr>
              <w:t>1</w:t>
            </w:r>
            <w:r>
              <w:rPr>
                <w:rFonts w:hint="eastAsia" w:hAnsi="宋体" w:cs="宋体"/>
                <w:color w:val="000000" w:themeColor="text1"/>
                <w:sz w:val="21"/>
                <w:szCs w:val="21"/>
              </w:rPr>
              <w:t>分。</w:t>
            </w:r>
          </w:p>
          <w:p>
            <w:pPr>
              <w:spacing w:line="320" w:lineRule="exact"/>
              <w:rPr>
                <w:color w:val="000000" w:themeColor="text1"/>
              </w:rPr>
            </w:pPr>
            <w:r>
              <w:rPr>
                <w:rFonts w:hint="eastAsia" w:hAnsi="宋体" w:cs="宋体"/>
                <w:color w:val="000000" w:themeColor="text1"/>
                <w:sz w:val="21"/>
                <w:szCs w:val="21"/>
              </w:rPr>
              <w:t>项目负责人获得国家级优秀城乡（市）规划设计奖项或全国优秀国土空间规划奖项，一等奖每项</w:t>
            </w:r>
            <w:r>
              <w:rPr>
                <w:rFonts w:hAnsi="宋体" w:cs="宋体"/>
                <w:color w:val="000000" w:themeColor="text1"/>
                <w:sz w:val="21"/>
                <w:szCs w:val="21"/>
              </w:rPr>
              <w:t>1</w:t>
            </w:r>
            <w:r>
              <w:rPr>
                <w:rFonts w:hint="eastAsia" w:hAnsi="宋体" w:cs="宋体"/>
                <w:color w:val="000000" w:themeColor="text1"/>
                <w:sz w:val="21"/>
                <w:szCs w:val="21"/>
              </w:rPr>
              <w:t>分，二等奖每项</w:t>
            </w:r>
            <w:r>
              <w:rPr>
                <w:rFonts w:hAnsi="宋体" w:cs="宋体"/>
                <w:color w:val="000000" w:themeColor="text1"/>
                <w:sz w:val="21"/>
                <w:szCs w:val="21"/>
              </w:rPr>
              <w:t>0.5</w:t>
            </w:r>
            <w:r>
              <w:rPr>
                <w:rFonts w:hint="eastAsia" w:hAnsi="宋体" w:cs="宋体"/>
                <w:color w:val="000000" w:themeColor="text1"/>
                <w:sz w:val="21"/>
                <w:szCs w:val="21"/>
              </w:rPr>
              <w:t>分，最高得</w:t>
            </w:r>
            <w:r>
              <w:rPr>
                <w:rFonts w:hAnsi="宋体" w:cs="宋体"/>
                <w:color w:val="000000" w:themeColor="text1"/>
                <w:sz w:val="21"/>
                <w:szCs w:val="21"/>
              </w:rPr>
              <w:t>2</w:t>
            </w:r>
            <w:r>
              <w:rPr>
                <w:rFonts w:hint="eastAsia" w:hAnsi="宋体" w:cs="宋体"/>
                <w:color w:val="000000" w:themeColor="text1"/>
                <w:sz w:val="21"/>
                <w:szCs w:val="21"/>
              </w:rPr>
              <w:t>分。</w:t>
            </w:r>
          </w:p>
          <w:p>
            <w:pPr>
              <w:spacing w:line="320" w:lineRule="exact"/>
              <w:rPr>
                <w:rFonts w:hAnsi="宋体" w:cs="宋体"/>
                <w:color w:val="000000" w:themeColor="text1"/>
                <w:sz w:val="21"/>
                <w:szCs w:val="21"/>
              </w:rPr>
            </w:pPr>
            <w:r>
              <w:rPr>
                <w:rFonts w:hint="eastAsia" w:hAnsi="宋体" w:cs="宋体"/>
                <w:color w:val="000000" w:themeColor="text1"/>
                <w:sz w:val="21"/>
                <w:szCs w:val="21"/>
              </w:rPr>
              <w:t>（需提供项目负责人相应证书复印件和离开标前近半年内任意一个月在本企业社保缴纳证明或法人证明材料）</w:t>
            </w:r>
          </w:p>
        </w:tc>
        <w:tc>
          <w:tcPr>
            <w:tcW w:w="7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Ansi="宋体" w:cs="宋体"/>
                <w:color w:val="000000" w:themeColor="text1"/>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36" w:type="dxa"/>
            <w:tcBorders>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9</w:t>
            </w:r>
          </w:p>
        </w:tc>
        <w:tc>
          <w:tcPr>
            <w:tcW w:w="8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项目组成员</w:t>
            </w:r>
          </w:p>
        </w:tc>
        <w:tc>
          <w:tcPr>
            <w:tcW w:w="71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（1）本项目组成员（除项目负责人）中多种专业配置：具有城乡规划、城市交通、市政给水排水、土地（资源）管理专业的职称证书，每配置一个高级及以上职称人员的得</w:t>
            </w:r>
            <w:r>
              <w:rPr>
                <w:rFonts w:hAnsi="宋体" w:cs="宋体"/>
                <w:color w:val="000000" w:themeColor="text1"/>
                <w:sz w:val="21"/>
                <w:szCs w:val="21"/>
              </w:rPr>
              <w:t>0.5</w:t>
            </w:r>
            <w:r>
              <w:rPr>
                <w:rFonts w:hint="eastAsia" w:hAnsi="宋体" w:cs="宋体"/>
                <w:color w:val="000000" w:themeColor="text1"/>
                <w:sz w:val="21"/>
                <w:szCs w:val="21"/>
              </w:rPr>
              <w:t>分，其余不得分；每个专业不重复计取，最高得</w:t>
            </w:r>
            <w:r>
              <w:rPr>
                <w:rFonts w:hAnsi="宋体" w:cs="宋体"/>
                <w:color w:val="000000" w:themeColor="text1"/>
                <w:sz w:val="21"/>
                <w:szCs w:val="21"/>
              </w:rPr>
              <w:t>2</w:t>
            </w:r>
            <w:r>
              <w:rPr>
                <w:rFonts w:hint="eastAsia" w:hAnsi="宋体" w:cs="宋体"/>
                <w:color w:val="000000" w:themeColor="text1"/>
                <w:sz w:val="21"/>
                <w:szCs w:val="21"/>
              </w:rPr>
              <w:t>分。</w:t>
            </w:r>
          </w:p>
          <w:p>
            <w:pPr>
              <w:spacing w:line="320" w:lineRule="exact"/>
              <w:rPr>
                <w:rFonts w:hAnsi="宋体" w:cs="宋体"/>
                <w:color w:val="000000" w:themeColor="text1"/>
                <w:sz w:val="21"/>
                <w:szCs w:val="21"/>
              </w:rPr>
            </w:pPr>
            <w:r>
              <w:rPr>
                <w:rFonts w:hint="eastAsia" w:hAnsi="宋体" w:cs="宋体"/>
                <w:color w:val="000000" w:themeColor="text1"/>
                <w:sz w:val="21"/>
                <w:szCs w:val="21"/>
              </w:rPr>
              <w:t>（2）2019年1月1日以来，本项目组成员（除项目负责人）获得过国家级优秀城乡（市）规划设计奖项，一等奖每项得</w:t>
            </w:r>
            <w:r>
              <w:rPr>
                <w:rFonts w:hAnsi="宋体" w:cs="宋体"/>
                <w:color w:val="000000" w:themeColor="text1"/>
                <w:sz w:val="21"/>
                <w:szCs w:val="21"/>
              </w:rPr>
              <w:t>1</w:t>
            </w:r>
            <w:r>
              <w:rPr>
                <w:rFonts w:hint="eastAsia" w:hAnsi="宋体" w:cs="宋体"/>
                <w:color w:val="000000" w:themeColor="text1"/>
                <w:sz w:val="21"/>
                <w:szCs w:val="21"/>
              </w:rPr>
              <w:t>分，二等奖每项得</w:t>
            </w:r>
            <w:r>
              <w:rPr>
                <w:rFonts w:hAnsi="宋体" w:cs="宋体"/>
                <w:color w:val="000000" w:themeColor="text1"/>
                <w:sz w:val="21"/>
                <w:szCs w:val="21"/>
              </w:rPr>
              <w:t>0.5</w:t>
            </w:r>
            <w:r>
              <w:rPr>
                <w:rFonts w:hint="eastAsia" w:hAnsi="宋体" w:cs="宋体"/>
                <w:color w:val="000000" w:themeColor="text1"/>
                <w:sz w:val="21"/>
                <w:szCs w:val="21"/>
              </w:rPr>
              <w:t>分，最高得</w:t>
            </w:r>
            <w:r>
              <w:rPr>
                <w:rFonts w:hAnsi="宋体" w:cs="宋体"/>
                <w:color w:val="000000" w:themeColor="text1"/>
                <w:sz w:val="21"/>
                <w:szCs w:val="21"/>
              </w:rPr>
              <w:t>3</w:t>
            </w:r>
            <w:r>
              <w:rPr>
                <w:rFonts w:hint="eastAsia" w:hAnsi="宋体" w:cs="宋体"/>
                <w:color w:val="000000" w:themeColor="text1"/>
                <w:sz w:val="21"/>
                <w:szCs w:val="21"/>
              </w:rPr>
              <w:t>分。</w:t>
            </w:r>
          </w:p>
          <w:p>
            <w:pPr>
              <w:spacing w:line="320" w:lineRule="exact"/>
              <w:rPr>
                <w:rFonts w:hAnsi="宋体" w:cs="宋体"/>
                <w:color w:val="000000" w:themeColor="text1"/>
                <w:sz w:val="21"/>
                <w:szCs w:val="21"/>
              </w:rPr>
            </w:pPr>
            <w:r>
              <w:rPr>
                <w:rFonts w:hint="eastAsia" w:hAnsi="宋体" w:cs="宋体"/>
                <w:color w:val="000000" w:themeColor="text1"/>
                <w:sz w:val="21"/>
                <w:szCs w:val="21"/>
              </w:rPr>
              <w:t>（3）项目组成员（除项目负责人）获得过省级及以上自然资源（国土）部门颁发的科技创新奖，一等奖每项2分，二等奖每项1分，最高得4分。</w:t>
            </w:r>
          </w:p>
          <w:p>
            <w:pPr>
              <w:spacing w:line="320" w:lineRule="exact"/>
              <w:rPr>
                <w:rFonts w:hAnsi="宋体" w:cs="宋体"/>
                <w:color w:val="000000" w:themeColor="text1"/>
                <w:sz w:val="21"/>
                <w:szCs w:val="21"/>
              </w:rPr>
            </w:pPr>
            <w:r>
              <w:rPr>
                <w:rFonts w:hint="eastAsia" w:hAnsi="宋体" w:cs="宋体"/>
                <w:color w:val="000000" w:themeColor="text1"/>
                <w:sz w:val="21"/>
                <w:szCs w:val="21"/>
              </w:rPr>
              <w:t>（需提供项目相关人员的证书复印件及离开标前近半年内任意一个月在本企业社保缴费证明材料）</w:t>
            </w:r>
          </w:p>
        </w:tc>
        <w:tc>
          <w:tcPr>
            <w:tcW w:w="7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Ansi="宋体" w:cs="宋体"/>
                <w:color w:val="000000" w:themeColor="text1"/>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736" w:type="dxa"/>
            <w:tcBorders>
              <w:left w:val="single" w:color="auto" w:sz="4" w:space="0"/>
              <w:right w:val="single" w:color="auto" w:sz="4" w:space="0"/>
            </w:tcBorders>
            <w:shd w:val="clear" w:color="auto" w:fill="auto"/>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10</w:t>
            </w:r>
          </w:p>
        </w:tc>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20" w:lineRule="exact"/>
              <w:jc w:val="center"/>
              <w:rPr>
                <w:rFonts w:hAnsi="宋体" w:cs="宋体"/>
                <w:color w:val="000000" w:themeColor="text1"/>
                <w:sz w:val="21"/>
                <w:szCs w:val="21"/>
              </w:rPr>
            </w:pPr>
            <w:r>
              <w:rPr>
                <w:rFonts w:hint="eastAsia" w:hAnsi="宋体" w:cs="宋体"/>
                <w:color w:val="000000" w:themeColor="text1"/>
                <w:sz w:val="21"/>
                <w:szCs w:val="21"/>
              </w:rPr>
              <w:t>相关</w:t>
            </w:r>
          </w:p>
          <w:p>
            <w:pPr>
              <w:snapToGrid w:val="0"/>
              <w:spacing w:line="320" w:lineRule="exact"/>
              <w:jc w:val="center"/>
              <w:rPr>
                <w:rFonts w:hAnsi="宋体" w:cs="宋体"/>
                <w:color w:val="000000" w:themeColor="text1"/>
                <w:sz w:val="21"/>
                <w:szCs w:val="21"/>
              </w:rPr>
            </w:pPr>
            <w:r>
              <w:rPr>
                <w:rFonts w:hint="eastAsia" w:hAnsi="宋体" w:cs="宋体"/>
                <w:color w:val="000000" w:themeColor="text1"/>
                <w:sz w:val="21"/>
                <w:szCs w:val="21"/>
              </w:rPr>
              <w:t>荣誉</w:t>
            </w:r>
          </w:p>
        </w:tc>
        <w:tc>
          <w:tcPr>
            <w:tcW w:w="71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2019年1月1日以来，投标人获得过全国优秀城乡规划设计奖或全国优秀国土空间规划奖项，得0</w:t>
            </w:r>
            <w:r>
              <w:rPr>
                <w:rFonts w:hAnsi="宋体" w:cs="宋体"/>
                <w:color w:val="000000" w:themeColor="text1"/>
                <w:sz w:val="21"/>
                <w:szCs w:val="21"/>
              </w:rPr>
              <w:t>.5</w:t>
            </w:r>
            <w:r>
              <w:rPr>
                <w:rFonts w:hint="eastAsia" w:hAnsi="宋体" w:cs="宋体"/>
                <w:color w:val="000000" w:themeColor="text1"/>
                <w:sz w:val="21"/>
                <w:szCs w:val="21"/>
              </w:rPr>
              <w:t>分；投标人获得过省级及以上科技进步奖的得0.5分。本项最高得1分。（需提供相关奖项证书）</w:t>
            </w:r>
          </w:p>
        </w:tc>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Ansi="宋体" w:cs="宋体"/>
                <w:color w:val="000000" w:themeColor="text1"/>
                <w:sz w:val="21"/>
                <w:szCs w:val="21"/>
              </w:rPr>
            </w:pPr>
            <w:r>
              <w:rPr>
                <w:rFonts w:hint="eastAsia" w:hAnsi="宋体" w:cs="宋体"/>
                <w:color w:val="000000" w:themeColor="text1"/>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36" w:type="dxa"/>
            <w:tcBorders>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11</w:t>
            </w:r>
          </w:p>
        </w:tc>
        <w:tc>
          <w:tcPr>
            <w:tcW w:w="8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项目</w:t>
            </w:r>
          </w:p>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业绩</w:t>
            </w:r>
          </w:p>
        </w:tc>
        <w:tc>
          <w:tcPr>
            <w:tcW w:w="7185" w:type="dxa"/>
            <w:tcBorders>
              <w:top w:val="single" w:color="auto" w:sz="4" w:space="0"/>
              <w:left w:val="single" w:color="auto" w:sz="4" w:space="0"/>
              <w:bottom w:val="single" w:color="auto" w:sz="4" w:space="0"/>
              <w:right w:val="single" w:color="auto" w:sz="4" w:space="0"/>
            </w:tcBorders>
          </w:tcPr>
          <w:p>
            <w:pPr>
              <w:spacing w:line="320" w:lineRule="exact"/>
              <w:rPr>
                <w:rFonts w:hAnsi="宋体" w:cs="宋体"/>
                <w:color w:val="000000" w:themeColor="text1"/>
                <w:sz w:val="21"/>
                <w:szCs w:val="21"/>
              </w:rPr>
            </w:pPr>
            <w:r>
              <w:rPr>
                <w:rFonts w:hint="eastAsia" w:hAnsi="宋体" w:cs="宋体"/>
                <w:color w:val="000000" w:themeColor="text1"/>
                <w:sz w:val="21"/>
                <w:szCs w:val="21"/>
              </w:rPr>
              <w:t>2019年1月1日以来，投标人承担过同类国土空间总体规划（市级、县级或中心城区乡镇级）的，每个业绩得0.5分，最高得1分。</w:t>
            </w:r>
          </w:p>
        </w:tc>
        <w:tc>
          <w:tcPr>
            <w:tcW w:w="7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36" w:type="dxa"/>
            <w:tcBorders>
              <w:left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12</w:t>
            </w:r>
          </w:p>
        </w:tc>
        <w:tc>
          <w:tcPr>
            <w:tcW w:w="89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Ansi="宋体" w:cs="宋体"/>
                <w:color w:val="000000" w:themeColor="text1"/>
                <w:sz w:val="21"/>
                <w:szCs w:val="21"/>
              </w:rPr>
            </w:pPr>
            <w:r>
              <w:rPr>
                <w:rFonts w:hint="eastAsia" w:hAnsi="宋体" w:cs="宋体"/>
                <w:color w:val="000000" w:themeColor="text1"/>
                <w:sz w:val="21"/>
                <w:szCs w:val="21"/>
              </w:rPr>
              <w:t>政策分</w:t>
            </w:r>
          </w:p>
        </w:tc>
        <w:tc>
          <w:tcPr>
            <w:tcW w:w="71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Ansi="宋体" w:cs="宋体"/>
                <w:bCs/>
                <w:color w:val="000000" w:themeColor="text1"/>
                <w:sz w:val="21"/>
                <w:szCs w:val="21"/>
              </w:rPr>
            </w:pPr>
            <w:r>
              <w:rPr>
                <w:rFonts w:hint="eastAsia" w:hAnsi="宋体" w:cs="宋体"/>
                <w:color w:val="000000" w:themeColor="text1"/>
                <w:sz w:val="21"/>
                <w:szCs w:val="21"/>
              </w:rPr>
              <w:t>投标人（或联合体一方）符合《政府采购货物和服务招标投标管理办法》第五条规定，属于“乡村振兴”“扶持不发达地区和少数民族地区等”政府采购政策落实对象的（注：“</w:t>
            </w:r>
            <w:r>
              <w:rPr>
                <w:rFonts w:hint="eastAsia" w:hAnsi="宋体" w:cs="宋体"/>
                <w:color w:val="000000" w:themeColor="text1"/>
                <w:sz w:val="21"/>
                <w:szCs w:val="21"/>
                <w:shd w:val="clear" w:color="auto" w:fill="FFFFFF"/>
              </w:rPr>
              <w:t>促进中小企业发展</w:t>
            </w:r>
            <w:r>
              <w:rPr>
                <w:rFonts w:hint="eastAsia" w:hAnsi="宋体" w:cs="宋体"/>
                <w:color w:val="000000" w:themeColor="text1"/>
                <w:sz w:val="21"/>
                <w:szCs w:val="21"/>
              </w:rPr>
              <w:t>”等政府采购政策评审时将在“价格分”中进行政策性价格扣除，此处不予以计分），提供相关证明材料和政策依据，每符合一项得1分，最高可得2分；未提供相关证明材料的不得分。（提供相关证明材料和政策依据）</w:t>
            </w:r>
          </w:p>
        </w:tc>
        <w:tc>
          <w:tcPr>
            <w:tcW w:w="7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15" w:type="dxa"/>
            <w:gridSpan w:val="3"/>
            <w:tcBorders>
              <w:left w:val="single" w:color="auto" w:sz="4" w:space="0"/>
              <w:right w:val="single" w:color="auto" w:sz="4" w:space="0"/>
            </w:tcBorders>
            <w:vAlign w:val="center"/>
          </w:tcPr>
          <w:p>
            <w:pPr>
              <w:spacing w:line="320" w:lineRule="exact"/>
              <w:rPr>
                <w:rFonts w:hAnsi="宋体" w:cs="宋体"/>
                <w:color w:val="000000" w:themeColor="text1"/>
                <w:sz w:val="21"/>
                <w:szCs w:val="21"/>
              </w:rPr>
            </w:pPr>
            <w:r>
              <w:rPr>
                <w:rFonts w:hint="eastAsia" w:hAnsi="宋体" w:cs="宋体"/>
                <w:color w:val="000000" w:themeColor="text1"/>
                <w:sz w:val="21"/>
                <w:szCs w:val="21"/>
              </w:rPr>
              <w:t xml:space="preserve">                                                                          合计：</w:t>
            </w:r>
          </w:p>
        </w:tc>
        <w:tc>
          <w:tcPr>
            <w:tcW w:w="7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Ansi="宋体" w:cs="宋体"/>
                <w:color w:val="000000" w:themeColor="text1"/>
                <w:sz w:val="21"/>
                <w:szCs w:val="21"/>
              </w:rPr>
            </w:pPr>
            <w:r>
              <w:rPr>
                <w:rFonts w:hint="eastAsia" w:hAnsi="宋体" w:cs="宋体"/>
                <w:color w:val="000000" w:themeColor="text1"/>
                <w:sz w:val="21"/>
                <w:szCs w:val="21"/>
              </w:rPr>
              <w:t>90</w:t>
            </w:r>
          </w:p>
        </w:tc>
      </w:tr>
    </w:tbl>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（三）技术商务分的计算</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技术商务分按照评标委员会成员的独立评分结果汇总数后的算术平均分计算，计算公式为：</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技术商务分=（评标委员会所有成员评分合计数）/（评标委员会组成人员数）</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（四）定标原则</w:t>
      </w:r>
    </w:p>
    <w:p>
      <w:pPr>
        <w:tabs>
          <w:tab w:val="left" w:pos="0"/>
        </w:tabs>
        <w:snapToGrid w:val="0"/>
        <w:spacing w:line="500" w:lineRule="exact"/>
        <w:ind w:firstLine="420" w:firstLineChars="200"/>
        <w:rPr>
          <w:rFonts w:hAnsi="宋体" w:cs="宋体"/>
          <w:bCs/>
          <w:color w:val="000000"/>
          <w:sz w:val="21"/>
          <w:szCs w:val="21"/>
        </w:rPr>
      </w:pPr>
      <w:r>
        <w:rPr>
          <w:rFonts w:hint="eastAsia" w:hAnsi="宋体" w:cs="宋体"/>
          <w:bCs/>
          <w:color w:val="000000"/>
          <w:sz w:val="21"/>
          <w:szCs w:val="21"/>
        </w:rPr>
        <w:t>1.严格按照招标文件规定“综合评分法，得分最高者中标”的原则定标，法律法规或国家政策另有规定的从其规定。</w:t>
      </w:r>
    </w:p>
    <w:p>
      <w:pPr>
        <w:tabs>
          <w:tab w:val="left" w:pos="0"/>
        </w:tabs>
        <w:snapToGrid w:val="0"/>
        <w:spacing w:line="500" w:lineRule="exact"/>
        <w:ind w:firstLine="420" w:firstLineChars="200"/>
        <w:rPr>
          <w:rFonts w:hAnsi="宋体" w:cs="宋体"/>
          <w:bCs/>
          <w:color w:val="000000"/>
          <w:sz w:val="21"/>
          <w:szCs w:val="21"/>
        </w:rPr>
      </w:pPr>
      <w:r>
        <w:rPr>
          <w:rFonts w:hint="eastAsia" w:hAnsi="宋体" w:cs="宋体"/>
          <w:bCs/>
          <w:color w:val="000000"/>
          <w:sz w:val="21"/>
          <w:szCs w:val="21"/>
        </w:rPr>
        <w:t>2.经预中标结果公示期满无异议，中标候选人即成为中标人。</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（五）保密及其它注意事项</w:t>
      </w:r>
    </w:p>
    <w:p>
      <w:pPr>
        <w:autoSpaceDE/>
        <w:autoSpaceDN/>
        <w:adjustRightInd/>
        <w:spacing w:line="500" w:lineRule="exact"/>
        <w:ind w:firstLine="420" w:firstLineChars="200"/>
        <w:jc w:val="both"/>
        <w:rPr>
          <w:rFonts w:hAnsi="宋体" w:cs="宋体"/>
          <w:b/>
          <w:color w:val="000000"/>
          <w:sz w:val="21"/>
          <w:szCs w:val="21"/>
        </w:rPr>
      </w:pPr>
      <w:r>
        <w:rPr>
          <w:rFonts w:hint="eastAsia" w:hAnsi="宋体" w:cs="宋体"/>
          <w:bCs/>
          <w:color w:val="000000"/>
          <w:sz w:val="21"/>
          <w:szCs w:val="21"/>
        </w:rPr>
        <w:t>1.评标是招标过程中的重要环节，评标工作在评委会成员内独立进行。评标委员会将遵照评标原则，公正、公平、客观地对待所有投标人。</w:t>
      </w:r>
    </w:p>
    <w:p>
      <w:pPr>
        <w:tabs>
          <w:tab w:val="left" w:pos="0"/>
        </w:tabs>
        <w:snapToGrid w:val="0"/>
        <w:spacing w:line="500" w:lineRule="exact"/>
        <w:ind w:firstLine="420" w:firstLineChars="200"/>
        <w:rPr>
          <w:rFonts w:hAnsi="宋体" w:cs="宋体"/>
          <w:bCs/>
          <w:color w:val="000000"/>
          <w:sz w:val="21"/>
          <w:szCs w:val="21"/>
        </w:rPr>
      </w:pPr>
      <w:r>
        <w:rPr>
          <w:rFonts w:hint="eastAsia" w:hAnsi="宋体" w:cs="宋体"/>
          <w:bCs/>
          <w:color w:val="000000"/>
          <w:sz w:val="21"/>
          <w:szCs w:val="21"/>
        </w:rPr>
        <w:t>2.在开标、评标期间，投标人不得向评委询问评标情况，不得进行旨在影响评标结果的活动。</w:t>
      </w:r>
    </w:p>
    <w:p>
      <w:pPr>
        <w:tabs>
          <w:tab w:val="left" w:pos="0"/>
        </w:tabs>
        <w:snapToGrid w:val="0"/>
        <w:spacing w:line="500" w:lineRule="exact"/>
        <w:ind w:firstLine="420" w:firstLineChars="200"/>
        <w:rPr>
          <w:rFonts w:hAnsi="宋体" w:cs="宋体"/>
          <w:b/>
          <w:color w:val="000000"/>
          <w:kern w:val="2"/>
          <w:sz w:val="21"/>
          <w:szCs w:val="21"/>
        </w:rPr>
      </w:pPr>
      <w:r>
        <w:rPr>
          <w:rFonts w:hint="eastAsia" w:hAnsi="宋体" w:cs="宋体"/>
          <w:bCs/>
          <w:color w:val="000000"/>
          <w:sz w:val="21"/>
          <w:szCs w:val="21"/>
        </w:rPr>
        <w:t>3.为保证定标的公正性，在评标过程中，评委不得与投标人私下交换意见。在招标工作结束后与评标工作有接触的任何人，不得将评标情况外泄。</w:t>
      </w:r>
    </w:p>
    <w:p>
      <w:pPr>
        <w:autoSpaceDE/>
        <w:autoSpaceDN/>
        <w:adjustRightInd/>
        <w:rPr>
          <w:rFonts w:hAnsi="宋体" w:cs="宋体"/>
          <w:b/>
          <w:color w:val="000000"/>
          <w:kern w:val="2"/>
          <w:sz w:val="28"/>
          <w:szCs w:val="28"/>
        </w:rPr>
      </w:pPr>
      <w:bookmarkStart w:id="47" w:name="_Toc351559945"/>
    </w:p>
    <w:p>
      <w:pPr>
        <w:autoSpaceDE/>
        <w:autoSpaceDN/>
        <w:adjustRightInd/>
        <w:rPr>
          <w:rFonts w:hAnsi="宋体" w:cs="宋体"/>
          <w:b/>
          <w:color w:val="000000"/>
          <w:kern w:val="2"/>
          <w:sz w:val="28"/>
          <w:szCs w:val="28"/>
        </w:rPr>
      </w:pPr>
      <w:r>
        <w:rPr>
          <w:rFonts w:hint="eastAsia" w:hAnsi="宋体" w:cs="宋体"/>
          <w:b/>
          <w:color w:val="000000"/>
          <w:kern w:val="2"/>
          <w:sz w:val="28"/>
          <w:szCs w:val="28"/>
        </w:rPr>
        <w:br w:type="page"/>
      </w:r>
    </w:p>
    <w:p>
      <w:pPr>
        <w:pStyle w:val="3"/>
        <w:spacing w:line="360" w:lineRule="auto"/>
        <w:jc w:val="center"/>
        <w:rPr>
          <w:rFonts w:ascii="宋体" w:hAnsi="宋体" w:cs="宋体"/>
          <w:color w:val="000000" w:themeColor="text1"/>
          <w:sz w:val="30"/>
          <w:szCs w:val="30"/>
        </w:rPr>
      </w:pPr>
      <w:r>
        <w:rPr>
          <w:rFonts w:hint="eastAsia" w:ascii="宋体" w:hAnsi="宋体" w:cs="宋体"/>
          <w:color w:val="000000" w:themeColor="text1"/>
          <w:sz w:val="30"/>
          <w:szCs w:val="30"/>
        </w:rPr>
        <w:t>第五章  合同文本</w:t>
      </w:r>
    </w:p>
    <w:p>
      <w:pPr>
        <w:tabs>
          <w:tab w:val="left" w:pos="0"/>
        </w:tabs>
        <w:snapToGrid w:val="0"/>
        <w:spacing w:line="500" w:lineRule="exact"/>
        <w:ind w:firstLine="420"/>
        <w:rPr>
          <w:rFonts w:hAnsi="宋体" w:cs="宋体"/>
          <w:bCs/>
          <w:color w:val="000000" w:themeColor="text1"/>
          <w:sz w:val="21"/>
          <w:szCs w:val="21"/>
        </w:rPr>
      </w:pPr>
      <w:r>
        <w:rPr>
          <w:rFonts w:hint="eastAsia" w:hAnsi="宋体" w:cs="宋体"/>
          <w:bCs/>
          <w:color w:val="000000" w:themeColor="text1"/>
          <w:sz w:val="21"/>
          <w:szCs w:val="21"/>
        </w:rPr>
        <w:t>甲方：</w:t>
      </w:r>
    </w:p>
    <w:p>
      <w:pPr>
        <w:tabs>
          <w:tab w:val="left" w:pos="0"/>
        </w:tabs>
        <w:snapToGrid w:val="0"/>
        <w:spacing w:line="500" w:lineRule="exact"/>
        <w:ind w:firstLine="420"/>
        <w:rPr>
          <w:rFonts w:hAnsi="宋体" w:cs="宋体"/>
          <w:bCs/>
          <w:color w:val="000000" w:themeColor="text1"/>
          <w:sz w:val="21"/>
          <w:szCs w:val="21"/>
        </w:rPr>
      </w:pPr>
      <w:r>
        <w:rPr>
          <w:rFonts w:hint="eastAsia" w:hAnsi="宋体" w:cs="宋体"/>
          <w:bCs/>
          <w:color w:val="000000" w:themeColor="text1"/>
          <w:sz w:val="21"/>
          <w:szCs w:val="21"/>
        </w:rPr>
        <w:t>乙方：</w:t>
      </w:r>
    </w:p>
    <w:p>
      <w:pPr>
        <w:tabs>
          <w:tab w:val="left" w:pos="0"/>
        </w:tabs>
        <w:snapToGrid w:val="0"/>
        <w:spacing w:line="500" w:lineRule="exact"/>
        <w:ind w:firstLine="420"/>
        <w:rPr>
          <w:rFonts w:hAnsi="宋体" w:cs="宋体"/>
          <w:bCs/>
          <w:color w:val="000000" w:themeColor="text1"/>
          <w:sz w:val="21"/>
          <w:szCs w:val="21"/>
        </w:rPr>
      </w:pPr>
      <w:r>
        <w:rPr>
          <w:rFonts w:hint="eastAsia" w:hAnsi="宋体" w:cs="宋体"/>
          <w:bCs/>
          <w:color w:val="000000" w:themeColor="text1"/>
          <w:sz w:val="21"/>
          <w:szCs w:val="21"/>
        </w:rPr>
        <w:t>甲、乙双方根据</w:t>
      </w:r>
      <w:r>
        <w:rPr>
          <w:rFonts w:hint="eastAsia" w:hAnsi="宋体" w:cs="宋体"/>
          <w:bCs/>
          <w:color w:val="000000" w:themeColor="text1"/>
          <w:sz w:val="21"/>
          <w:szCs w:val="21"/>
          <w:u w:val="single"/>
        </w:rPr>
        <w:t xml:space="preserve">  《金华市区中心城区婺城片区（乡镇级）国土空间总体规划》《金华市区中心城区金东片区（乡镇级）国土空间总体规划》</w:t>
      </w:r>
      <w:r>
        <w:rPr>
          <w:rFonts w:hint="eastAsia" w:hAnsi="宋体" w:cs="宋体"/>
          <w:bCs/>
          <w:color w:val="000000" w:themeColor="text1"/>
          <w:sz w:val="21"/>
          <w:szCs w:val="21"/>
        </w:rPr>
        <w:t>项目</w:t>
      </w:r>
      <w:r>
        <w:rPr>
          <w:rFonts w:hint="eastAsia" w:hAnsi="宋体" w:cs="宋体"/>
          <w:bCs/>
          <w:color w:val="000000" w:themeColor="text1"/>
          <w:sz w:val="21"/>
          <w:szCs w:val="21"/>
          <w:u w:val="single"/>
        </w:rPr>
        <w:t xml:space="preserve">                 </w:t>
      </w:r>
      <w:r>
        <w:rPr>
          <w:rFonts w:hint="eastAsia" w:hAnsi="宋体" w:cs="宋体"/>
          <w:bCs/>
          <w:color w:val="000000" w:themeColor="text1"/>
          <w:sz w:val="21"/>
          <w:szCs w:val="21"/>
        </w:rPr>
        <w:t>采购内容</w:t>
      </w:r>
      <w:r>
        <w:rPr>
          <w:rFonts w:hint="eastAsia" w:hAnsi="宋体" w:cs="宋体"/>
          <w:bCs/>
          <w:color w:val="000000" w:themeColor="text1"/>
          <w:sz w:val="21"/>
          <w:szCs w:val="21"/>
          <w:u w:val="single"/>
        </w:rPr>
        <w:t xml:space="preserve">       </w:t>
      </w:r>
      <w:r>
        <w:rPr>
          <w:rFonts w:hint="eastAsia" w:hAnsi="宋体" w:cs="宋体"/>
          <w:bCs/>
          <w:color w:val="000000" w:themeColor="text1"/>
          <w:sz w:val="21"/>
          <w:szCs w:val="21"/>
        </w:rPr>
        <w:t>（项目编号：TY2023-FW</w:t>
      </w:r>
      <w:r>
        <w:rPr>
          <w:rFonts w:hint="eastAsia" w:hAnsi="宋体" w:cs="宋体"/>
          <w:bCs/>
          <w:color w:val="000000" w:themeColor="text1"/>
          <w:sz w:val="21"/>
          <w:szCs w:val="21"/>
          <w:lang w:val="en-US" w:eastAsia="zh-CN"/>
        </w:rPr>
        <w:t>325</w:t>
      </w:r>
      <w:r>
        <w:rPr>
          <w:rFonts w:hint="eastAsia" w:hAnsi="宋体" w:cs="宋体"/>
          <w:bCs/>
          <w:color w:val="000000" w:themeColor="text1"/>
          <w:sz w:val="21"/>
          <w:szCs w:val="21"/>
        </w:rPr>
        <w:t>-ZFCG</w:t>
      </w:r>
      <w:r>
        <w:rPr>
          <w:rFonts w:hint="eastAsia" w:hAnsi="宋体" w:cs="宋体"/>
          <w:bCs/>
          <w:color w:val="000000" w:themeColor="text1"/>
          <w:sz w:val="21"/>
          <w:szCs w:val="21"/>
          <w:lang w:val="en-US" w:eastAsia="zh-CN"/>
        </w:rPr>
        <w:t>325</w:t>
      </w:r>
      <w:r>
        <w:rPr>
          <w:rFonts w:hint="eastAsia" w:hAnsi="宋体" w:cs="宋体"/>
          <w:bCs/>
          <w:color w:val="000000" w:themeColor="text1"/>
          <w:sz w:val="21"/>
          <w:szCs w:val="21"/>
        </w:rPr>
        <w:t>）公开招标采购的结果，签署本合同。</w:t>
      </w:r>
    </w:p>
    <w:p>
      <w:pPr>
        <w:pStyle w:val="2"/>
        <w:spacing w:before="0" w:after="0" w:line="500" w:lineRule="exact"/>
        <w:ind w:firstLine="422" w:firstLineChars="200"/>
        <w:jc w:val="both"/>
        <w:rPr>
          <w:rFonts w:ascii="宋体" w:hAnsi="宋体" w:eastAsia="宋体" w:cs="宋体"/>
          <w:color w:val="000000" w:themeColor="text1"/>
          <w:sz w:val="21"/>
          <w:szCs w:val="21"/>
        </w:rPr>
      </w:pPr>
      <w:r>
        <w:rPr>
          <w:rFonts w:hAnsi="宋体"/>
          <w:color w:val="000000" w:themeColor="text1"/>
          <w:sz w:val="21"/>
          <w:szCs w:val="21"/>
        </w:rPr>
        <w:t>一、</w:t>
      </w:r>
      <w:r>
        <w:rPr>
          <w:rFonts w:hint="eastAsia" w:hAnsi="宋体"/>
          <w:color w:val="000000" w:themeColor="text1"/>
          <w:sz w:val="21"/>
          <w:szCs w:val="21"/>
        </w:rPr>
        <w:t>规划</w:t>
      </w:r>
      <w:r>
        <w:rPr>
          <w:rFonts w:hAnsi="宋体"/>
          <w:color w:val="000000" w:themeColor="text1"/>
          <w:sz w:val="21"/>
          <w:szCs w:val="21"/>
        </w:rPr>
        <w:t>内容</w:t>
      </w:r>
      <w:r>
        <w:rPr>
          <w:rFonts w:hint="eastAsia" w:hAnsi="宋体"/>
          <w:color w:val="000000" w:themeColor="text1"/>
          <w:sz w:val="21"/>
          <w:szCs w:val="21"/>
        </w:rPr>
        <w:t>：</w:t>
      </w:r>
      <w:r>
        <w:rPr>
          <w:rFonts w:hint="eastAsia" w:ascii="宋体" w:hAnsi="宋体" w:eastAsia="宋体" w:cs="宋体"/>
          <w:color w:val="000000" w:themeColor="text1"/>
          <w:sz w:val="21"/>
          <w:szCs w:val="21"/>
        </w:rPr>
        <w:t>规划内容</w:t>
      </w:r>
    </w:p>
    <w:p>
      <w:pPr>
        <w:spacing w:line="500" w:lineRule="exact"/>
        <w:ind w:firstLine="420" w:firstLineChars="200"/>
        <w:jc w:val="both"/>
        <w:rPr>
          <w:rFonts w:hAnsi="宋体"/>
          <w:color w:val="000000"/>
          <w:sz w:val="21"/>
          <w:szCs w:val="21"/>
        </w:rPr>
      </w:pPr>
      <w:r>
        <w:rPr>
          <w:rFonts w:hint="eastAsia" w:hAnsi="宋体"/>
          <w:color w:val="000000"/>
          <w:sz w:val="21"/>
          <w:szCs w:val="21"/>
        </w:rPr>
        <w:t>根据《浙江省乡镇级国土空间总体规划编制技术要点》,</w:t>
      </w:r>
      <w:r>
        <w:rPr>
          <w:rFonts w:hAnsi="宋体"/>
          <w:color w:val="000000"/>
          <w:sz w:val="21"/>
          <w:szCs w:val="21"/>
        </w:rPr>
        <w:t>乡镇</w:t>
      </w:r>
      <w:r>
        <w:rPr>
          <w:rFonts w:hint="eastAsia" w:hAnsi="宋体"/>
          <w:color w:val="000000"/>
          <w:sz w:val="21"/>
          <w:szCs w:val="21"/>
        </w:rPr>
        <w:t>级国土空间规划应“深化布局，完善功能；细化边界，管控落地；注重实操，突出近期</w:t>
      </w:r>
      <w:r>
        <w:rPr>
          <w:rFonts w:hAnsi="宋体"/>
          <w:color w:val="000000"/>
          <w:sz w:val="21"/>
          <w:szCs w:val="21"/>
        </w:rPr>
        <w:t>”</w:t>
      </w:r>
      <w:r>
        <w:rPr>
          <w:rFonts w:hint="eastAsia" w:hAnsi="宋体"/>
          <w:color w:val="000000"/>
          <w:sz w:val="21"/>
          <w:szCs w:val="21"/>
        </w:rPr>
        <w:t>的总体原则和要求，落实完善市县级国土空间总体规划。规划的核心内容包含目标定位、空间控制线、用地布局规划、用途分区规划、用途分类规划、历史文化保护、自然资源保护利用、国土综合整治与修复、国土空间格局安全与保障、重大项目和工程、详细规划编制引导、规划实施保障等十二个方面。主要包括以下内容：</w:t>
      </w:r>
    </w:p>
    <w:p>
      <w:pPr>
        <w:spacing w:line="500" w:lineRule="exact"/>
        <w:ind w:firstLine="420" w:firstLineChars="200"/>
        <w:jc w:val="both"/>
        <w:rPr>
          <w:rFonts w:hAnsi="宋体"/>
          <w:color w:val="000000"/>
          <w:sz w:val="21"/>
          <w:szCs w:val="21"/>
        </w:rPr>
      </w:pPr>
      <w:r>
        <w:rPr>
          <w:rFonts w:hint="eastAsia" w:hAnsi="宋体"/>
          <w:color w:val="000000"/>
          <w:sz w:val="21"/>
          <w:szCs w:val="21"/>
        </w:rPr>
        <w:t>1.整体谋划长远发展战略。以市区国土空间总体规划为基础，替代传统分区规划的作用，以婺城、金义新区行政管辖范围为界，针对自身特点和资源禀赋，研判发展的重点、方向，体现片区发展诉求，按照“目标-指标-策略-机制”的思路，将片区战略要求进行深化落地。</w:t>
      </w:r>
    </w:p>
    <w:p>
      <w:pPr>
        <w:spacing w:line="500" w:lineRule="exact"/>
        <w:ind w:firstLine="420" w:firstLineChars="200"/>
        <w:jc w:val="both"/>
        <w:rPr>
          <w:rFonts w:hAnsi="宋体"/>
          <w:color w:val="000000"/>
          <w:sz w:val="21"/>
          <w:szCs w:val="21"/>
        </w:rPr>
      </w:pPr>
      <w:r>
        <w:rPr>
          <w:rFonts w:hint="eastAsia" w:hAnsi="宋体"/>
          <w:color w:val="000000"/>
          <w:sz w:val="21"/>
          <w:szCs w:val="21"/>
        </w:rPr>
        <w:t>2.以问题为导向，明确存量时期中心城区空间布局优化方向和实现路径。重点包括对农用地、生态用地、建设用地的布局。农用地方面，将上级规划下达的耕地和永久基本农田保护任务落实到图斑地块，细化落实上位规划下达的耕地集中连片整治任务；落实永久基本农田储备区的规模和布局。进一步明确林地、湿地以及陆地水域的空间布局。生态用地方面，明确保留、新增、减少林地的规模布局，落实森林覆盖率指标要求；明确保留、新增、减少湿地和陆地水域的规模布局，落实上位规划湿地面积指标要求，明确重要水域、河道、重要湿地的名称、位置、类型、范围、面积。建设用地方面，明确规划期内乡镇（片区）建设用地布局，重点明确公共服务设施、市政公用设施等用地布局、规模，规划深度原则上到二级地类，对于涉及约束性指标的用地应细化至三级地类。研究市级国土空间总体规划中留白用地的功能用途导向，形成对详细规划的引导。</w:t>
      </w:r>
    </w:p>
    <w:p>
      <w:pPr>
        <w:spacing w:line="500" w:lineRule="exact"/>
        <w:ind w:firstLine="420" w:firstLineChars="200"/>
        <w:jc w:val="both"/>
        <w:rPr>
          <w:rFonts w:hAnsi="宋体"/>
          <w:color w:val="000000"/>
          <w:sz w:val="21"/>
          <w:szCs w:val="21"/>
        </w:rPr>
      </w:pPr>
      <w:r>
        <w:rPr>
          <w:rFonts w:hint="eastAsia" w:hAnsi="宋体"/>
          <w:color w:val="000000"/>
          <w:sz w:val="21"/>
          <w:szCs w:val="21"/>
        </w:rPr>
        <w:t>3.进一步深化、细化用途分区、用途分类规划。</w:t>
      </w:r>
      <w:r>
        <w:rPr>
          <w:rFonts w:hAnsi="宋体"/>
          <w:color w:val="000000"/>
          <w:sz w:val="21"/>
          <w:szCs w:val="21"/>
        </w:rPr>
        <w:t>依据《浙江省国土空间规划分区分类指南（修订试行）》，结合乡镇（片区）空间发展策略，细化落实上位国土空间总体规划划定的规划用途分区至二级用途分区，明确范围边界和面积。</w:t>
      </w:r>
      <w:r>
        <w:rPr>
          <w:rFonts w:hint="eastAsia" w:hAnsi="宋体"/>
          <w:color w:val="000000"/>
          <w:sz w:val="21"/>
          <w:szCs w:val="21"/>
        </w:rPr>
        <w:t>重点应将城镇发展区、乡村发展区细分至二级用途分区，乡村发展区应结合用地布局方案，细化村庄建设区、一般农业区、农田整备区、林业发展区等二级分区。用途分类规划应重点划定新增生态修复空间、整备区新增耕地、新增建设用地、农村集体经营性建设用地等内容。</w:t>
      </w:r>
    </w:p>
    <w:p>
      <w:pPr>
        <w:spacing w:line="500" w:lineRule="exact"/>
        <w:ind w:firstLine="420" w:firstLineChars="200"/>
        <w:jc w:val="both"/>
        <w:rPr>
          <w:rFonts w:hAnsi="宋体"/>
          <w:color w:val="000000"/>
          <w:sz w:val="21"/>
          <w:szCs w:val="21"/>
        </w:rPr>
      </w:pPr>
      <w:r>
        <w:rPr>
          <w:rFonts w:hint="eastAsia" w:hAnsi="宋体"/>
          <w:color w:val="000000"/>
          <w:sz w:val="21"/>
          <w:szCs w:val="21"/>
        </w:rPr>
        <w:t>4.统筹衔接重大专项，落实、深化空间控制线，保障安全与底线。落实上位总体规划，衔接历史文化保护、河道蓝线、绿地系统等专项规划，在市级国土空间规划的基础上，传导落实三线与历史文化保护线，落实重点的黄线、橙线、绿线、蓝线等，划定村庄建设控制线，明确主次干路的道路红线。衔接消防规划、防洪排涝规划、抗震防灾规划等防灾减灾专项规划，</w:t>
      </w:r>
      <w:r>
        <w:rPr>
          <w:rFonts w:hAnsi="宋体"/>
          <w:color w:val="000000"/>
          <w:sz w:val="21"/>
          <w:szCs w:val="21"/>
        </w:rPr>
        <w:t>提出防洪潮、抗震、消防、人防、防疫、防台风等主要灾害防治的标准、措施以及设施布点要求。提出乡镇（片区）对于突发重大公共安全事件的应对措施。</w:t>
      </w:r>
    </w:p>
    <w:p>
      <w:pPr>
        <w:spacing w:line="500" w:lineRule="exact"/>
        <w:ind w:firstLine="420" w:firstLineChars="200"/>
        <w:jc w:val="both"/>
        <w:rPr>
          <w:rFonts w:hAnsi="宋体"/>
          <w:color w:val="000000" w:themeColor="text1"/>
          <w:sz w:val="21"/>
          <w:szCs w:val="21"/>
        </w:rPr>
      </w:pPr>
      <w:r>
        <w:rPr>
          <w:rFonts w:hint="eastAsia" w:hAnsi="宋体"/>
          <w:color w:val="000000"/>
          <w:sz w:val="21"/>
          <w:szCs w:val="21"/>
        </w:rPr>
        <w:t>5.衔接近期发展建设任务，保障近期重大项目。</w:t>
      </w:r>
      <w:r>
        <w:rPr>
          <w:rFonts w:hAnsi="宋体"/>
          <w:color w:val="000000"/>
          <w:sz w:val="21"/>
          <w:szCs w:val="21"/>
        </w:rPr>
        <w:t>落实上位规划明确的重大项目和工程，</w:t>
      </w:r>
      <w:r>
        <w:rPr>
          <w:rFonts w:hint="eastAsia" w:hAnsi="宋体"/>
          <w:color w:val="000000"/>
          <w:sz w:val="21"/>
          <w:szCs w:val="21"/>
        </w:rPr>
        <w:t>进一步衔接、梳理</w:t>
      </w:r>
      <w:r>
        <w:rPr>
          <w:rFonts w:hAnsi="宋体"/>
          <w:color w:val="000000"/>
          <w:sz w:val="21"/>
          <w:szCs w:val="21"/>
        </w:rPr>
        <w:t>本</w:t>
      </w:r>
      <w:r>
        <w:rPr>
          <w:rFonts w:hint="eastAsia" w:hAnsi="宋体"/>
          <w:color w:val="000000"/>
          <w:sz w:val="21"/>
          <w:szCs w:val="21"/>
        </w:rPr>
        <w:t>片区</w:t>
      </w:r>
      <w:r>
        <w:rPr>
          <w:rFonts w:hAnsi="宋体"/>
          <w:color w:val="000000"/>
          <w:sz w:val="21"/>
          <w:szCs w:val="21"/>
        </w:rPr>
        <w:t>的重大项目和工程清单，</w:t>
      </w:r>
      <w:r>
        <w:rPr>
          <w:rFonts w:hint="eastAsia" w:hAnsi="宋体"/>
          <w:color w:val="000000"/>
          <w:sz w:val="21"/>
          <w:szCs w:val="21"/>
        </w:rPr>
        <w:t>明确城镇开发边界内、外</w:t>
      </w:r>
      <w:r>
        <w:rPr>
          <w:rFonts w:hint="eastAsia" w:hAnsi="宋体"/>
          <w:color w:val="000000" w:themeColor="text1"/>
          <w:sz w:val="21"/>
          <w:szCs w:val="21"/>
        </w:rPr>
        <w:t>的项目名称、类型、等级等。</w:t>
      </w:r>
    </w:p>
    <w:p>
      <w:pPr>
        <w:spacing w:line="500" w:lineRule="exact"/>
        <w:ind w:firstLine="420" w:firstLineChars="200"/>
        <w:jc w:val="both"/>
        <w:rPr>
          <w:rFonts w:hAnsi="宋体"/>
          <w:color w:val="000000" w:themeColor="text1"/>
          <w:sz w:val="21"/>
          <w:szCs w:val="21"/>
        </w:rPr>
      </w:pPr>
      <w:r>
        <w:rPr>
          <w:rFonts w:hint="eastAsia" w:hAnsi="宋体"/>
          <w:color w:val="000000" w:themeColor="text1"/>
          <w:sz w:val="21"/>
          <w:szCs w:val="21"/>
        </w:rPr>
        <w:t>6.形成对详细规划编制单元指引。乡镇级国土空间总体规划应划分详细规划编制单元，包括城镇单元、村庄单元和特定功能单元，并明确向下位规划的传导内容。参照《浙江省详细规划编制单元划分技术导则（试行）》，明确各详规编制单元的边界、类型、编码、约束性指标、空间控制线、公共服务设施和市政基础设施等。</w:t>
      </w:r>
    </w:p>
    <w:p>
      <w:pPr>
        <w:pStyle w:val="2"/>
        <w:spacing w:before="0" w:after="0" w:line="500" w:lineRule="exact"/>
        <w:ind w:firstLine="420" w:firstLineChars="200"/>
        <w:jc w:val="both"/>
        <w:rPr>
          <w:rFonts w:ascii="宋体" w:hAnsi="宋体" w:eastAsia="宋体" w:cs="宋体"/>
          <w:b w:val="0"/>
          <w:bCs w:val="0"/>
          <w:color w:val="000000" w:themeColor="text1"/>
          <w:sz w:val="21"/>
          <w:szCs w:val="21"/>
        </w:rPr>
      </w:pPr>
      <w:r>
        <w:rPr>
          <w:rFonts w:hint="eastAsia" w:ascii="宋体" w:hAnsi="宋体" w:eastAsia="宋体" w:cs="宋体"/>
          <w:b w:val="0"/>
          <w:bCs w:val="0"/>
          <w:color w:val="000000" w:themeColor="text1"/>
          <w:sz w:val="21"/>
          <w:szCs w:val="21"/>
        </w:rPr>
        <w:t>7.其它在规划编制期间，涉及到规划审查报批最新要求需开展的相关工作（双方协商）。</w:t>
      </w:r>
    </w:p>
    <w:p>
      <w:pPr>
        <w:autoSpaceDE/>
        <w:autoSpaceDN/>
        <w:adjustRightInd/>
        <w:spacing w:line="460" w:lineRule="exact"/>
        <w:ind w:firstLine="420" w:firstLineChars="200"/>
        <w:jc w:val="both"/>
        <w:rPr>
          <w:rFonts w:hAnsi="宋体"/>
          <w:color w:val="000000" w:themeColor="text1"/>
          <w:sz w:val="21"/>
          <w:szCs w:val="21"/>
        </w:rPr>
      </w:pPr>
      <w:r>
        <w:rPr>
          <w:rFonts w:hAnsi="宋体"/>
          <w:color w:val="000000" w:themeColor="text1"/>
          <w:sz w:val="21"/>
          <w:szCs w:val="21"/>
        </w:rPr>
        <w:t>二、合同金额</w:t>
      </w:r>
    </w:p>
    <w:p>
      <w:pPr>
        <w:autoSpaceDE/>
        <w:autoSpaceDN/>
        <w:adjustRightInd/>
        <w:spacing w:line="460" w:lineRule="exact"/>
        <w:jc w:val="both"/>
        <w:rPr>
          <w:rFonts w:hAnsi="宋体"/>
          <w:color w:val="000000"/>
          <w:sz w:val="21"/>
          <w:szCs w:val="21"/>
        </w:rPr>
      </w:pPr>
      <w:r>
        <w:rPr>
          <w:rFonts w:hAnsi="宋体"/>
          <w:color w:val="000000"/>
          <w:sz w:val="21"/>
          <w:szCs w:val="21"/>
        </w:rPr>
        <w:t xml:space="preserve"> </w:t>
      </w:r>
      <w:r>
        <w:rPr>
          <w:rFonts w:hint="eastAsia" w:hAnsi="宋体"/>
          <w:color w:val="000000"/>
          <w:sz w:val="21"/>
          <w:szCs w:val="21"/>
        </w:rPr>
        <w:t xml:space="preserve">   </w:t>
      </w:r>
      <w:r>
        <w:rPr>
          <w:rFonts w:hAnsi="宋体"/>
          <w:color w:val="000000"/>
          <w:sz w:val="21"/>
          <w:szCs w:val="21"/>
        </w:rPr>
        <w:t>本合同金额为（大写）：____________________________________元（￥_______________元）人民币。</w:t>
      </w:r>
    </w:p>
    <w:p>
      <w:pPr>
        <w:numPr>
          <w:ilvl w:val="0"/>
          <w:numId w:val="4"/>
        </w:numPr>
        <w:autoSpaceDE/>
        <w:autoSpaceDN/>
        <w:adjustRightInd/>
        <w:spacing w:line="460" w:lineRule="exact"/>
        <w:ind w:firstLine="420" w:firstLineChars="200"/>
        <w:jc w:val="both"/>
        <w:rPr>
          <w:rFonts w:hAnsi="宋体"/>
          <w:color w:val="000000"/>
          <w:sz w:val="21"/>
          <w:szCs w:val="21"/>
        </w:rPr>
      </w:pPr>
      <w:r>
        <w:rPr>
          <w:rFonts w:hint="eastAsia" w:hAnsi="宋体" w:cs="宋体"/>
          <w:color w:val="000000"/>
          <w:sz w:val="21"/>
          <w:szCs w:val="21"/>
        </w:rPr>
        <w:t>本次采购服务期限为：</w:t>
      </w:r>
      <w:r>
        <w:rPr>
          <w:rFonts w:hint="eastAsia" w:hAnsi="宋体" w:cs="宋体"/>
          <w:color w:val="000000"/>
          <w:sz w:val="21"/>
        </w:rPr>
        <w:t>自合同签订之日-2024年12月31日</w:t>
      </w:r>
      <w:r>
        <w:rPr>
          <w:rFonts w:hint="eastAsia" w:hAnsi="宋体"/>
          <w:color w:val="000000"/>
          <w:sz w:val="21"/>
          <w:szCs w:val="21"/>
        </w:rPr>
        <w:t>。</w:t>
      </w:r>
    </w:p>
    <w:p>
      <w:pPr>
        <w:pStyle w:val="2"/>
        <w:spacing w:before="0" w:after="0" w:line="500" w:lineRule="exact"/>
        <w:ind w:firstLine="420" w:firstLineChars="200"/>
        <w:jc w:val="both"/>
        <w:rPr>
          <w:rFonts w:ascii="宋体" w:hAnsi="宋体" w:eastAsia="宋体" w:cs="宋体"/>
          <w:b w:val="0"/>
          <w:bCs w:val="0"/>
          <w:color w:val="000000"/>
          <w:kern w:val="44"/>
          <w:sz w:val="21"/>
          <w:szCs w:val="21"/>
        </w:rPr>
      </w:pPr>
      <w:r>
        <w:rPr>
          <w:rFonts w:hint="eastAsia" w:ascii="宋体" w:hAnsi="宋体" w:eastAsia="宋体" w:cs="宋体"/>
          <w:b w:val="0"/>
          <w:bCs w:val="0"/>
          <w:color w:val="000000"/>
          <w:sz w:val="21"/>
          <w:szCs w:val="21"/>
        </w:rPr>
        <w:t>四、规划要求</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1、时间要求</w:t>
      </w:r>
    </w:p>
    <w:p>
      <w:pPr>
        <w:spacing w:line="500" w:lineRule="exact"/>
        <w:ind w:firstLine="420" w:firstLineChars="200"/>
        <w:jc w:val="both"/>
        <w:rPr>
          <w:rFonts w:hAnsi="宋体" w:cs="宋体"/>
          <w:sz w:val="21"/>
          <w:szCs w:val="21"/>
        </w:rPr>
      </w:pPr>
      <w:r>
        <w:rPr>
          <w:rFonts w:hint="eastAsia" w:hAnsi="宋体" w:cs="宋体"/>
          <w:sz w:val="21"/>
          <w:szCs w:val="21"/>
        </w:rPr>
        <w:t>合同签订生效后12个月内完成。</w:t>
      </w:r>
    </w:p>
    <w:p>
      <w:pPr>
        <w:numPr>
          <w:ilvl w:val="0"/>
          <w:numId w:val="2"/>
        </w:numPr>
        <w:spacing w:line="500" w:lineRule="exact"/>
        <w:ind w:firstLine="420" w:firstLineChars="200"/>
        <w:jc w:val="both"/>
        <w:rPr>
          <w:rFonts w:hAnsi="宋体" w:cs="宋体"/>
          <w:color w:val="000000"/>
          <w:sz w:val="21"/>
          <w:szCs w:val="21"/>
        </w:rPr>
      </w:pPr>
      <w:r>
        <w:rPr>
          <w:rFonts w:hint="eastAsia" w:hAnsi="宋体" w:cs="宋体"/>
          <w:color w:val="000000"/>
          <w:sz w:val="21"/>
          <w:szCs w:val="21"/>
        </w:rPr>
        <w:t>进度安排</w:t>
      </w:r>
    </w:p>
    <w:p>
      <w:pPr>
        <w:spacing w:line="500" w:lineRule="exact"/>
        <w:ind w:firstLine="420" w:firstLineChars="200"/>
        <w:jc w:val="both"/>
        <w:rPr>
          <w:rFonts w:hAnsi="宋体"/>
          <w:color w:val="000000"/>
          <w:sz w:val="21"/>
          <w:szCs w:val="21"/>
        </w:rPr>
      </w:pPr>
      <w:r>
        <w:rPr>
          <w:rFonts w:hint="eastAsia" w:hAnsi="宋体"/>
          <w:color w:val="000000"/>
          <w:sz w:val="21"/>
          <w:szCs w:val="21"/>
        </w:rPr>
        <w:t>进度安排按省厅要求进行动态调整，初步计划如下：</w:t>
      </w:r>
    </w:p>
    <w:p>
      <w:pPr>
        <w:spacing w:line="500" w:lineRule="exact"/>
        <w:ind w:firstLine="420" w:firstLineChars="200"/>
        <w:jc w:val="both"/>
        <w:rPr>
          <w:rFonts w:hAnsi="宋体"/>
          <w:color w:val="000000"/>
          <w:sz w:val="21"/>
          <w:szCs w:val="21"/>
        </w:rPr>
      </w:pPr>
      <w:r>
        <w:rPr>
          <w:rFonts w:hint="eastAsia" w:hAnsi="宋体"/>
          <w:color w:val="000000"/>
          <w:sz w:val="21"/>
          <w:szCs w:val="21"/>
        </w:rPr>
        <w:t>（1）前期筹备（1个月）</w:t>
      </w:r>
    </w:p>
    <w:p>
      <w:pPr>
        <w:spacing w:line="500" w:lineRule="exact"/>
        <w:ind w:firstLine="420" w:firstLineChars="200"/>
        <w:jc w:val="both"/>
        <w:rPr>
          <w:rFonts w:hAnsi="宋体"/>
          <w:color w:val="000000"/>
          <w:sz w:val="21"/>
          <w:szCs w:val="21"/>
        </w:rPr>
      </w:pPr>
      <w:r>
        <w:rPr>
          <w:rFonts w:hint="eastAsia" w:hAnsi="宋体"/>
          <w:color w:val="000000"/>
          <w:sz w:val="21"/>
          <w:szCs w:val="21"/>
        </w:rPr>
        <w:t>招投标工作，开展前期调研、资料收集等工作，对现状资料、已有规划进行分析整理开展前期研究，形成初步方案。</w:t>
      </w:r>
    </w:p>
    <w:p>
      <w:pPr>
        <w:spacing w:line="500" w:lineRule="exact"/>
        <w:ind w:firstLine="420" w:firstLineChars="200"/>
        <w:jc w:val="both"/>
        <w:rPr>
          <w:rFonts w:hAnsi="宋体"/>
          <w:color w:val="000000"/>
          <w:sz w:val="21"/>
          <w:szCs w:val="21"/>
        </w:rPr>
      </w:pPr>
      <w:r>
        <w:rPr>
          <w:rFonts w:hint="eastAsia" w:hAnsi="宋体"/>
          <w:color w:val="000000"/>
          <w:sz w:val="21"/>
          <w:szCs w:val="21"/>
        </w:rPr>
        <w:t>（2）方案编制（2个月）</w:t>
      </w:r>
    </w:p>
    <w:p>
      <w:pPr>
        <w:spacing w:line="500" w:lineRule="exact"/>
        <w:ind w:firstLine="420" w:firstLineChars="200"/>
        <w:jc w:val="both"/>
        <w:rPr>
          <w:rFonts w:hAnsi="宋体"/>
          <w:color w:val="000000"/>
          <w:sz w:val="21"/>
          <w:szCs w:val="21"/>
        </w:rPr>
      </w:pPr>
      <w:r>
        <w:rPr>
          <w:rFonts w:hint="eastAsia" w:hAnsi="宋体"/>
          <w:color w:val="000000"/>
          <w:sz w:val="21"/>
          <w:szCs w:val="21"/>
        </w:rPr>
        <w:t>修改完善初步方案，形成中期方案，通过金华市自然资源和规划局牵头组织的内部审查。</w:t>
      </w:r>
    </w:p>
    <w:p>
      <w:pPr>
        <w:spacing w:line="500" w:lineRule="exact"/>
        <w:ind w:firstLine="420" w:firstLineChars="200"/>
        <w:jc w:val="both"/>
        <w:rPr>
          <w:rFonts w:hAnsi="宋体"/>
          <w:color w:val="000000"/>
          <w:sz w:val="21"/>
          <w:szCs w:val="21"/>
        </w:rPr>
      </w:pPr>
      <w:r>
        <w:rPr>
          <w:rFonts w:hint="eastAsia" w:hAnsi="宋体"/>
          <w:color w:val="000000"/>
          <w:sz w:val="21"/>
          <w:szCs w:val="21"/>
        </w:rPr>
        <w:t>（3）方案评审（1个月）</w:t>
      </w:r>
    </w:p>
    <w:p>
      <w:pPr>
        <w:spacing w:line="500" w:lineRule="exact"/>
        <w:ind w:firstLine="420" w:firstLineChars="200"/>
        <w:jc w:val="both"/>
        <w:rPr>
          <w:rFonts w:hAnsi="宋体"/>
          <w:color w:val="000000"/>
          <w:sz w:val="21"/>
          <w:szCs w:val="21"/>
        </w:rPr>
      </w:pPr>
      <w:r>
        <w:rPr>
          <w:rFonts w:hint="eastAsia" w:hAnsi="宋体"/>
          <w:color w:val="000000"/>
          <w:sz w:val="21"/>
          <w:szCs w:val="21"/>
        </w:rPr>
        <w:t>对中期成果进行修改优化，并通过评审会。</w:t>
      </w:r>
    </w:p>
    <w:p>
      <w:pPr>
        <w:spacing w:line="500" w:lineRule="exact"/>
        <w:ind w:firstLine="420" w:firstLineChars="200"/>
        <w:jc w:val="both"/>
        <w:rPr>
          <w:rFonts w:hAnsi="宋体"/>
          <w:color w:val="000000"/>
          <w:sz w:val="21"/>
          <w:szCs w:val="21"/>
        </w:rPr>
      </w:pPr>
      <w:r>
        <w:rPr>
          <w:rFonts w:hint="eastAsia" w:hAnsi="宋体"/>
          <w:color w:val="000000"/>
          <w:sz w:val="21"/>
          <w:szCs w:val="21"/>
        </w:rPr>
        <w:t>（4）成果论证、听证、公示（2个月）</w:t>
      </w:r>
    </w:p>
    <w:p>
      <w:pPr>
        <w:spacing w:line="500" w:lineRule="exact"/>
        <w:ind w:firstLine="420" w:firstLineChars="200"/>
        <w:jc w:val="both"/>
        <w:rPr>
          <w:rFonts w:hAnsi="宋体"/>
          <w:color w:val="000000"/>
          <w:sz w:val="21"/>
          <w:szCs w:val="21"/>
        </w:rPr>
      </w:pPr>
      <w:r>
        <w:rPr>
          <w:rFonts w:hint="eastAsia" w:hAnsi="宋体"/>
          <w:color w:val="000000"/>
          <w:sz w:val="21"/>
          <w:szCs w:val="21"/>
        </w:rPr>
        <w:t>方案修改成熟后，有序开展规划方案的成果论证、听证、公示等环节。</w:t>
      </w:r>
    </w:p>
    <w:p>
      <w:pPr>
        <w:spacing w:line="500" w:lineRule="exact"/>
        <w:ind w:firstLine="420" w:firstLineChars="200"/>
        <w:jc w:val="both"/>
        <w:rPr>
          <w:rFonts w:hAnsi="宋体"/>
          <w:color w:val="000000"/>
          <w:sz w:val="21"/>
          <w:szCs w:val="21"/>
        </w:rPr>
      </w:pPr>
      <w:r>
        <w:rPr>
          <w:rFonts w:hint="eastAsia" w:hAnsi="宋体"/>
          <w:color w:val="000000"/>
          <w:sz w:val="21"/>
          <w:szCs w:val="21"/>
        </w:rPr>
        <w:t>（5）成果报批（2个月）</w:t>
      </w:r>
    </w:p>
    <w:p>
      <w:pPr>
        <w:spacing w:line="500" w:lineRule="exact"/>
        <w:ind w:firstLine="420" w:firstLineChars="200"/>
        <w:jc w:val="both"/>
        <w:rPr>
          <w:rFonts w:hAnsi="宋体"/>
          <w:color w:val="000000"/>
          <w:sz w:val="21"/>
          <w:szCs w:val="21"/>
        </w:rPr>
      </w:pPr>
      <w:r>
        <w:rPr>
          <w:rFonts w:hint="eastAsia" w:hAnsi="宋体"/>
          <w:color w:val="000000"/>
          <w:sz w:val="21"/>
          <w:szCs w:val="21"/>
        </w:rPr>
        <w:t>形成规划报批成果，按照程序完成报批。规划成果经批准后，依法公告。</w:t>
      </w:r>
    </w:p>
    <w:p>
      <w:pPr>
        <w:autoSpaceDE/>
        <w:autoSpaceDN/>
        <w:adjustRightInd/>
        <w:spacing w:line="460" w:lineRule="exact"/>
        <w:ind w:firstLine="420" w:firstLineChars="200"/>
        <w:jc w:val="both"/>
        <w:rPr>
          <w:rFonts w:hAnsi="宋体"/>
          <w:color w:val="000000"/>
          <w:sz w:val="21"/>
          <w:szCs w:val="21"/>
        </w:rPr>
      </w:pPr>
      <w:r>
        <w:rPr>
          <w:rFonts w:hint="eastAsia" w:hAnsi="宋体"/>
          <w:color w:val="000000"/>
          <w:sz w:val="21"/>
          <w:szCs w:val="21"/>
        </w:rPr>
        <w:t>五</w:t>
      </w:r>
      <w:r>
        <w:rPr>
          <w:rFonts w:hAnsi="宋体"/>
          <w:color w:val="000000"/>
          <w:sz w:val="21"/>
          <w:szCs w:val="21"/>
        </w:rPr>
        <w:t>、技术资料</w:t>
      </w:r>
    </w:p>
    <w:p>
      <w:pPr>
        <w:autoSpaceDE/>
        <w:autoSpaceDN/>
        <w:adjustRightInd/>
        <w:spacing w:line="460" w:lineRule="exact"/>
        <w:ind w:firstLine="420" w:firstLineChars="200"/>
        <w:jc w:val="both"/>
        <w:rPr>
          <w:rFonts w:hAnsi="宋体"/>
          <w:color w:val="000000"/>
          <w:sz w:val="21"/>
          <w:szCs w:val="21"/>
        </w:rPr>
      </w:pPr>
      <w:r>
        <w:rPr>
          <w:rFonts w:hAnsi="宋体"/>
          <w:color w:val="000000"/>
          <w:sz w:val="21"/>
          <w:szCs w:val="21"/>
        </w:rPr>
        <w:t>1</w:t>
      </w:r>
      <w:r>
        <w:rPr>
          <w:rFonts w:hint="eastAsia" w:hAnsi="宋体"/>
          <w:color w:val="000000"/>
          <w:sz w:val="21"/>
          <w:szCs w:val="21"/>
        </w:rPr>
        <w:t>、</w:t>
      </w:r>
      <w:r>
        <w:rPr>
          <w:rFonts w:hAnsi="宋体"/>
          <w:color w:val="000000"/>
          <w:sz w:val="21"/>
          <w:szCs w:val="21"/>
        </w:rPr>
        <w:t>乙方应按招标文件规定的时间向甲方提供使用</w:t>
      </w:r>
      <w:r>
        <w:rPr>
          <w:rFonts w:hint="eastAsia" w:hAnsi="宋体"/>
          <w:color w:val="000000"/>
          <w:sz w:val="21"/>
          <w:szCs w:val="21"/>
        </w:rPr>
        <w:t>服务</w:t>
      </w:r>
      <w:r>
        <w:rPr>
          <w:rFonts w:hAnsi="宋体"/>
          <w:color w:val="000000"/>
          <w:sz w:val="21"/>
          <w:szCs w:val="21"/>
        </w:rPr>
        <w:t>的有关技术资料。</w:t>
      </w:r>
    </w:p>
    <w:p>
      <w:pPr>
        <w:autoSpaceDE/>
        <w:autoSpaceDN/>
        <w:adjustRightInd/>
        <w:spacing w:line="460" w:lineRule="exact"/>
        <w:ind w:firstLine="420" w:firstLineChars="200"/>
        <w:jc w:val="both"/>
        <w:rPr>
          <w:rFonts w:hAnsi="宋体"/>
          <w:color w:val="000000"/>
          <w:sz w:val="21"/>
          <w:szCs w:val="21"/>
        </w:rPr>
      </w:pPr>
      <w:r>
        <w:rPr>
          <w:rFonts w:hAnsi="宋体"/>
          <w:color w:val="000000"/>
          <w:sz w:val="21"/>
          <w:szCs w:val="21"/>
        </w:rPr>
        <w:t>2</w:t>
      </w:r>
      <w:r>
        <w:rPr>
          <w:rFonts w:hint="eastAsia" w:hAnsi="宋体"/>
          <w:color w:val="000000"/>
          <w:sz w:val="21"/>
          <w:szCs w:val="21"/>
        </w:rPr>
        <w:t>、</w:t>
      </w:r>
      <w:r>
        <w:rPr>
          <w:rFonts w:hAnsi="宋体"/>
          <w:color w:val="000000"/>
          <w:sz w:val="21"/>
          <w:szCs w:val="21"/>
        </w:rPr>
        <w:t>没有甲方事先书面同意，乙方不得将由甲方提供的有关合同或任何合同条文、规格、计划、图纸、样品或资料提供</w:t>
      </w:r>
      <w:r>
        <w:rPr>
          <w:rFonts w:hint="eastAsia" w:hAnsi="宋体"/>
          <w:color w:val="000000"/>
          <w:sz w:val="21"/>
          <w:szCs w:val="21"/>
        </w:rPr>
        <w:t>给予</w:t>
      </w:r>
      <w:r>
        <w:rPr>
          <w:rFonts w:hAnsi="宋体"/>
          <w:color w:val="000000"/>
          <w:sz w:val="21"/>
          <w:szCs w:val="21"/>
        </w:rPr>
        <w:t>履行本合同无关的任何其他人。即使向履行本合同有关的人员提供，也应注意保密并限于履行合同的必需范围。</w:t>
      </w:r>
    </w:p>
    <w:p>
      <w:pPr>
        <w:autoSpaceDE/>
        <w:autoSpaceDN/>
        <w:adjustRightInd/>
        <w:spacing w:line="460" w:lineRule="exact"/>
        <w:ind w:firstLine="420" w:firstLineChars="200"/>
        <w:jc w:val="both"/>
        <w:rPr>
          <w:rFonts w:hAnsi="宋体"/>
          <w:color w:val="000000"/>
          <w:sz w:val="21"/>
          <w:szCs w:val="21"/>
        </w:rPr>
      </w:pPr>
      <w:r>
        <w:rPr>
          <w:rFonts w:hint="eastAsia" w:hAnsi="宋体"/>
          <w:color w:val="000000"/>
          <w:sz w:val="21"/>
          <w:szCs w:val="21"/>
        </w:rPr>
        <w:t>六</w:t>
      </w:r>
      <w:r>
        <w:rPr>
          <w:rFonts w:hAnsi="宋体"/>
          <w:color w:val="000000"/>
          <w:sz w:val="21"/>
          <w:szCs w:val="21"/>
        </w:rPr>
        <w:t>、知识产权</w:t>
      </w:r>
    </w:p>
    <w:p>
      <w:pPr>
        <w:autoSpaceDE/>
        <w:autoSpaceDN/>
        <w:adjustRightInd/>
        <w:spacing w:line="460" w:lineRule="exact"/>
        <w:ind w:firstLine="420" w:firstLineChars="200"/>
        <w:jc w:val="both"/>
        <w:rPr>
          <w:rFonts w:hAnsi="宋体"/>
          <w:color w:val="000000"/>
          <w:sz w:val="21"/>
          <w:szCs w:val="21"/>
        </w:rPr>
      </w:pPr>
      <w:r>
        <w:rPr>
          <w:rFonts w:hAnsi="宋体"/>
          <w:color w:val="000000"/>
          <w:sz w:val="21"/>
          <w:szCs w:val="21"/>
        </w:rPr>
        <w:t>乙方应保证所提供的</w:t>
      </w:r>
      <w:r>
        <w:rPr>
          <w:rFonts w:hint="eastAsia" w:hAnsi="宋体"/>
          <w:color w:val="000000"/>
          <w:sz w:val="21"/>
          <w:szCs w:val="21"/>
        </w:rPr>
        <w:t>服务</w:t>
      </w:r>
      <w:r>
        <w:rPr>
          <w:rFonts w:hAnsi="宋体"/>
          <w:color w:val="000000"/>
          <w:sz w:val="21"/>
          <w:szCs w:val="21"/>
        </w:rPr>
        <w:t>或其任何一部分均不会侵犯任何第三方的知识产权。</w:t>
      </w:r>
    </w:p>
    <w:p>
      <w:pPr>
        <w:autoSpaceDE/>
        <w:autoSpaceDN/>
        <w:adjustRightInd/>
        <w:spacing w:line="460" w:lineRule="exact"/>
        <w:ind w:firstLine="420" w:firstLineChars="200"/>
        <w:jc w:val="both"/>
        <w:rPr>
          <w:rFonts w:hAnsi="宋体"/>
          <w:color w:val="000000"/>
          <w:sz w:val="21"/>
          <w:szCs w:val="21"/>
        </w:rPr>
      </w:pPr>
      <w:r>
        <w:rPr>
          <w:rFonts w:hint="eastAsia" w:hAnsi="宋体"/>
          <w:color w:val="000000"/>
          <w:sz w:val="21"/>
          <w:szCs w:val="21"/>
        </w:rPr>
        <w:t>七</w:t>
      </w:r>
      <w:r>
        <w:rPr>
          <w:rFonts w:hAnsi="宋体"/>
          <w:color w:val="000000"/>
          <w:sz w:val="21"/>
          <w:szCs w:val="21"/>
        </w:rPr>
        <w:t>、产权担保</w:t>
      </w:r>
    </w:p>
    <w:p>
      <w:pPr>
        <w:autoSpaceDE/>
        <w:autoSpaceDN/>
        <w:adjustRightInd/>
        <w:spacing w:line="460" w:lineRule="exact"/>
        <w:ind w:firstLine="420" w:firstLineChars="200"/>
        <w:jc w:val="both"/>
        <w:rPr>
          <w:rFonts w:hAnsi="宋体"/>
          <w:color w:val="000000"/>
          <w:sz w:val="21"/>
          <w:szCs w:val="21"/>
        </w:rPr>
      </w:pPr>
      <w:r>
        <w:rPr>
          <w:rFonts w:hAnsi="宋体"/>
          <w:color w:val="000000"/>
          <w:sz w:val="21"/>
          <w:szCs w:val="21"/>
        </w:rPr>
        <w:t>乙方保证所交付的</w:t>
      </w:r>
      <w:r>
        <w:rPr>
          <w:rFonts w:hint="eastAsia" w:hAnsi="宋体"/>
          <w:color w:val="000000"/>
          <w:sz w:val="21"/>
          <w:szCs w:val="21"/>
        </w:rPr>
        <w:t>成果</w:t>
      </w:r>
      <w:r>
        <w:rPr>
          <w:rFonts w:hAnsi="宋体"/>
          <w:color w:val="000000"/>
          <w:sz w:val="21"/>
          <w:szCs w:val="21"/>
        </w:rPr>
        <w:t>的所有权完全属于</w:t>
      </w:r>
      <w:r>
        <w:rPr>
          <w:rFonts w:hint="eastAsia" w:hAnsi="宋体"/>
          <w:color w:val="000000"/>
          <w:sz w:val="21"/>
          <w:szCs w:val="21"/>
        </w:rPr>
        <w:t>甲方</w:t>
      </w:r>
      <w:r>
        <w:rPr>
          <w:rFonts w:hAnsi="宋体"/>
          <w:color w:val="000000"/>
          <w:sz w:val="21"/>
          <w:szCs w:val="21"/>
        </w:rPr>
        <w:t>。</w:t>
      </w:r>
    </w:p>
    <w:p>
      <w:pPr>
        <w:autoSpaceDE/>
        <w:autoSpaceDN/>
        <w:adjustRightInd/>
        <w:spacing w:line="460" w:lineRule="exact"/>
        <w:ind w:firstLine="525" w:firstLineChars="250"/>
        <w:jc w:val="both"/>
        <w:rPr>
          <w:rFonts w:hAnsi="宋体"/>
          <w:color w:val="000000"/>
          <w:sz w:val="21"/>
          <w:szCs w:val="21"/>
        </w:rPr>
      </w:pPr>
      <w:r>
        <w:rPr>
          <w:rFonts w:hint="eastAsia" w:hAnsi="宋体"/>
          <w:color w:val="000000"/>
          <w:sz w:val="21"/>
          <w:szCs w:val="21"/>
        </w:rPr>
        <w:t>八</w:t>
      </w:r>
      <w:r>
        <w:rPr>
          <w:rFonts w:hAnsi="宋体"/>
          <w:color w:val="000000"/>
          <w:sz w:val="21"/>
          <w:szCs w:val="21"/>
        </w:rPr>
        <w:t>、</w:t>
      </w:r>
      <w:r>
        <w:rPr>
          <w:rFonts w:hint="eastAsia" w:hAnsi="宋体"/>
          <w:color w:val="000000"/>
          <w:sz w:val="21"/>
          <w:szCs w:val="21"/>
        </w:rPr>
        <w:t>转包或分包</w:t>
      </w:r>
    </w:p>
    <w:p>
      <w:pPr>
        <w:autoSpaceDE/>
        <w:autoSpaceDN/>
        <w:adjustRightInd/>
        <w:spacing w:line="460" w:lineRule="exact"/>
        <w:ind w:firstLine="420" w:firstLineChars="200"/>
        <w:jc w:val="both"/>
        <w:rPr>
          <w:rFonts w:hAnsi="宋体"/>
          <w:color w:val="000000"/>
          <w:sz w:val="21"/>
          <w:szCs w:val="21"/>
        </w:rPr>
      </w:pPr>
      <w:r>
        <w:rPr>
          <w:rFonts w:hAnsi="宋体"/>
          <w:color w:val="000000"/>
          <w:sz w:val="21"/>
          <w:szCs w:val="21"/>
        </w:rPr>
        <w:t>1</w:t>
      </w:r>
      <w:r>
        <w:rPr>
          <w:rFonts w:hint="eastAsia" w:hAnsi="宋体"/>
          <w:color w:val="000000"/>
          <w:sz w:val="21"/>
          <w:szCs w:val="21"/>
        </w:rPr>
        <w:t>、本合同范围的货物，应由</w:t>
      </w:r>
      <w:r>
        <w:rPr>
          <w:rFonts w:hAnsi="宋体"/>
          <w:color w:val="000000"/>
          <w:sz w:val="21"/>
          <w:szCs w:val="21"/>
        </w:rPr>
        <w:t>乙</w:t>
      </w:r>
      <w:r>
        <w:rPr>
          <w:rFonts w:hint="eastAsia" w:hAnsi="宋体"/>
          <w:color w:val="000000"/>
          <w:sz w:val="21"/>
          <w:szCs w:val="21"/>
        </w:rPr>
        <w:t>方直接供应，不得转让他人供应；</w:t>
      </w:r>
    </w:p>
    <w:p>
      <w:pPr>
        <w:autoSpaceDE/>
        <w:autoSpaceDN/>
        <w:adjustRightInd/>
        <w:spacing w:line="460" w:lineRule="exact"/>
        <w:ind w:firstLine="420" w:firstLineChars="200"/>
        <w:jc w:val="both"/>
        <w:rPr>
          <w:rFonts w:hAnsi="宋体"/>
          <w:color w:val="000000"/>
          <w:sz w:val="21"/>
          <w:szCs w:val="21"/>
        </w:rPr>
      </w:pPr>
      <w:r>
        <w:rPr>
          <w:rFonts w:hAnsi="宋体"/>
          <w:color w:val="000000"/>
          <w:sz w:val="21"/>
          <w:szCs w:val="21"/>
        </w:rPr>
        <w:t>2</w:t>
      </w:r>
      <w:r>
        <w:rPr>
          <w:rFonts w:hint="eastAsia" w:hAnsi="宋体"/>
          <w:color w:val="000000"/>
          <w:sz w:val="21"/>
          <w:szCs w:val="21"/>
        </w:rPr>
        <w:t>、除非得到</w:t>
      </w:r>
      <w:r>
        <w:rPr>
          <w:rFonts w:hAnsi="宋体"/>
          <w:color w:val="000000"/>
          <w:sz w:val="21"/>
          <w:szCs w:val="21"/>
        </w:rPr>
        <w:t>甲</w:t>
      </w:r>
      <w:r>
        <w:rPr>
          <w:rFonts w:hint="eastAsia" w:hAnsi="宋体"/>
          <w:color w:val="000000"/>
          <w:sz w:val="21"/>
          <w:szCs w:val="21"/>
        </w:rPr>
        <w:t>方的书面同意，</w:t>
      </w:r>
      <w:r>
        <w:rPr>
          <w:rFonts w:hAnsi="宋体"/>
          <w:color w:val="000000"/>
          <w:sz w:val="21"/>
          <w:szCs w:val="21"/>
        </w:rPr>
        <w:t>乙</w:t>
      </w:r>
      <w:r>
        <w:rPr>
          <w:rFonts w:hint="eastAsia" w:hAnsi="宋体"/>
          <w:color w:val="000000"/>
          <w:sz w:val="21"/>
          <w:szCs w:val="21"/>
        </w:rPr>
        <w:t>方不得将本合同范围的服务内容全部或部分分包给他人供应；</w:t>
      </w:r>
    </w:p>
    <w:p>
      <w:pPr>
        <w:autoSpaceDE/>
        <w:autoSpaceDN/>
        <w:adjustRightInd/>
        <w:spacing w:line="460" w:lineRule="exact"/>
        <w:ind w:firstLine="420" w:firstLineChars="200"/>
        <w:jc w:val="both"/>
        <w:rPr>
          <w:rFonts w:hAnsi="宋体"/>
          <w:color w:val="000000" w:themeColor="text1"/>
          <w:sz w:val="21"/>
          <w:szCs w:val="21"/>
        </w:rPr>
      </w:pPr>
      <w:r>
        <w:rPr>
          <w:rFonts w:hAnsi="宋体"/>
          <w:color w:val="000000"/>
          <w:sz w:val="21"/>
          <w:szCs w:val="21"/>
        </w:rPr>
        <w:t>3</w:t>
      </w:r>
      <w:r>
        <w:rPr>
          <w:rFonts w:hint="eastAsia" w:hAnsi="宋体"/>
          <w:color w:val="000000"/>
          <w:sz w:val="21"/>
          <w:szCs w:val="21"/>
        </w:rPr>
        <w:t>、如有转让和未经</w:t>
      </w:r>
      <w:r>
        <w:rPr>
          <w:rFonts w:hAnsi="宋体"/>
          <w:color w:val="000000"/>
          <w:sz w:val="21"/>
          <w:szCs w:val="21"/>
        </w:rPr>
        <w:t>甲</w:t>
      </w:r>
      <w:r>
        <w:rPr>
          <w:rFonts w:hint="eastAsia" w:hAnsi="宋体"/>
          <w:color w:val="000000"/>
          <w:sz w:val="21"/>
          <w:szCs w:val="21"/>
        </w:rPr>
        <w:t>方同意的分包行为，</w:t>
      </w:r>
      <w:r>
        <w:rPr>
          <w:rFonts w:hAnsi="宋体"/>
          <w:color w:val="000000"/>
          <w:sz w:val="21"/>
          <w:szCs w:val="21"/>
        </w:rPr>
        <w:t>甲</w:t>
      </w:r>
      <w:r>
        <w:rPr>
          <w:rFonts w:hint="eastAsia" w:hAnsi="宋体"/>
          <w:color w:val="000000"/>
          <w:sz w:val="21"/>
          <w:szCs w:val="21"/>
        </w:rPr>
        <w:t>方有权解除合同</w:t>
      </w:r>
      <w:r>
        <w:rPr>
          <w:rFonts w:hint="eastAsia" w:hAnsi="宋体"/>
          <w:color w:val="000000" w:themeColor="text1"/>
          <w:sz w:val="21"/>
          <w:szCs w:val="21"/>
        </w:rPr>
        <w:t>，没收履约保证金并追究乙方的违约责任。</w:t>
      </w:r>
    </w:p>
    <w:p>
      <w:pPr>
        <w:autoSpaceDE/>
        <w:autoSpaceDN/>
        <w:adjustRightInd/>
        <w:spacing w:line="460" w:lineRule="exact"/>
        <w:ind w:firstLine="420" w:firstLineChars="200"/>
        <w:jc w:val="both"/>
        <w:rPr>
          <w:rFonts w:hAnsi="宋体"/>
          <w:color w:val="000000" w:themeColor="text1"/>
          <w:sz w:val="21"/>
          <w:szCs w:val="21"/>
          <w:u w:val="single"/>
        </w:rPr>
      </w:pPr>
      <w:r>
        <w:rPr>
          <w:rFonts w:hint="eastAsia" w:hAnsi="宋体"/>
          <w:color w:val="000000" w:themeColor="text1"/>
          <w:sz w:val="21"/>
          <w:szCs w:val="21"/>
        </w:rPr>
        <w:t>九</w:t>
      </w:r>
      <w:r>
        <w:rPr>
          <w:rFonts w:hAnsi="宋体"/>
          <w:color w:val="000000" w:themeColor="text1"/>
          <w:sz w:val="21"/>
          <w:szCs w:val="21"/>
        </w:rPr>
        <w:t>、</w:t>
      </w:r>
      <w:r>
        <w:rPr>
          <w:rFonts w:hint="eastAsia" w:hAnsi="宋体"/>
          <w:color w:val="000000" w:themeColor="text1"/>
          <w:sz w:val="21"/>
          <w:szCs w:val="21"/>
        </w:rPr>
        <w:t>服务</w:t>
      </w:r>
      <w:r>
        <w:rPr>
          <w:rFonts w:hAnsi="宋体"/>
          <w:color w:val="000000" w:themeColor="text1"/>
          <w:sz w:val="21"/>
          <w:szCs w:val="21"/>
        </w:rPr>
        <w:t>地点：</w:t>
      </w:r>
      <w:r>
        <w:rPr>
          <w:rFonts w:hint="eastAsia" w:hAnsi="宋体"/>
          <w:color w:val="000000" w:themeColor="text1"/>
          <w:sz w:val="21"/>
          <w:szCs w:val="21"/>
          <w:u w:val="single"/>
        </w:rPr>
        <w:t xml:space="preserve">   由甲方指定地点    </w:t>
      </w:r>
    </w:p>
    <w:p>
      <w:pPr>
        <w:autoSpaceDE/>
        <w:autoSpaceDN/>
        <w:adjustRightInd/>
        <w:spacing w:line="460" w:lineRule="exact"/>
        <w:ind w:firstLine="420" w:firstLineChars="200"/>
        <w:jc w:val="both"/>
        <w:rPr>
          <w:rFonts w:hAnsi="宋体"/>
          <w:color w:val="000000" w:themeColor="text1"/>
          <w:sz w:val="21"/>
          <w:szCs w:val="21"/>
        </w:rPr>
      </w:pPr>
      <w:r>
        <w:rPr>
          <w:rFonts w:hint="eastAsia" w:hAnsi="宋体"/>
          <w:color w:val="000000" w:themeColor="text1"/>
          <w:sz w:val="21"/>
          <w:szCs w:val="21"/>
        </w:rPr>
        <w:t>十</w:t>
      </w:r>
      <w:r>
        <w:rPr>
          <w:rFonts w:hAnsi="宋体"/>
          <w:color w:val="000000" w:themeColor="text1"/>
          <w:sz w:val="21"/>
          <w:szCs w:val="21"/>
        </w:rPr>
        <w:t>、</w:t>
      </w:r>
      <w:r>
        <w:rPr>
          <w:rFonts w:hint="eastAsia" w:hAnsi="宋体"/>
          <w:color w:val="000000" w:themeColor="text1"/>
          <w:sz w:val="21"/>
          <w:szCs w:val="21"/>
        </w:rPr>
        <w:t>付款</w:t>
      </w:r>
      <w:r>
        <w:rPr>
          <w:rFonts w:hAnsi="宋体"/>
          <w:color w:val="000000" w:themeColor="text1"/>
          <w:sz w:val="21"/>
          <w:szCs w:val="21"/>
        </w:rPr>
        <w:t>支付</w:t>
      </w:r>
    </w:p>
    <w:p>
      <w:pPr>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（1）合同签订后且具备实施条件后7个工作日内，由甲方向乙方支付合同金额的30%；</w:t>
      </w:r>
    </w:p>
    <w:p>
      <w:pPr>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（2）规划方案通过评审会后，支付合同金额的40%；</w:t>
      </w:r>
    </w:p>
    <w:p>
      <w:pPr>
        <w:spacing w:line="50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（3）规划成果获批复实施，并提交全部成果后30日内支付合同金额的30%。</w:t>
      </w:r>
    </w:p>
    <w:p>
      <w:pPr>
        <w:snapToGrid w:val="0"/>
        <w:spacing w:line="500" w:lineRule="exact"/>
        <w:ind w:firstLine="422" w:firstLineChars="200"/>
        <w:rPr>
          <w:rFonts w:hAnsi="宋体" w:cs="宋体"/>
          <w:b/>
          <w:color w:val="000000" w:themeColor="text1"/>
          <w:sz w:val="21"/>
          <w:szCs w:val="21"/>
        </w:rPr>
      </w:pPr>
      <w:r>
        <w:rPr>
          <w:rFonts w:hint="eastAsia" w:hAnsi="宋体" w:cs="宋体"/>
          <w:b/>
          <w:color w:val="000000" w:themeColor="text1"/>
          <w:sz w:val="21"/>
          <w:szCs w:val="21"/>
        </w:rPr>
        <w:t>十一、转包或分包</w:t>
      </w:r>
    </w:p>
    <w:p>
      <w:pPr>
        <w:pStyle w:val="25"/>
        <w:snapToGrid w:val="0"/>
        <w:spacing w:line="500" w:lineRule="exact"/>
        <w:ind w:firstLine="420" w:firstLineChars="200"/>
        <w:rPr>
          <w:rFonts w:ascii="宋体" w:hAnsi="宋体" w:cs="宋体"/>
          <w:color w:val="000000" w:themeColor="text1"/>
          <w:kern w:val="2"/>
          <w:sz w:val="21"/>
        </w:rPr>
      </w:pPr>
      <w:r>
        <w:rPr>
          <w:rFonts w:hint="eastAsia" w:ascii="宋体" w:hAnsi="宋体" w:cs="宋体"/>
          <w:color w:val="000000" w:themeColor="text1"/>
          <w:kern w:val="2"/>
          <w:sz w:val="21"/>
        </w:rPr>
        <w:t>1.本合同范围的服务，应由乙方直接完成，不得转包他人提供；</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2.项目分包（分包时适用）</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（1）甲方同意乙方将</w:t>
      </w:r>
      <w:r>
        <w:rPr>
          <w:rFonts w:hint="eastAsia" w:hAnsi="宋体" w:cs="宋体"/>
          <w:color w:val="000000"/>
          <w:sz w:val="21"/>
          <w:szCs w:val="21"/>
          <w:u w:val="single"/>
        </w:rPr>
        <w:t xml:space="preserve">           </w:t>
      </w:r>
      <w:r>
        <w:rPr>
          <w:rFonts w:hint="eastAsia" w:hAnsi="宋体" w:cs="宋体"/>
          <w:color w:val="000000"/>
          <w:sz w:val="21"/>
          <w:szCs w:val="21"/>
        </w:rPr>
        <w:t>工作分包给（接受分包单位名称）</w:t>
      </w:r>
      <w:r>
        <w:rPr>
          <w:rFonts w:hint="eastAsia" w:hAnsi="宋体" w:cs="宋体"/>
          <w:color w:val="000000"/>
          <w:sz w:val="21"/>
          <w:szCs w:val="21"/>
          <w:u w:val="single"/>
        </w:rPr>
        <w:t xml:space="preserve">          </w:t>
      </w:r>
      <w:r>
        <w:rPr>
          <w:rFonts w:hint="eastAsia" w:hAnsi="宋体" w:cs="宋体"/>
          <w:color w:val="000000"/>
          <w:sz w:val="21"/>
          <w:szCs w:val="21"/>
        </w:rPr>
        <w:t>实施；乙方应严格落实其与（接受分包单位名称）</w:t>
      </w:r>
      <w:r>
        <w:rPr>
          <w:rFonts w:hint="eastAsia" w:hAnsi="宋体" w:cs="宋体"/>
          <w:color w:val="000000"/>
          <w:sz w:val="21"/>
          <w:szCs w:val="21"/>
          <w:u w:val="single"/>
        </w:rPr>
        <w:t xml:space="preserve">          </w:t>
      </w:r>
      <w:r>
        <w:rPr>
          <w:rFonts w:hint="eastAsia" w:hAnsi="宋体" w:cs="宋体"/>
          <w:color w:val="000000"/>
          <w:sz w:val="21"/>
          <w:szCs w:val="21"/>
        </w:rPr>
        <w:t>签订的《分包合同》，不折不扣地按《分包合同》和投标承诺的《分包意向协议》落实本项目专门面向中小企业采购的预留份额，否则，视同违约；</w:t>
      </w:r>
    </w:p>
    <w:p>
      <w:pPr>
        <w:snapToGrid w:val="0"/>
        <w:spacing w:line="498" w:lineRule="exact"/>
        <w:ind w:firstLine="420" w:firstLineChars="200"/>
        <w:rPr>
          <w:rFonts w:hAnsi="宋体" w:cs="宋体"/>
          <w:color w:val="000000"/>
          <w:sz w:val="21"/>
          <w:szCs w:val="21"/>
        </w:rPr>
      </w:pPr>
      <w:r>
        <w:rPr>
          <w:rFonts w:hint="eastAsia" w:hAnsi="宋体" w:cs="宋体"/>
          <w:color w:val="000000"/>
          <w:sz w:val="21"/>
          <w:szCs w:val="21"/>
        </w:rPr>
        <w:t>（2）乙方就本工程采购项目和分包项目向甲方负责，接受分包的供应商就其分包项目承担责任；</w:t>
      </w:r>
    </w:p>
    <w:p>
      <w:pPr>
        <w:snapToGrid w:val="0"/>
        <w:spacing w:line="498" w:lineRule="exact"/>
        <w:ind w:firstLine="420" w:firstLineChars="200"/>
        <w:rPr>
          <w:rFonts w:hAnsi="宋体" w:cs="宋体"/>
          <w:i/>
          <w:iCs/>
          <w:color w:val="000000"/>
          <w:sz w:val="21"/>
          <w:szCs w:val="21"/>
          <w:u w:val="single"/>
        </w:rPr>
      </w:pPr>
      <w:r>
        <w:rPr>
          <w:rFonts w:hint="eastAsia" w:hAnsi="宋体" w:cs="宋体"/>
          <w:color w:val="000000"/>
          <w:sz w:val="21"/>
          <w:szCs w:val="21"/>
        </w:rPr>
        <w:t>（3）投标时承诺的《分包意向协议》及中标后签订的《分包合同》为本合同不可分割部分。</w:t>
      </w:r>
    </w:p>
    <w:p>
      <w:pPr>
        <w:snapToGrid w:val="0"/>
        <w:spacing w:line="498" w:lineRule="exact"/>
        <w:ind w:firstLine="420" w:firstLineChars="200"/>
        <w:rPr>
          <w:rFonts w:hAnsi="宋体" w:cs="宋体"/>
          <w:b/>
          <w:bCs/>
          <w:color w:val="000000"/>
          <w:sz w:val="21"/>
          <w:szCs w:val="21"/>
        </w:rPr>
      </w:pPr>
      <w:r>
        <w:rPr>
          <w:rFonts w:hint="eastAsia" w:hAnsi="宋体" w:cs="宋体"/>
          <w:color w:val="000000"/>
          <w:sz w:val="21"/>
          <w:szCs w:val="21"/>
        </w:rPr>
        <w:t>3.如有转包和未经甲方同意的分包行为，甲方有权解除合同，并追究乙方的违约责任。</w:t>
      </w:r>
    </w:p>
    <w:p>
      <w:pPr>
        <w:autoSpaceDE/>
        <w:autoSpaceDN/>
        <w:adjustRightInd/>
        <w:spacing w:line="460" w:lineRule="exact"/>
        <w:ind w:firstLine="422" w:firstLineChars="200"/>
        <w:jc w:val="both"/>
        <w:rPr>
          <w:rFonts w:hAnsi="宋体"/>
          <w:b/>
          <w:bCs/>
          <w:color w:val="000000"/>
          <w:sz w:val="21"/>
          <w:szCs w:val="21"/>
        </w:rPr>
      </w:pPr>
      <w:r>
        <w:rPr>
          <w:rFonts w:hint="eastAsia" w:hAnsi="宋体"/>
          <w:b/>
          <w:bCs/>
          <w:color w:val="000000"/>
          <w:sz w:val="21"/>
          <w:szCs w:val="21"/>
        </w:rPr>
        <w:t>十二、税费</w:t>
      </w:r>
    </w:p>
    <w:p>
      <w:pPr>
        <w:autoSpaceDE/>
        <w:autoSpaceDN/>
        <w:adjustRightInd/>
        <w:spacing w:line="460" w:lineRule="exact"/>
        <w:ind w:firstLine="420" w:firstLineChars="200"/>
        <w:jc w:val="both"/>
        <w:rPr>
          <w:rFonts w:hAnsi="宋体"/>
          <w:color w:val="000000"/>
          <w:sz w:val="21"/>
          <w:szCs w:val="21"/>
        </w:rPr>
      </w:pPr>
      <w:r>
        <w:rPr>
          <w:rFonts w:hint="eastAsia" w:hAnsi="宋体"/>
          <w:color w:val="000000"/>
          <w:sz w:val="21"/>
          <w:szCs w:val="21"/>
        </w:rPr>
        <w:t>本合同执行中相关的一切税费均由</w:t>
      </w:r>
      <w:r>
        <w:rPr>
          <w:rFonts w:hAnsi="宋体"/>
          <w:color w:val="000000"/>
          <w:sz w:val="21"/>
          <w:szCs w:val="21"/>
        </w:rPr>
        <w:t>乙</w:t>
      </w:r>
      <w:r>
        <w:rPr>
          <w:rFonts w:hint="eastAsia" w:hAnsi="宋体"/>
          <w:color w:val="000000"/>
          <w:sz w:val="21"/>
          <w:szCs w:val="21"/>
        </w:rPr>
        <w:t>方负担。</w:t>
      </w:r>
    </w:p>
    <w:p>
      <w:pPr>
        <w:autoSpaceDE/>
        <w:autoSpaceDN/>
        <w:adjustRightInd/>
        <w:spacing w:line="460" w:lineRule="exact"/>
        <w:ind w:firstLine="422" w:firstLineChars="200"/>
        <w:jc w:val="both"/>
        <w:rPr>
          <w:rFonts w:hAnsi="宋体"/>
          <w:b/>
          <w:bCs/>
          <w:color w:val="000000"/>
          <w:sz w:val="21"/>
          <w:szCs w:val="21"/>
        </w:rPr>
      </w:pPr>
      <w:r>
        <w:rPr>
          <w:rFonts w:hint="eastAsia" w:hAnsi="宋体"/>
          <w:b/>
          <w:bCs/>
          <w:color w:val="000000"/>
          <w:sz w:val="21"/>
          <w:szCs w:val="21"/>
        </w:rPr>
        <w:t>十一</w:t>
      </w:r>
      <w:r>
        <w:rPr>
          <w:rFonts w:hAnsi="宋体"/>
          <w:b/>
          <w:bCs/>
          <w:color w:val="000000"/>
          <w:sz w:val="21"/>
          <w:szCs w:val="21"/>
        </w:rPr>
        <w:t>、不可抗力事件处理</w:t>
      </w:r>
    </w:p>
    <w:p>
      <w:pPr>
        <w:autoSpaceDE/>
        <w:autoSpaceDN/>
        <w:adjustRightInd/>
        <w:spacing w:line="460" w:lineRule="exact"/>
        <w:ind w:firstLine="420" w:firstLineChars="200"/>
        <w:jc w:val="both"/>
        <w:rPr>
          <w:rFonts w:hAnsi="宋体"/>
          <w:color w:val="000000"/>
          <w:sz w:val="21"/>
          <w:szCs w:val="21"/>
        </w:rPr>
      </w:pPr>
      <w:r>
        <w:rPr>
          <w:rFonts w:hAnsi="宋体"/>
          <w:color w:val="000000"/>
          <w:sz w:val="21"/>
          <w:szCs w:val="21"/>
        </w:rPr>
        <w:t>1</w:t>
      </w:r>
      <w:r>
        <w:rPr>
          <w:rFonts w:hint="eastAsia" w:hAnsi="宋体"/>
          <w:color w:val="000000"/>
          <w:sz w:val="21"/>
          <w:szCs w:val="21"/>
        </w:rPr>
        <w:t>、</w:t>
      </w:r>
      <w:r>
        <w:rPr>
          <w:rFonts w:hAnsi="宋体"/>
          <w:color w:val="000000"/>
          <w:sz w:val="21"/>
          <w:szCs w:val="21"/>
        </w:rPr>
        <w:t>在合同有效期内，任何一方因不可抗力事件导致不能履行合同，则合同履行期可延长，其延长期与不可抗力影响期相同。</w:t>
      </w:r>
    </w:p>
    <w:p>
      <w:pPr>
        <w:autoSpaceDE/>
        <w:autoSpaceDN/>
        <w:adjustRightInd/>
        <w:spacing w:line="460" w:lineRule="exact"/>
        <w:ind w:firstLine="420" w:firstLineChars="200"/>
        <w:jc w:val="both"/>
        <w:rPr>
          <w:rFonts w:hAnsi="宋体"/>
          <w:color w:val="000000"/>
          <w:sz w:val="21"/>
          <w:szCs w:val="21"/>
        </w:rPr>
      </w:pPr>
      <w:r>
        <w:rPr>
          <w:rFonts w:hAnsi="宋体"/>
          <w:color w:val="000000"/>
          <w:sz w:val="21"/>
          <w:szCs w:val="21"/>
        </w:rPr>
        <w:t>2</w:t>
      </w:r>
      <w:r>
        <w:rPr>
          <w:rFonts w:hint="eastAsia" w:hAnsi="宋体"/>
          <w:color w:val="000000"/>
          <w:sz w:val="21"/>
          <w:szCs w:val="21"/>
        </w:rPr>
        <w:t>、</w:t>
      </w:r>
      <w:r>
        <w:rPr>
          <w:rFonts w:hAnsi="宋体"/>
          <w:color w:val="000000"/>
          <w:sz w:val="21"/>
          <w:szCs w:val="21"/>
        </w:rPr>
        <w:t>不可抗力事件发生后，应立即通知对方，并寄送有关权威机构出具的证明。</w:t>
      </w:r>
    </w:p>
    <w:p>
      <w:pPr>
        <w:autoSpaceDE/>
        <w:autoSpaceDN/>
        <w:adjustRightInd/>
        <w:spacing w:line="460" w:lineRule="exact"/>
        <w:ind w:firstLine="420" w:firstLineChars="200"/>
        <w:jc w:val="both"/>
        <w:rPr>
          <w:rFonts w:hAnsi="宋体"/>
          <w:color w:val="000000"/>
          <w:sz w:val="21"/>
          <w:szCs w:val="21"/>
        </w:rPr>
      </w:pPr>
      <w:r>
        <w:rPr>
          <w:rFonts w:hAnsi="宋体"/>
          <w:color w:val="000000"/>
          <w:sz w:val="21"/>
          <w:szCs w:val="21"/>
        </w:rPr>
        <w:t>3</w:t>
      </w:r>
      <w:r>
        <w:rPr>
          <w:rFonts w:hint="eastAsia" w:hAnsi="宋体"/>
          <w:color w:val="000000"/>
          <w:sz w:val="21"/>
          <w:szCs w:val="21"/>
        </w:rPr>
        <w:t>、</w:t>
      </w:r>
      <w:r>
        <w:rPr>
          <w:rFonts w:hAnsi="宋体"/>
          <w:color w:val="000000"/>
          <w:sz w:val="21"/>
          <w:szCs w:val="21"/>
        </w:rPr>
        <w:t>不可抗力事件延续120天以上，双方应通过友好协商，确定是否继续履行合同。</w:t>
      </w:r>
    </w:p>
    <w:p>
      <w:pPr>
        <w:snapToGrid w:val="0"/>
        <w:spacing w:line="500" w:lineRule="exact"/>
        <w:ind w:firstLine="420"/>
        <w:rPr>
          <w:rFonts w:hAnsi="宋体" w:cs="宋体"/>
          <w:b/>
          <w:color w:val="000000"/>
          <w:sz w:val="21"/>
          <w:szCs w:val="21"/>
        </w:rPr>
      </w:pPr>
      <w:r>
        <w:rPr>
          <w:rFonts w:hint="eastAsia" w:hAnsi="宋体" w:cs="宋体"/>
          <w:b/>
          <w:color w:val="000000"/>
          <w:sz w:val="21"/>
          <w:szCs w:val="21"/>
        </w:rPr>
        <w:t>十四、争议及解决</w:t>
      </w:r>
    </w:p>
    <w:p>
      <w:pPr>
        <w:snapToGrid w:val="0"/>
        <w:spacing w:line="500" w:lineRule="exact"/>
        <w:ind w:firstLine="420"/>
        <w:rPr>
          <w:rFonts w:hAnsi="宋体" w:cs="宋体"/>
          <w:color w:val="000000"/>
          <w:sz w:val="21"/>
          <w:szCs w:val="21"/>
        </w:rPr>
      </w:pPr>
      <w:r>
        <w:rPr>
          <w:rFonts w:hint="eastAsia" w:hAnsi="宋体" w:cs="宋体"/>
          <w:color w:val="000000"/>
          <w:sz w:val="21"/>
          <w:szCs w:val="21"/>
        </w:rPr>
        <w:t>如双方在履行合同时发生纠纷，应协商解决。协商不成的，双方约定向甲方所在地人民法院提起诉讼。</w:t>
      </w:r>
    </w:p>
    <w:p>
      <w:pPr>
        <w:snapToGrid w:val="0"/>
        <w:spacing w:line="500" w:lineRule="exact"/>
        <w:ind w:firstLine="420"/>
        <w:rPr>
          <w:rFonts w:hAnsi="宋体" w:cs="宋体"/>
          <w:b/>
          <w:color w:val="000000"/>
          <w:sz w:val="21"/>
          <w:szCs w:val="21"/>
        </w:rPr>
      </w:pPr>
      <w:r>
        <w:rPr>
          <w:rFonts w:hint="eastAsia" w:hAnsi="宋体" w:cs="宋体"/>
          <w:b/>
          <w:color w:val="000000"/>
          <w:sz w:val="21"/>
          <w:szCs w:val="21"/>
        </w:rPr>
        <w:t>十五、合同生效及其他</w:t>
      </w:r>
    </w:p>
    <w:p>
      <w:pPr>
        <w:tabs>
          <w:tab w:val="left" w:pos="0"/>
        </w:tabs>
        <w:snapToGrid w:val="0"/>
        <w:spacing w:line="500" w:lineRule="exact"/>
        <w:ind w:firstLine="420"/>
        <w:rPr>
          <w:rFonts w:hAnsi="宋体" w:cs="宋体"/>
          <w:bCs/>
          <w:color w:val="000000"/>
          <w:sz w:val="21"/>
          <w:szCs w:val="21"/>
        </w:rPr>
      </w:pPr>
      <w:r>
        <w:rPr>
          <w:rFonts w:hint="eastAsia" w:hAnsi="宋体" w:cs="宋体"/>
          <w:bCs/>
          <w:color w:val="000000"/>
          <w:sz w:val="21"/>
          <w:szCs w:val="21"/>
        </w:rPr>
        <w:t>1.合同经双方法定代表人或授权委托代理人签字并加盖单位公章，经政府采购管理办公室备案后生效。</w:t>
      </w:r>
    </w:p>
    <w:p>
      <w:pPr>
        <w:tabs>
          <w:tab w:val="left" w:pos="0"/>
        </w:tabs>
        <w:snapToGrid w:val="0"/>
        <w:spacing w:line="500" w:lineRule="exact"/>
        <w:ind w:firstLine="420"/>
        <w:rPr>
          <w:rFonts w:hAnsi="宋体" w:cs="宋体"/>
          <w:bCs/>
          <w:color w:val="000000"/>
          <w:sz w:val="21"/>
          <w:szCs w:val="21"/>
        </w:rPr>
      </w:pPr>
      <w:r>
        <w:rPr>
          <w:rFonts w:hint="eastAsia" w:hAnsi="宋体" w:cs="宋体"/>
          <w:bCs/>
          <w:color w:val="000000"/>
          <w:sz w:val="21"/>
          <w:szCs w:val="21"/>
        </w:rPr>
        <w:t>2.合同执行中涉及采购资金和采购内容修改或补充的，签书面补充协议方可作为主合同不可分割的一部分。</w:t>
      </w:r>
    </w:p>
    <w:p>
      <w:pPr>
        <w:tabs>
          <w:tab w:val="left" w:pos="0"/>
        </w:tabs>
        <w:snapToGrid w:val="0"/>
        <w:spacing w:line="500" w:lineRule="exact"/>
        <w:ind w:firstLine="420"/>
        <w:rPr>
          <w:rFonts w:hAnsi="宋体" w:cs="宋体"/>
          <w:bCs/>
          <w:color w:val="000000"/>
          <w:sz w:val="21"/>
          <w:szCs w:val="21"/>
        </w:rPr>
      </w:pPr>
      <w:r>
        <w:rPr>
          <w:rFonts w:hint="eastAsia" w:hAnsi="宋体" w:cs="宋体"/>
          <w:bCs/>
          <w:color w:val="000000"/>
          <w:sz w:val="21"/>
          <w:szCs w:val="21"/>
        </w:rPr>
        <w:t>3.本合同未尽事宜，遵照《</w:t>
      </w:r>
      <w:r>
        <w:rPr>
          <w:rFonts w:hint="eastAsia" w:hAnsi="宋体" w:cs="宋体"/>
          <w:color w:val="000000"/>
          <w:sz w:val="21"/>
          <w:szCs w:val="21"/>
        </w:rPr>
        <w:t>中华人民共和国民法典</w:t>
      </w:r>
      <w:r>
        <w:rPr>
          <w:rFonts w:hint="eastAsia" w:hAnsi="宋体" w:cs="宋体"/>
          <w:bCs/>
          <w:color w:val="000000"/>
          <w:sz w:val="21"/>
          <w:szCs w:val="21"/>
        </w:rPr>
        <w:t>》有关条文执行。</w:t>
      </w:r>
    </w:p>
    <w:p>
      <w:pPr>
        <w:tabs>
          <w:tab w:val="left" w:pos="0"/>
        </w:tabs>
        <w:snapToGrid w:val="0"/>
        <w:spacing w:line="500" w:lineRule="exact"/>
        <w:ind w:firstLine="420"/>
        <w:rPr>
          <w:rFonts w:hAnsi="宋体" w:cs="宋体"/>
          <w:color w:val="000000"/>
          <w:sz w:val="21"/>
          <w:szCs w:val="21"/>
        </w:rPr>
      </w:pPr>
      <w:r>
        <w:rPr>
          <w:rFonts w:hint="eastAsia" w:hAnsi="宋体" w:cs="宋体"/>
          <w:bCs/>
          <w:color w:val="000000"/>
          <w:sz w:val="21"/>
          <w:szCs w:val="21"/>
        </w:rPr>
        <w:t>4.本合同一式六份，甲、乙双方各执二份，</w:t>
      </w:r>
      <w:r>
        <w:rPr>
          <w:rFonts w:hint="eastAsia" w:hAnsi="宋体" w:cs="宋体"/>
          <w:color w:val="000000"/>
          <w:sz w:val="21"/>
          <w:szCs w:val="21"/>
        </w:rPr>
        <w:t>代理机构留存二份。具有同等法律效力。</w:t>
      </w:r>
    </w:p>
    <w:tbl>
      <w:tblPr>
        <w:tblStyle w:val="45"/>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3246"/>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tcPr>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甲   方</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单位名称（章）：</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单位地址：</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法定代表人：</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委托代理人：</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电话：</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开户银行：</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账号：</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邮政编码：</w:t>
            </w: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jc w:val="right"/>
              <w:rPr>
                <w:rFonts w:hAnsi="宋体" w:cs="宋体"/>
                <w:color w:val="000000"/>
                <w:sz w:val="21"/>
                <w:szCs w:val="21"/>
              </w:rPr>
            </w:pPr>
            <w:r>
              <w:rPr>
                <w:rFonts w:hint="eastAsia" w:hAnsi="宋体" w:cs="宋体"/>
                <w:color w:val="000000"/>
                <w:sz w:val="21"/>
                <w:szCs w:val="21"/>
              </w:rPr>
              <w:t>2023年  月  日</w:t>
            </w: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rPr>
                <w:rFonts w:hAnsi="宋体" w:cs="宋体"/>
                <w:color w:val="000000"/>
                <w:sz w:val="21"/>
                <w:szCs w:val="21"/>
              </w:rPr>
            </w:pPr>
          </w:p>
        </w:tc>
        <w:tc>
          <w:tcPr>
            <w:tcW w:w="3246" w:type="dxa"/>
          </w:tcPr>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乙   方</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单位名称（章）：</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单位地址：</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法定代表人：</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委托代理人：</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电话：</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开户银行：</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账号：</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邮政编码：</w:t>
            </w: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jc w:val="right"/>
              <w:rPr>
                <w:rFonts w:hAnsi="宋体" w:cs="宋体"/>
                <w:color w:val="000000"/>
                <w:sz w:val="21"/>
                <w:szCs w:val="21"/>
              </w:rPr>
            </w:pPr>
            <w:r>
              <w:rPr>
                <w:rFonts w:hint="eastAsia" w:hAnsi="宋体" w:cs="宋体"/>
                <w:color w:val="000000"/>
                <w:sz w:val="21"/>
                <w:szCs w:val="21"/>
              </w:rPr>
              <w:t>2023年  月  日</w:t>
            </w: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rPr>
                <w:rFonts w:hAnsi="宋体" w:cs="宋体"/>
                <w:color w:val="000000"/>
                <w:sz w:val="21"/>
                <w:szCs w:val="21"/>
              </w:rPr>
            </w:pPr>
          </w:p>
        </w:tc>
        <w:tc>
          <w:tcPr>
            <w:tcW w:w="3243" w:type="dxa"/>
          </w:tcPr>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 xml:space="preserve">采购代理机构意见:   </w:t>
            </w:r>
          </w:p>
          <w:p>
            <w:pPr>
              <w:spacing w:line="460" w:lineRule="exact"/>
              <w:ind w:left="207" w:leftChars="61" w:firstLine="210" w:firstLineChars="100"/>
              <w:rPr>
                <w:rFonts w:hAnsi="宋体" w:cs="宋体"/>
                <w:color w:val="000000"/>
                <w:sz w:val="21"/>
                <w:szCs w:val="21"/>
              </w:rPr>
            </w:pPr>
          </w:p>
        </w:tc>
      </w:tr>
    </w:tbl>
    <w:p>
      <w:pPr>
        <w:autoSpaceDE/>
        <w:autoSpaceDN/>
        <w:adjustRightInd/>
        <w:spacing w:line="480" w:lineRule="exact"/>
        <w:jc w:val="center"/>
        <w:rPr>
          <w:rFonts w:hAnsi="宋体" w:cs="宋体"/>
          <w:color w:val="000000"/>
          <w:kern w:val="2"/>
          <w:sz w:val="24"/>
        </w:rPr>
      </w:pPr>
      <w:r>
        <w:rPr>
          <w:rFonts w:hint="eastAsia" w:hAnsi="宋体" w:cs="宋体"/>
          <w:b/>
          <w:color w:val="000000"/>
          <w:sz w:val="21"/>
          <w:szCs w:val="21"/>
        </w:rPr>
        <w:t>注：此合同样本仅作参考，招标方、中标方可根据采购项目的实际情况进行修改。</w:t>
      </w:r>
    </w:p>
    <w:p>
      <w:pPr>
        <w:pStyle w:val="44"/>
        <w:ind w:left="680"/>
        <w:rPr>
          <w:rFonts w:ascii="宋体" w:hAnsi="宋体" w:cs="宋体"/>
          <w:color w:val="000000"/>
        </w:rPr>
      </w:pPr>
    </w:p>
    <w:p>
      <w:pPr>
        <w:pStyle w:val="44"/>
        <w:ind w:left="680"/>
        <w:rPr>
          <w:rFonts w:ascii="宋体" w:hAnsi="宋体" w:cs="宋体"/>
          <w:color w:val="000000"/>
        </w:rPr>
      </w:pPr>
    </w:p>
    <w:p>
      <w:pPr>
        <w:autoSpaceDE/>
        <w:autoSpaceDN/>
        <w:adjustRightInd/>
        <w:spacing w:line="480" w:lineRule="exact"/>
        <w:ind w:firstLine="480" w:firstLineChars="200"/>
        <w:jc w:val="center"/>
        <w:rPr>
          <w:rFonts w:hAnsi="宋体" w:cs="宋体"/>
          <w:color w:val="000000"/>
          <w:kern w:val="2"/>
          <w:sz w:val="24"/>
        </w:rPr>
      </w:pPr>
    </w:p>
    <w:p>
      <w:pPr>
        <w:autoSpaceDE/>
        <w:autoSpaceDN/>
        <w:adjustRightInd/>
        <w:spacing w:line="480" w:lineRule="exact"/>
        <w:jc w:val="both"/>
        <w:rPr>
          <w:rFonts w:hAnsi="宋体" w:cs="宋体"/>
          <w:color w:val="000000"/>
          <w:kern w:val="2"/>
          <w:sz w:val="24"/>
        </w:rPr>
      </w:pPr>
    </w:p>
    <w:bookmarkEnd w:id="47"/>
    <w:p>
      <w:pPr>
        <w:rPr>
          <w:rFonts w:hAnsi="宋体" w:cs="宋体"/>
          <w:color w:val="000000"/>
          <w:kern w:val="2"/>
          <w:sz w:val="24"/>
        </w:rPr>
      </w:pPr>
      <w:bookmarkStart w:id="48" w:name="_Toc351559946"/>
    </w:p>
    <w:p>
      <w:pPr>
        <w:autoSpaceDE/>
        <w:autoSpaceDN/>
        <w:adjustRightInd/>
        <w:spacing w:line="700" w:lineRule="exact"/>
        <w:jc w:val="both"/>
        <w:rPr>
          <w:rFonts w:hAnsi="宋体" w:cs="宋体"/>
          <w:color w:val="000000"/>
          <w:kern w:val="2"/>
          <w:sz w:val="21"/>
          <w:szCs w:val="21"/>
        </w:rPr>
      </w:pPr>
      <w:r>
        <w:rPr>
          <w:rFonts w:hint="eastAsia" w:hAnsi="宋体" w:cs="宋体"/>
          <w:color w:val="000000"/>
          <w:kern w:val="2"/>
          <w:sz w:val="21"/>
          <w:szCs w:val="21"/>
        </w:rPr>
        <w:br w:type="page"/>
      </w:r>
    </w:p>
    <w:p>
      <w:pPr>
        <w:pStyle w:val="3"/>
        <w:spacing w:line="360" w:lineRule="auto"/>
        <w:jc w:val="center"/>
        <w:rPr>
          <w:rFonts w:ascii="宋体" w:hAnsi="宋体" w:cs="宋体"/>
          <w:sz w:val="30"/>
          <w:szCs w:val="30"/>
        </w:rPr>
      </w:pPr>
      <w:r>
        <w:rPr>
          <w:rFonts w:hint="eastAsia" w:ascii="宋体" w:hAnsi="宋体" w:cs="宋体"/>
          <w:sz w:val="30"/>
          <w:szCs w:val="30"/>
        </w:rPr>
        <w:t>第六章　投标文件格式</w:t>
      </w:r>
    </w:p>
    <w:p>
      <w:pPr>
        <w:snapToGrid w:val="0"/>
        <w:spacing w:before="120" w:beforeLines="50" w:after="50"/>
        <w:jc w:val="center"/>
        <w:rPr>
          <w:rFonts w:hAnsi="宋体" w:cs="宋体"/>
          <w:color w:val="000000"/>
          <w:sz w:val="24"/>
        </w:rPr>
      </w:pPr>
      <w:bookmarkStart w:id="49" w:name="_Toc351559947"/>
      <w:r>
        <w:rPr>
          <w:rFonts w:hint="eastAsia" w:hAnsi="宋体" w:cs="宋体"/>
          <w:color w:val="000000"/>
          <w:sz w:val="24"/>
        </w:rPr>
        <w:t>一、投标文件外层包装封面格式</w:t>
      </w:r>
      <w:bookmarkEnd w:id="49"/>
    </w:p>
    <w:p>
      <w:pPr>
        <w:snapToGrid w:val="0"/>
        <w:spacing w:before="120" w:beforeLines="50" w:after="50"/>
        <w:ind w:firstLine="600" w:firstLineChars="250"/>
        <w:rPr>
          <w:rFonts w:hAnsi="宋体" w:cs="宋体"/>
          <w:color w:val="000000"/>
          <w:sz w:val="24"/>
        </w:rPr>
      </w:pPr>
    </w:p>
    <w:p>
      <w:pPr>
        <w:snapToGrid w:val="0"/>
        <w:spacing w:before="120" w:beforeLines="50" w:after="50"/>
        <w:ind w:firstLine="600" w:firstLineChars="250"/>
        <w:rPr>
          <w:rFonts w:hAnsi="宋体" w:cs="宋体"/>
          <w:color w:val="000000"/>
          <w:sz w:val="24"/>
        </w:rPr>
      </w:pPr>
    </w:p>
    <w:p>
      <w:pPr>
        <w:snapToGrid w:val="0"/>
        <w:spacing w:before="120" w:beforeLines="50" w:after="50"/>
        <w:ind w:firstLine="600" w:firstLineChars="250"/>
        <w:rPr>
          <w:rFonts w:hAnsi="宋体" w:cs="宋体"/>
          <w:color w:val="000000"/>
          <w:sz w:val="24"/>
          <w:szCs w:val="24"/>
        </w:rPr>
      </w:pPr>
      <w:r>
        <w:rPr>
          <w:rFonts w:hint="eastAsia" w:hAnsi="宋体" w:cs="宋体"/>
          <w:color w:val="000000"/>
          <w:sz w:val="24"/>
          <w:szCs w:val="24"/>
        </w:rPr>
        <w:t>所有投标文件的外包装封面格式：(可选用)</w:t>
      </w:r>
    </w:p>
    <w:p>
      <w:pPr>
        <w:snapToGrid w:val="0"/>
        <w:spacing w:before="120" w:beforeLines="50" w:after="50"/>
        <w:rPr>
          <w:rFonts w:hAnsi="宋体" w:cs="宋体"/>
          <w:color w:val="000000"/>
          <w:sz w:val="24"/>
          <w:szCs w:val="24"/>
        </w:rPr>
      </w:pPr>
    </w:p>
    <w:p>
      <w:pPr>
        <w:snapToGrid w:val="0"/>
        <w:spacing w:before="120" w:beforeLines="50" w:after="50"/>
        <w:jc w:val="center"/>
        <w:rPr>
          <w:rFonts w:hAnsi="宋体" w:cs="宋体"/>
          <w:color w:val="000000"/>
          <w:sz w:val="24"/>
          <w:szCs w:val="24"/>
        </w:rPr>
      </w:pPr>
    </w:p>
    <w:p>
      <w:pPr>
        <w:snapToGrid w:val="0"/>
        <w:spacing w:before="120" w:beforeLines="50" w:after="50"/>
        <w:jc w:val="center"/>
        <w:rPr>
          <w:rFonts w:hAnsi="宋体" w:cs="宋体"/>
          <w:b/>
          <w:color w:val="000000"/>
          <w:sz w:val="24"/>
          <w:szCs w:val="24"/>
        </w:rPr>
      </w:pPr>
      <w:r>
        <w:rPr>
          <w:rFonts w:hint="eastAsia" w:hAnsi="宋体" w:cs="宋体"/>
          <w:b/>
          <w:color w:val="000000"/>
          <w:sz w:val="24"/>
          <w:szCs w:val="24"/>
        </w:rPr>
        <w:t>投标文件</w:t>
      </w:r>
    </w:p>
    <w:p>
      <w:pPr>
        <w:snapToGrid w:val="0"/>
        <w:spacing w:before="120" w:beforeLines="50" w:after="50"/>
        <w:rPr>
          <w:rFonts w:hAnsi="宋体" w:cs="宋体"/>
          <w:color w:val="000000"/>
          <w:sz w:val="24"/>
          <w:szCs w:val="24"/>
        </w:rPr>
      </w:pP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 xml:space="preserve">项目名称： </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项目编号：</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正本/副本</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投标文件名称：资格文件、商务技术文件、报价文件</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投标人名称：</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投标人地址：</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在 年 月 日 时 分之前不得启封</w:t>
      </w:r>
    </w:p>
    <w:p>
      <w:pPr>
        <w:snapToGrid w:val="0"/>
        <w:spacing w:before="120" w:beforeLines="50" w:after="50"/>
        <w:ind w:firstLine="4080" w:firstLineChars="1700"/>
        <w:rPr>
          <w:rFonts w:hAnsi="宋体" w:cs="宋体"/>
          <w:color w:val="000000"/>
          <w:sz w:val="24"/>
          <w:szCs w:val="24"/>
        </w:rPr>
      </w:pPr>
    </w:p>
    <w:p>
      <w:pPr>
        <w:snapToGrid w:val="0"/>
        <w:spacing w:before="120" w:beforeLines="50" w:after="50"/>
        <w:ind w:firstLine="645"/>
        <w:jc w:val="center"/>
        <w:rPr>
          <w:rFonts w:hAnsi="宋体" w:cs="宋体"/>
          <w:color w:val="000000"/>
          <w:sz w:val="24"/>
          <w:szCs w:val="24"/>
        </w:rPr>
      </w:pPr>
      <w:r>
        <w:rPr>
          <w:rFonts w:hint="eastAsia" w:hAnsi="宋体" w:cs="宋体"/>
          <w:color w:val="000000"/>
          <w:sz w:val="24"/>
          <w:szCs w:val="24"/>
        </w:rPr>
        <w:t>年 月 日</w:t>
      </w:r>
    </w:p>
    <w:p>
      <w:pPr>
        <w:widowControl/>
        <w:snapToGrid w:val="0"/>
        <w:spacing w:before="120" w:after="50"/>
        <w:rPr>
          <w:rFonts w:hAnsi="宋体" w:cs="宋体"/>
          <w:b/>
          <w:color w:val="000000"/>
          <w:sz w:val="21"/>
        </w:rPr>
      </w:pPr>
      <w:r>
        <w:rPr>
          <w:rFonts w:hint="eastAsia" w:hAnsi="宋体" w:cs="宋体"/>
          <w:color w:val="000000"/>
          <w:sz w:val="21"/>
          <w:szCs w:val="21"/>
        </w:rPr>
        <w:br w:type="page"/>
      </w:r>
      <w:r>
        <w:rPr>
          <w:rFonts w:hint="eastAsia" w:hAnsi="宋体" w:cs="宋体"/>
          <w:b/>
          <w:color w:val="000000"/>
          <w:sz w:val="24"/>
        </w:rPr>
        <w:t>（一）资格文件</w:t>
      </w:r>
    </w:p>
    <w:p>
      <w:pPr>
        <w:autoSpaceDE/>
        <w:autoSpaceDN/>
        <w:adjustRightInd/>
        <w:spacing w:line="460" w:lineRule="exact"/>
        <w:ind w:firstLine="482" w:firstLineChars="200"/>
        <w:jc w:val="both"/>
        <w:rPr>
          <w:rFonts w:hAnsi="宋体" w:cs="宋体"/>
          <w:color w:val="000000"/>
          <w:sz w:val="21"/>
          <w:szCs w:val="21"/>
        </w:rPr>
      </w:pPr>
      <w:r>
        <w:rPr>
          <w:rFonts w:hint="eastAsia" w:hAnsi="宋体" w:cs="宋体"/>
          <w:b/>
          <w:color w:val="000000"/>
          <w:sz w:val="24"/>
        </w:rPr>
        <w:t xml:space="preserve"> 资格文件目录</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（1）投标人（包括投标联合体各方）有效期内的营业执照及其他相关资质证书（复印件加盖有效公章）；</w:t>
      </w:r>
    </w:p>
    <w:p>
      <w:pPr>
        <w:widowControl/>
        <w:autoSpaceDE/>
        <w:autoSpaceDN/>
        <w:adjustRightInd/>
        <w:spacing w:line="500" w:lineRule="exact"/>
        <w:ind w:firstLine="420" w:firstLineChars="200"/>
        <w:rPr>
          <w:rFonts w:hAnsi="宋体" w:cs="宋体"/>
          <w:color w:val="000000"/>
          <w:sz w:val="21"/>
          <w:szCs w:val="21"/>
        </w:rPr>
      </w:pPr>
      <w:r>
        <w:rPr>
          <w:rFonts w:hint="eastAsia" w:hAnsi="宋体" w:cs="宋体"/>
          <w:color w:val="000000"/>
          <w:sz w:val="21"/>
          <w:szCs w:val="21"/>
        </w:rPr>
        <w:t>（2）投标人（包括投标联合体各方）符合参加政府采购活动应当具备的一般条件的承诺函（格式见附件）；</w:t>
      </w:r>
    </w:p>
    <w:p>
      <w:pPr>
        <w:widowControl/>
        <w:autoSpaceDE/>
        <w:autoSpaceDN/>
        <w:adjustRightInd/>
        <w:spacing w:line="500" w:lineRule="exact"/>
        <w:ind w:firstLine="420" w:firstLineChars="200"/>
        <w:rPr>
          <w:rFonts w:hAnsi="宋体" w:cs="宋体"/>
          <w:b/>
          <w:color w:val="000000"/>
          <w:sz w:val="21"/>
          <w:szCs w:val="21"/>
        </w:rPr>
      </w:pPr>
      <w:r>
        <w:rPr>
          <w:rFonts w:hint="eastAsia" w:hAnsi="宋体" w:cs="宋体"/>
          <w:color w:val="000000"/>
          <w:sz w:val="21"/>
          <w:szCs w:val="21"/>
        </w:rPr>
        <w:t>（3）本项目的特定资格要求（格式见附件）。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（4）联合协议（联合体投标时须提供）；（格式见附件）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（5）分包意向协议（分包时须提供）；（格式见附件）</w:t>
      </w:r>
    </w:p>
    <w:p>
      <w:pPr>
        <w:autoSpaceDE/>
        <w:autoSpaceDN/>
        <w:adjustRightInd/>
        <w:spacing w:line="500" w:lineRule="exact"/>
        <w:ind w:firstLine="420" w:firstLineChars="200"/>
        <w:jc w:val="both"/>
        <w:rPr>
          <w:rFonts w:hAnsi="宋体" w:cs="宋体"/>
          <w:color w:val="000000"/>
          <w:sz w:val="21"/>
          <w:szCs w:val="21"/>
        </w:rPr>
      </w:pPr>
    </w:p>
    <w:p>
      <w:pPr>
        <w:autoSpaceDE/>
        <w:autoSpaceDN/>
        <w:adjustRightInd/>
        <w:spacing w:line="500" w:lineRule="exact"/>
        <w:ind w:firstLine="420" w:firstLineChars="200"/>
        <w:jc w:val="both"/>
        <w:rPr>
          <w:rFonts w:hAnsi="宋体" w:cs="宋体"/>
          <w:color w:val="000000"/>
          <w:sz w:val="21"/>
          <w:szCs w:val="21"/>
        </w:rPr>
      </w:pPr>
    </w:p>
    <w:p>
      <w:pPr>
        <w:autoSpaceDE/>
        <w:autoSpaceDN/>
        <w:adjustRightInd/>
        <w:spacing w:line="500" w:lineRule="exact"/>
        <w:ind w:firstLine="420" w:firstLineChars="200"/>
        <w:jc w:val="both"/>
        <w:rPr>
          <w:rFonts w:hAnsi="宋体" w:cs="宋体"/>
          <w:color w:val="000000"/>
          <w:sz w:val="21"/>
          <w:szCs w:val="21"/>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b/>
          <w:color w:val="000000"/>
          <w:sz w:val="24"/>
        </w:rPr>
      </w:pPr>
      <w:r>
        <w:rPr>
          <w:rFonts w:hint="eastAsia" w:hAnsi="宋体" w:cs="宋体"/>
          <w:b/>
          <w:color w:val="000000"/>
          <w:sz w:val="24"/>
          <w:szCs w:val="24"/>
        </w:rPr>
        <w:t>1.投标人（包括投标联合体各方）有效期内的营业执照及其他相关资质证书（复印件加盖有效公章）；</w:t>
      </w:r>
    </w:p>
    <w:p>
      <w:pPr>
        <w:rPr>
          <w:rFonts w:hAnsi="宋体" w:cs="宋体"/>
          <w:color w:val="000000"/>
        </w:rPr>
      </w:pPr>
    </w:p>
    <w:p>
      <w:pPr>
        <w:pStyle w:val="44"/>
        <w:ind w:left="680"/>
        <w:rPr>
          <w:rFonts w:ascii="宋体" w:hAnsi="宋体" w:cs="宋体"/>
          <w:color w:val="000000"/>
        </w:rPr>
      </w:pPr>
    </w:p>
    <w:p>
      <w:pPr>
        <w:snapToGrid w:val="0"/>
        <w:spacing w:line="360" w:lineRule="auto"/>
        <w:ind w:right="480"/>
        <w:jc w:val="center"/>
        <w:rPr>
          <w:rFonts w:hAnsi="宋体" w:cs="宋体"/>
          <w:b/>
          <w:color w:val="000000"/>
          <w:sz w:val="32"/>
          <w:szCs w:val="32"/>
        </w:rPr>
      </w:pPr>
      <w:bookmarkStart w:id="50" w:name="_Toc11218"/>
      <w:r>
        <w:rPr>
          <w:rFonts w:hint="eastAsia" w:hAnsi="宋体" w:cs="宋体"/>
          <w:b/>
          <w:color w:val="000000"/>
          <w:sz w:val="24"/>
          <w:szCs w:val="22"/>
        </w:rPr>
        <w:t>2.符合参加政府采购活动应当具备的一般条件的承诺函</w:t>
      </w:r>
    </w:p>
    <w:p>
      <w:pPr>
        <w:snapToGrid w:val="0"/>
        <w:spacing w:line="500" w:lineRule="exact"/>
        <w:rPr>
          <w:rFonts w:hAnsi="宋体" w:cs="宋体"/>
          <w:color w:val="000000"/>
          <w:sz w:val="21"/>
          <w:szCs w:val="21"/>
        </w:rPr>
      </w:pPr>
      <w:r>
        <w:rPr>
          <w:rFonts w:hint="eastAsia" w:hAnsi="宋体" w:cs="宋体"/>
          <w:color w:val="000000"/>
          <w:sz w:val="21"/>
          <w:szCs w:val="21"/>
        </w:rPr>
        <w:t>（采购人）、（采购代理机构）：</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我方参与</w:t>
      </w:r>
      <w:r>
        <w:rPr>
          <w:rFonts w:hint="eastAsia" w:hAnsi="宋体" w:cs="宋体"/>
          <w:color w:val="000000"/>
          <w:sz w:val="21"/>
          <w:szCs w:val="21"/>
          <w:u w:val="single"/>
          <w:lang w:val="en-US" w:eastAsia="zh-CN"/>
        </w:rPr>
        <w:t xml:space="preserve">                     </w:t>
      </w:r>
      <w:r>
        <w:rPr>
          <w:rFonts w:hint="eastAsia" w:hAnsi="宋体" w:cs="宋体"/>
          <w:color w:val="000000"/>
          <w:sz w:val="21"/>
          <w:szCs w:val="21"/>
        </w:rPr>
        <w:t>（项目名称）【</w:t>
      </w:r>
      <w:r>
        <w:rPr>
          <w:rFonts w:hint="eastAsia" w:hAnsi="宋体" w:cs="宋体"/>
          <w:color w:val="000000"/>
          <w:sz w:val="21"/>
          <w:szCs w:val="21"/>
          <w:lang w:eastAsia="zh-CN"/>
        </w:rPr>
        <w:t>项目</w:t>
      </w:r>
      <w:r>
        <w:rPr>
          <w:rFonts w:hint="eastAsia" w:hAnsi="宋体" w:cs="宋体"/>
          <w:color w:val="000000"/>
          <w:sz w:val="21"/>
          <w:szCs w:val="21"/>
        </w:rPr>
        <w:t>编号：</w:t>
      </w:r>
      <w:r>
        <w:rPr>
          <w:rFonts w:hint="eastAsia" w:hAnsi="宋体" w:cs="宋体"/>
          <w:color w:val="000000"/>
          <w:sz w:val="21"/>
          <w:szCs w:val="21"/>
          <w:lang w:val="en-US" w:eastAsia="zh-CN"/>
        </w:rPr>
        <w:t xml:space="preserve">           </w:t>
      </w:r>
      <w:r>
        <w:rPr>
          <w:rFonts w:hint="eastAsia" w:hAnsi="宋体" w:cs="宋体"/>
          <w:color w:val="000000"/>
          <w:sz w:val="21"/>
          <w:szCs w:val="21"/>
        </w:rPr>
        <w:t>】政府采购活动，郑重承诺：</w:t>
      </w:r>
    </w:p>
    <w:p>
      <w:pPr>
        <w:snapToGrid w:val="0"/>
        <w:spacing w:line="500" w:lineRule="exact"/>
        <w:ind w:firstLine="315" w:firstLineChars="150"/>
        <w:rPr>
          <w:rFonts w:hAnsi="宋体" w:cs="宋体"/>
          <w:color w:val="000000"/>
          <w:sz w:val="21"/>
          <w:szCs w:val="21"/>
        </w:rPr>
      </w:pPr>
      <w:r>
        <w:rPr>
          <w:rFonts w:hint="eastAsia" w:hAnsi="宋体" w:cs="宋体"/>
          <w:color w:val="000000"/>
          <w:sz w:val="21"/>
          <w:szCs w:val="21"/>
        </w:rPr>
        <w:t>（一）具备《中华人民共和国政府采购法》第二十二条第一款规定的条件：</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1、具有独立承担民事责任的能力；</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 xml:space="preserve">2、具有良好的商业信誉和健全的财务会计制度； </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3、具有履行合同所必需的设备和专业技术能力；</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4、有依法缴纳税收和社会保障资金的良好记录；</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5、参加政府采购活动前三年内，在经营活动中没有重大违法记录；</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6、具有法律、行政法规规定的其他条件。</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（二）未被信用中国（www.creditchina.gov.cn)、中国政府采购网（www.ccgp.gov.cn）列入失信被执行人、重大税收违法案件当事人名单、政府采购严重违法失信行为记录名单。</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（三）不存在以下情况：</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1、单位负责人为同一人或者存在直接控股、管理关系的不同供应商参加同一合同项下的政府采购活动的；</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2、为采购项目提供整体设计、规范编制或者项目管理、监理、检测等服务后再参加该采购项目的其他采购活动的。</w:t>
      </w:r>
    </w:p>
    <w:p>
      <w:pPr>
        <w:snapToGrid w:val="0"/>
        <w:spacing w:line="500" w:lineRule="exact"/>
        <w:ind w:firstLine="4830" w:firstLineChars="2300"/>
        <w:rPr>
          <w:rFonts w:hAnsi="宋体" w:cs="宋体"/>
          <w:color w:val="000000"/>
          <w:sz w:val="21"/>
          <w:szCs w:val="21"/>
        </w:rPr>
      </w:pPr>
      <w:r>
        <w:rPr>
          <w:rFonts w:hint="eastAsia" w:hAnsi="宋体" w:cs="宋体"/>
          <w:color w:val="000000"/>
          <w:sz w:val="21"/>
          <w:szCs w:val="21"/>
          <w:lang w:val="zh-CN"/>
        </w:rPr>
        <w:t>投标人名称</w:t>
      </w:r>
      <w:r>
        <w:rPr>
          <w:rFonts w:hint="eastAsia" w:hAnsi="宋体" w:cs="宋体"/>
          <w:color w:val="000000"/>
          <w:sz w:val="21"/>
          <w:szCs w:val="21"/>
        </w:rPr>
        <w:t>（盖章）</w:t>
      </w:r>
      <w:r>
        <w:rPr>
          <w:rFonts w:hint="eastAsia" w:hAnsi="宋体" w:cs="宋体"/>
          <w:color w:val="000000"/>
          <w:sz w:val="21"/>
          <w:szCs w:val="21"/>
          <w:lang w:val="zh-CN"/>
        </w:rPr>
        <w:t>：</w:t>
      </w:r>
    </w:p>
    <w:p>
      <w:pPr>
        <w:snapToGrid w:val="0"/>
        <w:spacing w:line="500" w:lineRule="exact"/>
        <w:rPr>
          <w:rFonts w:hAnsi="宋体" w:cs="宋体"/>
          <w:color w:val="000000"/>
          <w:sz w:val="21"/>
          <w:szCs w:val="21"/>
        </w:rPr>
      </w:pPr>
      <w:r>
        <w:rPr>
          <w:rFonts w:hint="eastAsia" w:hAnsi="宋体" w:cs="宋体"/>
          <w:color w:val="000000"/>
          <w:sz w:val="21"/>
          <w:szCs w:val="21"/>
          <w:lang w:val="zh-CN"/>
        </w:rPr>
        <w:t xml:space="preserve">                        </w:t>
      </w:r>
      <w:r>
        <w:rPr>
          <w:rFonts w:hint="eastAsia" w:hAnsi="宋体" w:cs="宋体"/>
          <w:color w:val="000000"/>
          <w:sz w:val="21"/>
          <w:szCs w:val="21"/>
        </w:rPr>
        <w:t xml:space="preserve">                      </w:t>
      </w:r>
      <w:r>
        <w:rPr>
          <w:rFonts w:hint="eastAsia" w:hAnsi="宋体" w:cs="宋体"/>
          <w:color w:val="000000"/>
          <w:sz w:val="21"/>
          <w:szCs w:val="21"/>
          <w:lang w:val="zh-CN"/>
        </w:rPr>
        <w:t>日期</w:t>
      </w:r>
      <w:r>
        <w:rPr>
          <w:rFonts w:hint="eastAsia" w:hAnsi="宋体" w:cs="宋体"/>
          <w:color w:val="000000"/>
          <w:sz w:val="21"/>
          <w:szCs w:val="21"/>
        </w:rPr>
        <w:t xml:space="preserve">：  年  </w:t>
      </w:r>
      <w:r>
        <w:rPr>
          <w:rFonts w:hint="eastAsia" w:hAnsi="宋体" w:cs="宋体"/>
          <w:color w:val="000000"/>
          <w:sz w:val="21"/>
          <w:szCs w:val="21"/>
          <w:lang w:val="zh-CN"/>
        </w:rPr>
        <w:t>月</w:t>
      </w:r>
      <w:r>
        <w:rPr>
          <w:rFonts w:hint="eastAsia" w:hAnsi="宋体" w:cs="宋体"/>
          <w:color w:val="000000"/>
          <w:sz w:val="21"/>
          <w:szCs w:val="21"/>
        </w:rPr>
        <w:t xml:space="preserve">   </w:t>
      </w:r>
      <w:r>
        <w:rPr>
          <w:rFonts w:hint="eastAsia" w:hAnsi="宋体" w:cs="宋体"/>
          <w:color w:val="000000"/>
          <w:sz w:val="21"/>
          <w:szCs w:val="21"/>
          <w:lang w:val="zh-CN"/>
        </w:rPr>
        <w:t>日</w:t>
      </w:r>
    </w:p>
    <w:bookmarkEnd w:id="50"/>
    <w:p>
      <w:pPr>
        <w:pStyle w:val="44"/>
        <w:ind w:left="680"/>
        <w:rPr>
          <w:rFonts w:ascii="宋体" w:hAnsi="宋体" w:cs="宋体"/>
          <w:color w:val="000000"/>
        </w:rPr>
      </w:pP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widowControl/>
        <w:snapToGrid w:val="0"/>
        <w:spacing w:line="360" w:lineRule="auto"/>
        <w:ind w:right="480"/>
        <w:jc w:val="center"/>
        <w:rPr>
          <w:rFonts w:hAnsi="宋体" w:cs="宋体"/>
          <w:b/>
          <w:color w:val="000000"/>
          <w:sz w:val="24"/>
          <w:szCs w:val="22"/>
        </w:rPr>
      </w:pPr>
      <w:r>
        <w:rPr>
          <w:rFonts w:hint="eastAsia" w:hAnsi="宋体" w:cs="宋体"/>
          <w:b/>
          <w:color w:val="000000"/>
          <w:sz w:val="24"/>
        </w:rPr>
        <w:br w:type="page"/>
      </w:r>
      <w:r>
        <w:rPr>
          <w:rFonts w:hint="eastAsia" w:hAnsi="宋体" w:cs="宋体"/>
          <w:b/>
          <w:color w:val="000000"/>
          <w:sz w:val="24"/>
          <w:szCs w:val="22"/>
        </w:rPr>
        <w:t>3.本项目的特定资格要求</w:t>
      </w:r>
    </w:p>
    <w:p>
      <w:pPr>
        <w:autoSpaceDE/>
        <w:autoSpaceDN/>
        <w:adjustRightInd/>
        <w:snapToGrid w:val="0"/>
        <w:spacing w:before="120" w:beforeLines="50" w:after="50"/>
        <w:ind w:firstLine="1050" w:firstLineChars="500"/>
        <w:rPr>
          <w:rFonts w:hAnsi="宋体" w:cs="宋体"/>
          <w:b/>
          <w:bCs/>
          <w:color w:val="000000"/>
          <w:sz w:val="21"/>
          <w:szCs w:val="21"/>
        </w:rPr>
      </w:pPr>
      <w:r>
        <w:rPr>
          <w:rFonts w:hint="eastAsia" w:hAnsi="宋体" w:cs="宋体"/>
          <w:color w:val="000000"/>
          <w:sz w:val="21"/>
          <w:szCs w:val="21"/>
        </w:rPr>
        <w:t>（根据招标公告本项目的特定资格要求提供相应的材料；未要求的，无需提供）</w:t>
      </w:r>
    </w:p>
    <w:p>
      <w:pPr>
        <w:widowControl/>
        <w:spacing w:line="500" w:lineRule="exact"/>
        <w:ind w:firstLine="416" w:firstLineChars="200"/>
        <w:jc w:val="both"/>
        <w:rPr>
          <w:rFonts w:hAnsi="宋体" w:cs="宋体"/>
          <w:color w:val="000000"/>
          <w:spacing w:val="-1"/>
          <w:sz w:val="21"/>
          <w:szCs w:val="21"/>
        </w:rPr>
      </w:pPr>
    </w:p>
    <w:p>
      <w:pPr>
        <w:spacing w:line="458" w:lineRule="exact"/>
        <w:rPr>
          <w:rFonts w:hAnsi="宋体" w:cs="宋体"/>
          <w:color w:val="000000"/>
          <w:sz w:val="21"/>
          <w:szCs w:val="21"/>
        </w:rPr>
      </w:pPr>
    </w:p>
    <w:p>
      <w:pPr>
        <w:pStyle w:val="65"/>
        <w:spacing w:before="120"/>
        <w:rPr>
          <w:rFonts w:hAnsi="宋体" w:cs="宋体"/>
          <w:color w:val="000000"/>
          <w:sz w:val="21"/>
          <w:szCs w:val="21"/>
        </w:rPr>
      </w:pPr>
    </w:p>
    <w:p>
      <w:pPr>
        <w:pStyle w:val="65"/>
        <w:spacing w:before="120"/>
        <w:rPr>
          <w:rFonts w:hAnsi="宋体" w:cs="宋体"/>
          <w:color w:val="000000"/>
          <w:sz w:val="21"/>
          <w:szCs w:val="21"/>
        </w:rPr>
      </w:pPr>
    </w:p>
    <w:p>
      <w:pPr>
        <w:snapToGrid w:val="0"/>
        <w:spacing w:before="50" w:after="50"/>
        <w:rPr>
          <w:rFonts w:hAnsi="宋体" w:cs="宋体"/>
          <w:color w:val="000000" w:themeColor="text1"/>
          <w:sz w:val="21"/>
          <w:szCs w:val="21"/>
        </w:rPr>
      </w:pPr>
    </w:p>
    <w:p>
      <w:pPr>
        <w:spacing w:line="500" w:lineRule="exact"/>
        <w:jc w:val="center"/>
        <w:rPr>
          <w:rFonts w:hAnsi="宋体" w:cs="宋体"/>
          <w:b/>
          <w:color w:val="000000" w:themeColor="text1"/>
          <w:sz w:val="24"/>
          <w:szCs w:val="24"/>
          <w:lang w:val="zh-TW"/>
        </w:rPr>
      </w:pPr>
      <w:r>
        <w:rPr>
          <w:rFonts w:hint="eastAsia" w:hAnsi="宋体" w:cs="宋体"/>
          <w:b/>
          <w:color w:val="000000" w:themeColor="text1"/>
          <w:sz w:val="24"/>
          <w:szCs w:val="24"/>
        </w:rPr>
        <w:t>4.</w:t>
      </w:r>
      <w:r>
        <w:rPr>
          <w:rFonts w:hint="eastAsia" w:hAnsi="宋体" w:cs="宋体"/>
          <w:b/>
          <w:color w:val="000000" w:themeColor="text1"/>
          <w:sz w:val="24"/>
          <w:szCs w:val="24"/>
          <w:lang w:val="zh-TW"/>
        </w:rPr>
        <w:t>联合协议</w:t>
      </w:r>
    </w:p>
    <w:p>
      <w:pPr>
        <w:pStyle w:val="109"/>
        <w:snapToGrid w:val="0"/>
        <w:spacing w:before="0" w:beforeAutospacing="0" w:after="0" w:afterAutospacing="0" w:line="500" w:lineRule="exact"/>
        <w:ind w:firstLine="480" w:firstLineChars="200"/>
        <w:jc w:val="center"/>
        <w:rPr>
          <w:rFonts w:ascii="宋体"/>
          <w:b/>
          <w:bCs/>
          <w:color w:val="000000" w:themeColor="text1"/>
          <w:sz w:val="21"/>
          <w:szCs w:val="21"/>
        </w:rPr>
      </w:pPr>
      <w:r>
        <w:rPr>
          <w:rFonts w:hint="eastAsia" w:ascii="宋体"/>
          <w:color w:val="000000" w:themeColor="text1"/>
        </w:rPr>
        <w:t>（投标人以联合体形式参与投标的适用）</w:t>
      </w:r>
    </w:p>
    <w:p>
      <w:pPr>
        <w:snapToGrid w:val="0"/>
        <w:spacing w:line="500" w:lineRule="exact"/>
        <w:ind w:firstLine="420"/>
        <w:rPr>
          <w:rFonts w:hAnsi="宋体" w:cs="宋体"/>
          <w:color w:val="000000" w:themeColor="text1"/>
          <w:kern w:val="1"/>
          <w:sz w:val="21"/>
          <w:szCs w:val="21"/>
        </w:rPr>
      </w:pPr>
      <w:r>
        <w:rPr>
          <w:rFonts w:hint="eastAsia" w:hAnsi="宋体" w:cs="宋体"/>
          <w:color w:val="000000" w:themeColor="text1"/>
          <w:kern w:val="1"/>
          <w:sz w:val="21"/>
          <w:szCs w:val="21"/>
        </w:rPr>
        <w:t>牵头方公司名称：</w:t>
      </w:r>
    </w:p>
    <w:p>
      <w:pPr>
        <w:snapToGrid w:val="0"/>
        <w:spacing w:line="500" w:lineRule="exact"/>
        <w:ind w:firstLine="420"/>
        <w:rPr>
          <w:rFonts w:hAnsi="宋体" w:cs="宋体"/>
          <w:color w:val="000000" w:themeColor="text1"/>
          <w:kern w:val="1"/>
          <w:sz w:val="21"/>
          <w:szCs w:val="21"/>
        </w:rPr>
      </w:pPr>
      <w:r>
        <w:rPr>
          <w:rFonts w:hint="eastAsia" w:hAnsi="宋体" w:cs="宋体"/>
          <w:color w:val="000000" w:themeColor="text1"/>
          <w:kern w:val="1"/>
          <w:sz w:val="21"/>
          <w:szCs w:val="21"/>
        </w:rPr>
        <w:t>法定代表人：</w:t>
      </w:r>
    </w:p>
    <w:p>
      <w:pPr>
        <w:snapToGrid w:val="0"/>
        <w:spacing w:line="500" w:lineRule="exact"/>
        <w:ind w:firstLine="420"/>
        <w:rPr>
          <w:rFonts w:hAnsi="宋体" w:cs="宋体"/>
          <w:color w:val="000000" w:themeColor="text1"/>
          <w:kern w:val="1"/>
          <w:sz w:val="21"/>
          <w:szCs w:val="21"/>
        </w:rPr>
      </w:pPr>
      <w:r>
        <w:rPr>
          <w:rFonts w:hint="eastAsia" w:hAnsi="宋体" w:cs="宋体"/>
          <w:color w:val="000000" w:themeColor="text1"/>
          <w:kern w:val="1"/>
          <w:sz w:val="21"/>
          <w:szCs w:val="21"/>
        </w:rPr>
        <w:t>住所地：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成员方公司名称：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住所地：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鉴于上述各成员公司经过友好协商，自愿组成</w:t>
      </w:r>
      <w:r>
        <w:rPr>
          <w:rFonts w:hint="eastAsia" w:hAnsi="宋体" w:cs="宋体"/>
          <w:color w:val="000000"/>
          <w:kern w:val="1"/>
          <w:sz w:val="21"/>
          <w:szCs w:val="21"/>
          <w:u w:val="single"/>
        </w:rPr>
        <w:t xml:space="preserve">        </w:t>
      </w:r>
      <w:r>
        <w:rPr>
          <w:rFonts w:hint="eastAsia" w:hAnsi="宋体" w:cs="宋体"/>
          <w:color w:val="000000"/>
          <w:kern w:val="1"/>
          <w:sz w:val="21"/>
          <w:szCs w:val="21"/>
        </w:rPr>
        <w:t>(联合体名称)联合体，共同参加</w:t>
      </w:r>
      <w:r>
        <w:rPr>
          <w:rFonts w:hint="eastAsia" w:hAnsi="宋体" w:cs="宋体"/>
          <w:color w:val="000000"/>
          <w:kern w:val="1"/>
          <w:sz w:val="21"/>
          <w:szCs w:val="21"/>
          <w:u w:val="single"/>
        </w:rPr>
        <w:t xml:space="preserve">          (项目名称)</w:t>
      </w:r>
      <w:r>
        <w:rPr>
          <w:rFonts w:hint="eastAsia" w:hAnsi="宋体" w:cs="宋体"/>
          <w:color w:val="000000"/>
          <w:kern w:val="1"/>
          <w:sz w:val="21"/>
          <w:szCs w:val="21"/>
        </w:rPr>
        <w:t>及</w:t>
      </w:r>
      <w:r>
        <w:rPr>
          <w:rFonts w:hint="eastAsia" w:hAnsi="宋体" w:cs="宋体"/>
          <w:color w:val="000000"/>
          <w:kern w:val="1"/>
          <w:sz w:val="21"/>
          <w:szCs w:val="21"/>
          <w:u w:val="single"/>
        </w:rPr>
        <w:t xml:space="preserve">（采购编号）      </w:t>
      </w:r>
      <w:r>
        <w:rPr>
          <w:rFonts w:hint="eastAsia" w:hAnsi="宋体" w:cs="宋体"/>
          <w:color w:val="000000"/>
          <w:kern w:val="1"/>
          <w:sz w:val="21"/>
          <w:szCs w:val="21"/>
        </w:rPr>
        <w:t>的投标活动。现就联合体申请及投标事宜订立如下协议：</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1、由</w:t>
      </w:r>
      <w:r>
        <w:rPr>
          <w:rFonts w:hint="eastAsia" w:hAnsi="宋体" w:cs="宋体"/>
          <w:color w:val="000000"/>
          <w:kern w:val="1"/>
          <w:sz w:val="21"/>
          <w:szCs w:val="21"/>
          <w:u w:val="single"/>
        </w:rPr>
        <w:t xml:space="preserve">     </w:t>
      </w:r>
      <w:r>
        <w:rPr>
          <w:rFonts w:hint="eastAsia" w:hAnsi="宋体" w:cs="宋体"/>
          <w:color w:val="000000"/>
          <w:kern w:val="1"/>
          <w:sz w:val="21"/>
          <w:szCs w:val="21"/>
        </w:rPr>
        <w:t>作为牵头公司负责联合体在本项目的投标活动。联合体各方及其法定代表人授权委托其授权代表参加本项目的招投标活动。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2、牵头公司代表联合体全体成员负责联合体在项目中的一切投标活动，包括但不限于提交组织编制投标文件、提交投标文件、提交澄清文件以及处理与项目投标相关的一切必要的事宜。投标人与招标人之间的来往函件将通过牵头公司收寄。</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3、牵头公司做出的关于</w:t>
      </w:r>
      <w:r>
        <w:rPr>
          <w:rFonts w:hint="eastAsia" w:hAnsi="宋体" w:cs="宋体"/>
          <w:color w:val="000000"/>
          <w:kern w:val="1"/>
          <w:sz w:val="21"/>
          <w:szCs w:val="21"/>
          <w:u w:val="single"/>
        </w:rPr>
        <w:t xml:space="preserve">           </w:t>
      </w:r>
      <w:r>
        <w:rPr>
          <w:rFonts w:hint="eastAsia" w:hAnsi="宋体" w:cs="宋体"/>
          <w:color w:val="000000"/>
          <w:kern w:val="1"/>
          <w:sz w:val="21"/>
          <w:szCs w:val="21"/>
        </w:rPr>
        <w:t>(项目名称)相关的行为对联合体全体成员均具有法律效力。联合体成员各方对牵头公司在投标活动中及中标后履约的一切行为承担连带责任。</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4、联合体各方均同意授权联合体牵头方员工</w:t>
      </w:r>
      <w:r>
        <w:rPr>
          <w:rFonts w:hint="eastAsia" w:hAnsi="宋体" w:cs="宋体"/>
          <w:color w:val="000000"/>
          <w:kern w:val="1"/>
          <w:sz w:val="21"/>
          <w:szCs w:val="21"/>
          <w:u w:val="single"/>
        </w:rPr>
        <w:t xml:space="preserve">        </w:t>
      </w:r>
      <w:r>
        <w:rPr>
          <w:rFonts w:hint="eastAsia" w:hAnsi="宋体" w:cs="宋体"/>
          <w:color w:val="000000"/>
          <w:kern w:val="1"/>
          <w:sz w:val="21"/>
          <w:szCs w:val="21"/>
        </w:rPr>
        <w:t>（姓名、职务）作为联合体参与本项目投标活动的授权代表。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5、联合体成员各方在本项目中的工作职责、权利与义务如下：(需列述)</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5.1</w:t>
      </w:r>
      <w:r>
        <w:rPr>
          <w:rFonts w:hint="eastAsia" w:hAnsi="宋体" w:cs="宋体"/>
          <w:b/>
          <w:color w:val="000000"/>
          <w:sz w:val="21"/>
          <w:szCs w:val="21"/>
          <w:u w:val="single"/>
        </w:rPr>
        <w:t xml:space="preserve">          </w:t>
      </w:r>
      <w:r>
        <w:rPr>
          <w:rFonts w:hint="eastAsia" w:hAnsi="宋体" w:cs="宋体"/>
          <w:b/>
          <w:color w:val="000000"/>
          <w:sz w:val="21"/>
          <w:szCs w:val="21"/>
        </w:rPr>
        <w:t>作为联合体牵头方，负责</w:t>
      </w:r>
      <w:r>
        <w:rPr>
          <w:rFonts w:hint="eastAsia" w:hAnsi="宋体" w:cs="宋体"/>
          <w:color w:val="000000"/>
          <w:kern w:val="1"/>
          <w:sz w:val="21"/>
          <w:szCs w:val="21"/>
          <w:u w:val="single"/>
        </w:rPr>
        <w:t xml:space="preserve">       </w:t>
      </w:r>
      <w:r>
        <w:rPr>
          <w:rFonts w:hint="eastAsia" w:hAnsi="宋体" w:cs="宋体"/>
          <w:b/>
          <w:color w:val="000000"/>
          <w:sz w:val="21"/>
          <w:szCs w:val="21"/>
        </w:rPr>
        <w:t>。</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5.2</w:t>
      </w:r>
      <w:r>
        <w:rPr>
          <w:rFonts w:hint="eastAsia" w:hAnsi="宋体" w:cs="宋体"/>
          <w:b/>
          <w:color w:val="000000"/>
          <w:sz w:val="21"/>
          <w:szCs w:val="21"/>
          <w:u w:val="single"/>
        </w:rPr>
        <w:t xml:space="preserve">          </w:t>
      </w:r>
      <w:r>
        <w:rPr>
          <w:rFonts w:hint="eastAsia" w:hAnsi="宋体" w:cs="宋体"/>
          <w:b/>
          <w:color w:val="000000"/>
          <w:sz w:val="21"/>
          <w:szCs w:val="21"/>
        </w:rPr>
        <w:t>作为联合体成员方，负责</w:t>
      </w:r>
      <w:r>
        <w:rPr>
          <w:rFonts w:hint="eastAsia" w:hAnsi="宋体" w:cs="宋体"/>
          <w:color w:val="000000"/>
          <w:kern w:val="1"/>
          <w:sz w:val="21"/>
          <w:szCs w:val="21"/>
          <w:u w:val="single"/>
        </w:rPr>
        <w:t xml:space="preserve">       </w:t>
      </w:r>
      <w:r>
        <w:rPr>
          <w:rFonts w:hint="eastAsia" w:hAnsi="宋体" w:cs="宋体"/>
          <w:b/>
          <w:color w:val="000000"/>
          <w:sz w:val="21"/>
          <w:szCs w:val="21"/>
        </w:rPr>
        <w:t>。</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6、关于</w:t>
      </w:r>
      <w:r>
        <w:rPr>
          <w:rFonts w:hint="eastAsia" w:hAnsi="宋体" w:cs="宋体"/>
          <w:color w:val="000000"/>
          <w:sz w:val="21"/>
          <w:szCs w:val="21"/>
        </w:rPr>
        <w:t>联合体内小微企业合同份额</w:t>
      </w:r>
      <w:r>
        <w:rPr>
          <w:rFonts w:hint="eastAsia" w:hAnsi="宋体" w:cs="宋体"/>
          <w:color w:val="000000"/>
          <w:kern w:val="1"/>
          <w:sz w:val="21"/>
          <w:szCs w:val="21"/>
        </w:rPr>
        <w:t>的承诺与声明：</w:t>
      </w:r>
    </w:p>
    <w:p>
      <w:pPr>
        <w:snapToGrid w:val="0"/>
        <w:spacing w:line="460" w:lineRule="atLeast"/>
        <w:ind w:left="207" w:leftChars="61" w:firstLine="210" w:firstLineChars="100"/>
        <w:rPr>
          <w:rFonts w:hAnsi="宋体" w:cs="宋体"/>
          <w:b/>
          <w:bCs/>
          <w:color w:val="000000"/>
          <w:spacing w:val="14"/>
          <w:sz w:val="21"/>
          <w:szCs w:val="21"/>
        </w:rPr>
      </w:pPr>
      <w:r>
        <w:rPr>
          <w:rFonts w:hint="eastAsia" w:hAnsi="宋体" w:cs="宋体"/>
          <w:color w:val="000000"/>
          <w:kern w:val="1"/>
          <w:sz w:val="21"/>
          <w:szCs w:val="21"/>
        </w:rPr>
        <w:t>6.1联合体中的</w:t>
      </w:r>
      <w:r>
        <w:rPr>
          <w:rFonts w:hint="eastAsia" w:hAnsi="宋体" w:cs="宋体"/>
          <w:color w:val="000000"/>
          <w:sz w:val="21"/>
          <w:szCs w:val="21"/>
        </w:rPr>
        <w:t>小微</w:t>
      </w:r>
      <w:r>
        <w:rPr>
          <w:rFonts w:hint="eastAsia" w:hAnsi="宋体" w:cs="宋体"/>
          <w:color w:val="000000"/>
          <w:kern w:val="1"/>
          <w:sz w:val="21"/>
          <w:szCs w:val="21"/>
        </w:rPr>
        <w:t>企业是</w:t>
      </w:r>
      <w:r>
        <w:rPr>
          <w:rFonts w:hint="eastAsia" w:hAnsi="宋体" w:cs="宋体"/>
          <w:color w:val="000000"/>
          <w:kern w:val="1"/>
          <w:sz w:val="21"/>
          <w:szCs w:val="21"/>
          <w:u w:val="single"/>
        </w:rPr>
        <w:t xml:space="preserve">（供应商名称）               </w:t>
      </w:r>
      <w:r>
        <w:rPr>
          <w:rFonts w:hint="eastAsia" w:hAnsi="宋体" w:cs="宋体"/>
          <w:color w:val="000000"/>
          <w:kern w:val="1"/>
          <w:sz w:val="21"/>
          <w:szCs w:val="21"/>
        </w:rPr>
        <w:t>(请将小微企业的《中小企业声明函》附后），各</w:t>
      </w:r>
      <w:r>
        <w:rPr>
          <w:rFonts w:hint="eastAsia" w:hAnsi="宋体" w:cs="宋体"/>
          <w:color w:val="000000"/>
          <w:sz w:val="21"/>
          <w:szCs w:val="21"/>
        </w:rPr>
        <w:t>小微</w:t>
      </w:r>
      <w:r>
        <w:rPr>
          <w:rFonts w:hint="eastAsia" w:hAnsi="宋体" w:cs="宋体"/>
          <w:color w:val="000000"/>
          <w:kern w:val="1"/>
          <w:sz w:val="21"/>
          <w:szCs w:val="21"/>
        </w:rPr>
        <w:t>企业之间及各</w:t>
      </w:r>
      <w:r>
        <w:rPr>
          <w:rFonts w:hint="eastAsia" w:hAnsi="宋体" w:cs="宋体"/>
          <w:color w:val="000000"/>
          <w:sz w:val="21"/>
          <w:szCs w:val="21"/>
        </w:rPr>
        <w:t>小微</w:t>
      </w:r>
      <w:r>
        <w:rPr>
          <w:rFonts w:hint="eastAsia" w:hAnsi="宋体" w:cs="宋体"/>
          <w:color w:val="000000"/>
          <w:kern w:val="1"/>
          <w:sz w:val="21"/>
          <w:szCs w:val="21"/>
        </w:rPr>
        <w:t>企业</w:t>
      </w:r>
      <w:r>
        <w:rPr>
          <w:rFonts w:hint="eastAsia" w:hAnsi="宋体" w:cs="宋体"/>
          <w:color w:val="000000"/>
          <w:sz w:val="21"/>
          <w:szCs w:val="21"/>
        </w:rPr>
        <w:t>与联合体内其他企业之间均不存在直接控股、管理关系。</w:t>
      </w:r>
    </w:p>
    <w:p>
      <w:pPr>
        <w:snapToGrid w:val="0"/>
        <w:spacing w:line="500" w:lineRule="exact"/>
        <w:ind w:firstLine="420"/>
        <w:rPr>
          <w:rFonts w:hAnsi="宋体" w:cs="宋体"/>
          <w:color w:val="000000"/>
          <w:sz w:val="21"/>
          <w:szCs w:val="21"/>
        </w:rPr>
      </w:pPr>
      <w:r>
        <w:rPr>
          <w:rFonts w:hint="eastAsia" w:hAnsi="宋体" w:cs="宋体"/>
          <w:color w:val="000000"/>
          <w:kern w:val="1"/>
          <w:sz w:val="21"/>
          <w:szCs w:val="21"/>
        </w:rPr>
        <w:t>6.2 上述</w:t>
      </w:r>
      <w:r>
        <w:rPr>
          <w:rFonts w:hint="eastAsia" w:hAnsi="宋体" w:cs="宋体"/>
          <w:color w:val="000000"/>
          <w:sz w:val="21"/>
          <w:szCs w:val="21"/>
        </w:rPr>
        <w:t>小微</w:t>
      </w:r>
      <w:r>
        <w:rPr>
          <w:rFonts w:hint="eastAsia" w:hAnsi="宋体" w:cs="宋体"/>
          <w:color w:val="000000"/>
          <w:kern w:val="1"/>
          <w:sz w:val="21"/>
          <w:szCs w:val="21"/>
        </w:rPr>
        <w:t>企业</w:t>
      </w:r>
      <w:r>
        <w:rPr>
          <w:rFonts w:hint="eastAsia" w:hAnsi="宋体" w:cs="宋体"/>
          <w:color w:val="000000"/>
          <w:kern w:val="1"/>
          <w:sz w:val="21"/>
          <w:szCs w:val="21"/>
          <w:u w:val="single"/>
        </w:rPr>
        <w:t xml:space="preserve">中：（1）供应商（供应商名称）               </w:t>
      </w:r>
      <w:r>
        <w:rPr>
          <w:rFonts w:hint="eastAsia" w:hAnsi="宋体" w:cs="宋体"/>
          <w:color w:val="000000"/>
          <w:sz w:val="21"/>
          <w:szCs w:val="21"/>
        </w:rPr>
        <w:t>承担的工作和相应的责任是</w:t>
      </w:r>
      <w:r>
        <w:rPr>
          <w:rFonts w:hint="eastAsia" w:hAnsi="宋体" w:cs="宋体"/>
          <w:color w:val="000000"/>
          <w:sz w:val="21"/>
          <w:szCs w:val="21"/>
          <w:u w:val="single"/>
        </w:rPr>
        <w:t xml:space="preserve">           ，其</w:t>
      </w:r>
      <w:r>
        <w:rPr>
          <w:rFonts w:hint="eastAsia" w:hAnsi="宋体" w:cs="宋体"/>
          <w:color w:val="000000"/>
          <w:sz w:val="21"/>
          <w:szCs w:val="21"/>
        </w:rPr>
        <w:t>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）；（2）</w:t>
      </w:r>
      <w:r>
        <w:rPr>
          <w:rFonts w:hint="eastAsia" w:hAnsi="宋体" w:cs="宋体"/>
          <w:color w:val="000000"/>
          <w:kern w:val="1"/>
          <w:sz w:val="21"/>
          <w:szCs w:val="21"/>
          <w:u w:val="single"/>
        </w:rPr>
        <w:t xml:space="preserve">供应商（供应商名称）               </w:t>
      </w:r>
      <w:r>
        <w:rPr>
          <w:rFonts w:hint="eastAsia" w:hAnsi="宋体" w:cs="宋体"/>
          <w:color w:val="000000"/>
          <w:sz w:val="21"/>
          <w:szCs w:val="21"/>
        </w:rPr>
        <w:t>承担的工作和相应的责任是</w:t>
      </w:r>
      <w:r>
        <w:rPr>
          <w:rFonts w:hint="eastAsia" w:hAnsi="宋体" w:cs="宋体"/>
          <w:color w:val="000000"/>
          <w:sz w:val="21"/>
          <w:szCs w:val="21"/>
          <w:u w:val="single"/>
        </w:rPr>
        <w:t xml:space="preserve">           ，其</w:t>
      </w:r>
      <w:r>
        <w:rPr>
          <w:rFonts w:hint="eastAsia" w:hAnsi="宋体" w:cs="宋体"/>
          <w:color w:val="000000"/>
          <w:sz w:val="21"/>
          <w:szCs w:val="21"/>
        </w:rPr>
        <w:t>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rPr>
          <w:rFonts w:hAnsi="宋体" w:cs="宋体"/>
          <w:color w:val="000000"/>
          <w:kern w:val="1"/>
          <w:sz w:val="21"/>
          <w:szCs w:val="21"/>
          <w:u w:val="single"/>
        </w:rPr>
      </w:pPr>
      <w:r>
        <w:rPr>
          <w:rFonts w:hint="eastAsia" w:hAnsi="宋体" w:cs="宋体"/>
          <w:color w:val="000000"/>
          <w:sz w:val="21"/>
          <w:szCs w:val="21"/>
        </w:rPr>
        <w:t>综上，小微</w:t>
      </w:r>
      <w:r>
        <w:rPr>
          <w:rFonts w:hint="eastAsia" w:hAnsi="宋体" w:cs="宋体"/>
          <w:color w:val="000000"/>
          <w:kern w:val="1"/>
          <w:sz w:val="21"/>
          <w:szCs w:val="21"/>
        </w:rPr>
        <w:t>企业</w:t>
      </w:r>
      <w:r>
        <w:rPr>
          <w:rFonts w:hint="eastAsia" w:hAnsi="宋体" w:cs="宋体"/>
          <w:color w:val="000000"/>
          <w:sz w:val="21"/>
          <w:szCs w:val="21"/>
        </w:rPr>
        <w:t>承担工作的协议合同份额合计数占本项目投标总金额（合同总金额）的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7、本协议经所有联合体成员盖章和法定代表人或授权代表签字后生效。若本联合体未获得本项目中标资格，本协议有效期与本投标文件有效期一致；若本联合体获得本项目中标资格，则本协议有效期自动延长至招标人与中标人双方履行采购合同结束之日。</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8、本协议书一式</w:t>
      </w:r>
      <w:r>
        <w:rPr>
          <w:rFonts w:hint="eastAsia" w:hAnsi="宋体" w:cs="宋体"/>
          <w:color w:val="000000"/>
          <w:kern w:val="1"/>
          <w:sz w:val="21"/>
          <w:szCs w:val="21"/>
          <w:u w:val="single"/>
        </w:rPr>
        <w:t xml:space="preserve">  </w:t>
      </w:r>
      <w:r>
        <w:rPr>
          <w:rFonts w:hint="eastAsia" w:hAnsi="宋体" w:cs="宋体"/>
          <w:color w:val="000000"/>
          <w:kern w:val="1"/>
          <w:sz w:val="21"/>
          <w:szCs w:val="21"/>
        </w:rPr>
        <w:t>份，联合体各方和招标人各执</w:t>
      </w:r>
      <w:r>
        <w:rPr>
          <w:rFonts w:hint="eastAsia" w:hAnsi="宋体" w:cs="宋体"/>
          <w:color w:val="000000"/>
          <w:kern w:val="1"/>
          <w:sz w:val="21"/>
          <w:szCs w:val="21"/>
          <w:u w:val="single"/>
        </w:rPr>
        <w:t xml:space="preserve">  </w:t>
      </w:r>
      <w:r>
        <w:rPr>
          <w:rFonts w:hint="eastAsia" w:hAnsi="宋体" w:cs="宋体"/>
          <w:color w:val="000000"/>
          <w:kern w:val="1"/>
          <w:sz w:val="21"/>
          <w:szCs w:val="21"/>
        </w:rPr>
        <w:t>份。</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9、本联合体提供的投标文件以联合体各方盖章或联合体牵头方的盖章有效，签名以联合体各方的授权代表或联合体牵头方的授权代表有效。</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牵头公司名称(盖单位公章):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授权代表（签字或盖章）：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成员公司名称(盖单位公章):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授权代表（签字或盖章）：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rPr>
          <w:rFonts w:hAnsi="宋体" w:cs="宋体"/>
          <w:color w:val="000000"/>
          <w:kern w:val="1"/>
          <w:sz w:val="21"/>
          <w:szCs w:val="21"/>
        </w:rPr>
      </w:pPr>
    </w:p>
    <w:p>
      <w:pPr>
        <w:pStyle w:val="2"/>
        <w:rPr>
          <w:rFonts w:ascii="宋体" w:hAnsi="宋体" w:eastAsia="宋体" w:cs="宋体"/>
          <w:color w:val="000000"/>
          <w:kern w:val="1"/>
          <w:sz w:val="21"/>
          <w:szCs w:val="21"/>
        </w:rPr>
      </w:pPr>
    </w:p>
    <w:p>
      <w:pPr>
        <w:rPr>
          <w:rFonts w:hAnsi="宋体" w:cs="宋体"/>
          <w:color w:val="000000"/>
          <w:kern w:val="1"/>
          <w:sz w:val="21"/>
          <w:szCs w:val="21"/>
        </w:rPr>
      </w:pPr>
    </w:p>
    <w:p>
      <w:pPr>
        <w:widowControl/>
        <w:ind w:firstLine="420" w:firstLineChars="200"/>
        <w:rPr>
          <w:rFonts w:hAnsi="宋体" w:cs="宋体"/>
          <w:color w:val="000000"/>
          <w:sz w:val="21"/>
          <w:szCs w:val="21"/>
        </w:rPr>
      </w:pPr>
    </w:p>
    <w:p>
      <w:pPr>
        <w:ind w:firstLine="723" w:firstLineChars="300"/>
        <w:jc w:val="center"/>
        <w:rPr>
          <w:rFonts w:hAnsi="宋体" w:cs="宋体"/>
          <w:b/>
          <w:color w:val="000000"/>
          <w:sz w:val="24"/>
          <w:szCs w:val="22"/>
        </w:rPr>
      </w:pPr>
      <w:r>
        <w:rPr>
          <w:rFonts w:hint="eastAsia" w:hAnsi="宋体" w:cs="宋体"/>
          <w:b/>
          <w:color w:val="000000"/>
          <w:sz w:val="24"/>
          <w:szCs w:val="22"/>
        </w:rPr>
        <w:br w:type="page"/>
      </w:r>
    </w:p>
    <w:p>
      <w:pPr>
        <w:ind w:firstLine="723" w:firstLineChars="300"/>
        <w:jc w:val="center"/>
        <w:rPr>
          <w:rFonts w:hAnsi="宋体" w:cs="宋体"/>
          <w:b/>
          <w:color w:val="000000"/>
          <w:sz w:val="24"/>
          <w:szCs w:val="22"/>
        </w:rPr>
      </w:pPr>
      <w:r>
        <w:rPr>
          <w:rFonts w:hint="eastAsia" w:hAnsi="宋体" w:cs="宋体"/>
          <w:b/>
          <w:color w:val="000000"/>
          <w:sz w:val="24"/>
          <w:szCs w:val="22"/>
        </w:rPr>
        <w:t>5.分包意向协议</w:t>
      </w:r>
    </w:p>
    <w:p>
      <w:pPr>
        <w:spacing w:line="500" w:lineRule="exact"/>
        <w:ind w:firstLine="420" w:firstLineChars="200"/>
        <w:jc w:val="center"/>
        <w:rPr>
          <w:rFonts w:hAnsi="宋体" w:cs="宋体"/>
          <w:b/>
          <w:color w:val="000000"/>
          <w:sz w:val="24"/>
          <w:szCs w:val="22"/>
        </w:rPr>
      </w:pPr>
      <w:r>
        <w:rPr>
          <w:rFonts w:hint="eastAsia" w:hAnsi="宋体" w:cs="宋体"/>
          <w:color w:val="000000"/>
          <w:sz w:val="21"/>
          <w:szCs w:val="21"/>
        </w:rPr>
        <w:t>（分包适用）</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立约方：</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（投标人名称）</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（所有接受分包供应商名称）</w:t>
      </w:r>
    </w:p>
    <w:p>
      <w:pPr>
        <w:snapToGrid w:val="0"/>
        <w:spacing w:line="500" w:lineRule="exact"/>
        <w:ind w:firstLine="420" w:firstLineChars="200"/>
        <w:rPr>
          <w:rFonts w:hAnsi="宋体" w:cs="宋体"/>
          <w:color w:val="000000"/>
          <w:sz w:val="21"/>
          <w:szCs w:val="21"/>
          <w:u w:val="single"/>
        </w:rPr>
      </w:pP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（投标人名称）就</w:t>
      </w:r>
      <w:r>
        <w:rPr>
          <w:rFonts w:hint="eastAsia" w:hAnsi="宋体" w:cs="宋体"/>
          <w:color w:val="000000"/>
          <w:sz w:val="21"/>
          <w:szCs w:val="21"/>
        </w:rPr>
        <w:t>（项目名称）（项目编号）的投标事宜，与</w:t>
      </w:r>
      <w:r>
        <w:rPr>
          <w:rFonts w:hint="eastAsia" w:hAnsi="宋体" w:cs="宋体"/>
          <w:color w:val="000000"/>
          <w:sz w:val="21"/>
          <w:szCs w:val="21"/>
          <w:u w:val="single"/>
        </w:rPr>
        <w:t>（所有接受分包供应商名称）</w:t>
      </w:r>
      <w:r>
        <w:rPr>
          <w:rFonts w:hint="eastAsia" w:hAnsi="宋体" w:cs="宋体"/>
          <w:color w:val="000000"/>
          <w:sz w:val="21"/>
          <w:szCs w:val="21"/>
        </w:rPr>
        <w:t>通过友好协商达成以下协议：</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lang w:val="zh-CN"/>
        </w:rPr>
        <w:t>一、在本次投标有效期内，</w:t>
      </w:r>
      <w:r>
        <w:rPr>
          <w:rFonts w:hint="eastAsia" w:hAnsi="宋体" w:cs="宋体"/>
          <w:color w:val="000000"/>
          <w:sz w:val="21"/>
          <w:szCs w:val="21"/>
          <w:u w:val="single"/>
        </w:rPr>
        <w:t>（所有接受分包供应商名称）</w:t>
      </w:r>
      <w:r>
        <w:rPr>
          <w:rFonts w:hint="eastAsia" w:hAnsi="宋体" w:cs="宋体"/>
          <w:color w:val="000000"/>
          <w:sz w:val="21"/>
          <w:szCs w:val="21"/>
        </w:rPr>
        <w:t>同意</w:t>
      </w:r>
      <w:r>
        <w:rPr>
          <w:rFonts w:hint="eastAsia" w:hAnsi="宋体" w:cs="宋体"/>
          <w:color w:val="000000"/>
          <w:sz w:val="21"/>
          <w:szCs w:val="21"/>
          <w:u w:val="single"/>
        </w:rPr>
        <w:t>（投标人名称）</w:t>
      </w:r>
      <w:r>
        <w:rPr>
          <w:rFonts w:hint="eastAsia" w:hAnsi="宋体" w:cs="宋体"/>
          <w:color w:val="000000"/>
          <w:sz w:val="21"/>
          <w:szCs w:val="21"/>
        </w:rPr>
        <w:t>代理上述投标事宜。若中标，各方按照本协议中约定的分工事项，完成各方对应的工作。</w:t>
      </w:r>
    </w:p>
    <w:p>
      <w:pPr>
        <w:snapToGrid w:val="0"/>
        <w:spacing w:line="500" w:lineRule="exact"/>
        <w:ind w:firstLine="420" w:firstLineChars="200"/>
        <w:rPr>
          <w:rFonts w:hAnsi="宋体" w:cs="宋体"/>
          <w:color w:val="000000"/>
          <w:sz w:val="21"/>
          <w:szCs w:val="21"/>
          <w:lang w:val="zh-CN"/>
        </w:rPr>
      </w:pPr>
      <w:r>
        <w:rPr>
          <w:rFonts w:hint="eastAsia" w:hAnsi="宋体" w:cs="宋体"/>
          <w:color w:val="000000"/>
          <w:sz w:val="21"/>
          <w:szCs w:val="21"/>
          <w:lang w:val="zh-CN"/>
        </w:rPr>
        <w:t>二、各方分工</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1、参加本项目政府采购活动工作由</w:t>
      </w:r>
      <w:r>
        <w:rPr>
          <w:rFonts w:hint="eastAsia" w:hAnsi="宋体" w:cs="宋体"/>
          <w:color w:val="000000"/>
          <w:sz w:val="21"/>
          <w:szCs w:val="21"/>
          <w:u w:val="single"/>
        </w:rPr>
        <w:t>（投标人名称）</w:t>
      </w:r>
      <w:r>
        <w:rPr>
          <w:rFonts w:hint="eastAsia" w:hAnsi="宋体" w:cs="宋体"/>
          <w:color w:val="000000"/>
          <w:sz w:val="21"/>
          <w:szCs w:val="21"/>
        </w:rPr>
        <w:t>负责。</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2、本项目由</w:t>
      </w:r>
      <w:r>
        <w:rPr>
          <w:rFonts w:hint="eastAsia" w:hAnsi="宋体" w:cs="宋体"/>
          <w:color w:val="000000"/>
          <w:sz w:val="21"/>
          <w:szCs w:val="21"/>
          <w:u w:val="single"/>
        </w:rPr>
        <w:t>（投标人名称）</w:t>
      </w:r>
      <w:r>
        <w:rPr>
          <w:rFonts w:hint="eastAsia" w:hAnsi="宋体" w:cs="宋体"/>
          <w:color w:val="000000"/>
          <w:sz w:val="21"/>
          <w:szCs w:val="21"/>
        </w:rPr>
        <w:t>授权人员负责与采购人联系。</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3、</w:t>
      </w:r>
      <w:r>
        <w:rPr>
          <w:rFonts w:hint="eastAsia" w:hAnsi="宋体" w:cs="宋体"/>
          <w:color w:val="000000"/>
          <w:sz w:val="21"/>
          <w:szCs w:val="21"/>
          <w:u w:val="single"/>
        </w:rPr>
        <w:t>（投标人名称）</w:t>
      </w:r>
      <w:r>
        <w:rPr>
          <w:rFonts w:hint="eastAsia" w:hAnsi="宋体" w:cs="宋体"/>
          <w:color w:val="000000"/>
          <w:sz w:val="21"/>
          <w:szCs w:val="21"/>
        </w:rPr>
        <w:t>为分包方，拟承担的工作和职责：</w:t>
      </w:r>
      <w:r>
        <w:rPr>
          <w:rFonts w:hint="eastAsia" w:hAnsi="宋体" w:cs="宋体"/>
          <w:color w:val="000000"/>
          <w:sz w:val="21"/>
          <w:szCs w:val="21"/>
          <w:u w:val="single"/>
        </w:rPr>
        <w:t xml:space="preserve">                    。</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4、</w:t>
      </w:r>
      <w:r>
        <w:rPr>
          <w:rFonts w:hint="eastAsia" w:hAnsi="宋体" w:cs="宋体"/>
          <w:color w:val="000000"/>
          <w:sz w:val="21"/>
          <w:szCs w:val="21"/>
          <w:u w:val="single"/>
        </w:rPr>
        <w:t>（接受分包供应商1名称）</w:t>
      </w:r>
      <w:r>
        <w:rPr>
          <w:rFonts w:hint="eastAsia" w:hAnsi="宋体" w:cs="宋体"/>
          <w:color w:val="000000"/>
          <w:sz w:val="21"/>
          <w:szCs w:val="21"/>
        </w:rPr>
        <w:t>为接受分包方，系</w:t>
      </w:r>
      <w:r>
        <w:rPr>
          <w:rFonts w:hint="eastAsia" w:hAnsi="宋体" w:cs="宋体"/>
          <w:b/>
          <w:color w:val="000000"/>
          <w:kern w:val="1"/>
          <w:sz w:val="21"/>
          <w:szCs w:val="21"/>
        </w:rPr>
        <w:t>小型/微型企业（</w:t>
      </w:r>
      <w:r>
        <w:rPr>
          <w:rFonts w:hint="eastAsia" w:hAnsi="宋体" w:cs="宋体"/>
          <w:color w:val="000000"/>
          <w:kern w:val="1"/>
          <w:sz w:val="21"/>
          <w:szCs w:val="21"/>
        </w:rPr>
        <w:t>请将小微企业的《中小企业声明函》附后），</w:t>
      </w:r>
      <w:r>
        <w:rPr>
          <w:rFonts w:hint="eastAsia" w:hAnsi="宋体" w:cs="宋体"/>
          <w:color w:val="000000"/>
          <w:sz w:val="21"/>
          <w:szCs w:val="21"/>
        </w:rPr>
        <w:t>拟承担的工作和职责：</w:t>
      </w:r>
      <w:r>
        <w:rPr>
          <w:rFonts w:hint="eastAsia" w:hAnsi="宋体" w:cs="宋体"/>
          <w:color w:val="000000"/>
          <w:sz w:val="21"/>
          <w:szCs w:val="21"/>
          <w:u w:val="single"/>
        </w:rPr>
        <w:t xml:space="preserve">                    ，其</w:t>
      </w:r>
      <w:r>
        <w:rPr>
          <w:rFonts w:hint="eastAsia" w:hAnsi="宋体" w:cs="宋体"/>
          <w:color w:val="000000"/>
          <w:sz w:val="21"/>
          <w:szCs w:val="21"/>
        </w:rPr>
        <w:t>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630" w:firstLineChars="300"/>
        <w:rPr>
          <w:rFonts w:hAnsi="宋体" w:cs="宋体"/>
          <w:color w:val="000000"/>
          <w:sz w:val="21"/>
          <w:szCs w:val="21"/>
          <w:u w:val="single"/>
        </w:rPr>
      </w:pPr>
      <w:r>
        <w:rPr>
          <w:rFonts w:hint="eastAsia" w:hAnsi="宋体" w:cs="宋体"/>
          <w:color w:val="000000"/>
          <w:sz w:val="21"/>
          <w:szCs w:val="21"/>
          <w:u w:val="single"/>
        </w:rPr>
        <w:t>（接受分包供应商2名称）</w:t>
      </w:r>
      <w:r>
        <w:rPr>
          <w:rFonts w:hint="eastAsia" w:hAnsi="宋体" w:cs="宋体"/>
          <w:color w:val="000000"/>
          <w:sz w:val="21"/>
          <w:szCs w:val="21"/>
        </w:rPr>
        <w:t>为接受分包方，系</w:t>
      </w:r>
      <w:r>
        <w:rPr>
          <w:rFonts w:hint="eastAsia" w:hAnsi="宋体" w:cs="宋体"/>
          <w:b/>
          <w:color w:val="000000"/>
          <w:kern w:val="1"/>
          <w:sz w:val="21"/>
          <w:szCs w:val="21"/>
        </w:rPr>
        <w:t>小型/微型企业（</w:t>
      </w:r>
      <w:r>
        <w:rPr>
          <w:rFonts w:hint="eastAsia" w:hAnsi="宋体" w:cs="宋体"/>
          <w:color w:val="000000"/>
          <w:kern w:val="1"/>
          <w:sz w:val="21"/>
          <w:szCs w:val="21"/>
        </w:rPr>
        <w:t>请将小微企业的《中小企业声明函》附后</w:t>
      </w:r>
      <w:r>
        <w:rPr>
          <w:rFonts w:hint="eastAsia" w:hAnsi="宋体" w:cs="宋体"/>
          <w:b/>
          <w:color w:val="000000"/>
          <w:kern w:val="1"/>
          <w:sz w:val="21"/>
          <w:szCs w:val="21"/>
        </w:rPr>
        <w:t>）</w:t>
      </w:r>
      <w:r>
        <w:rPr>
          <w:rFonts w:hint="eastAsia" w:hAnsi="宋体" w:cs="宋体"/>
          <w:color w:val="000000"/>
          <w:kern w:val="1"/>
          <w:sz w:val="21"/>
          <w:szCs w:val="21"/>
        </w:rPr>
        <w:t>，</w:t>
      </w:r>
      <w:r>
        <w:rPr>
          <w:rFonts w:hint="eastAsia" w:hAnsi="宋体" w:cs="宋体"/>
          <w:color w:val="000000"/>
          <w:sz w:val="21"/>
          <w:szCs w:val="21"/>
        </w:rPr>
        <w:t>拟承担的工作和职责：</w:t>
      </w:r>
      <w:r>
        <w:rPr>
          <w:rFonts w:hint="eastAsia" w:hAnsi="宋体" w:cs="宋体"/>
          <w:color w:val="000000"/>
          <w:sz w:val="21"/>
          <w:szCs w:val="21"/>
          <w:u w:val="single"/>
        </w:rPr>
        <w:t xml:space="preserve">                    </w:t>
      </w:r>
      <w:r>
        <w:rPr>
          <w:rFonts w:hint="eastAsia" w:hAnsi="宋体" w:cs="宋体"/>
          <w:color w:val="000000"/>
          <w:sz w:val="21"/>
          <w:szCs w:val="21"/>
        </w:rPr>
        <w:t>，其分包协议合同份额占本项目投标总金额（合同总金额）的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以上分包给小微企业的分包协议合同份额占本项目投标总金额（合同总金额）的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widowControl/>
        <w:ind w:firstLine="420" w:firstLineChars="200"/>
        <w:rPr>
          <w:rFonts w:hAnsi="宋体" w:cs="宋体"/>
          <w:color w:val="000000"/>
          <w:sz w:val="21"/>
          <w:szCs w:val="21"/>
        </w:rPr>
      </w:pPr>
      <w:r>
        <w:rPr>
          <w:rFonts w:hint="eastAsia" w:hAnsi="宋体" w:cs="宋体"/>
          <w:color w:val="000000"/>
          <w:sz w:val="21"/>
          <w:szCs w:val="21"/>
        </w:rPr>
        <w:t>5、上述接受分包工作的中小企业与分包企业或其他接受分包的中小企业之间不存在直接控股、管理关系。</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6、如中标，由</w:t>
      </w:r>
      <w:r>
        <w:rPr>
          <w:rFonts w:hint="eastAsia" w:hAnsi="宋体" w:cs="宋体"/>
          <w:color w:val="000000"/>
          <w:sz w:val="21"/>
          <w:szCs w:val="21"/>
          <w:u w:val="single"/>
        </w:rPr>
        <w:t>（投标人名称）</w:t>
      </w:r>
      <w:r>
        <w:rPr>
          <w:rFonts w:hint="eastAsia" w:hAnsi="宋体" w:cs="宋体"/>
          <w:color w:val="000000"/>
          <w:sz w:val="21"/>
          <w:szCs w:val="21"/>
        </w:rPr>
        <w:t>与本项目采购人签订《政府采购合同》，同时，由</w:t>
      </w:r>
      <w:r>
        <w:rPr>
          <w:rFonts w:hint="eastAsia" w:hAnsi="宋体" w:cs="宋体"/>
          <w:color w:val="000000"/>
          <w:sz w:val="21"/>
          <w:szCs w:val="21"/>
          <w:u w:val="single"/>
        </w:rPr>
        <w:t>（投标人名称）</w:t>
      </w:r>
      <w:r>
        <w:rPr>
          <w:rFonts w:hint="eastAsia" w:hAnsi="宋体" w:cs="宋体"/>
          <w:color w:val="000000"/>
          <w:sz w:val="21"/>
          <w:szCs w:val="21"/>
        </w:rPr>
        <w:t>与各接受分包供应商签订《分包合同》。</w:t>
      </w:r>
      <w:r>
        <w:rPr>
          <w:rFonts w:hint="eastAsia" w:hAnsi="宋体" w:cs="宋体"/>
          <w:color w:val="000000"/>
          <w:sz w:val="21"/>
          <w:szCs w:val="21"/>
          <w:u w:val="single"/>
        </w:rPr>
        <w:t>（投标人名称）</w:t>
      </w:r>
      <w:r>
        <w:rPr>
          <w:rFonts w:hint="eastAsia" w:hAnsi="宋体" w:cs="宋体"/>
          <w:color w:val="000000"/>
          <w:sz w:val="21"/>
          <w:szCs w:val="21"/>
        </w:rPr>
        <w:t>就采购项目和分包项目向采购人负责，接受分包供应商就分包项目承担责任。</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三、本协议在自签署之日起生效，投标有效期内有效；如获中标资格，本协议有效期延续到《政府采购合同》履行完毕之日。</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四、本协议书一式</w:t>
      </w:r>
      <w:r>
        <w:rPr>
          <w:rFonts w:hint="eastAsia" w:hAnsi="宋体" w:cs="宋体"/>
          <w:color w:val="000000"/>
          <w:sz w:val="21"/>
          <w:szCs w:val="21"/>
          <w:u w:val="single"/>
        </w:rPr>
        <w:t xml:space="preserve">   </w:t>
      </w:r>
      <w:r>
        <w:rPr>
          <w:rFonts w:hint="eastAsia" w:hAnsi="宋体" w:cs="宋体"/>
          <w:color w:val="000000"/>
          <w:sz w:val="21"/>
          <w:szCs w:val="21"/>
        </w:rPr>
        <w:t>份，分包意向协议成员</w:t>
      </w:r>
      <w:r>
        <w:rPr>
          <w:rFonts w:hint="eastAsia" w:hAnsi="宋体" w:cs="宋体"/>
          <w:color w:val="000000"/>
          <w:kern w:val="1"/>
          <w:sz w:val="21"/>
          <w:szCs w:val="21"/>
        </w:rPr>
        <w:t>和招标人</w:t>
      </w:r>
      <w:r>
        <w:rPr>
          <w:rFonts w:hint="eastAsia" w:hAnsi="宋体" w:cs="宋体"/>
          <w:color w:val="000000"/>
          <w:sz w:val="21"/>
          <w:szCs w:val="21"/>
        </w:rPr>
        <w:t>各执</w:t>
      </w:r>
      <w:r>
        <w:rPr>
          <w:rFonts w:hint="eastAsia" w:hAnsi="宋体" w:cs="宋体"/>
          <w:color w:val="000000"/>
          <w:sz w:val="21"/>
          <w:szCs w:val="21"/>
          <w:u w:val="single"/>
        </w:rPr>
        <w:t xml:space="preserve">   </w:t>
      </w:r>
      <w:r>
        <w:rPr>
          <w:rFonts w:hint="eastAsia" w:hAnsi="宋体" w:cs="宋体"/>
          <w:color w:val="000000"/>
          <w:sz w:val="21"/>
          <w:szCs w:val="21"/>
        </w:rPr>
        <w:t>份。</w:t>
      </w:r>
    </w:p>
    <w:p>
      <w:pPr>
        <w:snapToGrid w:val="0"/>
        <w:spacing w:line="360" w:lineRule="auto"/>
        <w:ind w:firstLine="576"/>
        <w:rPr>
          <w:rFonts w:hAnsi="宋体" w:cs="宋体"/>
          <w:b/>
          <w:color w:val="000000"/>
          <w:sz w:val="21"/>
          <w:szCs w:val="21"/>
          <w:lang w:val="zh-CN"/>
        </w:rPr>
      </w:pP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投标人全称(盖单位公章):</w:t>
      </w:r>
    </w:p>
    <w:p>
      <w:pPr>
        <w:snapToGrid w:val="0"/>
        <w:spacing w:line="500" w:lineRule="exact"/>
        <w:ind w:firstLine="412" w:firstLineChars="200"/>
        <w:rPr>
          <w:rFonts w:hAnsi="宋体" w:cs="宋体"/>
          <w:color w:val="000000"/>
          <w:sz w:val="21"/>
          <w:szCs w:val="21"/>
        </w:rPr>
      </w:pPr>
      <w:r>
        <w:rPr>
          <w:rFonts w:hint="eastAsia" w:hAnsi="宋体" w:cs="宋体"/>
          <w:color w:val="000000"/>
          <w:spacing w:val="-2"/>
          <w:sz w:val="21"/>
          <w:szCs w:val="21"/>
        </w:rPr>
        <w:t>法定代表人（签字或盖章）：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接受分包供应商1名称(盖单位公章):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接受分包供应商2名称(盖单位公章):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ind w:firstLine="420"/>
        <w:rPr>
          <w:rFonts w:hAnsi="宋体" w:cs="宋体"/>
          <w:color w:val="000000"/>
          <w:szCs w:val="21"/>
        </w:rPr>
      </w:pPr>
      <w:r>
        <w:rPr>
          <w:rFonts w:hint="eastAsia" w:hAnsi="宋体" w:cs="宋体"/>
          <w:color w:val="000000"/>
          <w:kern w:val="1"/>
          <w:sz w:val="21"/>
          <w:szCs w:val="21"/>
        </w:rPr>
        <w:t>日期：</w:t>
      </w:r>
    </w:p>
    <w:p>
      <w:pPr>
        <w:spacing w:line="458" w:lineRule="exact"/>
        <w:rPr>
          <w:rFonts w:hAnsi="宋体" w:cs="宋体"/>
          <w:color w:val="000000"/>
          <w:sz w:val="21"/>
          <w:szCs w:val="21"/>
        </w:rPr>
      </w:pPr>
    </w:p>
    <w:p>
      <w:pPr>
        <w:pStyle w:val="2"/>
        <w:rPr>
          <w:rFonts w:hAnsi="宋体" w:cs="宋体"/>
          <w:color w:val="000000"/>
          <w:sz w:val="21"/>
          <w:szCs w:val="21"/>
        </w:rPr>
      </w:pPr>
    </w:p>
    <w:p>
      <w:pPr>
        <w:rPr>
          <w:rFonts w:hAnsi="宋体" w:cs="宋体"/>
          <w:color w:val="000000"/>
          <w:sz w:val="21"/>
          <w:szCs w:val="21"/>
        </w:rPr>
      </w:pPr>
    </w:p>
    <w:p>
      <w:pPr>
        <w:pStyle w:val="2"/>
        <w:rPr>
          <w:rFonts w:hAnsi="宋体" w:cs="宋体"/>
          <w:color w:val="000000"/>
          <w:sz w:val="21"/>
          <w:szCs w:val="21"/>
        </w:rPr>
      </w:pPr>
    </w:p>
    <w:p>
      <w:pPr>
        <w:rPr>
          <w:rFonts w:hAnsi="宋体" w:cs="宋体"/>
          <w:color w:val="000000"/>
          <w:sz w:val="21"/>
          <w:szCs w:val="21"/>
        </w:rPr>
      </w:pPr>
    </w:p>
    <w:p>
      <w:pPr>
        <w:pStyle w:val="2"/>
        <w:rPr>
          <w:rFonts w:hAnsi="宋体" w:cs="宋体"/>
          <w:color w:val="000000"/>
          <w:sz w:val="21"/>
          <w:szCs w:val="21"/>
        </w:rPr>
      </w:pPr>
    </w:p>
    <w:p>
      <w:pPr>
        <w:rPr>
          <w:rFonts w:hAnsi="宋体" w:cs="宋体"/>
          <w:color w:val="000000"/>
          <w:sz w:val="21"/>
          <w:szCs w:val="21"/>
        </w:rPr>
      </w:pPr>
    </w:p>
    <w:p>
      <w:pPr>
        <w:pStyle w:val="2"/>
        <w:rPr>
          <w:rFonts w:hAnsi="宋体" w:cs="宋体"/>
          <w:color w:val="000000"/>
          <w:sz w:val="21"/>
          <w:szCs w:val="21"/>
        </w:rPr>
      </w:pPr>
    </w:p>
    <w:p>
      <w:pPr>
        <w:rPr>
          <w:rFonts w:hAnsi="宋体" w:cs="宋体"/>
          <w:color w:val="000000"/>
          <w:sz w:val="21"/>
          <w:szCs w:val="21"/>
        </w:rPr>
      </w:pPr>
    </w:p>
    <w:p>
      <w:pPr>
        <w:pStyle w:val="2"/>
        <w:rPr>
          <w:rFonts w:hAnsi="宋体" w:cs="宋体"/>
          <w:color w:val="000000"/>
          <w:sz w:val="21"/>
          <w:szCs w:val="21"/>
        </w:rPr>
      </w:pPr>
    </w:p>
    <w:p>
      <w:pPr>
        <w:rPr>
          <w:rFonts w:hAnsi="宋体" w:cs="宋体"/>
          <w:color w:val="000000"/>
          <w:sz w:val="21"/>
          <w:szCs w:val="21"/>
        </w:rPr>
      </w:pPr>
    </w:p>
    <w:p>
      <w:pPr>
        <w:pStyle w:val="2"/>
        <w:rPr>
          <w:rFonts w:hAnsi="宋体" w:cs="宋体"/>
          <w:color w:val="000000"/>
          <w:sz w:val="21"/>
          <w:szCs w:val="21"/>
        </w:rPr>
      </w:pPr>
    </w:p>
    <w:p>
      <w:pPr>
        <w:rPr>
          <w:rFonts w:hAnsi="宋体" w:cs="宋体"/>
          <w:color w:val="000000"/>
          <w:sz w:val="21"/>
          <w:szCs w:val="21"/>
        </w:rPr>
      </w:pPr>
    </w:p>
    <w:p>
      <w:pPr>
        <w:pStyle w:val="2"/>
      </w:pPr>
    </w:p>
    <w:p>
      <w:pPr>
        <w:snapToGrid w:val="0"/>
        <w:spacing w:before="120" w:beforeLines="50" w:after="50"/>
        <w:rPr>
          <w:rFonts w:hAnsi="宋体" w:cs="宋体"/>
          <w:b/>
          <w:bCs/>
          <w:color w:val="000000"/>
          <w:sz w:val="24"/>
        </w:rPr>
      </w:pPr>
      <w:r>
        <w:rPr>
          <w:rFonts w:hint="eastAsia" w:hAnsi="宋体" w:cs="宋体"/>
          <w:b/>
          <w:bCs/>
          <w:color w:val="000000"/>
          <w:sz w:val="24"/>
        </w:rPr>
        <w:t>（二）商务技术文件</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bCs/>
          <w:color w:val="000000"/>
          <w:sz w:val="21"/>
          <w:szCs w:val="21"/>
        </w:rPr>
        <w:t>商务技术文件目录</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（1）投标人技术商务标自评得分汇总表；（格式内容参照技术商务评分表，格式见附件）；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（2）投标人（或联合体投标人的牵头单位）法定代表人授权委托书(格式见附件)；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（3）投标人（包括投标联合体各方）情况表（格式见附件）；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（4）投标人（包括投标联合体各方）2019年1月1日以来类似案例成功的业绩（须提供对应采购合同复印件等相关资料）（加盖公章）（格式见附件）；</w:t>
      </w:r>
    </w:p>
    <w:p>
      <w:pPr>
        <w:autoSpaceDE/>
        <w:autoSpaceDN/>
        <w:adjustRightInd/>
        <w:snapToGrid w:val="0"/>
        <w:spacing w:line="500" w:lineRule="exact"/>
        <w:ind w:firstLine="420" w:firstLineChars="200"/>
        <w:jc w:val="both"/>
        <w:rPr>
          <w:rFonts w:hAnsi="宋体" w:cs="宋体"/>
          <w:color w:val="000000"/>
        </w:rPr>
      </w:pPr>
      <w:r>
        <w:rPr>
          <w:rFonts w:hint="eastAsia" w:hAnsi="宋体" w:cs="宋体"/>
          <w:color w:val="000000"/>
          <w:sz w:val="21"/>
          <w:szCs w:val="21"/>
        </w:rPr>
        <w:t>（5）投标人（包括投标联合体各方）技术人员配备情况（格式见附件）；</w:t>
      </w:r>
    </w:p>
    <w:p>
      <w:pPr>
        <w:autoSpaceDE/>
        <w:autoSpaceDN/>
        <w:adjustRightInd/>
        <w:snapToGrid w:val="0"/>
        <w:spacing w:line="500" w:lineRule="exact"/>
        <w:ind w:firstLine="420" w:firstLineChars="200"/>
        <w:jc w:val="both"/>
        <w:rPr>
          <w:rFonts w:hAnsi="宋体" w:cs="宋体"/>
          <w:color w:val="000000"/>
        </w:rPr>
      </w:pPr>
      <w:r>
        <w:rPr>
          <w:rFonts w:hint="eastAsia" w:hAnsi="宋体" w:cs="宋体"/>
          <w:color w:val="000000"/>
          <w:sz w:val="21"/>
          <w:szCs w:val="21"/>
        </w:rPr>
        <w:t>（6）投标人（包括投标联合体各方）荣誉（格式见附件）；</w:t>
      </w:r>
    </w:p>
    <w:p>
      <w:pPr>
        <w:spacing w:line="500" w:lineRule="exact"/>
        <w:ind w:firstLine="420" w:firstLineChars="200"/>
        <w:rPr>
          <w:rFonts w:hAnsi="宋体" w:cs="宋体"/>
          <w:color w:val="000000"/>
          <w:sz w:val="21"/>
          <w:szCs w:val="21"/>
        </w:rPr>
      </w:pPr>
      <w:r>
        <w:rPr>
          <w:rFonts w:hint="eastAsia" w:hAnsi="宋体" w:cs="宋体"/>
          <w:color w:val="000000"/>
          <w:sz w:val="21"/>
          <w:szCs w:val="21"/>
        </w:rPr>
        <w:t>（7）服务要求响应表（格式见附件）；</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（8）项目理解、重点难点、编制思路、工作内容（进度）、成果构成；</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（9）服务保障</w:t>
      </w:r>
      <w:r>
        <w:rPr>
          <w:rFonts w:hint="eastAsia" w:hAnsi="宋体" w:cs="Arial"/>
          <w:color w:val="000000"/>
          <w:sz w:val="21"/>
          <w:szCs w:val="21"/>
        </w:rPr>
        <w:t>（格式自拟）</w:t>
      </w:r>
      <w:r>
        <w:rPr>
          <w:rFonts w:hint="eastAsia" w:hAnsi="宋体" w:cs="宋体"/>
          <w:color w:val="000000"/>
          <w:sz w:val="21"/>
          <w:szCs w:val="21"/>
        </w:rPr>
        <w:t>；</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（10）评分标准涉及的或投标人（包括投标联合体各方）认为需要提供的其他文件和说明。（格式自拟）</w:t>
      </w:r>
    </w:p>
    <w:p>
      <w:pPr>
        <w:snapToGrid w:val="0"/>
        <w:spacing w:line="500" w:lineRule="exact"/>
        <w:ind w:firstLine="420" w:firstLineChars="200"/>
        <w:textAlignment w:val="bottom"/>
        <w:rPr>
          <w:rFonts w:hAnsi="宋体" w:cs="宋体"/>
          <w:color w:val="000000"/>
          <w:sz w:val="21"/>
          <w:szCs w:val="21"/>
        </w:rPr>
      </w:pPr>
    </w:p>
    <w:p>
      <w:pPr>
        <w:snapToGrid w:val="0"/>
        <w:spacing w:before="50" w:after="120" w:afterLines="50"/>
        <w:rPr>
          <w:rFonts w:hAnsi="宋体" w:cs="宋体"/>
          <w:color w:val="000000"/>
          <w:sz w:val="24"/>
        </w:rPr>
      </w:pPr>
      <w:r>
        <w:rPr>
          <w:rFonts w:hint="eastAsia" w:hAnsi="宋体" w:cs="宋体"/>
          <w:color w:val="000000"/>
          <w:sz w:val="24"/>
          <w:szCs w:val="24"/>
        </w:rPr>
        <w:br w:type="page"/>
      </w:r>
      <w:r>
        <w:rPr>
          <w:rFonts w:hint="eastAsia" w:hAnsi="宋体" w:cs="宋体"/>
          <w:color w:val="000000"/>
          <w:sz w:val="24"/>
        </w:rPr>
        <w:t xml:space="preserve"> </w:t>
      </w:r>
    </w:p>
    <w:p>
      <w:pPr>
        <w:snapToGrid w:val="0"/>
        <w:spacing w:before="50" w:after="50"/>
        <w:rPr>
          <w:rFonts w:hAnsi="宋体" w:cs="宋体"/>
          <w:b/>
          <w:color w:val="000000"/>
          <w:sz w:val="24"/>
        </w:rPr>
      </w:pPr>
      <w:r>
        <w:rPr>
          <w:rFonts w:hint="eastAsia" w:hAnsi="宋体" w:cs="宋体"/>
          <w:b/>
          <w:color w:val="000000"/>
          <w:sz w:val="24"/>
        </w:rPr>
        <w:t>1.投标人技术商务标自评得分汇总表（格式参照技术商务评分表，需标注对应页码）</w:t>
      </w:r>
    </w:p>
    <w:tbl>
      <w:tblPr>
        <w:tblStyle w:val="45"/>
        <w:tblW w:w="8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85"/>
        <w:gridCol w:w="2190"/>
        <w:gridCol w:w="766"/>
        <w:gridCol w:w="1110"/>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36"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序号</w:t>
            </w:r>
          </w:p>
        </w:tc>
        <w:tc>
          <w:tcPr>
            <w:tcW w:w="1485"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评分项目</w:t>
            </w:r>
          </w:p>
        </w:tc>
        <w:tc>
          <w:tcPr>
            <w:tcW w:w="2190"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评标要点及说明</w:t>
            </w:r>
          </w:p>
        </w:tc>
        <w:tc>
          <w:tcPr>
            <w:tcW w:w="766"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分值</w:t>
            </w:r>
          </w:p>
        </w:tc>
        <w:tc>
          <w:tcPr>
            <w:tcW w:w="1110"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自评分</w:t>
            </w:r>
          </w:p>
        </w:tc>
        <w:tc>
          <w:tcPr>
            <w:tcW w:w="1937"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36" w:type="dxa"/>
            <w:vAlign w:val="center"/>
          </w:tcPr>
          <w:p>
            <w:pPr>
              <w:widowControl/>
              <w:autoSpaceDE/>
              <w:autoSpaceDN/>
              <w:adjustRightInd/>
              <w:snapToGrid w:val="0"/>
              <w:spacing w:line="460" w:lineRule="exact"/>
              <w:jc w:val="center"/>
              <w:rPr>
                <w:rFonts w:hAnsi="宋体" w:cs="宋体"/>
                <w:color w:val="000000"/>
                <w:sz w:val="21"/>
                <w:szCs w:val="21"/>
              </w:rPr>
            </w:pPr>
          </w:p>
        </w:tc>
        <w:tc>
          <w:tcPr>
            <w:tcW w:w="1485" w:type="dxa"/>
            <w:vAlign w:val="center"/>
          </w:tcPr>
          <w:p>
            <w:pPr>
              <w:widowControl/>
              <w:autoSpaceDE/>
              <w:autoSpaceDN/>
              <w:adjustRightInd/>
              <w:snapToGrid w:val="0"/>
              <w:spacing w:line="460" w:lineRule="exact"/>
              <w:jc w:val="center"/>
              <w:rPr>
                <w:rFonts w:hAnsi="宋体" w:cs="宋体"/>
                <w:color w:val="000000"/>
                <w:sz w:val="21"/>
                <w:szCs w:val="21"/>
              </w:rPr>
            </w:pPr>
          </w:p>
        </w:tc>
        <w:tc>
          <w:tcPr>
            <w:tcW w:w="2190" w:type="dxa"/>
            <w:vAlign w:val="center"/>
          </w:tcPr>
          <w:p>
            <w:pPr>
              <w:widowControl/>
              <w:autoSpaceDE/>
              <w:autoSpaceDN/>
              <w:adjustRightInd/>
              <w:snapToGrid w:val="0"/>
              <w:spacing w:line="460" w:lineRule="exact"/>
              <w:jc w:val="center"/>
              <w:rPr>
                <w:rFonts w:hAnsi="宋体" w:cs="宋体"/>
                <w:color w:val="000000"/>
                <w:sz w:val="21"/>
                <w:szCs w:val="21"/>
              </w:rPr>
            </w:pPr>
          </w:p>
        </w:tc>
        <w:tc>
          <w:tcPr>
            <w:tcW w:w="766" w:type="dxa"/>
            <w:vAlign w:val="center"/>
          </w:tcPr>
          <w:p>
            <w:pPr>
              <w:widowControl/>
              <w:autoSpaceDE/>
              <w:autoSpaceDN/>
              <w:adjustRightInd/>
              <w:snapToGrid w:val="0"/>
              <w:spacing w:line="460" w:lineRule="exact"/>
              <w:jc w:val="center"/>
              <w:rPr>
                <w:rFonts w:hAnsi="宋体" w:cs="宋体"/>
                <w:color w:val="000000"/>
                <w:sz w:val="21"/>
                <w:szCs w:val="21"/>
              </w:rPr>
            </w:pPr>
          </w:p>
        </w:tc>
        <w:tc>
          <w:tcPr>
            <w:tcW w:w="1110" w:type="dxa"/>
            <w:vAlign w:val="center"/>
          </w:tcPr>
          <w:p>
            <w:pPr>
              <w:widowControl/>
              <w:autoSpaceDE/>
              <w:autoSpaceDN/>
              <w:adjustRightInd/>
              <w:snapToGrid w:val="0"/>
              <w:spacing w:line="460" w:lineRule="exact"/>
              <w:jc w:val="center"/>
              <w:rPr>
                <w:rFonts w:hAnsi="宋体" w:cs="宋体"/>
                <w:color w:val="000000"/>
                <w:sz w:val="21"/>
                <w:szCs w:val="21"/>
              </w:rPr>
            </w:pPr>
          </w:p>
        </w:tc>
        <w:tc>
          <w:tcPr>
            <w:tcW w:w="1937" w:type="dxa"/>
            <w:vAlign w:val="center"/>
          </w:tcPr>
          <w:p>
            <w:pPr>
              <w:widowControl/>
              <w:autoSpaceDE/>
              <w:autoSpaceDN/>
              <w:adjustRightInd/>
              <w:snapToGrid w:val="0"/>
              <w:spacing w:line="460" w:lineRule="exact"/>
              <w:jc w:val="center"/>
              <w:rPr>
                <w:rFonts w:hAnsi="宋体" w:cs="宋体"/>
                <w:color w:val="000000"/>
                <w:sz w:val="21"/>
                <w:szCs w:val="21"/>
              </w:rPr>
            </w:pPr>
          </w:p>
        </w:tc>
      </w:tr>
    </w:tbl>
    <w:p>
      <w:pPr>
        <w:snapToGrid w:val="0"/>
        <w:spacing w:before="50" w:after="50"/>
        <w:rPr>
          <w:rFonts w:hAnsi="宋体" w:cs="宋体"/>
          <w:color w:val="000000"/>
          <w:sz w:val="24"/>
        </w:rPr>
      </w:pPr>
    </w:p>
    <w:p>
      <w:pPr>
        <w:spacing w:line="360" w:lineRule="auto"/>
        <w:jc w:val="both"/>
        <w:rPr>
          <w:rFonts w:hAnsi="宋体" w:cs="宋体"/>
          <w:b/>
          <w:color w:val="000000"/>
          <w:sz w:val="24"/>
          <w:szCs w:val="24"/>
        </w:rPr>
      </w:pPr>
      <w:r>
        <w:rPr>
          <w:rFonts w:hint="eastAsia" w:hAnsi="宋体" w:cs="宋体"/>
          <w:b/>
          <w:color w:val="000000"/>
          <w:sz w:val="24"/>
          <w:szCs w:val="24"/>
        </w:rPr>
        <w:t>2.投标人（或联合体投标人的牵头单位）法定代表人授权委托书[如法定代表人本人参加的，则只须提供法定代表人身份证明（格式自拟）及法定代表人身份证复印件]</w:t>
      </w:r>
    </w:p>
    <w:p>
      <w:pPr>
        <w:snapToGrid w:val="0"/>
        <w:spacing w:before="50" w:after="50"/>
        <w:jc w:val="center"/>
        <w:rPr>
          <w:rFonts w:hAnsi="宋体" w:cs="宋体"/>
          <w:b/>
          <w:color w:val="000000"/>
          <w:sz w:val="24"/>
        </w:rPr>
      </w:pPr>
    </w:p>
    <w:p>
      <w:pPr>
        <w:snapToGrid w:val="0"/>
        <w:spacing w:before="50" w:after="50"/>
        <w:jc w:val="center"/>
        <w:rPr>
          <w:rFonts w:hAnsi="宋体" w:cs="宋体"/>
          <w:color w:val="000000"/>
          <w:sz w:val="24"/>
        </w:rPr>
      </w:pPr>
      <w:r>
        <w:rPr>
          <w:rFonts w:hint="eastAsia" w:hAnsi="宋体" w:cs="宋体"/>
          <w:b/>
          <w:color w:val="000000"/>
          <w:sz w:val="24"/>
        </w:rPr>
        <w:t>法定代表人授权委托书</w:t>
      </w:r>
    </w:p>
    <w:p>
      <w:pPr>
        <w:spacing w:line="360" w:lineRule="auto"/>
        <w:ind w:firstLine="420" w:firstLineChars="200"/>
        <w:rPr>
          <w:rFonts w:hAnsi="宋体" w:cs="宋体"/>
          <w:color w:val="000000"/>
          <w:sz w:val="21"/>
          <w:szCs w:val="21"/>
        </w:rPr>
      </w:pPr>
      <w:r>
        <w:rPr>
          <w:rFonts w:hint="eastAsia" w:hAnsi="宋体" w:cs="宋体"/>
          <w:color w:val="000000"/>
          <w:sz w:val="21"/>
          <w:szCs w:val="21"/>
        </w:rPr>
        <w:t>（采购单位、代理公司）：</w:t>
      </w:r>
    </w:p>
    <w:p>
      <w:pPr>
        <w:spacing w:line="460" w:lineRule="exact"/>
        <w:ind w:firstLine="420" w:firstLineChars="200"/>
        <w:rPr>
          <w:rFonts w:hAnsi="宋体" w:cs="宋体"/>
          <w:color w:val="000000"/>
          <w:sz w:val="21"/>
          <w:szCs w:val="21"/>
        </w:rPr>
      </w:pPr>
      <w:r>
        <w:rPr>
          <w:rFonts w:hint="eastAsia" w:hAnsi="宋体" w:cs="宋体"/>
          <w:color w:val="000000"/>
          <w:sz w:val="21"/>
          <w:szCs w:val="21"/>
        </w:rPr>
        <w:t>--------------------------------------------------------（投标人名称）法定代表人------------------------授权------------------------------（全权代表姓名）为全权代表，参加贵单位组织的-------------------------------------------招标活动，全权处理招标活动中的一切事宜。</w:t>
      </w:r>
    </w:p>
    <w:p>
      <w:pPr>
        <w:spacing w:line="360" w:lineRule="auto"/>
        <w:ind w:firstLine="420" w:firstLineChars="200"/>
        <w:rPr>
          <w:rFonts w:hAnsi="宋体" w:cs="宋体"/>
          <w:color w:val="000000"/>
          <w:sz w:val="21"/>
          <w:szCs w:val="21"/>
        </w:rPr>
      </w:pPr>
      <w:r>
        <w:rPr>
          <w:rFonts w:hint="eastAsia" w:hAnsi="宋体" w:cs="宋体"/>
          <w:color w:val="000000"/>
          <w:sz w:val="21"/>
          <w:szCs w:val="21"/>
        </w:rPr>
        <w:t>法定代表人签字或盖章：</w:t>
      </w:r>
    </w:p>
    <w:p>
      <w:pPr>
        <w:spacing w:line="460" w:lineRule="exact"/>
        <w:ind w:firstLine="420" w:firstLineChars="200"/>
        <w:rPr>
          <w:rFonts w:hAnsi="宋体" w:cs="宋体"/>
          <w:color w:val="000000"/>
          <w:sz w:val="21"/>
          <w:szCs w:val="21"/>
        </w:rPr>
      </w:pPr>
      <w:r>
        <w:rPr>
          <w:rFonts w:hint="eastAsia" w:hAnsi="宋体" w:cs="宋体"/>
          <w:color w:val="000000"/>
          <w:sz w:val="21"/>
          <w:szCs w:val="21"/>
        </w:rPr>
        <w:t>附：</w:t>
      </w:r>
    </w:p>
    <w:p>
      <w:pPr>
        <w:spacing w:line="460" w:lineRule="exact"/>
        <w:ind w:firstLine="420" w:firstLineChars="200"/>
        <w:rPr>
          <w:rFonts w:hAnsi="宋体" w:cs="宋体"/>
          <w:color w:val="000000"/>
          <w:sz w:val="21"/>
          <w:szCs w:val="21"/>
        </w:rPr>
      </w:pPr>
      <w:r>
        <w:rPr>
          <w:rFonts w:hint="eastAsia" w:hAnsi="宋体" w:cs="宋体"/>
          <w:color w:val="000000"/>
          <w:sz w:val="21"/>
          <w:szCs w:val="21"/>
        </w:rPr>
        <w:t>全权代表签字：</w:t>
      </w:r>
    </w:p>
    <w:p>
      <w:pPr>
        <w:spacing w:line="460" w:lineRule="exact"/>
        <w:ind w:firstLine="420" w:firstLineChars="200"/>
        <w:rPr>
          <w:rFonts w:hAnsi="宋体" w:cs="宋体"/>
          <w:color w:val="000000"/>
          <w:sz w:val="21"/>
          <w:szCs w:val="21"/>
        </w:rPr>
      </w:pPr>
      <w:r>
        <w:rPr>
          <w:rFonts w:hint="eastAsia" w:hAnsi="宋体" w:cs="宋体"/>
          <w:color w:val="000000"/>
          <w:sz w:val="21"/>
          <w:szCs w:val="21"/>
        </w:rPr>
        <w:t>职        务：</w:t>
      </w:r>
    </w:p>
    <w:p>
      <w:pPr>
        <w:spacing w:line="460" w:lineRule="exact"/>
        <w:ind w:firstLine="420" w:firstLineChars="200"/>
        <w:rPr>
          <w:rFonts w:hAnsi="宋体" w:cs="宋体"/>
          <w:color w:val="000000"/>
          <w:sz w:val="21"/>
          <w:szCs w:val="21"/>
        </w:rPr>
      </w:pPr>
      <w:r>
        <w:rPr>
          <w:rFonts w:hint="eastAsia" w:hAnsi="宋体" w:cs="宋体"/>
          <w:color w:val="000000"/>
          <w:sz w:val="21"/>
          <w:szCs w:val="21"/>
        </w:rPr>
        <w:t>详细通讯地址：</w:t>
      </w:r>
    </w:p>
    <w:p>
      <w:pPr>
        <w:spacing w:line="460" w:lineRule="exact"/>
        <w:ind w:firstLine="420" w:firstLineChars="200"/>
        <w:rPr>
          <w:rFonts w:hAnsi="宋体" w:cs="宋体"/>
          <w:color w:val="000000"/>
          <w:sz w:val="21"/>
          <w:szCs w:val="21"/>
        </w:rPr>
      </w:pPr>
      <w:r>
        <w:rPr>
          <w:rFonts w:hint="eastAsia" w:hAnsi="宋体" w:cs="宋体"/>
          <w:color w:val="000000"/>
          <w:sz w:val="21"/>
          <w:szCs w:val="21"/>
        </w:rPr>
        <w:t>邮政编码：</w:t>
      </w:r>
    </w:p>
    <w:p>
      <w:pPr>
        <w:spacing w:line="460" w:lineRule="exact"/>
        <w:ind w:firstLine="420" w:firstLineChars="200"/>
        <w:rPr>
          <w:rFonts w:hAnsi="宋体" w:cs="宋体"/>
          <w:color w:val="000000"/>
          <w:sz w:val="21"/>
          <w:szCs w:val="21"/>
        </w:rPr>
      </w:pPr>
      <w:r>
        <w:rPr>
          <w:rFonts w:hint="eastAsia" w:hAnsi="宋体" w:cs="宋体"/>
          <w:color w:val="000000"/>
          <w:sz w:val="21"/>
          <w:szCs w:val="21"/>
        </w:rPr>
        <w:t>传        真：</w:t>
      </w:r>
    </w:p>
    <w:p>
      <w:pPr>
        <w:snapToGrid w:val="0"/>
        <w:spacing w:before="50" w:after="50" w:line="460" w:lineRule="exact"/>
        <w:ind w:firstLine="420" w:firstLineChars="200"/>
        <w:rPr>
          <w:rFonts w:hAnsi="宋体" w:cs="宋体"/>
          <w:color w:val="000000"/>
          <w:sz w:val="21"/>
          <w:szCs w:val="21"/>
        </w:rPr>
      </w:pPr>
      <w:r>
        <w:rPr>
          <w:rFonts w:hint="eastAsia" w:hAnsi="宋体" w:cs="宋体"/>
          <w:color w:val="000000"/>
          <w:sz w:val="21"/>
          <w:szCs w:val="21"/>
        </w:rPr>
        <w:t>电        话：</w:t>
      </w:r>
    </w:p>
    <w:p>
      <w:pPr>
        <w:spacing w:line="360" w:lineRule="auto"/>
        <w:ind w:firstLine="420" w:firstLineChars="200"/>
        <w:rPr>
          <w:rFonts w:hAnsi="宋体" w:cs="宋体"/>
          <w:color w:val="000000"/>
          <w:sz w:val="21"/>
          <w:szCs w:val="21"/>
        </w:rPr>
      </w:pPr>
      <w:r>
        <w:rPr>
          <w:rFonts w:hint="eastAsia" w:hAnsi="宋体" w:cs="宋体"/>
          <w:color w:val="000000"/>
          <w:sz w:val="21"/>
          <w:szCs w:val="21"/>
        </w:rPr>
        <w:t>法定代表人身份证复印件（正反面)粘贴处</w:t>
      </w:r>
    </w:p>
    <w:p>
      <w:pPr>
        <w:snapToGrid w:val="0"/>
        <w:spacing w:before="50" w:after="50"/>
        <w:ind w:firstLine="420" w:firstLineChars="200"/>
        <w:rPr>
          <w:rFonts w:hAnsi="宋体" w:cs="宋体"/>
          <w:color w:val="000000"/>
          <w:sz w:val="21"/>
          <w:szCs w:val="21"/>
        </w:rPr>
      </w:pPr>
    </w:p>
    <w:p>
      <w:pPr>
        <w:spacing w:line="360" w:lineRule="auto"/>
        <w:ind w:firstLine="420" w:firstLineChars="200"/>
        <w:rPr>
          <w:rFonts w:hAnsi="宋体" w:cs="宋体"/>
          <w:color w:val="000000"/>
          <w:sz w:val="21"/>
          <w:szCs w:val="21"/>
        </w:rPr>
      </w:pPr>
      <w:r>
        <w:rPr>
          <w:rFonts w:hint="eastAsia" w:hAnsi="宋体" w:cs="宋体"/>
          <w:color w:val="000000"/>
          <w:sz w:val="21"/>
          <w:szCs w:val="21"/>
        </w:rPr>
        <w:t>授权代表身份证复印件（正反面)粘贴处</w:t>
      </w:r>
    </w:p>
    <w:p>
      <w:pPr>
        <w:spacing w:line="360" w:lineRule="auto"/>
        <w:ind w:firstLine="420" w:firstLineChars="200"/>
        <w:rPr>
          <w:rFonts w:hAnsi="宋体" w:cs="宋体"/>
          <w:color w:val="000000"/>
          <w:sz w:val="21"/>
          <w:szCs w:val="21"/>
        </w:rPr>
      </w:pPr>
      <w:r>
        <w:rPr>
          <w:rFonts w:hint="eastAsia" w:hAnsi="宋体" w:cs="宋体"/>
          <w:color w:val="000000"/>
          <w:sz w:val="21"/>
          <w:szCs w:val="21"/>
        </w:rPr>
        <w:t>投标人全称（公章）：</w:t>
      </w:r>
    </w:p>
    <w:p>
      <w:pPr>
        <w:snapToGrid w:val="0"/>
        <w:spacing w:before="50" w:after="50"/>
        <w:ind w:firstLine="420" w:firstLineChars="200"/>
        <w:rPr>
          <w:rFonts w:hAnsi="宋体" w:cs="宋体"/>
          <w:color w:val="000000"/>
          <w:sz w:val="24"/>
        </w:rPr>
      </w:pPr>
      <w:r>
        <w:rPr>
          <w:rFonts w:hint="eastAsia" w:hAnsi="宋体" w:cs="宋体"/>
          <w:color w:val="000000"/>
          <w:sz w:val="21"/>
          <w:szCs w:val="21"/>
        </w:rPr>
        <w:t xml:space="preserve">日期：   年  月   日 </w:t>
      </w:r>
      <w:r>
        <w:rPr>
          <w:rFonts w:hint="eastAsia" w:hAnsi="宋体" w:cs="宋体"/>
          <w:color w:val="000000"/>
          <w:sz w:val="24"/>
        </w:rPr>
        <w:t xml:space="preserve">  </w:t>
      </w:r>
    </w:p>
    <w:p>
      <w:pPr>
        <w:autoSpaceDE/>
        <w:autoSpaceDN/>
        <w:adjustRightInd/>
        <w:spacing w:line="460" w:lineRule="exact"/>
        <w:ind w:firstLine="420" w:firstLineChars="200"/>
        <w:jc w:val="both"/>
        <w:rPr>
          <w:rFonts w:hAnsi="宋体" w:cs="宋体"/>
          <w:color w:val="000000"/>
          <w:sz w:val="21"/>
          <w:szCs w:val="21"/>
        </w:rPr>
      </w:pPr>
    </w:p>
    <w:p>
      <w:pPr>
        <w:autoSpaceDE/>
        <w:autoSpaceDN/>
        <w:adjustRightInd/>
        <w:spacing w:line="500" w:lineRule="exact"/>
        <w:ind w:firstLine="422" w:firstLineChars="200"/>
        <w:jc w:val="both"/>
        <w:rPr>
          <w:rFonts w:hAnsi="宋体" w:cs="宋体"/>
          <w:b/>
          <w:bCs/>
          <w:color w:val="000000"/>
          <w:sz w:val="21"/>
          <w:szCs w:val="21"/>
        </w:rPr>
      </w:pPr>
    </w:p>
    <w:p>
      <w:pPr>
        <w:pStyle w:val="44"/>
        <w:ind w:left="680"/>
        <w:rPr>
          <w:rFonts w:ascii="宋体" w:hAnsi="宋体" w:cs="宋体"/>
          <w:color w:val="000000"/>
        </w:rPr>
      </w:pP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widowControl/>
        <w:autoSpaceDE/>
        <w:autoSpaceDN/>
        <w:adjustRightInd/>
        <w:jc w:val="center"/>
        <w:rPr>
          <w:rFonts w:hAnsi="宋体" w:cs="宋体"/>
          <w:b/>
          <w:bCs/>
          <w:sz w:val="28"/>
          <w:szCs w:val="28"/>
        </w:rPr>
      </w:pPr>
      <w:r>
        <w:rPr>
          <w:rFonts w:hint="eastAsia" w:hAnsi="宋体" w:cs="宋体"/>
          <w:b/>
          <w:sz w:val="21"/>
          <w:szCs w:val="21"/>
        </w:rPr>
        <w:t>法定代表人身份证明</w:t>
      </w:r>
    </w:p>
    <w:p>
      <w:pPr>
        <w:widowControl/>
        <w:autoSpaceDE/>
        <w:autoSpaceDN/>
        <w:adjustRightInd/>
        <w:snapToGrid w:val="0"/>
        <w:spacing w:line="480" w:lineRule="auto"/>
        <w:rPr>
          <w:rFonts w:hAnsi="宋体" w:cs="宋体"/>
          <w:sz w:val="24"/>
          <w:szCs w:val="24"/>
        </w:rPr>
      </w:pPr>
      <w:r>
        <w:rPr>
          <w:rFonts w:hint="eastAsia" w:hAnsi="宋体" w:cs="宋体"/>
          <w:sz w:val="24"/>
          <w:szCs w:val="24"/>
        </w:rPr>
        <w:t>（采购单位、代理机构）：</w:t>
      </w:r>
    </w:p>
    <w:p>
      <w:pPr>
        <w:widowControl/>
        <w:autoSpaceDE/>
        <w:autoSpaceDN/>
        <w:adjustRightInd/>
        <w:snapToGrid w:val="0"/>
        <w:spacing w:line="480" w:lineRule="auto"/>
        <w:ind w:firstLine="1920" w:firstLineChars="800"/>
        <w:rPr>
          <w:rFonts w:hAnsi="宋体" w:cs="宋体"/>
          <w:sz w:val="24"/>
          <w:szCs w:val="24"/>
        </w:rPr>
      </w:pPr>
    </w:p>
    <w:p>
      <w:pPr>
        <w:widowControl/>
        <w:autoSpaceDE/>
        <w:autoSpaceDN/>
        <w:adjustRightInd/>
        <w:snapToGrid w:val="0"/>
        <w:spacing w:line="480" w:lineRule="auto"/>
        <w:ind w:left="956" w:leftChars="140" w:hanging="480" w:hangingChars="200"/>
        <w:rPr>
          <w:rFonts w:hAnsi="宋体" w:cs="宋体"/>
          <w:sz w:val="24"/>
          <w:szCs w:val="24"/>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 xml:space="preserve">   性别：</w:t>
      </w:r>
      <w:r>
        <w:rPr>
          <w:rFonts w:hint="eastAsia" w:hAnsi="宋体" w:cs="宋体"/>
          <w:sz w:val="24"/>
          <w:szCs w:val="24"/>
          <w:u w:val="single"/>
        </w:rPr>
        <w:t>　    　</w:t>
      </w:r>
      <w:r>
        <w:rPr>
          <w:rFonts w:hint="eastAsia" w:hAnsi="宋体" w:cs="宋体"/>
          <w:sz w:val="24"/>
          <w:szCs w:val="24"/>
        </w:rPr>
        <w:t xml:space="preserve">  年龄：</w:t>
      </w:r>
      <w:r>
        <w:rPr>
          <w:rFonts w:hint="eastAsia" w:hAnsi="宋体" w:cs="宋体"/>
          <w:sz w:val="24"/>
          <w:szCs w:val="24"/>
          <w:u w:val="single"/>
        </w:rPr>
        <w:t xml:space="preserve">     </w:t>
      </w:r>
      <w:r>
        <w:rPr>
          <w:rFonts w:hint="eastAsia" w:hAnsi="宋体" w:cs="宋体"/>
          <w:sz w:val="24"/>
          <w:szCs w:val="24"/>
        </w:rPr>
        <w:t xml:space="preserve"> 职务：</w:t>
      </w:r>
      <w:r>
        <w:rPr>
          <w:rFonts w:hint="eastAsia" w:hAnsi="宋体" w:cs="宋体"/>
          <w:sz w:val="24"/>
          <w:szCs w:val="24"/>
          <w:u w:val="single"/>
        </w:rPr>
        <w:t xml:space="preserve">      </w:t>
      </w:r>
      <w:r>
        <w:rPr>
          <w:rFonts w:hint="eastAsia" w:hAnsi="宋体" w:cs="宋体"/>
          <w:sz w:val="24"/>
          <w:szCs w:val="24"/>
        </w:rPr>
        <w:t xml:space="preserve">  身份证号码系</w:t>
      </w:r>
      <w:r>
        <w:rPr>
          <w:rFonts w:hint="eastAsia" w:hAnsi="宋体" w:cs="宋体"/>
          <w:sz w:val="24"/>
          <w:szCs w:val="24"/>
          <w:u w:val="single"/>
        </w:rPr>
        <w:t xml:space="preserve">　 </w:t>
      </w:r>
      <w:r>
        <w:rPr>
          <w:rFonts w:hint="eastAsia" w:hAnsi="宋体" w:cs="宋体"/>
          <w:sz w:val="24"/>
          <w:szCs w:val="24"/>
        </w:rPr>
        <w:t xml:space="preserve">（投标单位全称，或联合体投标人牵头单位的名称） </w:t>
      </w:r>
      <w:r>
        <w:rPr>
          <w:rFonts w:hint="eastAsia" w:hAnsi="宋体" w:cs="宋体"/>
          <w:sz w:val="24"/>
          <w:szCs w:val="24"/>
          <w:u w:val="single"/>
        </w:rPr>
        <w:t xml:space="preserve">        </w:t>
      </w:r>
      <w:r>
        <w:rPr>
          <w:rFonts w:hint="eastAsia" w:hAnsi="宋体" w:cs="宋体"/>
          <w:sz w:val="24"/>
          <w:szCs w:val="24"/>
        </w:rPr>
        <w:t>的法定代表人。</w:t>
      </w:r>
    </w:p>
    <w:p>
      <w:pPr>
        <w:widowControl/>
        <w:autoSpaceDE/>
        <w:autoSpaceDN/>
        <w:adjustRightInd/>
        <w:snapToGrid w:val="0"/>
        <w:spacing w:line="480" w:lineRule="auto"/>
        <w:ind w:firstLine="480" w:firstLineChars="200"/>
        <w:rPr>
          <w:rFonts w:hAnsi="宋体" w:cs="宋体"/>
          <w:sz w:val="24"/>
          <w:szCs w:val="24"/>
        </w:rPr>
      </w:pPr>
      <w:r>
        <w:rPr>
          <w:rFonts w:hint="eastAsia" w:hAnsi="宋体" w:cs="宋体"/>
          <w:sz w:val="24"/>
          <w:szCs w:val="24"/>
        </w:rPr>
        <w:t>特此证明。</w:t>
      </w:r>
    </w:p>
    <w:p>
      <w:pPr>
        <w:widowControl/>
        <w:autoSpaceDE/>
        <w:autoSpaceDN/>
        <w:adjustRightInd/>
        <w:snapToGrid w:val="0"/>
        <w:spacing w:line="480" w:lineRule="auto"/>
        <w:rPr>
          <w:rFonts w:hAnsi="宋体" w:cs="宋体"/>
          <w:sz w:val="24"/>
          <w:szCs w:val="24"/>
        </w:rPr>
      </w:pPr>
    </w:p>
    <w:p>
      <w:pPr>
        <w:widowControl/>
        <w:autoSpaceDE/>
        <w:autoSpaceDN/>
        <w:adjustRightInd/>
        <w:snapToGrid w:val="0"/>
        <w:spacing w:line="480" w:lineRule="auto"/>
        <w:rPr>
          <w:rFonts w:hAnsi="宋体" w:cs="宋体"/>
          <w:sz w:val="24"/>
          <w:szCs w:val="24"/>
        </w:rPr>
      </w:pPr>
      <w:r>
        <w:rPr>
          <w:rFonts w:hint="eastAsia" w:hAnsi="宋体" w:cs="宋体"/>
          <w:sz w:val="24"/>
          <w:szCs w:val="24"/>
        </w:rPr>
        <w:t>　　　　　　　　　　</w:t>
      </w:r>
    </w:p>
    <w:p>
      <w:pPr>
        <w:widowControl/>
        <w:autoSpaceDE/>
        <w:autoSpaceDN/>
        <w:adjustRightInd/>
        <w:snapToGrid w:val="0"/>
        <w:spacing w:line="480" w:lineRule="auto"/>
        <w:ind w:firstLine="240" w:firstLineChars="100"/>
        <w:rPr>
          <w:rFonts w:hAnsi="宋体" w:cs="宋体"/>
          <w:sz w:val="24"/>
          <w:szCs w:val="24"/>
        </w:rPr>
      </w:pPr>
      <w:r>
        <w:rPr>
          <w:rFonts w:hint="eastAsia" w:hAnsi="宋体" w:cs="宋体"/>
          <w:sz w:val="24"/>
          <w:szCs w:val="24"/>
        </w:rPr>
        <w:t>投标人（或联合体投标人的牵头单位）：</w:t>
      </w:r>
      <w:r>
        <w:rPr>
          <w:rFonts w:hint="eastAsia" w:hAnsi="宋体" w:cs="宋体"/>
          <w:sz w:val="24"/>
          <w:szCs w:val="24"/>
          <w:vertAlign w:val="subscript"/>
        </w:rPr>
        <w:t>　</w:t>
      </w:r>
      <w:r>
        <w:rPr>
          <w:rFonts w:hint="eastAsia" w:hAnsi="宋体" w:cs="宋体"/>
          <w:sz w:val="24"/>
          <w:szCs w:val="24"/>
          <w:u w:val="single"/>
        </w:rPr>
        <w:t>　                　</w:t>
      </w:r>
      <w:r>
        <w:rPr>
          <w:rFonts w:hint="eastAsia" w:hAnsi="宋体" w:cs="宋体"/>
          <w:sz w:val="24"/>
          <w:szCs w:val="24"/>
        </w:rPr>
        <w:t>（单位公章）</w:t>
      </w:r>
    </w:p>
    <w:p>
      <w:pPr>
        <w:widowControl/>
        <w:autoSpaceDE/>
        <w:autoSpaceDN/>
        <w:adjustRightInd/>
        <w:snapToGrid w:val="0"/>
        <w:spacing w:line="480" w:lineRule="auto"/>
        <w:ind w:firstLine="2400" w:firstLineChars="1000"/>
        <w:rPr>
          <w:rFonts w:hAnsi="宋体" w:cs="宋体"/>
          <w:sz w:val="24"/>
          <w:szCs w:val="24"/>
        </w:rPr>
      </w:pPr>
      <w:r>
        <w:rPr>
          <w:rFonts w:hint="eastAsia" w:hAnsi="宋体" w:cs="宋体"/>
          <w:sz w:val="24"/>
          <w:szCs w:val="24"/>
        </w:rPr>
        <w:t>日期：　</w:t>
      </w:r>
      <w:r>
        <w:rPr>
          <w:rFonts w:hint="eastAsia" w:hAnsi="宋体" w:cs="宋体"/>
          <w:sz w:val="24"/>
          <w:szCs w:val="24"/>
          <w:u w:val="single"/>
        </w:rPr>
        <w:t>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44"/>
        <w:autoSpaceDE/>
        <w:autoSpaceDN/>
        <w:snapToGrid w:val="0"/>
        <w:spacing w:after="0" w:line="480" w:lineRule="auto"/>
        <w:ind w:left="0" w:leftChars="0" w:firstLine="0"/>
        <w:rPr>
          <w:rFonts w:ascii="宋体" w:hAnsi="宋体" w:cs="宋体"/>
        </w:rPr>
      </w:pPr>
    </w:p>
    <w:p>
      <w:pPr>
        <w:pStyle w:val="44"/>
        <w:ind w:left="0" w:leftChars="0" w:firstLine="0"/>
        <w:rPr>
          <w:rFonts w:ascii="宋体" w:hAnsi="宋体" w:cs="宋体"/>
        </w:rPr>
      </w:pPr>
    </w:p>
    <w:p>
      <w:pPr>
        <w:pStyle w:val="44"/>
        <w:ind w:left="0" w:leftChars="0" w:firstLine="0"/>
        <w:rPr>
          <w:rFonts w:ascii="宋体" w:hAnsi="宋体" w:cs="宋体"/>
        </w:rPr>
      </w:pPr>
    </w:p>
    <w:p>
      <w:pPr>
        <w:widowControl/>
        <w:snapToGrid w:val="0"/>
        <w:spacing w:line="400" w:lineRule="exact"/>
        <w:ind w:firstLine="480" w:firstLineChars="200"/>
        <w:rPr>
          <w:rFonts w:hAnsi="宋体" w:cs="宋体"/>
          <w:sz w:val="24"/>
        </w:rPr>
      </w:pPr>
      <w:r>
        <w:rPr>
          <w:rFonts w:hint="eastAsia" w:hAnsi="宋体" w:cs="宋体"/>
          <w:sz w:val="24"/>
        </w:rPr>
        <w:t>法定代表人身份证（正反面）：</w:t>
      </w:r>
    </w:p>
    <w:p>
      <w:pPr>
        <w:spacing w:line="500" w:lineRule="exact"/>
        <w:jc w:val="center"/>
        <w:rPr>
          <w:rFonts w:hAnsi="宋体" w:cs="宋体"/>
          <w:b/>
          <w:color w:val="000000"/>
          <w:sz w:val="24"/>
          <w:szCs w:val="24"/>
        </w:rPr>
      </w:pPr>
    </w:p>
    <w:p>
      <w:pPr>
        <w:pStyle w:val="44"/>
        <w:ind w:left="6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pStyle w:val="22"/>
        <w:ind w:left="2380" w:right="2380"/>
        <w:rPr>
          <w:rFonts w:hAnsi="宋体" w:cs="宋体"/>
          <w:b/>
          <w:color w:val="000000"/>
          <w:sz w:val="24"/>
          <w:szCs w:val="24"/>
        </w:rPr>
      </w:pPr>
    </w:p>
    <w:p>
      <w:pPr>
        <w:snapToGrid w:val="0"/>
        <w:spacing w:before="50" w:after="50"/>
        <w:jc w:val="center"/>
        <w:rPr>
          <w:rFonts w:hAnsi="宋体" w:cs="宋体"/>
          <w:b/>
          <w:color w:val="000000"/>
          <w:sz w:val="24"/>
          <w:szCs w:val="22"/>
        </w:rPr>
      </w:pPr>
      <w:r>
        <w:rPr>
          <w:rFonts w:hint="eastAsia" w:hAnsi="宋体" w:cs="宋体"/>
          <w:color w:val="000000"/>
          <w:kern w:val="1"/>
          <w:sz w:val="21"/>
          <w:szCs w:val="21"/>
        </w:rPr>
        <w:t>3</w:t>
      </w:r>
      <w:r>
        <w:rPr>
          <w:rFonts w:hint="eastAsia" w:hAnsi="宋体" w:cs="宋体"/>
          <w:b/>
          <w:color w:val="000000"/>
          <w:sz w:val="24"/>
          <w:szCs w:val="22"/>
        </w:rPr>
        <w:t>.投标人情况介绍</w:t>
      </w:r>
    </w:p>
    <w:tbl>
      <w:tblPr>
        <w:tblStyle w:val="45"/>
        <w:tblW w:w="9450" w:type="dxa"/>
        <w:jc w:val="center"/>
        <w:tblLayout w:type="fixed"/>
        <w:tblCellMar>
          <w:top w:w="0" w:type="dxa"/>
          <w:left w:w="108" w:type="dxa"/>
          <w:bottom w:w="0" w:type="dxa"/>
          <w:right w:w="108" w:type="dxa"/>
        </w:tblCellMar>
      </w:tblPr>
      <w:tblGrid>
        <w:gridCol w:w="1980"/>
        <w:gridCol w:w="3443"/>
        <w:gridCol w:w="877"/>
        <w:gridCol w:w="650"/>
        <w:gridCol w:w="2500"/>
      </w:tblGrid>
      <w:tr>
        <w:tblPrEx>
          <w:tblCellMar>
            <w:top w:w="0" w:type="dxa"/>
            <w:left w:w="108" w:type="dxa"/>
            <w:bottom w:w="0" w:type="dxa"/>
            <w:right w:w="108" w:type="dxa"/>
          </w:tblCellMar>
        </w:tblPrEx>
        <w:trPr>
          <w:trHeight w:val="73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单位名称</w:t>
            </w:r>
          </w:p>
        </w:tc>
        <w:tc>
          <w:tcPr>
            <w:tcW w:w="3443"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p>
        </w:tc>
        <w:tc>
          <w:tcPr>
            <w:tcW w:w="152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注册资金</w:t>
            </w:r>
          </w:p>
        </w:tc>
        <w:tc>
          <w:tcPr>
            <w:tcW w:w="2500" w:type="dxa"/>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p>
        </w:tc>
      </w:tr>
      <w:tr>
        <w:tblPrEx>
          <w:tblCellMar>
            <w:top w:w="0" w:type="dxa"/>
            <w:left w:w="108" w:type="dxa"/>
            <w:bottom w:w="0" w:type="dxa"/>
            <w:right w:w="108" w:type="dxa"/>
          </w:tblCellMar>
        </w:tblPrEx>
        <w:trPr>
          <w:trHeight w:val="70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单位详细地址</w:t>
            </w:r>
          </w:p>
        </w:tc>
        <w:tc>
          <w:tcPr>
            <w:tcW w:w="7470" w:type="dxa"/>
            <w:gridSpan w:val="4"/>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p>
        </w:tc>
      </w:tr>
      <w:tr>
        <w:tblPrEx>
          <w:tblCellMar>
            <w:top w:w="0" w:type="dxa"/>
            <w:left w:w="108" w:type="dxa"/>
            <w:bottom w:w="0" w:type="dxa"/>
            <w:right w:w="108" w:type="dxa"/>
          </w:tblCellMar>
        </w:tblPrEx>
        <w:trPr>
          <w:cantSplit/>
          <w:trHeight w:val="49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营业执照注册号</w:t>
            </w:r>
          </w:p>
        </w:tc>
        <w:tc>
          <w:tcPr>
            <w:tcW w:w="7470" w:type="dxa"/>
            <w:gridSpan w:val="4"/>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p>
        </w:tc>
      </w:tr>
      <w:tr>
        <w:tblPrEx>
          <w:tblCellMar>
            <w:top w:w="0" w:type="dxa"/>
            <w:left w:w="108" w:type="dxa"/>
            <w:bottom w:w="0" w:type="dxa"/>
            <w:right w:w="108" w:type="dxa"/>
          </w:tblCellMar>
        </w:tblPrEx>
        <w:trPr>
          <w:cantSplit/>
          <w:trHeight w:val="60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单位成立时间</w:t>
            </w:r>
          </w:p>
        </w:tc>
        <w:tc>
          <w:tcPr>
            <w:tcW w:w="4320" w:type="dxa"/>
            <w:gridSpan w:val="2"/>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p>
        </w:tc>
        <w:tc>
          <w:tcPr>
            <w:tcW w:w="3150" w:type="dxa"/>
            <w:gridSpan w:val="2"/>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r>
              <w:rPr>
                <w:rFonts w:hint="eastAsia" w:hAnsi="宋体" w:cs="宋体"/>
                <w:color w:val="000000"/>
                <w:sz w:val="21"/>
                <w:szCs w:val="21"/>
              </w:rPr>
              <w:t>固定资产净值：    （万元）</w:t>
            </w:r>
          </w:p>
        </w:tc>
      </w:tr>
      <w:tr>
        <w:tblPrEx>
          <w:tblCellMar>
            <w:top w:w="0" w:type="dxa"/>
            <w:left w:w="108" w:type="dxa"/>
            <w:bottom w:w="0" w:type="dxa"/>
            <w:right w:w="108" w:type="dxa"/>
          </w:tblCellMar>
        </w:tblPrEx>
        <w:trPr>
          <w:cantSplit/>
          <w:trHeight w:val="80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获得相关资质证书情况</w:t>
            </w:r>
          </w:p>
        </w:tc>
        <w:tc>
          <w:tcPr>
            <w:tcW w:w="7470" w:type="dxa"/>
            <w:gridSpan w:val="4"/>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p>
        </w:tc>
      </w:tr>
      <w:tr>
        <w:tblPrEx>
          <w:tblCellMar>
            <w:top w:w="0" w:type="dxa"/>
            <w:left w:w="108" w:type="dxa"/>
            <w:bottom w:w="0" w:type="dxa"/>
            <w:right w:w="108" w:type="dxa"/>
          </w:tblCellMar>
        </w:tblPrEx>
        <w:trPr>
          <w:cantSplit/>
          <w:trHeight w:val="63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法定代表人</w:t>
            </w:r>
          </w:p>
        </w:tc>
        <w:tc>
          <w:tcPr>
            <w:tcW w:w="7470" w:type="dxa"/>
            <w:gridSpan w:val="4"/>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r>
              <w:rPr>
                <w:rFonts w:hint="eastAsia" w:hAnsi="宋体" w:cs="宋体"/>
                <w:color w:val="000000"/>
                <w:sz w:val="21"/>
                <w:szCs w:val="21"/>
              </w:rPr>
              <w:t xml:space="preserve">  姓名：          职务：           职称：</w:t>
            </w:r>
          </w:p>
        </w:tc>
      </w:tr>
      <w:tr>
        <w:tblPrEx>
          <w:tblCellMar>
            <w:top w:w="0" w:type="dxa"/>
            <w:left w:w="108" w:type="dxa"/>
            <w:bottom w:w="0" w:type="dxa"/>
            <w:right w:w="108" w:type="dxa"/>
          </w:tblCellMar>
        </w:tblPrEx>
        <w:trPr>
          <w:cantSplit/>
          <w:trHeight w:val="5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公司总经理</w:t>
            </w:r>
          </w:p>
        </w:tc>
        <w:tc>
          <w:tcPr>
            <w:tcW w:w="7470" w:type="dxa"/>
            <w:gridSpan w:val="4"/>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r>
              <w:rPr>
                <w:rFonts w:hint="eastAsia" w:hAnsi="宋体" w:cs="宋体"/>
                <w:color w:val="000000"/>
                <w:sz w:val="21"/>
                <w:szCs w:val="21"/>
              </w:rPr>
              <w:t xml:space="preserve">  姓名：          职务：           职称： </w:t>
            </w:r>
          </w:p>
        </w:tc>
      </w:tr>
      <w:tr>
        <w:tblPrEx>
          <w:tblCellMar>
            <w:top w:w="0" w:type="dxa"/>
            <w:left w:w="108" w:type="dxa"/>
            <w:bottom w:w="0" w:type="dxa"/>
            <w:right w:w="108" w:type="dxa"/>
          </w:tblCellMar>
        </w:tblPrEx>
        <w:trPr>
          <w:cantSplit/>
          <w:trHeight w:val="454" w:hRule="atLeast"/>
          <w:jc w:val="center"/>
        </w:trPr>
        <w:tc>
          <w:tcPr>
            <w:tcW w:w="1980" w:type="dxa"/>
            <w:vMerge w:val="restart"/>
            <w:tcBorders>
              <w:top w:val="single" w:color="auto" w:sz="4" w:space="0"/>
              <w:left w:val="single" w:color="auto" w:sz="4" w:space="0"/>
              <w:right w:val="single" w:color="auto" w:sz="4" w:space="0"/>
            </w:tcBorders>
            <w:vAlign w:val="center"/>
          </w:tcPr>
          <w:p>
            <w:pPr>
              <w:widowControl/>
              <w:jc w:val="center"/>
              <w:rPr>
                <w:rFonts w:hAnsi="宋体" w:cs="宋体"/>
                <w:color w:val="000000"/>
                <w:sz w:val="21"/>
                <w:szCs w:val="21"/>
              </w:rPr>
            </w:pPr>
            <w:r>
              <w:rPr>
                <w:rFonts w:hint="eastAsia" w:hAnsi="宋体" w:cs="宋体"/>
                <w:color w:val="000000"/>
                <w:sz w:val="21"/>
                <w:szCs w:val="21"/>
              </w:rPr>
              <w:t>人员情况</w:t>
            </w:r>
          </w:p>
        </w:tc>
        <w:tc>
          <w:tcPr>
            <w:tcW w:w="7470" w:type="dxa"/>
            <w:gridSpan w:val="4"/>
            <w:tcBorders>
              <w:top w:val="single" w:color="auto" w:sz="4" w:space="0"/>
              <w:left w:val="nil"/>
              <w:bottom w:val="single" w:color="auto" w:sz="4" w:space="0"/>
              <w:right w:val="single" w:color="auto" w:sz="4" w:space="0"/>
            </w:tcBorders>
            <w:vAlign w:val="center"/>
          </w:tcPr>
          <w:p>
            <w:pPr>
              <w:widowControl/>
              <w:jc w:val="both"/>
              <w:rPr>
                <w:rFonts w:hAnsi="宋体" w:cs="宋体"/>
                <w:color w:val="000000"/>
                <w:sz w:val="21"/>
                <w:szCs w:val="21"/>
              </w:rPr>
            </w:pPr>
            <w:r>
              <w:rPr>
                <w:rFonts w:hint="eastAsia" w:hAnsi="宋体" w:cs="宋体"/>
                <w:color w:val="000000"/>
                <w:sz w:val="21"/>
                <w:szCs w:val="21"/>
              </w:rPr>
              <w:t>职工总数</w:t>
            </w:r>
            <w:r>
              <w:rPr>
                <w:rFonts w:hint="eastAsia" w:hAnsi="宋体" w:cs="宋体"/>
                <w:color w:val="000000"/>
                <w:sz w:val="21"/>
                <w:szCs w:val="21"/>
                <w:u w:val="single"/>
              </w:rPr>
              <w:t xml:space="preserve">       </w:t>
            </w:r>
            <w:r>
              <w:rPr>
                <w:rFonts w:hint="eastAsia" w:hAnsi="宋体" w:cs="宋体"/>
                <w:color w:val="000000"/>
                <w:sz w:val="21"/>
                <w:szCs w:val="21"/>
              </w:rPr>
              <w:t>人, 其中：专业人员总数</w:t>
            </w:r>
            <w:r>
              <w:rPr>
                <w:rFonts w:hint="eastAsia" w:hAnsi="宋体" w:cs="宋体"/>
                <w:color w:val="000000"/>
                <w:sz w:val="21"/>
                <w:szCs w:val="21"/>
                <w:u w:val="single"/>
              </w:rPr>
              <w:t xml:space="preserve">       </w:t>
            </w:r>
            <w:r>
              <w:rPr>
                <w:rFonts w:hint="eastAsia" w:hAnsi="宋体" w:cs="宋体"/>
                <w:color w:val="000000"/>
                <w:sz w:val="21"/>
                <w:szCs w:val="21"/>
              </w:rPr>
              <w:t>人。</w:t>
            </w:r>
          </w:p>
        </w:tc>
      </w:tr>
      <w:tr>
        <w:tblPrEx>
          <w:tblCellMar>
            <w:top w:w="0" w:type="dxa"/>
            <w:left w:w="108" w:type="dxa"/>
            <w:bottom w:w="0" w:type="dxa"/>
            <w:right w:w="108" w:type="dxa"/>
          </w:tblCellMar>
        </w:tblPrEx>
        <w:trPr>
          <w:cantSplit/>
          <w:trHeight w:val="454" w:hRule="atLeast"/>
          <w:jc w:val="center"/>
        </w:trPr>
        <w:tc>
          <w:tcPr>
            <w:tcW w:w="1980" w:type="dxa"/>
            <w:vMerge w:val="continue"/>
            <w:tcBorders>
              <w:left w:val="single" w:color="auto" w:sz="4" w:space="0"/>
              <w:right w:val="single" w:color="auto" w:sz="4" w:space="0"/>
            </w:tcBorders>
            <w:vAlign w:val="center"/>
          </w:tcPr>
          <w:p>
            <w:pPr>
              <w:rPr>
                <w:rFonts w:hAnsi="宋体" w:cs="宋体"/>
                <w:color w:val="000000"/>
                <w:sz w:val="21"/>
                <w:szCs w:val="21"/>
              </w:rPr>
            </w:pPr>
          </w:p>
        </w:tc>
        <w:tc>
          <w:tcPr>
            <w:tcW w:w="7470" w:type="dxa"/>
            <w:gridSpan w:val="4"/>
            <w:tcBorders>
              <w:top w:val="single" w:color="auto" w:sz="4" w:space="0"/>
              <w:left w:val="nil"/>
              <w:bottom w:val="single" w:color="auto" w:sz="4" w:space="0"/>
              <w:right w:val="single" w:color="auto" w:sz="4" w:space="0"/>
            </w:tcBorders>
            <w:vAlign w:val="center"/>
          </w:tcPr>
          <w:p>
            <w:pPr>
              <w:rPr>
                <w:rFonts w:hAnsi="宋体" w:cs="宋体"/>
                <w:color w:val="000000"/>
                <w:sz w:val="21"/>
                <w:szCs w:val="21"/>
              </w:rPr>
            </w:pPr>
            <w:r>
              <w:rPr>
                <w:rFonts w:hint="eastAsia" w:hAnsi="宋体" w:cs="宋体"/>
                <w:color w:val="000000"/>
                <w:sz w:val="21"/>
                <w:szCs w:val="21"/>
              </w:rPr>
              <w:t>高级职称       人, 中级职称       人, 初级职称       人。</w:t>
            </w:r>
          </w:p>
        </w:tc>
      </w:tr>
      <w:tr>
        <w:tblPrEx>
          <w:tblCellMar>
            <w:top w:w="0" w:type="dxa"/>
            <w:left w:w="108" w:type="dxa"/>
            <w:bottom w:w="0" w:type="dxa"/>
            <w:right w:w="108" w:type="dxa"/>
          </w:tblCellMar>
        </w:tblPrEx>
        <w:trPr>
          <w:cantSplit/>
          <w:trHeight w:val="454" w:hRule="atLeast"/>
          <w:jc w:val="center"/>
        </w:trPr>
        <w:tc>
          <w:tcPr>
            <w:tcW w:w="1980" w:type="dxa"/>
            <w:vMerge w:val="continue"/>
            <w:tcBorders>
              <w:left w:val="single" w:color="auto" w:sz="4" w:space="0"/>
              <w:bottom w:val="single" w:color="auto" w:sz="4" w:space="0"/>
              <w:right w:val="single" w:color="auto" w:sz="4" w:space="0"/>
            </w:tcBorders>
            <w:vAlign w:val="center"/>
          </w:tcPr>
          <w:p>
            <w:pPr>
              <w:rPr>
                <w:rFonts w:hAnsi="宋体" w:cs="宋体"/>
                <w:color w:val="000000"/>
                <w:sz w:val="21"/>
                <w:szCs w:val="21"/>
              </w:rPr>
            </w:pPr>
          </w:p>
        </w:tc>
        <w:tc>
          <w:tcPr>
            <w:tcW w:w="7470" w:type="dxa"/>
            <w:gridSpan w:val="4"/>
            <w:tcBorders>
              <w:top w:val="single" w:color="auto" w:sz="4" w:space="0"/>
              <w:left w:val="nil"/>
              <w:bottom w:val="single" w:color="auto" w:sz="4" w:space="0"/>
              <w:right w:val="single" w:color="auto" w:sz="4" w:space="0"/>
            </w:tcBorders>
            <w:vAlign w:val="center"/>
          </w:tcPr>
          <w:p>
            <w:pPr>
              <w:rPr>
                <w:rFonts w:hAnsi="宋体" w:cs="宋体"/>
                <w:color w:val="000000"/>
                <w:sz w:val="21"/>
                <w:szCs w:val="21"/>
              </w:rPr>
            </w:pPr>
            <w:r>
              <w:rPr>
                <w:rFonts w:hint="eastAsia" w:hAnsi="宋体" w:cs="宋体"/>
                <w:color w:val="000000"/>
                <w:sz w:val="21"/>
                <w:szCs w:val="21"/>
              </w:rPr>
              <w:t>博士</w:t>
            </w:r>
            <w:r>
              <w:rPr>
                <w:rFonts w:hint="eastAsia" w:hAnsi="宋体" w:cs="宋体"/>
                <w:color w:val="000000"/>
                <w:sz w:val="21"/>
                <w:szCs w:val="21"/>
                <w:u w:val="single"/>
              </w:rPr>
              <w:t xml:space="preserve">       </w:t>
            </w:r>
            <w:r>
              <w:rPr>
                <w:rFonts w:hint="eastAsia" w:hAnsi="宋体" w:cs="宋体"/>
                <w:color w:val="000000"/>
                <w:sz w:val="21"/>
                <w:szCs w:val="21"/>
              </w:rPr>
              <w:t>人, 硕士</w:t>
            </w:r>
            <w:r>
              <w:rPr>
                <w:rFonts w:hint="eastAsia" w:hAnsi="宋体" w:cs="宋体"/>
                <w:color w:val="000000"/>
                <w:sz w:val="21"/>
                <w:szCs w:val="21"/>
                <w:u w:val="single"/>
              </w:rPr>
              <w:t xml:space="preserve">       </w:t>
            </w:r>
            <w:r>
              <w:rPr>
                <w:rFonts w:hint="eastAsia" w:hAnsi="宋体" w:cs="宋体"/>
                <w:color w:val="000000"/>
                <w:sz w:val="21"/>
                <w:szCs w:val="21"/>
              </w:rPr>
              <w:t>人, 本科</w:t>
            </w:r>
            <w:r>
              <w:rPr>
                <w:rFonts w:hint="eastAsia" w:hAnsi="宋体" w:cs="宋体"/>
                <w:color w:val="000000"/>
                <w:sz w:val="21"/>
                <w:szCs w:val="21"/>
                <w:u w:val="single"/>
              </w:rPr>
              <w:t xml:space="preserve">       </w:t>
            </w:r>
            <w:r>
              <w:rPr>
                <w:rFonts w:hint="eastAsia" w:hAnsi="宋体" w:cs="宋体"/>
                <w:color w:val="000000"/>
                <w:sz w:val="21"/>
                <w:szCs w:val="21"/>
              </w:rPr>
              <w:t>人。</w:t>
            </w:r>
          </w:p>
        </w:tc>
      </w:tr>
      <w:tr>
        <w:tblPrEx>
          <w:tblCellMar>
            <w:top w:w="0" w:type="dxa"/>
            <w:left w:w="108" w:type="dxa"/>
            <w:bottom w:w="0" w:type="dxa"/>
            <w:right w:w="108" w:type="dxa"/>
          </w:tblCellMar>
        </w:tblPrEx>
        <w:trPr>
          <w:cantSplit/>
          <w:trHeight w:val="95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Ansi="宋体" w:cs="宋体"/>
                <w:color w:val="000000"/>
                <w:sz w:val="21"/>
                <w:szCs w:val="21"/>
              </w:rPr>
            </w:pPr>
            <w:r>
              <w:rPr>
                <w:rFonts w:hint="eastAsia" w:hAnsi="宋体" w:cs="宋体"/>
                <w:color w:val="000000"/>
                <w:sz w:val="21"/>
                <w:szCs w:val="21"/>
              </w:rPr>
              <w:t>投标人在企业注册地以外设立分支机构的情况</w:t>
            </w:r>
          </w:p>
        </w:tc>
        <w:tc>
          <w:tcPr>
            <w:tcW w:w="7470" w:type="dxa"/>
            <w:gridSpan w:val="4"/>
            <w:tcBorders>
              <w:top w:val="single" w:color="auto" w:sz="4" w:space="0"/>
              <w:left w:val="nil"/>
              <w:bottom w:val="single" w:color="auto" w:sz="4" w:space="0"/>
              <w:right w:val="single" w:color="auto" w:sz="4" w:space="0"/>
            </w:tcBorders>
            <w:vAlign w:val="center"/>
          </w:tcPr>
          <w:p>
            <w:pPr>
              <w:rPr>
                <w:rFonts w:hAnsi="宋体" w:cs="宋体"/>
                <w:color w:val="000000"/>
                <w:sz w:val="21"/>
                <w:szCs w:val="21"/>
              </w:rPr>
            </w:pPr>
          </w:p>
        </w:tc>
      </w:tr>
      <w:tr>
        <w:tblPrEx>
          <w:tblCellMar>
            <w:top w:w="0" w:type="dxa"/>
            <w:left w:w="108" w:type="dxa"/>
            <w:bottom w:w="0" w:type="dxa"/>
            <w:right w:w="108" w:type="dxa"/>
          </w:tblCellMar>
        </w:tblPrEx>
        <w:trPr>
          <w:cantSpli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联系方式</w:t>
            </w:r>
          </w:p>
        </w:tc>
        <w:tc>
          <w:tcPr>
            <w:tcW w:w="7470" w:type="dxa"/>
            <w:gridSpan w:val="4"/>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r>
              <w:rPr>
                <w:rFonts w:hint="eastAsia" w:hAnsi="宋体" w:cs="宋体"/>
                <w:color w:val="000000"/>
                <w:sz w:val="21"/>
                <w:szCs w:val="21"/>
              </w:rPr>
              <w:t>地址：            邮编：           电话：</w:t>
            </w:r>
          </w:p>
          <w:p>
            <w:pPr>
              <w:spacing w:line="360" w:lineRule="auto"/>
              <w:rPr>
                <w:rFonts w:hAnsi="宋体" w:cs="宋体"/>
                <w:color w:val="000000"/>
                <w:sz w:val="21"/>
                <w:szCs w:val="21"/>
              </w:rPr>
            </w:pPr>
            <w:r>
              <w:rPr>
                <w:rFonts w:hint="eastAsia" w:hAnsi="宋体" w:cs="宋体"/>
                <w:color w:val="000000"/>
                <w:sz w:val="21"/>
                <w:szCs w:val="21"/>
              </w:rPr>
              <w:t xml:space="preserve">传真： </w:t>
            </w:r>
          </w:p>
        </w:tc>
      </w:tr>
      <w:tr>
        <w:tblPrEx>
          <w:tblCellMar>
            <w:top w:w="0" w:type="dxa"/>
            <w:left w:w="108" w:type="dxa"/>
            <w:bottom w:w="0" w:type="dxa"/>
            <w:right w:w="108" w:type="dxa"/>
          </w:tblCellMar>
        </w:tblPrEx>
        <w:trPr>
          <w:cantSpli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开户银行</w:t>
            </w:r>
          </w:p>
        </w:tc>
        <w:tc>
          <w:tcPr>
            <w:tcW w:w="7470" w:type="dxa"/>
            <w:gridSpan w:val="4"/>
            <w:tcBorders>
              <w:top w:val="single" w:color="auto" w:sz="4" w:space="0"/>
              <w:left w:val="nil"/>
              <w:bottom w:val="single" w:color="auto" w:sz="4" w:space="0"/>
              <w:right w:val="single" w:color="auto" w:sz="4" w:space="0"/>
            </w:tcBorders>
            <w:vAlign w:val="center"/>
          </w:tcPr>
          <w:p>
            <w:pPr>
              <w:spacing w:line="360" w:lineRule="auto"/>
              <w:rPr>
                <w:rFonts w:hAnsi="宋体" w:cs="宋体"/>
                <w:color w:val="000000"/>
                <w:sz w:val="21"/>
                <w:szCs w:val="21"/>
              </w:rPr>
            </w:pPr>
            <w:r>
              <w:rPr>
                <w:rFonts w:hint="eastAsia" w:hAnsi="宋体" w:cs="宋体"/>
                <w:color w:val="000000"/>
                <w:sz w:val="21"/>
                <w:szCs w:val="21"/>
              </w:rPr>
              <w:t>名称：</w:t>
            </w:r>
          </w:p>
          <w:p>
            <w:pPr>
              <w:spacing w:line="360" w:lineRule="auto"/>
              <w:rPr>
                <w:rFonts w:hAnsi="宋体" w:cs="宋体"/>
                <w:color w:val="000000"/>
                <w:sz w:val="21"/>
                <w:szCs w:val="21"/>
              </w:rPr>
            </w:pPr>
            <w:r>
              <w:rPr>
                <w:rFonts w:hint="eastAsia" w:hAnsi="宋体" w:cs="宋体"/>
                <w:color w:val="000000"/>
                <w:sz w:val="21"/>
                <w:szCs w:val="21"/>
              </w:rPr>
              <w:t>账号：</w:t>
            </w:r>
          </w:p>
        </w:tc>
      </w:tr>
      <w:tr>
        <w:tblPrEx>
          <w:tblCellMar>
            <w:top w:w="0" w:type="dxa"/>
            <w:left w:w="108" w:type="dxa"/>
            <w:bottom w:w="0" w:type="dxa"/>
            <w:right w:w="108" w:type="dxa"/>
          </w:tblCellMar>
        </w:tblPrEx>
        <w:trPr>
          <w:cantSplit/>
          <w:trHeight w:val="94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color w:val="000000"/>
                <w:sz w:val="21"/>
                <w:szCs w:val="21"/>
              </w:rPr>
            </w:pPr>
            <w:r>
              <w:rPr>
                <w:rFonts w:hint="eastAsia" w:hAnsi="宋体" w:cs="宋体"/>
                <w:color w:val="000000"/>
                <w:sz w:val="21"/>
                <w:szCs w:val="21"/>
              </w:rPr>
              <w:t>公  司组  织</w:t>
            </w:r>
          </w:p>
          <w:p>
            <w:pPr>
              <w:spacing w:line="360" w:lineRule="auto"/>
              <w:jc w:val="center"/>
              <w:rPr>
                <w:rFonts w:hAnsi="宋体" w:cs="宋体"/>
                <w:color w:val="000000"/>
                <w:sz w:val="21"/>
                <w:szCs w:val="21"/>
              </w:rPr>
            </w:pPr>
            <w:r>
              <w:rPr>
                <w:rFonts w:hint="eastAsia" w:hAnsi="宋体" w:cs="宋体"/>
                <w:color w:val="000000"/>
                <w:sz w:val="21"/>
                <w:szCs w:val="21"/>
              </w:rPr>
              <w:t>机  构框  图</w:t>
            </w:r>
          </w:p>
        </w:tc>
        <w:tc>
          <w:tcPr>
            <w:tcW w:w="7470" w:type="dxa"/>
            <w:gridSpan w:val="4"/>
            <w:tcBorders>
              <w:top w:val="single" w:color="auto" w:sz="4" w:space="0"/>
              <w:left w:val="nil"/>
              <w:bottom w:val="single" w:color="auto" w:sz="4" w:space="0"/>
              <w:right w:val="single" w:color="auto" w:sz="4" w:space="0"/>
            </w:tcBorders>
            <w:vAlign w:val="center"/>
          </w:tcPr>
          <w:p>
            <w:pPr>
              <w:spacing w:line="360" w:lineRule="auto"/>
              <w:jc w:val="center"/>
              <w:rPr>
                <w:rFonts w:hAnsi="宋体" w:cs="宋体"/>
                <w:color w:val="000000"/>
                <w:sz w:val="21"/>
                <w:szCs w:val="21"/>
              </w:rPr>
            </w:pPr>
          </w:p>
        </w:tc>
      </w:tr>
    </w:tbl>
    <w:p>
      <w:pPr>
        <w:spacing w:before="120" w:beforeLines="50" w:line="360" w:lineRule="auto"/>
        <w:rPr>
          <w:rFonts w:hAnsi="宋体" w:cs="宋体"/>
          <w:color w:val="000000"/>
          <w:sz w:val="21"/>
          <w:szCs w:val="21"/>
        </w:rPr>
      </w:pPr>
      <w:r>
        <w:rPr>
          <w:rFonts w:hint="eastAsia" w:hAnsi="宋体" w:cs="宋体"/>
          <w:color w:val="000000"/>
          <w:sz w:val="21"/>
          <w:szCs w:val="21"/>
        </w:rPr>
        <w:t>法定代表人或其授权代表（签字或盖章）：</w:t>
      </w:r>
    </w:p>
    <w:p>
      <w:pPr>
        <w:spacing w:line="360" w:lineRule="auto"/>
        <w:rPr>
          <w:rFonts w:hAnsi="宋体" w:cs="宋体"/>
          <w:color w:val="000000"/>
          <w:sz w:val="21"/>
          <w:szCs w:val="21"/>
        </w:rPr>
      </w:pPr>
      <w:r>
        <w:rPr>
          <w:rFonts w:hint="eastAsia" w:hAnsi="宋体" w:cs="宋体"/>
          <w:color w:val="000000"/>
          <w:sz w:val="21"/>
          <w:szCs w:val="21"/>
        </w:rPr>
        <w:t xml:space="preserve">投标人全称（加盖公章）：                 </w:t>
      </w:r>
    </w:p>
    <w:p>
      <w:pPr>
        <w:pStyle w:val="38"/>
        <w:rPr>
          <w:rFonts w:ascii="宋体" w:hAnsi="宋体" w:cs="宋体"/>
        </w:rPr>
      </w:pPr>
      <w:r>
        <w:rPr>
          <w:rFonts w:hint="eastAsia" w:ascii="宋体" w:hAnsi="宋体" w:cs="宋体"/>
        </w:rPr>
        <w:t>日期：    年    月    日</w:t>
      </w:r>
    </w:p>
    <w:p>
      <w:pPr>
        <w:pStyle w:val="44"/>
        <w:ind w:left="17" w:leftChars="0" w:hanging="17" w:hangingChars="7"/>
        <w:jc w:val="center"/>
        <w:rPr>
          <w:rFonts w:ascii="宋体" w:hAnsi="宋体" w:cs="宋体"/>
          <w:b/>
          <w:color w:val="000000"/>
          <w:sz w:val="24"/>
        </w:rPr>
      </w:pPr>
      <w:bookmarkStart w:id="51" w:name="_Toc237176518"/>
      <w:bookmarkStart w:id="52" w:name="_Toc184785940"/>
      <w:bookmarkStart w:id="53" w:name="_Toc217289142"/>
      <w:bookmarkStart w:id="54" w:name="_Toc499294831"/>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注：若为联合体投标人，由联合体各方分别编制，投标人牵头人签字、盖章。</w:t>
      </w:r>
    </w:p>
    <w:p>
      <w:pPr>
        <w:autoSpaceDE/>
        <w:autoSpaceDN/>
        <w:adjustRightInd/>
        <w:snapToGrid w:val="0"/>
        <w:spacing w:before="50" w:after="50"/>
        <w:rPr>
          <w:rFonts w:hAnsi="宋体" w:cs="宋体"/>
          <w:b/>
          <w:color w:val="000000"/>
          <w:sz w:val="24"/>
          <w:szCs w:val="22"/>
        </w:rPr>
      </w:pPr>
    </w:p>
    <w:p>
      <w:pPr>
        <w:autoSpaceDE/>
        <w:autoSpaceDN/>
        <w:adjustRightInd/>
        <w:snapToGrid w:val="0"/>
        <w:spacing w:before="50" w:after="50"/>
        <w:rPr>
          <w:rFonts w:hAnsi="宋体" w:cs="宋体"/>
          <w:b/>
          <w:color w:val="000000"/>
          <w:sz w:val="24"/>
          <w:szCs w:val="22"/>
        </w:rPr>
      </w:pPr>
    </w:p>
    <w:p>
      <w:pPr>
        <w:autoSpaceDE/>
        <w:autoSpaceDN/>
        <w:adjustRightInd/>
        <w:snapToGrid w:val="0"/>
        <w:spacing w:before="50" w:after="50"/>
        <w:rPr>
          <w:rFonts w:hAnsi="宋体" w:cs="宋体"/>
          <w:b/>
          <w:color w:val="000000" w:themeColor="text1"/>
          <w:sz w:val="24"/>
          <w:szCs w:val="22"/>
        </w:rPr>
      </w:pPr>
    </w:p>
    <w:p>
      <w:pPr>
        <w:snapToGrid w:val="0"/>
        <w:spacing w:before="50" w:after="50"/>
        <w:jc w:val="center"/>
        <w:rPr>
          <w:rFonts w:hAnsi="宋体" w:cs="宋体"/>
          <w:b/>
          <w:bCs/>
          <w:color w:val="000000" w:themeColor="text1"/>
          <w:sz w:val="24"/>
        </w:rPr>
      </w:pPr>
      <w:r>
        <w:rPr>
          <w:rFonts w:hint="eastAsia" w:hAnsi="宋体" w:cs="宋体"/>
          <w:b/>
          <w:color w:val="000000" w:themeColor="text1"/>
          <w:sz w:val="24"/>
          <w:szCs w:val="22"/>
        </w:rPr>
        <w:t>4</w:t>
      </w:r>
      <w:r>
        <w:rPr>
          <w:rFonts w:hint="eastAsia" w:hAnsi="宋体" w:cs="宋体"/>
          <w:b/>
          <w:bCs/>
          <w:color w:val="000000" w:themeColor="text1"/>
          <w:sz w:val="24"/>
        </w:rPr>
        <w:t>、投标人（或联合体投标人）</w:t>
      </w:r>
      <w:r>
        <w:rPr>
          <w:rFonts w:hint="eastAsia" w:hAnsi="宋体" w:cs="宋体"/>
          <w:b/>
          <w:color w:val="000000" w:themeColor="text1"/>
          <w:sz w:val="24"/>
          <w:szCs w:val="22"/>
        </w:rPr>
        <w:t>2019年1月1日以来</w:t>
      </w:r>
      <w:r>
        <w:rPr>
          <w:rFonts w:hint="eastAsia" w:hAnsi="宋体" w:cs="宋体"/>
          <w:b/>
          <w:bCs/>
          <w:color w:val="000000" w:themeColor="text1"/>
          <w:sz w:val="24"/>
        </w:rPr>
        <w:t>同类项目服务业绩及获奖情况</w:t>
      </w:r>
    </w:p>
    <w:tbl>
      <w:tblPr>
        <w:tblStyle w:val="45"/>
        <w:tblpPr w:leftFromText="180" w:rightFromText="180" w:vertAnchor="text" w:horzAnchor="page" w:tblpX="620" w:tblpY="879"/>
        <w:tblOverlap w:val="never"/>
        <w:tblW w:w="10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
        <w:gridCol w:w="1349"/>
        <w:gridCol w:w="1975"/>
        <w:gridCol w:w="1709"/>
        <w:gridCol w:w="1555"/>
        <w:gridCol w:w="1368"/>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1"/>
                <w:szCs w:val="21"/>
              </w:rPr>
            </w:pPr>
            <w:r>
              <w:rPr>
                <w:rFonts w:hint="eastAsia" w:hAnsi="宋体" w:cs="宋体"/>
                <w:color w:val="000000" w:themeColor="text1"/>
                <w:sz w:val="21"/>
                <w:szCs w:val="21"/>
              </w:rPr>
              <w:t>序号</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1"/>
                <w:szCs w:val="21"/>
              </w:rPr>
            </w:pPr>
            <w:r>
              <w:rPr>
                <w:rFonts w:hint="eastAsia" w:hAnsi="宋体" w:cs="宋体"/>
                <w:color w:val="000000" w:themeColor="text1"/>
                <w:sz w:val="21"/>
                <w:szCs w:val="21"/>
              </w:rPr>
              <w:t>规划（或软件、专利）项 目 名 称</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1"/>
                <w:szCs w:val="21"/>
              </w:rPr>
            </w:pPr>
            <w:r>
              <w:rPr>
                <w:rFonts w:hint="eastAsia" w:hAnsi="宋体" w:cs="宋体"/>
                <w:color w:val="000000" w:themeColor="text1"/>
                <w:sz w:val="21"/>
                <w:szCs w:val="21"/>
              </w:rPr>
              <w:t>项目承接单位</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1"/>
                <w:szCs w:val="21"/>
              </w:rPr>
            </w:pPr>
            <w:r>
              <w:rPr>
                <w:rFonts w:hint="eastAsia" w:hAnsi="宋体" w:cs="宋体"/>
                <w:color w:val="000000" w:themeColor="text1"/>
                <w:sz w:val="21"/>
                <w:szCs w:val="21"/>
              </w:rPr>
              <w:t>项目起止时间</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1"/>
                <w:szCs w:val="21"/>
              </w:rPr>
            </w:pPr>
            <w:r>
              <w:rPr>
                <w:rFonts w:hint="eastAsia" w:hAnsi="宋体" w:cs="宋体"/>
                <w:color w:val="000000" w:themeColor="text1"/>
                <w:sz w:val="21"/>
                <w:szCs w:val="21"/>
              </w:rPr>
              <w:t>业主单位</w:t>
            </w:r>
          </w:p>
        </w:tc>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themeColor="text1"/>
                <w:sz w:val="21"/>
                <w:szCs w:val="21"/>
              </w:rPr>
            </w:pPr>
            <w:r>
              <w:rPr>
                <w:rFonts w:hint="eastAsia" w:hAnsi="宋体" w:cs="宋体"/>
                <w:color w:val="000000" w:themeColor="text1"/>
                <w:sz w:val="21"/>
                <w:szCs w:val="21"/>
              </w:rPr>
              <w:t>合同金额</w:t>
            </w:r>
          </w:p>
          <w:p>
            <w:pPr>
              <w:widowControl/>
              <w:snapToGrid w:val="0"/>
              <w:jc w:val="center"/>
              <w:rPr>
                <w:rFonts w:hAnsi="宋体" w:cs="宋体"/>
                <w:color w:val="000000" w:themeColor="text1"/>
                <w:sz w:val="21"/>
                <w:szCs w:val="21"/>
              </w:rPr>
            </w:pPr>
            <w:r>
              <w:rPr>
                <w:rFonts w:hint="eastAsia" w:hAnsi="宋体" w:cs="宋体"/>
                <w:color w:val="000000" w:themeColor="text1"/>
                <w:sz w:val="21"/>
                <w:szCs w:val="21"/>
              </w:rPr>
              <w:t>（人民币）</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1"/>
                <w:szCs w:val="21"/>
              </w:rPr>
            </w:pPr>
            <w:r>
              <w:rPr>
                <w:rFonts w:hint="eastAsia" w:hAnsi="宋体" w:cs="宋体"/>
                <w:color w:val="000000" w:themeColor="text1"/>
                <w:sz w:val="21"/>
                <w:szCs w:val="21"/>
              </w:rPr>
              <w:t>获奖情况（备注获奖时间）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9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5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宋体" w:cs="宋体"/>
                <w:color w:val="000000" w:themeColor="text1"/>
                <w:sz w:val="24"/>
              </w:rPr>
            </w:pPr>
            <w:r>
              <w:rPr>
                <w:rFonts w:hint="eastAsia" w:hAnsi="宋体" w:cs="宋体"/>
                <w:color w:val="000000" w:themeColor="text1"/>
                <w:sz w:val="24"/>
              </w:rPr>
              <w:t> </w:t>
            </w:r>
          </w:p>
        </w:tc>
      </w:tr>
    </w:tbl>
    <w:p>
      <w:pPr>
        <w:spacing w:line="300" w:lineRule="auto"/>
        <w:jc w:val="center"/>
        <w:rPr>
          <w:rFonts w:hAnsi="宋体" w:cs="宋体"/>
          <w:color w:val="000000" w:themeColor="text1"/>
          <w:sz w:val="21"/>
          <w:szCs w:val="21"/>
        </w:rPr>
      </w:pPr>
    </w:p>
    <w:p>
      <w:pPr>
        <w:spacing w:line="300" w:lineRule="auto"/>
        <w:rPr>
          <w:rFonts w:hAnsi="宋体" w:cs="宋体"/>
          <w:color w:val="000000"/>
          <w:sz w:val="21"/>
          <w:szCs w:val="21"/>
        </w:rPr>
      </w:pPr>
      <w:r>
        <w:rPr>
          <w:rFonts w:hint="eastAsia" w:hAnsi="宋体" w:cs="宋体"/>
          <w:color w:val="000000" w:themeColor="text1"/>
          <w:sz w:val="21"/>
          <w:szCs w:val="21"/>
        </w:rPr>
        <w:t xml:space="preserve">投标单位（盖章）：         </w:t>
      </w:r>
      <w:r>
        <w:rPr>
          <w:rFonts w:hint="eastAsia" w:hAnsi="宋体" w:cs="宋体"/>
          <w:color w:val="000000"/>
          <w:sz w:val="21"/>
          <w:szCs w:val="21"/>
        </w:rPr>
        <w:t xml:space="preserve">    </w:t>
      </w:r>
    </w:p>
    <w:p>
      <w:pPr>
        <w:spacing w:line="300" w:lineRule="auto"/>
        <w:jc w:val="center"/>
        <w:rPr>
          <w:rFonts w:hAnsi="宋体" w:cs="宋体"/>
          <w:color w:val="000000"/>
          <w:sz w:val="21"/>
          <w:szCs w:val="21"/>
        </w:rPr>
      </w:pPr>
    </w:p>
    <w:p>
      <w:pPr>
        <w:spacing w:line="300" w:lineRule="auto"/>
        <w:rPr>
          <w:rFonts w:hAnsi="宋体" w:cs="宋体"/>
          <w:color w:val="000000"/>
          <w:sz w:val="21"/>
          <w:szCs w:val="21"/>
        </w:rPr>
      </w:pPr>
      <w:r>
        <w:rPr>
          <w:rFonts w:hint="eastAsia" w:hAnsi="宋体" w:cs="宋体"/>
          <w:color w:val="000000"/>
          <w:sz w:val="21"/>
          <w:szCs w:val="21"/>
        </w:rPr>
        <w:t>法定代表人或其授权代表签字：</w:t>
      </w:r>
    </w:p>
    <w:p>
      <w:pPr>
        <w:spacing w:line="300" w:lineRule="auto"/>
        <w:jc w:val="center"/>
        <w:rPr>
          <w:rFonts w:hAnsi="宋体" w:cs="宋体"/>
          <w:color w:val="000000"/>
          <w:sz w:val="21"/>
          <w:szCs w:val="21"/>
        </w:rPr>
      </w:pPr>
    </w:p>
    <w:p>
      <w:pPr>
        <w:autoSpaceDE/>
        <w:autoSpaceDN/>
        <w:adjustRightInd/>
        <w:spacing w:line="500" w:lineRule="exact"/>
        <w:ind w:firstLine="2940" w:firstLineChars="1400"/>
        <w:jc w:val="both"/>
        <w:rPr>
          <w:rFonts w:hAnsi="宋体" w:cs="宋体"/>
          <w:color w:val="000000"/>
          <w:sz w:val="21"/>
          <w:szCs w:val="21"/>
        </w:rPr>
      </w:pPr>
      <w:r>
        <w:rPr>
          <w:rFonts w:hint="eastAsia" w:hAnsi="宋体" w:cs="宋体"/>
          <w:color w:val="000000"/>
          <w:sz w:val="21"/>
          <w:szCs w:val="21"/>
        </w:rPr>
        <w:t>年     月     日</w:t>
      </w:r>
    </w:p>
    <w:p>
      <w:pPr>
        <w:autoSpaceDE/>
        <w:autoSpaceDN/>
        <w:adjustRightInd/>
        <w:spacing w:line="500" w:lineRule="exact"/>
        <w:ind w:firstLine="420" w:firstLineChars="200"/>
        <w:jc w:val="both"/>
        <w:rPr>
          <w:rFonts w:hAnsi="宋体" w:cs="宋体"/>
          <w:color w:val="000000"/>
          <w:sz w:val="21"/>
          <w:szCs w:val="21"/>
        </w:rPr>
      </w:pP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pStyle w:val="25"/>
        <w:spacing w:before="295" w:after="295"/>
        <w:rPr>
          <w:rFonts w:hAnsi="宋体" w:cs="宋体"/>
          <w:b/>
          <w:color w:val="000000"/>
          <w:sz w:val="24"/>
          <w:szCs w:val="24"/>
        </w:rPr>
      </w:pPr>
      <w:r>
        <w:rPr>
          <w:rFonts w:hint="eastAsia" w:ascii="宋体" w:hAnsi="宋体" w:cs="宋体"/>
          <w:b/>
          <w:color w:val="000000"/>
          <w:sz w:val="24"/>
        </w:rPr>
        <w:br w:type="page"/>
      </w:r>
      <w:bookmarkEnd w:id="51"/>
      <w:bookmarkEnd w:id="52"/>
      <w:bookmarkEnd w:id="53"/>
      <w:bookmarkEnd w:id="54"/>
      <w:r>
        <w:rPr>
          <w:rFonts w:hint="eastAsia" w:hAnsi="宋体" w:cs="宋体"/>
          <w:b/>
          <w:bCs/>
          <w:color w:val="000000"/>
          <w:sz w:val="21"/>
        </w:rPr>
        <w:t>5.技术人员配备情况</w:t>
      </w:r>
    </w:p>
    <w:tbl>
      <w:tblPr>
        <w:tblStyle w:val="45"/>
        <w:tblW w:w="1002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126"/>
        <w:gridCol w:w="800"/>
        <w:gridCol w:w="761"/>
        <w:gridCol w:w="810"/>
        <w:gridCol w:w="894"/>
        <w:gridCol w:w="1114"/>
        <w:gridCol w:w="1417"/>
        <w:gridCol w:w="12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姓名</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本项目主要工作（如项目负责人、驻场服务人员等）</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年龄</w:t>
            </w: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性别</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专业</w:t>
            </w: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专业</w:t>
            </w:r>
          </w:p>
          <w:p>
            <w:pPr>
              <w:jc w:val="center"/>
              <w:rPr>
                <w:rFonts w:hAnsi="宋体" w:cs="宋体"/>
                <w:bCs/>
                <w:color w:val="000000"/>
                <w:sz w:val="21"/>
                <w:szCs w:val="21"/>
              </w:rPr>
            </w:pPr>
            <w:r>
              <w:rPr>
                <w:rFonts w:hint="eastAsia" w:hAnsi="宋体" w:cs="宋体"/>
                <w:bCs/>
                <w:color w:val="000000"/>
                <w:sz w:val="21"/>
                <w:szCs w:val="21"/>
              </w:rPr>
              <w:t>年限</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职务</w:t>
            </w:r>
          </w:p>
          <w:p>
            <w:pPr>
              <w:jc w:val="center"/>
              <w:rPr>
                <w:rFonts w:hAnsi="宋体" w:cs="宋体"/>
                <w:bCs/>
                <w:color w:val="000000"/>
                <w:sz w:val="21"/>
                <w:szCs w:val="21"/>
              </w:rPr>
            </w:pPr>
            <w:r>
              <w:rPr>
                <w:rFonts w:hint="eastAsia" w:hAnsi="宋体" w:cs="宋体"/>
                <w:bCs/>
                <w:color w:val="000000"/>
                <w:sz w:val="21"/>
                <w:szCs w:val="21"/>
              </w:rPr>
              <w:t>和职称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职业资格证书获得情况</w:t>
            </w: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Ansi="宋体" w:cs="宋体"/>
                <w:color w:val="000000"/>
                <w:sz w:val="21"/>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32"/>
              <w:widowControl w:val="0"/>
              <w:pBdr>
                <w:left w:val="none" w:color="auto" w:sz="0" w:space="0"/>
                <w:bottom w:val="none" w:color="auto" w:sz="0" w:space="0"/>
                <w:right w:val="none" w:color="auto" w:sz="0" w:space="0"/>
              </w:pBdr>
              <w:spacing w:before="0" w:beforeAutospacing="0" w:after="0" w:afterAutospacing="0" w:line="360" w:lineRule="auto"/>
              <w:jc w:val="center"/>
              <w:textAlignment w:val="auto"/>
              <w:rPr>
                <w:rFonts w:ascii="宋体" w:hAnsi="宋体" w:eastAsia="宋体" w:cs="宋体"/>
                <w:color w:val="000000"/>
                <w:sz w:val="21"/>
                <w:szCs w:val="21"/>
              </w:rPr>
            </w:pPr>
            <w:r>
              <w:rPr>
                <w:rFonts w:hint="eastAsia" w:ascii="宋体" w:hAnsi="宋体" w:eastAsia="宋体" w:cs="宋体"/>
                <w:color w:val="000000"/>
                <w:sz w:val="21"/>
                <w:szCs w:val="21"/>
              </w:rPr>
              <w:t>项目负责人</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1114"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8500"/>
              <w:rPr>
                <w:rFonts w:ascii="宋体" w:hAnsi="宋体" w:cs="宋体"/>
                <w:color w:val="000000"/>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bl>
    <w:p>
      <w:pPr>
        <w:spacing w:line="460" w:lineRule="exact"/>
        <w:rPr>
          <w:rFonts w:hAnsi="宋体" w:cs="宋体"/>
          <w:color w:val="000000"/>
          <w:sz w:val="21"/>
          <w:szCs w:val="21"/>
        </w:rPr>
      </w:pPr>
      <w:r>
        <w:rPr>
          <w:rFonts w:hint="eastAsia" w:hAnsi="宋体" w:cs="宋体"/>
          <w:color w:val="000000"/>
          <w:sz w:val="21"/>
          <w:szCs w:val="21"/>
        </w:rPr>
        <w:t>注：1.本表应附毕业证书、职称证书（或学位证书）、身份证、</w:t>
      </w:r>
      <w:r>
        <w:rPr>
          <w:rFonts w:hint="eastAsia" w:hAnsi="宋体" w:cs="宋体"/>
          <w:color w:val="000000"/>
          <w:kern w:val="2"/>
          <w:sz w:val="21"/>
          <w:szCs w:val="21"/>
        </w:rPr>
        <w:t>资格证书、职称证书、荣誉证书、社保证明</w:t>
      </w:r>
      <w:r>
        <w:rPr>
          <w:rFonts w:hint="eastAsia" w:hAnsi="宋体" w:cs="宋体"/>
          <w:color w:val="000000"/>
          <w:sz w:val="21"/>
          <w:szCs w:val="21"/>
        </w:rPr>
        <w:t>等证明文件复印件。</w:t>
      </w:r>
    </w:p>
    <w:p>
      <w:pPr>
        <w:spacing w:line="460" w:lineRule="exact"/>
        <w:ind w:firstLine="420" w:firstLineChars="200"/>
        <w:rPr>
          <w:rFonts w:hAnsi="宋体" w:cs="宋体"/>
          <w:color w:val="000000"/>
          <w:sz w:val="21"/>
          <w:szCs w:val="21"/>
        </w:rPr>
      </w:pPr>
      <w:r>
        <w:rPr>
          <w:rFonts w:hint="eastAsia" w:hAnsi="宋体" w:cs="宋体"/>
          <w:color w:val="000000"/>
          <w:sz w:val="21"/>
          <w:szCs w:val="21"/>
        </w:rPr>
        <w:t>2.项目负责人请根据“第四章 评标办法及评分标准”中的评分细则要求提供其业绩及获奖情况的证明性材料复印件。</w:t>
      </w:r>
    </w:p>
    <w:p>
      <w:pPr>
        <w:spacing w:line="460" w:lineRule="exact"/>
        <w:ind w:firstLine="420" w:firstLineChars="200"/>
        <w:rPr>
          <w:rFonts w:hAnsi="宋体" w:cs="宋体"/>
          <w:color w:val="000000"/>
          <w:sz w:val="21"/>
          <w:szCs w:val="21"/>
        </w:rPr>
      </w:pPr>
      <w:r>
        <w:rPr>
          <w:rFonts w:hint="eastAsia" w:hAnsi="宋体" w:cs="宋体"/>
          <w:color w:val="000000"/>
          <w:sz w:val="21"/>
          <w:szCs w:val="21"/>
        </w:rPr>
        <w:t>3.表格可以延续。</w:t>
      </w:r>
    </w:p>
    <w:p>
      <w:pPr>
        <w:spacing w:before="120" w:beforeLines="50" w:after="120" w:afterLines="50" w:line="300" w:lineRule="auto"/>
        <w:ind w:firstLine="420" w:firstLineChars="200"/>
        <w:rPr>
          <w:rFonts w:hAnsi="宋体" w:cs="宋体"/>
          <w:color w:val="000000"/>
          <w:sz w:val="21"/>
          <w:szCs w:val="21"/>
        </w:rPr>
      </w:pPr>
      <w:r>
        <w:rPr>
          <w:rFonts w:hint="eastAsia" w:hAnsi="宋体" w:cs="宋体"/>
          <w:color w:val="000000"/>
          <w:sz w:val="21"/>
          <w:szCs w:val="21"/>
        </w:rPr>
        <w:t xml:space="preserve">投标单位（盖章）：             </w:t>
      </w:r>
    </w:p>
    <w:p>
      <w:pPr>
        <w:spacing w:before="120" w:beforeLines="50" w:after="120" w:afterLines="50" w:line="460" w:lineRule="exact"/>
        <w:ind w:firstLine="420" w:firstLineChars="200"/>
        <w:rPr>
          <w:rFonts w:hAnsi="宋体" w:cs="宋体"/>
          <w:color w:val="000000"/>
          <w:sz w:val="21"/>
          <w:szCs w:val="21"/>
        </w:rPr>
      </w:pPr>
      <w:r>
        <w:rPr>
          <w:rFonts w:hint="eastAsia" w:hAnsi="宋体" w:cs="宋体"/>
          <w:color w:val="000000"/>
          <w:sz w:val="21"/>
          <w:szCs w:val="21"/>
        </w:rPr>
        <w:t>法定代表人或其授权代表（签字或盖章）：</w:t>
      </w:r>
    </w:p>
    <w:p>
      <w:pPr>
        <w:widowControl/>
        <w:autoSpaceDE/>
        <w:autoSpaceDN/>
        <w:adjustRightInd/>
        <w:spacing w:line="460" w:lineRule="exact"/>
        <w:rPr>
          <w:rFonts w:hAnsi="宋体" w:cs="宋体"/>
          <w:color w:val="000000"/>
          <w:sz w:val="21"/>
          <w:szCs w:val="21"/>
        </w:rPr>
      </w:pPr>
      <w:r>
        <w:rPr>
          <w:rFonts w:hint="eastAsia" w:hAnsi="宋体" w:cs="宋体"/>
          <w:color w:val="000000"/>
          <w:sz w:val="21"/>
          <w:szCs w:val="21"/>
        </w:rPr>
        <w:t xml:space="preserve">                                  年     月     日</w:t>
      </w: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autoSpaceDE/>
        <w:autoSpaceDN/>
        <w:adjustRightInd/>
        <w:snapToGrid w:val="0"/>
        <w:spacing w:before="50" w:after="50"/>
        <w:rPr>
          <w:rFonts w:hAnsi="宋体" w:cs="宋体"/>
          <w:b/>
          <w:color w:val="000000"/>
          <w:sz w:val="24"/>
          <w:szCs w:val="22"/>
          <w:highlight w:val="yellow"/>
        </w:rPr>
      </w:pPr>
    </w:p>
    <w:p>
      <w:pPr>
        <w:autoSpaceDE/>
        <w:autoSpaceDN/>
        <w:adjustRightInd/>
        <w:snapToGrid w:val="0"/>
        <w:spacing w:line="460" w:lineRule="exact"/>
        <w:ind w:firstLine="680" w:firstLineChars="200"/>
        <w:jc w:val="both"/>
        <w:rPr>
          <w:b/>
          <w:bCs/>
          <w:sz w:val="21"/>
          <w:szCs w:val="21"/>
        </w:rPr>
      </w:pPr>
      <w:r>
        <w:rPr>
          <w:rFonts w:hint="eastAsia" w:hAnsi="宋体" w:cs="宋体"/>
          <w:color w:val="000000"/>
        </w:rPr>
        <w:br w:type="page"/>
      </w:r>
      <w:r>
        <w:rPr>
          <w:rFonts w:hint="eastAsia"/>
          <w:b/>
          <w:bCs/>
          <w:sz w:val="24"/>
          <w:szCs w:val="24"/>
        </w:rPr>
        <w:t>6</w:t>
      </w:r>
      <w:r>
        <w:rPr>
          <w:b/>
          <w:bCs/>
          <w:sz w:val="24"/>
          <w:szCs w:val="24"/>
        </w:rPr>
        <w:t>、</w:t>
      </w:r>
      <w:r>
        <w:rPr>
          <w:rFonts w:hint="eastAsia" w:hAnsi="宋体" w:cs="宋体"/>
          <w:b/>
          <w:bCs/>
          <w:color w:val="000000"/>
          <w:sz w:val="24"/>
          <w:szCs w:val="24"/>
        </w:rPr>
        <w:t>服务要求响应</w:t>
      </w:r>
    </w:p>
    <w:p>
      <w:pPr>
        <w:pStyle w:val="2"/>
      </w:pPr>
    </w:p>
    <w:p>
      <w:pPr>
        <w:pStyle w:val="44"/>
        <w:ind w:left="17" w:leftChars="0" w:hanging="17" w:hangingChars="7"/>
        <w:jc w:val="center"/>
        <w:rPr>
          <w:rFonts w:ascii="宋体" w:hAnsi="宋体" w:cs="宋体"/>
          <w:b/>
          <w:color w:val="000000"/>
          <w:sz w:val="24"/>
        </w:rPr>
      </w:pPr>
      <w:r>
        <w:rPr>
          <w:rFonts w:hint="eastAsia" w:ascii="宋体" w:hAnsi="宋体" w:cs="宋体"/>
          <w:b/>
          <w:color w:val="000000"/>
          <w:sz w:val="24"/>
        </w:rPr>
        <w:t>服务要求响应表</w:t>
      </w:r>
    </w:p>
    <w:tbl>
      <w:tblPr>
        <w:tblStyle w:val="45"/>
        <w:tblW w:w="9048"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2791"/>
        <w:gridCol w:w="323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48" w:type="dxa"/>
            <w:vAlign w:val="center"/>
          </w:tcPr>
          <w:p>
            <w:pPr>
              <w:spacing w:line="300" w:lineRule="auto"/>
              <w:jc w:val="center"/>
              <w:rPr>
                <w:rFonts w:hAnsi="宋体" w:cs="宋体"/>
                <w:color w:val="000000"/>
                <w:sz w:val="21"/>
                <w:szCs w:val="21"/>
              </w:rPr>
            </w:pPr>
            <w:r>
              <w:rPr>
                <w:rFonts w:hint="eastAsia" w:hAnsi="宋体" w:cs="宋体"/>
                <w:color w:val="000000"/>
                <w:sz w:val="21"/>
                <w:szCs w:val="21"/>
              </w:rPr>
              <w:t>服务项目</w:t>
            </w:r>
          </w:p>
        </w:tc>
        <w:tc>
          <w:tcPr>
            <w:tcW w:w="2791" w:type="dxa"/>
            <w:vAlign w:val="center"/>
          </w:tcPr>
          <w:p>
            <w:pPr>
              <w:spacing w:line="300" w:lineRule="auto"/>
              <w:jc w:val="center"/>
              <w:rPr>
                <w:rFonts w:hAnsi="宋体" w:cs="宋体"/>
                <w:color w:val="000000"/>
                <w:sz w:val="21"/>
                <w:szCs w:val="21"/>
              </w:rPr>
            </w:pPr>
            <w:r>
              <w:rPr>
                <w:rFonts w:hint="eastAsia" w:hAnsi="宋体" w:cs="宋体"/>
                <w:color w:val="000000"/>
                <w:sz w:val="21"/>
                <w:szCs w:val="21"/>
              </w:rPr>
              <w:t>招标采购文件的服务要求</w:t>
            </w:r>
          </w:p>
        </w:tc>
        <w:tc>
          <w:tcPr>
            <w:tcW w:w="3230" w:type="dxa"/>
            <w:vAlign w:val="center"/>
          </w:tcPr>
          <w:p>
            <w:pPr>
              <w:spacing w:line="300" w:lineRule="auto"/>
              <w:jc w:val="center"/>
              <w:rPr>
                <w:rFonts w:hAnsi="宋体" w:cs="宋体"/>
                <w:color w:val="000000"/>
                <w:sz w:val="21"/>
                <w:szCs w:val="21"/>
              </w:rPr>
            </w:pPr>
            <w:r>
              <w:rPr>
                <w:rFonts w:hint="eastAsia" w:hAnsi="宋体" w:cs="宋体"/>
                <w:color w:val="000000"/>
                <w:sz w:val="21"/>
                <w:szCs w:val="21"/>
              </w:rPr>
              <w:t>投标文件的服务承诺</w:t>
            </w:r>
          </w:p>
        </w:tc>
        <w:tc>
          <w:tcPr>
            <w:tcW w:w="1779" w:type="dxa"/>
            <w:vAlign w:val="center"/>
          </w:tcPr>
          <w:p>
            <w:pPr>
              <w:spacing w:line="300" w:lineRule="auto"/>
              <w:jc w:val="center"/>
              <w:rPr>
                <w:rFonts w:hAnsi="宋体" w:cs="宋体"/>
                <w:color w:val="000000"/>
                <w:sz w:val="21"/>
                <w:szCs w:val="21"/>
              </w:rPr>
            </w:pPr>
            <w:r>
              <w:rPr>
                <w:rFonts w:hint="eastAsia" w:hAnsi="宋体" w:cs="宋体"/>
                <w:color w:val="000000"/>
                <w:sz w:val="21"/>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3230" w:type="dxa"/>
            <w:vAlign w:val="center"/>
          </w:tcPr>
          <w:p>
            <w:pPr>
              <w:spacing w:line="300" w:lineRule="auto"/>
              <w:jc w:val="center"/>
              <w:rPr>
                <w:rFonts w:hAnsi="宋体" w:cs="宋体"/>
                <w:color w:val="000000"/>
                <w:sz w:val="21"/>
                <w:szCs w:val="21"/>
              </w:rPr>
            </w:pPr>
          </w:p>
        </w:tc>
        <w:tc>
          <w:tcPr>
            <w:tcW w:w="1779"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3230" w:type="dxa"/>
            <w:vAlign w:val="center"/>
          </w:tcPr>
          <w:p>
            <w:pPr>
              <w:spacing w:line="300" w:lineRule="auto"/>
              <w:jc w:val="center"/>
              <w:rPr>
                <w:rFonts w:hAnsi="宋体" w:cs="宋体"/>
                <w:color w:val="000000"/>
                <w:sz w:val="21"/>
                <w:szCs w:val="21"/>
              </w:rPr>
            </w:pPr>
          </w:p>
        </w:tc>
        <w:tc>
          <w:tcPr>
            <w:tcW w:w="1779"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3230" w:type="dxa"/>
            <w:vAlign w:val="center"/>
          </w:tcPr>
          <w:p>
            <w:pPr>
              <w:spacing w:line="300" w:lineRule="auto"/>
              <w:jc w:val="center"/>
              <w:rPr>
                <w:rFonts w:hAnsi="宋体" w:cs="宋体"/>
                <w:color w:val="000000"/>
                <w:sz w:val="21"/>
                <w:szCs w:val="21"/>
              </w:rPr>
            </w:pPr>
          </w:p>
        </w:tc>
        <w:tc>
          <w:tcPr>
            <w:tcW w:w="1779"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3230" w:type="dxa"/>
            <w:vAlign w:val="center"/>
          </w:tcPr>
          <w:p>
            <w:pPr>
              <w:spacing w:line="300" w:lineRule="auto"/>
              <w:jc w:val="center"/>
              <w:rPr>
                <w:rFonts w:hAnsi="宋体" w:cs="宋体"/>
                <w:color w:val="000000"/>
                <w:sz w:val="21"/>
                <w:szCs w:val="21"/>
              </w:rPr>
            </w:pPr>
          </w:p>
        </w:tc>
        <w:tc>
          <w:tcPr>
            <w:tcW w:w="1779"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3230" w:type="dxa"/>
            <w:vAlign w:val="center"/>
          </w:tcPr>
          <w:p>
            <w:pPr>
              <w:spacing w:line="300" w:lineRule="auto"/>
              <w:jc w:val="center"/>
              <w:rPr>
                <w:rFonts w:hAnsi="宋体" w:cs="宋体"/>
                <w:color w:val="000000"/>
                <w:sz w:val="21"/>
                <w:szCs w:val="21"/>
              </w:rPr>
            </w:pPr>
          </w:p>
        </w:tc>
        <w:tc>
          <w:tcPr>
            <w:tcW w:w="1779"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3230" w:type="dxa"/>
            <w:vAlign w:val="center"/>
          </w:tcPr>
          <w:p>
            <w:pPr>
              <w:spacing w:line="300" w:lineRule="auto"/>
              <w:jc w:val="center"/>
              <w:rPr>
                <w:rFonts w:hAnsi="宋体" w:cs="宋体"/>
                <w:color w:val="000000"/>
                <w:sz w:val="21"/>
                <w:szCs w:val="21"/>
              </w:rPr>
            </w:pPr>
          </w:p>
        </w:tc>
        <w:tc>
          <w:tcPr>
            <w:tcW w:w="1779"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3230" w:type="dxa"/>
            <w:vAlign w:val="center"/>
          </w:tcPr>
          <w:p>
            <w:pPr>
              <w:spacing w:line="300" w:lineRule="auto"/>
              <w:jc w:val="center"/>
              <w:rPr>
                <w:rFonts w:hAnsi="宋体" w:cs="宋体"/>
                <w:color w:val="000000"/>
                <w:sz w:val="21"/>
                <w:szCs w:val="21"/>
              </w:rPr>
            </w:pPr>
          </w:p>
        </w:tc>
        <w:tc>
          <w:tcPr>
            <w:tcW w:w="1779"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3230" w:type="dxa"/>
            <w:vAlign w:val="center"/>
          </w:tcPr>
          <w:p>
            <w:pPr>
              <w:spacing w:line="300" w:lineRule="auto"/>
              <w:jc w:val="center"/>
              <w:rPr>
                <w:rFonts w:hAnsi="宋体" w:cs="宋体"/>
                <w:color w:val="000000"/>
                <w:sz w:val="21"/>
                <w:szCs w:val="21"/>
              </w:rPr>
            </w:pPr>
          </w:p>
        </w:tc>
        <w:tc>
          <w:tcPr>
            <w:tcW w:w="1779"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3230" w:type="dxa"/>
            <w:vAlign w:val="center"/>
          </w:tcPr>
          <w:p>
            <w:pPr>
              <w:spacing w:line="300" w:lineRule="auto"/>
              <w:jc w:val="center"/>
              <w:rPr>
                <w:rFonts w:hAnsi="宋体" w:cs="宋体"/>
                <w:color w:val="000000"/>
                <w:sz w:val="21"/>
                <w:szCs w:val="21"/>
              </w:rPr>
            </w:pPr>
          </w:p>
        </w:tc>
        <w:tc>
          <w:tcPr>
            <w:tcW w:w="1779" w:type="dxa"/>
            <w:vAlign w:val="center"/>
          </w:tcPr>
          <w:p>
            <w:pPr>
              <w:spacing w:line="300" w:lineRule="auto"/>
              <w:jc w:val="center"/>
              <w:rPr>
                <w:rFonts w:hAnsi="宋体" w:cs="宋体"/>
                <w:color w:val="000000"/>
                <w:sz w:val="21"/>
                <w:szCs w:val="21"/>
              </w:rPr>
            </w:pPr>
          </w:p>
        </w:tc>
      </w:tr>
    </w:tbl>
    <w:p>
      <w:pPr>
        <w:jc w:val="both"/>
        <w:rPr>
          <w:rFonts w:hAnsi="宋体" w:cs="宋体"/>
          <w:color w:val="000000"/>
          <w:sz w:val="21"/>
          <w:szCs w:val="21"/>
        </w:rPr>
      </w:pPr>
    </w:p>
    <w:p>
      <w:pPr>
        <w:rPr>
          <w:rFonts w:hAnsi="宋体" w:cs="宋体"/>
          <w:color w:val="000000"/>
          <w:sz w:val="21"/>
          <w:szCs w:val="21"/>
        </w:rPr>
      </w:pPr>
      <w:r>
        <w:rPr>
          <w:rFonts w:hint="eastAsia" w:hAnsi="宋体" w:cs="宋体"/>
          <w:color w:val="000000"/>
          <w:sz w:val="21"/>
          <w:szCs w:val="21"/>
        </w:rPr>
        <w:t>注：行数不够可自行添加，有偏离请在技术偏离表中详细说明。</w:t>
      </w:r>
    </w:p>
    <w:p>
      <w:pPr>
        <w:jc w:val="center"/>
        <w:rPr>
          <w:rFonts w:hAnsi="宋体" w:cs="宋体"/>
          <w:color w:val="000000"/>
          <w:sz w:val="21"/>
          <w:szCs w:val="21"/>
        </w:rPr>
      </w:pPr>
    </w:p>
    <w:p>
      <w:pPr>
        <w:ind w:firstLine="420" w:firstLineChars="200"/>
        <w:rPr>
          <w:rFonts w:hAnsi="宋体" w:cs="宋体"/>
          <w:color w:val="000000"/>
          <w:sz w:val="21"/>
          <w:szCs w:val="21"/>
        </w:rPr>
      </w:pPr>
      <w:r>
        <w:rPr>
          <w:rFonts w:hint="eastAsia" w:hAnsi="宋体" w:cs="宋体"/>
          <w:color w:val="000000"/>
          <w:sz w:val="21"/>
          <w:szCs w:val="21"/>
        </w:rPr>
        <w:t xml:space="preserve">投标单位（盖章）：                 </w:t>
      </w:r>
    </w:p>
    <w:p>
      <w:pPr>
        <w:ind w:firstLine="420" w:firstLineChars="200"/>
        <w:jc w:val="center"/>
        <w:rPr>
          <w:rFonts w:hAnsi="宋体" w:cs="宋体"/>
          <w:color w:val="000000"/>
          <w:sz w:val="21"/>
          <w:szCs w:val="21"/>
        </w:rPr>
      </w:pPr>
    </w:p>
    <w:p>
      <w:pPr>
        <w:ind w:firstLine="420" w:firstLineChars="200"/>
        <w:rPr>
          <w:rFonts w:hAnsi="宋体" w:cs="宋体"/>
          <w:color w:val="000000"/>
          <w:sz w:val="21"/>
          <w:szCs w:val="21"/>
        </w:rPr>
      </w:pPr>
      <w:r>
        <w:rPr>
          <w:rFonts w:hint="eastAsia" w:hAnsi="宋体" w:cs="宋体"/>
          <w:color w:val="000000"/>
          <w:sz w:val="21"/>
          <w:szCs w:val="21"/>
        </w:rPr>
        <w:t>法定代表人或其授权代表（签字或盖章）：</w:t>
      </w:r>
    </w:p>
    <w:p>
      <w:pPr>
        <w:ind w:firstLine="420" w:firstLineChars="200"/>
        <w:rPr>
          <w:rFonts w:hAnsi="宋体" w:cs="宋体"/>
          <w:color w:val="000000"/>
          <w:sz w:val="21"/>
          <w:szCs w:val="21"/>
        </w:rPr>
      </w:pPr>
    </w:p>
    <w:p>
      <w:pPr>
        <w:ind w:firstLine="4200" w:firstLineChars="2000"/>
        <w:rPr>
          <w:rFonts w:hAnsi="宋体" w:cs="宋体"/>
          <w:b/>
          <w:bCs/>
          <w:color w:val="000000"/>
          <w:kern w:val="2"/>
          <w:sz w:val="21"/>
          <w:szCs w:val="21"/>
        </w:rPr>
      </w:pPr>
      <w:r>
        <w:rPr>
          <w:rFonts w:hint="eastAsia" w:hAnsi="宋体" w:cs="宋体"/>
          <w:color w:val="000000"/>
          <w:sz w:val="21"/>
          <w:szCs w:val="21"/>
        </w:rPr>
        <w:t xml:space="preserve"> 年     月     日</w:t>
      </w: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snapToGrid w:val="0"/>
        <w:spacing w:before="50" w:after="50"/>
        <w:jc w:val="center"/>
        <w:rPr>
          <w:rFonts w:hAnsi="宋体" w:cs="宋体"/>
          <w:b/>
          <w:bCs/>
          <w:color w:val="000000"/>
          <w:sz w:val="24"/>
        </w:rPr>
      </w:pPr>
    </w:p>
    <w:p>
      <w:pPr>
        <w:autoSpaceDE/>
        <w:autoSpaceDN/>
        <w:adjustRightInd/>
        <w:snapToGrid w:val="0"/>
        <w:spacing w:line="460" w:lineRule="exact"/>
        <w:ind w:firstLine="600" w:firstLineChars="200"/>
        <w:jc w:val="both"/>
        <w:rPr>
          <w:rFonts w:hAnsi="宋体" w:cs="宋体"/>
          <w:color w:val="000000"/>
          <w:sz w:val="21"/>
          <w:szCs w:val="21"/>
        </w:rPr>
      </w:pPr>
      <w:r>
        <w:rPr>
          <w:rFonts w:hint="eastAsia" w:hAnsi="宋体" w:cs="宋体"/>
          <w:color w:val="000000"/>
          <w:sz w:val="30"/>
          <w:szCs w:val="30"/>
        </w:rPr>
        <w:br w:type="page"/>
      </w:r>
    </w:p>
    <w:p>
      <w:pPr>
        <w:autoSpaceDE/>
        <w:autoSpaceDN/>
        <w:adjustRightInd/>
        <w:snapToGrid w:val="0"/>
        <w:spacing w:line="500" w:lineRule="exact"/>
        <w:ind w:firstLine="480" w:firstLineChars="200"/>
        <w:rPr>
          <w:rFonts w:hAnsi="宋体" w:cs="宋体"/>
          <w:color w:val="000000"/>
          <w:sz w:val="24"/>
          <w:szCs w:val="24"/>
        </w:rPr>
      </w:pPr>
    </w:p>
    <w:p>
      <w:pPr>
        <w:autoSpaceDE/>
        <w:autoSpaceDN/>
        <w:adjustRightInd/>
        <w:snapToGrid w:val="0"/>
        <w:spacing w:line="500" w:lineRule="exact"/>
        <w:ind w:firstLine="420" w:firstLineChars="200"/>
        <w:jc w:val="both"/>
        <w:rPr>
          <w:rFonts w:hAnsi="宋体" w:cs="宋体"/>
          <w:color w:val="000000"/>
        </w:rPr>
      </w:pPr>
      <w:r>
        <w:rPr>
          <w:rFonts w:hint="eastAsia" w:hAnsi="宋体" w:cs="宋体"/>
          <w:color w:val="000000"/>
          <w:sz w:val="21"/>
          <w:szCs w:val="21"/>
        </w:rPr>
        <w:t>7、投标人（包括投标联合体各方）荣誉（格式见附件）；</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8、项目理解、重点难点、编制思路、工作内容（进度）、成果构成；</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9、服务保障</w:t>
      </w:r>
      <w:r>
        <w:rPr>
          <w:rFonts w:hint="eastAsia" w:hAnsi="宋体" w:cs="Arial"/>
          <w:color w:val="000000"/>
          <w:sz w:val="21"/>
          <w:szCs w:val="21"/>
        </w:rPr>
        <w:t>（格式自拟）</w:t>
      </w:r>
      <w:r>
        <w:rPr>
          <w:rFonts w:hint="eastAsia" w:hAnsi="宋体" w:cs="宋体"/>
          <w:color w:val="000000"/>
          <w:sz w:val="21"/>
          <w:szCs w:val="21"/>
        </w:rPr>
        <w:t>；</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10、评分标准涉及的或投标人（包括投标联合体各方）认为需要提供的其他文件和说明。（格式自拟）</w:t>
      </w:r>
    </w:p>
    <w:p>
      <w:pPr>
        <w:spacing w:line="300" w:lineRule="auto"/>
        <w:rPr>
          <w:rFonts w:hAnsi="宋体" w:cs="宋体"/>
          <w:b/>
          <w:bCs/>
          <w:color w:val="000000"/>
          <w:sz w:val="24"/>
        </w:rPr>
      </w:pPr>
      <w:r>
        <w:rPr>
          <w:rFonts w:hint="eastAsia" w:hAnsi="宋体" w:cs="宋体"/>
          <w:b/>
          <w:bCs/>
          <w:color w:val="000000"/>
          <w:sz w:val="24"/>
        </w:rPr>
        <w:br w:type="page"/>
      </w:r>
      <w:r>
        <w:rPr>
          <w:rFonts w:hint="eastAsia" w:hAnsi="宋体" w:cs="宋体"/>
          <w:b/>
          <w:bCs/>
          <w:color w:val="000000"/>
          <w:sz w:val="24"/>
        </w:rPr>
        <w:t>（三）报价文件部分</w:t>
      </w:r>
    </w:p>
    <w:bookmarkEnd w:id="48"/>
    <w:p>
      <w:pPr>
        <w:snapToGrid w:val="0"/>
        <w:spacing w:line="500" w:lineRule="exact"/>
        <w:ind w:firstLine="482" w:firstLineChars="200"/>
        <w:jc w:val="center"/>
        <w:rPr>
          <w:rFonts w:hAnsi="宋体" w:cs="宋体"/>
          <w:b/>
          <w:color w:val="000000"/>
          <w:sz w:val="24"/>
        </w:rPr>
      </w:pPr>
    </w:p>
    <w:p>
      <w:pPr>
        <w:snapToGrid w:val="0"/>
        <w:spacing w:line="500" w:lineRule="exact"/>
        <w:ind w:firstLine="482" w:firstLineChars="200"/>
        <w:jc w:val="center"/>
        <w:rPr>
          <w:rFonts w:hAnsi="宋体" w:cs="宋体"/>
          <w:b/>
          <w:color w:val="000000"/>
          <w:sz w:val="24"/>
        </w:rPr>
      </w:pPr>
      <w:r>
        <w:rPr>
          <w:rFonts w:hint="eastAsia" w:hAnsi="宋体" w:cs="宋体"/>
          <w:b/>
          <w:color w:val="000000"/>
          <w:sz w:val="24"/>
        </w:rPr>
        <w:t>1.投标函</w:t>
      </w:r>
    </w:p>
    <w:p>
      <w:pPr>
        <w:snapToGrid w:val="0"/>
        <w:spacing w:line="500" w:lineRule="exact"/>
        <w:rPr>
          <w:rFonts w:hAnsi="宋体" w:cs="宋体"/>
          <w:color w:val="000000"/>
          <w:sz w:val="21"/>
          <w:szCs w:val="21"/>
        </w:rPr>
      </w:pPr>
      <w:r>
        <w:rPr>
          <w:rFonts w:hint="eastAsia" w:hAnsi="宋体" w:cs="宋体"/>
          <w:color w:val="000000"/>
          <w:sz w:val="21"/>
          <w:szCs w:val="21"/>
        </w:rPr>
        <w:t>致：_________（招标采购单位名称）：</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根据贵方为项目的招标公告/投标邀请书</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（项目编号：_______ ），签字代表_______（全名）经正式授权并代表投标人_________（投标人名称）提交资格文件、商务技术文件、报价文件。</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据此函，签字代表宣布同意如下：</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1.我方自愿按照招标文件规定的各项要求向招标人提供所需服务。</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3.我方在投标之前已经与贵方进行了充分的沟通，完全理解并接受招标文件的各项规定和要求，对招标文件的合理性、合法性不再有异议。</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4.本投标有效期自开标日起_</w:t>
      </w:r>
      <w:r>
        <w:rPr>
          <w:rFonts w:hint="eastAsia" w:hAnsi="宋体" w:cs="宋体"/>
          <w:color w:val="000000"/>
          <w:sz w:val="21"/>
          <w:szCs w:val="21"/>
          <w:u w:val="single"/>
        </w:rPr>
        <w:t>_90__</w:t>
      </w:r>
      <w:r>
        <w:rPr>
          <w:rFonts w:hint="eastAsia" w:hAnsi="宋体" w:cs="宋体"/>
          <w:color w:val="000000"/>
          <w:sz w:val="21"/>
          <w:szCs w:val="21"/>
        </w:rPr>
        <w:t>天。</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5.如中标，本投标文件至本项目合同履行完毕止均保持有效，本投标人将按“招标文件”及政府采购法律、法规的规定履行合同责任和义务。</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6.投标人同意按照贵方要求提供与投标有关的一切数据或资料。</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7.与本投标有关的一切正式往来信函请寄：</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地址：_______________邮编：__________电话：______________</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传真：______________投标人代表姓名___________职务：_____________</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投标人名称(公章)：___________________</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开户银行：___________________银行账号：___________________</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法定代表人或授权代表（签字或盖章）：_________    日期：_____年___月___日</w:t>
      </w:r>
    </w:p>
    <w:p>
      <w:pPr>
        <w:pStyle w:val="25"/>
        <w:snapToGrid w:val="0"/>
        <w:spacing w:line="500" w:lineRule="exact"/>
        <w:ind w:firstLine="680" w:firstLineChars="200"/>
        <w:rPr>
          <w:rFonts w:ascii="宋体" w:hAnsi="宋体" w:cs="宋体"/>
          <w:color w:val="000000"/>
        </w:rPr>
      </w:pP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pStyle w:val="25"/>
        <w:snapToGrid w:val="0"/>
        <w:spacing w:before="295" w:after="295"/>
        <w:rPr>
          <w:rFonts w:ascii="宋体" w:hAnsi="宋体" w:cs="宋体"/>
          <w:color w:val="000000"/>
        </w:rPr>
      </w:pPr>
    </w:p>
    <w:p>
      <w:pPr>
        <w:pStyle w:val="25"/>
        <w:snapToGrid w:val="0"/>
        <w:spacing w:before="295" w:after="295"/>
        <w:jc w:val="center"/>
        <w:rPr>
          <w:rFonts w:ascii="宋体" w:hAnsi="宋体" w:cs="宋体"/>
          <w:b/>
          <w:color w:val="000000" w:themeColor="text1"/>
          <w:sz w:val="24"/>
          <w:highlight w:val="yellow"/>
        </w:rPr>
      </w:pPr>
      <w:r>
        <w:rPr>
          <w:rFonts w:hint="eastAsia" w:ascii="宋体" w:hAnsi="宋体" w:cs="宋体"/>
          <w:bCs/>
          <w:color w:val="000000"/>
          <w:sz w:val="24"/>
        </w:rPr>
        <w:br w:type="page"/>
      </w:r>
      <w:r>
        <w:rPr>
          <w:rFonts w:hint="eastAsia" w:ascii="宋体" w:hAnsi="宋体" w:cs="宋体"/>
          <w:bCs/>
          <w:color w:val="000000"/>
          <w:sz w:val="24"/>
        </w:rPr>
        <w:t>2.</w:t>
      </w:r>
      <w:r>
        <w:rPr>
          <w:rFonts w:hint="eastAsia" w:ascii="宋体" w:hAnsi="宋体" w:cs="宋体"/>
          <w:b/>
          <w:color w:val="000000" w:themeColor="text1"/>
          <w:sz w:val="24"/>
        </w:rPr>
        <w:t>开标（报价）一览表</w:t>
      </w:r>
    </w:p>
    <w:p>
      <w:pPr>
        <w:rPr>
          <w:color w:val="000000" w:themeColor="text1"/>
        </w:rPr>
      </w:pPr>
    </w:p>
    <w:p>
      <w:pPr>
        <w:pStyle w:val="44"/>
        <w:ind w:left="680"/>
        <w:rPr>
          <w:color w:val="000000" w:themeColor="text1"/>
        </w:rPr>
      </w:pPr>
    </w:p>
    <w:p>
      <w:pPr>
        <w:pStyle w:val="22"/>
        <w:ind w:left="0" w:leftChars="0" w:right="2380" w:firstLine="480" w:firstLineChars="200"/>
        <w:rPr>
          <w:color w:val="000000" w:themeColor="text1"/>
        </w:rPr>
      </w:pPr>
      <w:r>
        <w:rPr>
          <w:rFonts w:hint="eastAsia" w:hAnsi="宋体" w:cs="宋体"/>
          <w:color w:val="000000" w:themeColor="text1"/>
          <w:sz w:val="24"/>
        </w:rPr>
        <w:t>项目编号：                            项目名称：</w:t>
      </w:r>
    </w:p>
    <w:tbl>
      <w:tblPr>
        <w:tblStyle w:val="45"/>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15"/>
        <w:gridCol w:w="3225"/>
        <w:gridCol w:w="2532"/>
        <w:gridCol w:w="757"/>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08"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序号</w:t>
            </w:r>
          </w:p>
        </w:tc>
        <w:tc>
          <w:tcPr>
            <w:tcW w:w="3940" w:type="dxa"/>
            <w:gridSpan w:val="2"/>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采购内容</w:t>
            </w:r>
          </w:p>
        </w:tc>
        <w:tc>
          <w:tcPr>
            <w:tcW w:w="2532"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范围</w:t>
            </w:r>
          </w:p>
        </w:tc>
        <w:tc>
          <w:tcPr>
            <w:tcW w:w="757"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数量</w:t>
            </w:r>
          </w:p>
        </w:tc>
        <w:tc>
          <w:tcPr>
            <w:tcW w:w="1552" w:type="dxa"/>
            <w:vAlign w:val="center"/>
          </w:tcPr>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投标报价</w:t>
            </w:r>
          </w:p>
          <w:p>
            <w:pPr>
              <w:tabs>
                <w:tab w:val="left" w:pos="540"/>
              </w:tabs>
              <w:spacing w:line="288" w:lineRule="auto"/>
              <w:jc w:val="center"/>
              <w:rPr>
                <w:rFonts w:hAnsi="宋体" w:cs="Arial"/>
                <w:b/>
                <w:bCs/>
                <w:color w:val="000000" w:themeColor="text1"/>
                <w:sz w:val="21"/>
                <w:szCs w:val="21"/>
              </w:rPr>
            </w:pPr>
            <w:r>
              <w:rPr>
                <w:rFonts w:hint="eastAsia" w:hAnsi="宋体" w:cs="Arial"/>
                <w:b/>
                <w:bCs/>
                <w:color w:val="000000" w:themeColor="text1"/>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8" w:type="dxa"/>
            <w:vMerge w:val="restart"/>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w:t>
            </w:r>
          </w:p>
        </w:tc>
        <w:tc>
          <w:tcPr>
            <w:tcW w:w="3940" w:type="dxa"/>
            <w:gridSpan w:val="2"/>
            <w:vMerge w:val="restart"/>
            <w:vAlign w:val="center"/>
          </w:tcPr>
          <w:p>
            <w:pPr>
              <w:tabs>
                <w:tab w:val="left" w:pos="1260"/>
              </w:tabs>
              <w:snapToGrid w:val="0"/>
              <w:spacing w:line="288" w:lineRule="auto"/>
              <w:rPr>
                <w:rFonts w:hAnsi="宋体" w:cs="宋体"/>
                <w:color w:val="000000" w:themeColor="text1"/>
                <w:sz w:val="21"/>
                <w:szCs w:val="21"/>
              </w:rPr>
            </w:pPr>
            <w:r>
              <w:rPr>
                <w:rFonts w:hint="eastAsia" w:hAnsi="宋体" w:cs="宋体"/>
                <w:color w:val="000000" w:themeColor="text1"/>
                <w:sz w:val="21"/>
                <w:szCs w:val="21"/>
              </w:rPr>
              <w:t>《金华市中心城区婺城片区（乡镇级）国土空间总体规划》（简称“婺城片区乡镇级总规”）</w:t>
            </w:r>
          </w:p>
        </w:tc>
        <w:tc>
          <w:tcPr>
            <w:tcW w:w="2532"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婺城</w:t>
            </w:r>
            <w:r>
              <w:rPr>
                <w:rFonts w:hint="eastAsia" w:hAnsi="宋体" w:cs="宋体"/>
                <w:color w:val="000000" w:themeColor="text1"/>
                <w:sz w:val="21"/>
                <w:szCs w:val="21"/>
                <w:lang w:eastAsia="zh-CN"/>
              </w:rPr>
              <w:t>区</w:t>
            </w: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u w:val="single"/>
              </w:rPr>
              <w:t xml:space="preserve">      </w:t>
            </w:r>
            <w:r>
              <w:rPr>
                <w:rFonts w:hint="eastAsia" w:hAnsi="宋体" w:cs="宋体"/>
                <w:color w:val="000000" w:themeColor="text1"/>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8"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3940" w:type="dxa"/>
            <w:gridSpan w:val="2"/>
            <w:vMerge w:val="continue"/>
            <w:vAlign w:val="center"/>
          </w:tcPr>
          <w:p>
            <w:pPr>
              <w:tabs>
                <w:tab w:val="left" w:pos="1260"/>
              </w:tabs>
              <w:snapToGrid w:val="0"/>
              <w:spacing w:line="288" w:lineRule="auto"/>
              <w:rPr>
                <w:rFonts w:hAnsi="宋体" w:cs="宋体"/>
                <w:color w:val="000000" w:themeColor="text1"/>
                <w:sz w:val="21"/>
                <w:szCs w:val="21"/>
              </w:rPr>
            </w:pPr>
          </w:p>
        </w:tc>
        <w:tc>
          <w:tcPr>
            <w:tcW w:w="2532"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金华开发区</w:t>
            </w: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u w:val="single"/>
              </w:rPr>
              <w:t xml:space="preserve">      </w:t>
            </w:r>
            <w:r>
              <w:rPr>
                <w:rFonts w:hint="eastAsia" w:hAnsi="宋体" w:cs="宋体"/>
                <w:color w:val="000000" w:themeColor="text1"/>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08"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3940" w:type="dxa"/>
            <w:gridSpan w:val="2"/>
            <w:vMerge w:val="continue"/>
            <w:vAlign w:val="center"/>
          </w:tcPr>
          <w:p>
            <w:pPr>
              <w:tabs>
                <w:tab w:val="left" w:pos="1260"/>
              </w:tabs>
              <w:snapToGrid w:val="0"/>
              <w:spacing w:line="288" w:lineRule="auto"/>
              <w:rPr>
                <w:rFonts w:hAnsi="宋体" w:cs="宋体"/>
                <w:color w:val="000000" w:themeColor="text1"/>
                <w:sz w:val="21"/>
                <w:szCs w:val="21"/>
              </w:rPr>
            </w:pPr>
          </w:p>
        </w:tc>
        <w:tc>
          <w:tcPr>
            <w:tcW w:w="2532"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双龙管委会（罗店镇）</w:t>
            </w: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u w:val="single"/>
              </w:rPr>
              <w:t xml:space="preserve">      </w:t>
            </w:r>
            <w:r>
              <w:rPr>
                <w:rFonts w:hint="eastAsia" w:hAnsi="宋体" w:cs="宋体"/>
                <w:color w:val="000000" w:themeColor="text1"/>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08" w:type="dxa"/>
            <w:vMerge w:val="restart"/>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2</w:t>
            </w:r>
          </w:p>
        </w:tc>
        <w:tc>
          <w:tcPr>
            <w:tcW w:w="3940" w:type="dxa"/>
            <w:gridSpan w:val="2"/>
            <w:vMerge w:val="restart"/>
            <w:vAlign w:val="center"/>
          </w:tcPr>
          <w:p>
            <w:pPr>
              <w:tabs>
                <w:tab w:val="left" w:pos="1260"/>
              </w:tabs>
              <w:snapToGrid w:val="0"/>
              <w:spacing w:line="288" w:lineRule="auto"/>
              <w:rPr>
                <w:rFonts w:hAnsi="宋体" w:cs="宋体"/>
                <w:color w:val="000000" w:themeColor="text1"/>
                <w:sz w:val="21"/>
                <w:szCs w:val="21"/>
              </w:rPr>
            </w:pPr>
            <w:r>
              <w:rPr>
                <w:rFonts w:hint="eastAsia" w:hAnsi="宋体" w:cs="宋体"/>
                <w:color w:val="000000" w:themeColor="text1"/>
                <w:sz w:val="21"/>
                <w:szCs w:val="21"/>
              </w:rPr>
              <w:t>《金华市中心城区金东片区（乡镇级）国土空间总体规划》（简称“金东片区乡镇级总规”）</w:t>
            </w:r>
          </w:p>
        </w:tc>
        <w:tc>
          <w:tcPr>
            <w:tcW w:w="2532"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金东区</w:t>
            </w: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u w:val="single"/>
              </w:rPr>
              <w:t xml:space="preserve">      </w:t>
            </w:r>
            <w:r>
              <w:rPr>
                <w:rFonts w:hint="eastAsia" w:hAnsi="宋体" w:cs="宋体"/>
                <w:color w:val="000000" w:themeColor="text1"/>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8" w:type="dxa"/>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3940" w:type="dxa"/>
            <w:gridSpan w:val="2"/>
            <w:vMerge w:val="continue"/>
            <w:vAlign w:val="center"/>
          </w:tcPr>
          <w:p>
            <w:pPr>
              <w:tabs>
                <w:tab w:val="left" w:pos="1260"/>
              </w:tabs>
              <w:snapToGrid w:val="0"/>
              <w:spacing w:line="288" w:lineRule="auto"/>
              <w:jc w:val="center"/>
              <w:rPr>
                <w:rFonts w:hAnsi="宋体" w:cs="宋体"/>
                <w:color w:val="000000" w:themeColor="text1"/>
                <w:sz w:val="21"/>
                <w:szCs w:val="21"/>
              </w:rPr>
            </w:pPr>
          </w:p>
        </w:tc>
        <w:tc>
          <w:tcPr>
            <w:tcW w:w="2532" w:type="dxa"/>
            <w:vAlign w:val="center"/>
          </w:tcPr>
          <w:p>
            <w:pPr>
              <w:pStyle w:val="20"/>
              <w:snapToGrid w:val="0"/>
              <w:spacing w:line="288" w:lineRule="auto"/>
              <w:ind w:firstLine="0" w:firstLineChars="0"/>
              <w:jc w:val="center"/>
              <w:rPr>
                <w:rFonts w:hAnsi="宋体" w:cs="宋体"/>
                <w:color w:val="000000" w:themeColor="text1"/>
                <w:sz w:val="21"/>
                <w:szCs w:val="21"/>
              </w:rPr>
            </w:pPr>
            <w:r>
              <w:rPr>
                <w:rFonts w:hint="eastAsia" w:hAnsi="宋体" w:cs="宋体"/>
                <w:color w:val="000000" w:themeColor="text1"/>
                <w:sz w:val="21"/>
                <w:szCs w:val="21"/>
              </w:rPr>
              <w:t>双龙管委会（赤松镇）</w:t>
            </w:r>
          </w:p>
        </w:tc>
        <w:tc>
          <w:tcPr>
            <w:tcW w:w="757"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rPr>
              <w:t>1项</w:t>
            </w:r>
          </w:p>
        </w:tc>
        <w:tc>
          <w:tcPr>
            <w:tcW w:w="1552" w:type="dxa"/>
            <w:vAlign w:val="center"/>
          </w:tcPr>
          <w:p>
            <w:pPr>
              <w:tabs>
                <w:tab w:val="left" w:pos="1260"/>
              </w:tabs>
              <w:snapToGrid w:val="0"/>
              <w:spacing w:line="288" w:lineRule="auto"/>
              <w:jc w:val="center"/>
              <w:rPr>
                <w:rFonts w:hAnsi="宋体" w:cs="宋体"/>
                <w:color w:val="000000" w:themeColor="text1"/>
                <w:sz w:val="21"/>
                <w:szCs w:val="21"/>
              </w:rPr>
            </w:pPr>
            <w:r>
              <w:rPr>
                <w:rFonts w:hint="eastAsia" w:hAnsi="宋体" w:cs="宋体"/>
                <w:color w:val="000000" w:themeColor="text1"/>
                <w:sz w:val="21"/>
                <w:szCs w:val="21"/>
                <w:u w:val="single"/>
              </w:rPr>
              <w:t xml:space="preserve">      </w:t>
            </w:r>
            <w:r>
              <w:rPr>
                <w:rFonts w:hint="eastAsia" w:hAnsi="宋体" w:cs="宋体"/>
                <w:color w:val="000000" w:themeColor="text1"/>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9489" w:type="dxa"/>
            <w:gridSpan w:val="6"/>
            <w:vAlign w:val="center"/>
          </w:tcPr>
          <w:p>
            <w:pPr>
              <w:snapToGrid w:val="0"/>
              <w:spacing w:line="460" w:lineRule="exact"/>
              <w:rPr>
                <w:rFonts w:hAnsi="宋体" w:cs="宋体"/>
                <w:color w:val="000000" w:themeColor="text1"/>
                <w:sz w:val="21"/>
                <w:szCs w:val="21"/>
              </w:rPr>
            </w:pPr>
            <w:r>
              <w:rPr>
                <w:rFonts w:hint="eastAsia" w:hAnsi="宋体" w:cs="宋体"/>
                <w:color w:val="000000" w:themeColor="text1"/>
                <w:sz w:val="21"/>
                <w:szCs w:val="21"/>
              </w:rPr>
              <w:t xml:space="preserve">  合计：小写：</w:t>
            </w:r>
            <w:r>
              <w:rPr>
                <w:rFonts w:hint="eastAsia" w:hAnsi="宋体" w:cs="宋体"/>
                <w:color w:val="000000" w:themeColor="text1"/>
                <w:sz w:val="21"/>
                <w:szCs w:val="21"/>
                <w:u w:val="single"/>
              </w:rPr>
              <w:t xml:space="preserve">           </w:t>
            </w:r>
            <w:r>
              <w:rPr>
                <w:rFonts w:hint="eastAsia" w:hAnsi="宋体" w:cs="宋体"/>
                <w:color w:val="000000" w:themeColor="text1"/>
                <w:sz w:val="21"/>
                <w:szCs w:val="21"/>
              </w:rPr>
              <w:t xml:space="preserve"> 元；大写：</w:t>
            </w:r>
            <w:r>
              <w:rPr>
                <w:rFonts w:hint="eastAsia" w:hAnsi="宋体" w:cs="宋体"/>
                <w:color w:val="000000" w:themeColor="text1"/>
                <w:sz w:val="21"/>
                <w:szCs w:val="21"/>
                <w:u w:val="single"/>
              </w:rPr>
              <w:t xml:space="preserve">          </w:t>
            </w:r>
            <w:r>
              <w:rPr>
                <w:rFonts w:hint="eastAsia" w:hAnsi="宋体" w:cs="宋体"/>
                <w:color w:val="000000" w:themeColor="text1"/>
                <w:sz w:val="21"/>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23" w:type="dxa"/>
            <w:gridSpan w:val="2"/>
            <w:vMerge w:val="restart"/>
            <w:vAlign w:val="center"/>
          </w:tcPr>
          <w:p>
            <w:pPr>
              <w:snapToGrid w:val="0"/>
              <w:spacing w:line="460" w:lineRule="exact"/>
              <w:rPr>
                <w:rFonts w:hAnsi="宋体" w:cs="宋体"/>
                <w:color w:val="000000" w:themeColor="text1"/>
                <w:sz w:val="21"/>
                <w:szCs w:val="21"/>
              </w:rPr>
            </w:pPr>
            <w:r>
              <w:rPr>
                <w:rFonts w:hint="eastAsia" w:hAnsi="宋体" w:cs="宋体"/>
                <w:color w:val="000000" w:themeColor="text1"/>
                <w:sz w:val="21"/>
                <w:szCs w:val="21"/>
              </w:rPr>
              <w:t>报价说明：</w:t>
            </w:r>
          </w:p>
        </w:tc>
        <w:tc>
          <w:tcPr>
            <w:tcW w:w="8066" w:type="dxa"/>
            <w:gridSpan w:val="4"/>
            <w:vAlign w:val="center"/>
          </w:tcPr>
          <w:p>
            <w:pPr>
              <w:snapToGrid w:val="0"/>
              <w:spacing w:line="460" w:lineRule="exact"/>
              <w:rPr>
                <w:rFonts w:hAnsi="宋体" w:cs="宋体"/>
                <w:color w:val="000000" w:themeColor="text1"/>
                <w:sz w:val="21"/>
                <w:szCs w:val="21"/>
              </w:rPr>
            </w:pPr>
            <w:r>
              <w:rPr>
                <w:rStyle w:val="73"/>
                <w:rFonts w:hint="eastAsia" w:ascii="Times New Roman" w:hAnsi="宋体"/>
                <w:color w:val="000000" w:themeColor="text1"/>
                <w:sz w:val="21"/>
                <w:szCs w:val="21"/>
              </w:rPr>
              <w:t>1.本项目设有最高限价，投标人的投标报价超过采购人设定的最高限价（即人民币735万元）的，按投标无效处理。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23" w:type="dxa"/>
            <w:gridSpan w:val="2"/>
            <w:vMerge w:val="continue"/>
            <w:vAlign w:val="center"/>
          </w:tcPr>
          <w:p>
            <w:pPr>
              <w:snapToGrid w:val="0"/>
              <w:spacing w:line="460" w:lineRule="exact"/>
              <w:rPr>
                <w:rFonts w:hAnsi="宋体" w:cs="宋体"/>
                <w:color w:val="000000" w:themeColor="text1"/>
                <w:sz w:val="21"/>
                <w:szCs w:val="21"/>
              </w:rPr>
            </w:pPr>
          </w:p>
        </w:tc>
        <w:tc>
          <w:tcPr>
            <w:tcW w:w="8066" w:type="dxa"/>
            <w:gridSpan w:val="4"/>
            <w:vAlign w:val="center"/>
          </w:tcPr>
          <w:p>
            <w:pPr>
              <w:widowControl/>
              <w:snapToGrid w:val="0"/>
              <w:spacing w:line="460" w:lineRule="exact"/>
              <w:jc w:val="both"/>
              <w:rPr>
                <w:color w:val="000000" w:themeColor="text1"/>
              </w:rPr>
            </w:pPr>
            <w:r>
              <w:rPr>
                <w:rFonts w:hint="eastAsia" w:hAnsi="宋体" w:cs="宋体"/>
                <w:color w:val="000000" w:themeColor="text1"/>
                <w:sz w:val="21"/>
                <w:szCs w:val="21"/>
              </w:rPr>
              <w:t>2.本投标人已知悉并同意，投标人中标后应根据招标文件中约定的金额向本项目的政府采购代理机构计算支付采购代理服务费，为此，我方已根据财政部财库〔2018〕2号《政府采购代理机构管理暂行办法》的规定并按本次招标的报价要求，将应支付的采购代理服务费包含在上述的项目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23" w:type="dxa"/>
            <w:gridSpan w:val="2"/>
            <w:vMerge w:val="continue"/>
            <w:vAlign w:val="center"/>
          </w:tcPr>
          <w:p>
            <w:pPr>
              <w:snapToGrid w:val="0"/>
              <w:spacing w:line="460" w:lineRule="exact"/>
              <w:rPr>
                <w:rFonts w:hAnsi="宋体" w:cs="宋体"/>
                <w:color w:val="000000" w:themeColor="text1"/>
                <w:sz w:val="21"/>
                <w:szCs w:val="21"/>
              </w:rPr>
            </w:pPr>
          </w:p>
        </w:tc>
        <w:tc>
          <w:tcPr>
            <w:tcW w:w="8066" w:type="dxa"/>
            <w:gridSpan w:val="4"/>
            <w:vAlign w:val="center"/>
          </w:tcPr>
          <w:p>
            <w:pPr>
              <w:snapToGrid w:val="0"/>
              <w:spacing w:line="460" w:lineRule="exact"/>
              <w:rPr>
                <w:rFonts w:hAnsi="宋体" w:cs="宋体"/>
                <w:b/>
                <w:bCs/>
                <w:color w:val="000000" w:themeColor="text1"/>
                <w:sz w:val="21"/>
                <w:szCs w:val="21"/>
              </w:rPr>
            </w:pPr>
            <w:r>
              <w:rPr>
                <w:rFonts w:hint="eastAsia" w:hAnsi="宋体" w:cs="宋体"/>
                <w:color w:val="000000" w:themeColor="text1"/>
                <w:sz w:val="21"/>
                <w:szCs w:val="21"/>
              </w:rPr>
              <w:t>3.投标报价表上的总价应包括：前期调研费、方案编制、劳务、专用工具、专用设备、伴随服务、技术图纸资料等所有含税费用，论证、招标代理费用、驻地人员相关费用、评审费用等与项目相关的一切费用。同时，还应包含支付给员工的工资和国家强制缴纳的各种社会保障资金，以及供应商认为需要的其他费用等。投标报价为签订合同的依据。中标后，中标人的投标报价即为本项目合同的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423" w:type="dxa"/>
            <w:gridSpan w:val="2"/>
            <w:vAlign w:val="center"/>
          </w:tcPr>
          <w:p>
            <w:pPr>
              <w:snapToGrid w:val="0"/>
              <w:spacing w:line="460" w:lineRule="exact"/>
              <w:rPr>
                <w:rFonts w:hAnsi="宋体" w:cs="宋体"/>
                <w:color w:val="000000" w:themeColor="text1"/>
                <w:sz w:val="21"/>
                <w:szCs w:val="21"/>
              </w:rPr>
            </w:pPr>
            <w:r>
              <w:rPr>
                <w:rFonts w:hint="eastAsia" w:hAnsi="宋体" w:cs="宋体"/>
                <w:color w:val="000000" w:themeColor="text1"/>
                <w:sz w:val="24"/>
              </w:rPr>
              <w:t>关</w:t>
            </w:r>
            <w:r>
              <w:rPr>
                <w:rFonts w:hint="eastAsia" w:hAnsi="宋体" w:cs="宋体"/>
                <w:color w:val="000000" w:themeColor="text1"/>
                <w:sz w:val="21"/>
                <w:szCs w:val="21"/>
              </w:rPr>
              <w:t>于投标人是否符合政策性价格扣除的说明</w:t>
            </w:r>
          </w:p>
        </w:tc>
        <w:tc>
          <w:tcPr>
            <w:tcW w:w="8066" w:type="dxa"/>
            <w:gridSpan w:val="4"/>
            <w:vAlign w:val="center"/>
          </w:tcPr>
          <w:p>
            <w:pPr>
              <w:snapToGrid w:val="0"/>
              <w:spacing w:line="460" w:lineRule="exact"/>
              <w:ind w:firstLine="420" w:firstLineChars="200"/>
              <w:rPr>
                <w:rFonts w:hAnsi="宋体" w:cs="宋体"/>
                <w:color w:val="000000" w:themeColor="text1"/>
                <w:sz w:val="21"/>
                <w:szCs w:val="21"/>
              </w:rPr>
            </w:pPr>
            <w:r>
              <w:rPr>
                <w:rFonts w:hint="eastAsia" w:hAnsi="宋体" w:cs="宋体"/>
                <w:color w:val="000000" w:themeColor="text1"/>
                <w:sz w:val="21"/>
                <w:szCs w:val="21"/>
              </w:rPr>
              <w:t>依照《政府采购促进中小企业发展管理办法》《国务院关于印发扎实稳住经济一揽子政策措施的通知》《浙江省财政厅关于进一步发挥政府采购政策功能全力推动经济稳进提质的通知》《财政部 民政部 中国残疾人联合会关于促进残疾人就业政府采购政策的通知》（财库〔2017〕141号）、《财政部、司法部关于政府采购支持监狱企业发展有关问题的通知》（财库〔2014〕68号）和本项目招标文件的规定，本投标人属于：</w:t>
            </w:r>
          </w:p>
          <w:p>
            <w:pPr>
              <w:snapToGrid w:val="0"/>
              <w:spacing w:line="460" w:lineRule="exact"/>
              <w:ind w:firstLine="420" w:firstLineChars="200"/>
              <w:rPr>
                <w:rFonts w:hAnsi="宋体" w:cs="宋体"/>
                <w:color w:val="000000" w:themeColor="text1"/>
                <w:sz w:val="21"/>
                <w:szCs w:val="21"/>
              </w:rPr>
            </w:pPr>
            <w:r>
              <w:rPr>
                <w:rFonts w:hint="eastAsia" w:hAnsi="宋体" w:cs="宋体"/>
                <w:color w:val="000000" w:themeColor="text1"/>
                <w:sz w:val="21"/>
                <w:szCs w:val="21"/>
              </w:rPr>
              <w:t>☐小微企业且服务全部由小型或微型企业承接，即提供服务的人员为小型或微型企业依照《中华人民共和国劳动合同法》订立劳动合同的从业人员），适用的</w:t>
            </w:r>
            <w:r>
              <w:rPr>
                <w:rFonts w:hint="eastAsia" w:hAnsi="宋体" w:cs="宋体"/>
                <w:color w:val="000000" w:themeColor="text1"/>
                <w:spacing w:val="-1"/>
                <w:sz w:val="21"/>
                <w:szCs w:val="21"/>
              </w:rPr>
              <w:t>评审价格扣除比例为10%；</w:t>
            </w:r>
          </w:p>
          <w:p>
            <w:pPr>
              <w:snapToGrid w:val="0"/>
              <w:spacing w:line="460" w:lineRule="exact"/>
              <w:ind w:firstLine="420" w:firstLineChars="200"/>
              <w:rPr>
                <w:rFonts w:hAnsi="宋体" w:cs="宋体"/>
                <w:color w:val="000000" w:themeColor="text1"/>
                <w:sz w:val="21"/>
                <w:szCs w:val="21"/>
              </w:rPr>
            </w:pPr>
            <w:r>
              <w:rPr>
                <w:rFonts w:hint="eastAsia" w:hAnsi="宋体" w:cs="宋体"/>
                <w:color w:val="000000" w:themeColor="text1"/>
                <w:sz w:val="21"/>
                <w:szCs w:val="21"/>
              </w:rPr>
              <w:t>☐联合体投标，且《联合协议》中约定小微企业的合同份额占到合同总金额的30%以上，适用的</w:t>
            </w:r>
            <w:r>
              <w:rPr>
                <w:rFonts w:hint="eastAsia" w:hAnsi="宋体" w:cs="宋体"/>
                <w:color w:val="000000" w:themeColor="text1"/>
                <w:spacing w:val="-1"/>
                <w:sz w:val="21"/>
                <w:szCs w:val="21"/>
              </w:rPr>
              <w:t>评审价格扣除比例为6%；</w:t>
            </w:r>
          </w:p>
          <w:p>
            <w:pPr>
              <w:snapToGrid w:val="0"/>
              <w:spacing w:line="460" w:lineRule="exact"/>
              <w:ind w:firstLine="420" w:firstLineChars="200"/>
              <w:rPr>
                <w:rFonts w:hAnsi="宋体" w:cs="宋体"/>
                <w:color w:val="000000" w:themeColor="text1"/>
                <w:sz w:val="21"/>
                <w:szCs w:val="21"/>
              </w:rPr>
            </w:pPr>
            <w:r>
              <w:rPr>
                <w:rFonts w:hint="eastAsia" w:hAnsi="宋体" w:cs="宋体"/>
                <w:color w:val="000000" w:themeColor="text1"/>
                <w:sz w:val="21"/>
                <w:szCs w:val="21"/>
              </w:rPr>
              <w:t>☐投标人分包，且《分包意向协议》中约定小微企业的合同份额占到合同总金额的30%以上，适用的</w:t>
            </w:r>
            <w:r>
              <w:rPr>
                <w:rFonts w:hint="eastAsia" w:hAnsi="宋体" w:cs="宋体"/>
                <w:color w:val="000000" w:themeColor="text1"/>
                <w:spacing w:val="-1"/>
                <w:sz w:val="21"/>
                <w:szCs w:val="21"/>
              </w:rPr>
              <w:t>评审价格扣除比例为6%；</w:t>
            </w:r>
          </w:p>
          <w:p>
            <w:pPr>
              <w:snapToGrid w:val="0"/>
              <w:spacing w:line="460" w:lineRule="exact"/>
              <w:ind w:firstLine="420" w:firstLineChars="200"/>
              <w:rPr>
                <w:rFonts w:hAnsi="宋体" w:cs="宋体"/>
                <w:color w:val="000000" w:themeColor="text1"/>
              </w:rPr>
            </w:pPr>
            <w:r>
              <w:rPr>
                <w:rFonts w:hint="eastAsia" w:hAnsi="宋体" w:cs="宋体"/>
                <w:color w:val="000000" w:themeColor="text1"/>
                <w:sz w:val="21"/>
                <w:szCs w:val="21"/>
              </w:rPr>
              <w:t>☐以上都不是。</w:t>
            </w:r>
          </w:p>
          <w:p>
            <w:pPr>
              <w:widowControl/>
              <w:snapToGrid w:val="0"/>
              <w:spacing w:line="460" w:lineRule="exact"/>
              <w:ind w:firstLine="420" w:firstLineChars="200"/>
              <w:jc w:val="both"/>
              <w:rPr>
                <w:rFonts w:hAnsi="宋体" w:cs="宋体"/>
                <w:color w:val="000000" w:themeColor="text1"/>
                <w:sz w:val="21"/>
                <w:szCs w:val="21"/>
              </w:rPr>
            </w:pPr>
            <w:r>
              <w:rPr>
                <w:rFonts w:hint="eastAsia" w:hAnsi="宋体" w:cs="宋体"/>
                <w:color w:val="000000" w:themeColor="text1"/>
                <w:sz w:val="21"/>
                <w:szCs w:val="21"/>
              </w:rPr>
              <w:t>本投标人对投标文件所提供的全部资料的真实性承担法律责任，并将无条件接受采购代理机构、招标人及政府采购监督管理部门等对其中任何资料进行核实的要求。</w:t>
            </w:r>
          </w:p>
        </w:tc>
      </w:tr>
    </w:tbl>
    <w:p>
      <w:pPr>
        <w:snapToGrid w:val="0"/>
        <w:spacing w:before="50" w:after="50" w:line="460" w:lineRule="exact"/>
        <w:ind w:firstLine="420" w:firstLineChars="200"/>
        <w:rPr>
          <w:rFonts w:hAnsi="宋体" w:cs="宋体"/>
          <w:b/>
          <w:color w:val="000000"/>
          <w:sz w:val="21"/>
          <w:szCs w:val="21"/>
        </w:rPr>
      </w:pPr>
      <w:r>
        <w:rPr>
          <w:rFonts w:hint="eastAsia" w:hAnsi="宋体" w:cs="宋体"/>
          <w:color w:val="000000"/>
          <w:sz w:val="21"/>
          <w:szCs w:val="21"/>
        </w:rPr>
        <w:t xml:space="preserve"> 注:报价一经涂改，应在涂改处加盖单位公章或者由法定代表人或授权委托人签字或盖章，否则其投标作无效标处理。</w:t>
      </w:r>
    </w:p>
    <w:p>
      <w:pPr>
        <w:snapToGrid w:val="0"/>
        <w:spacing w:before="50" w:after="50" w:line="460" w:lineRule="exact"/>
        <w:ind w:left="-99" w:leftChars="-29" w:right="-1323" w:rightChars="-389" w:firstLine="420" w:firstLineChars="200"/>
        <w:rPr>
          <w:rFonts w:hAnsi="宋体" w:cs="宋体"/>
          <w:color w:val="000000"/>
          <w:sz w:val="21"/>
          <w:szCs w:val="21"/>
        </w:rPr>
      </w:pPr>
      <w:r>
        <w:rPr>
          <w:rFonts w:hint="eastAsia" w:hAnsi="宋体" w:cs="宋体"/>
          <w:color w:val="000000"/>
          <w:sz w:val="21"/>
          <w:szCs w:val="21"/>
        </w:rPr>
        <w:t>法定代表人或授权代表（签字或盖章）：</w:t>
      </w:r>
    </w:p>
    <w:p>
      <w:pPr>
        <w:snapToGrid w:val="0"/>
        <w:spacing w:before="50" w:after="50" w:line="460" w:lineRule="exact"/>
        <w:ind w:left="-99" w:leftChars="-29" w:right="-1323" w:rightChars="-389" w:firstLine="420" w:firstLineChars="200"/>
        <w:rPr>
          <w:rFonts w:hAnsi="宋体" w:cs="宋体"/>
          <w:color w:val="000000"/>
          <w:sz w:val="21"/>
          <w:szCs w:val="21"/>
        </w:rPr>
      </w:pPr>
      <w:r>
        <w:rPr>
          <w:rFonts w:hint="eastAsia" w:hAnsi="宋体" w:cs="宋体"/>
          <w:color w:val="000000"/>
          <w:sz w:val="21"/>
          <w:szCs w:val="21"/>
        </w:rPr>
        <w:t xml:space="preserve">投标人名称（盖章）：                                             </w:t>
      </w:r>
    </w:p>
    <w:p>
      <w:pPr>
        <w:snapToGrid w:val="0"/>
        <w:spacing w:before="50" w:after="50" w:line="460" w:lineRule="exact"/>
        <w:ind w:left="-99" w:leftChars="-29" w:right="-1323" w:rightChars="-389" w:firstLine="420" w:firstLineChars="200"/>
        <w:rPr>
          <w:rFonts w:hAnsi="宋体" w:cs="宋体"/>
          <w:color w:val="000000"/>
          <w:sz w:val="21"/>
          <w:szCs w:val="21"/>
        </w:rPr>
      </w:pPr>
      <w:r>
        <w:rPr>
          <w:rFonts w:hint="eastAsia" w:hAnsi="宋体" w:cs="宋体"/>
          <w:color w:val="000000"/>
          <w:sz w:val="21"/>
          <w:szCs w:val="21"/>
        </w:rPr>
        <w:t>日期：   年   月    日</w:t>
      </w: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spacing w:line="500" w:lineRule="exact"/>
        <w:ind w:firstLine="422" w:firstLineChars="200"/>
        <w:rPr>
          <w:rFonts w:hAnsi="宋体" w:cs="宋体"/>
          <w:b/>
          <w:bCs/>
          <w:sz w:val="21"/>
          <w:szCs w:val="21"/>
        </w:rPr>
      </w:pPr>
    </w:p>
    <w:p>
      <w:pPr>
        <w:ind w:firstLine="1020" w:firstLineChars="300"/>
        <w:rPr>
          <w:rFonts w:hAnsi="宋体" w:cs="宋体"/>
          <w:color w:val="000000"/>
          <w:sz w:val="24"/>
          <w:szCs w:val="24"/>
        </w:rPr>
      </w:pPr>
      <w:r>
        <w:rPr>
          <w:rFonts w:hint="eastAsia" w:hAnsi="宋体" w:cs="宋体"/>
          <w:color w:val="000000"/>
        </w:rPr>
        <w:br w:type="page"/>
      </w:r>
      <w:r>
        <w:rPr>
          <w:rFonts w:hint="eastAsia" w:hAnsi="宋体" w:cs="宋体"/>
          <w:b/>
          <w:color w:val="000000"/>
          <w:sz w:val="24"/>
        </w:rPr>
        <w:t>3.中小企业（或残疾人福利性单位、监狱企业）提供服务的资料</w:t>
      </w:r>
    </w:p>
    <w:p>
      <w:pPr>
        <w:spacing w:line="440" w:lineRule="exact"/>
        <w:ind w:left="1418"/>
        <w:rPr>
          <w:rFonts w:hAnsi="宋体" w:cs="宋体"/>
          <w:color w:val="000000"/>
          <w:sz w:val="21"/>
          <w:szCs w:val="21"/>
        </w:rPr>
      </w:pPr>
      <w:r>
        <w:rPr>
          <w:rFonts w:hint="eastAsia" w:hAnsi="宋体" w:cs="宋体"/>
          <w:color w:val="000000"/>
          <w:spacing w:val="-1"/>
          <w:sz w:val="21"/>
          <w:szCs w:val="21"/>
        </w:rPr>
        <w:t>（投标人应完整提供以下资料，否则评审时将不能享受相应的价格折扣）</w:t>
      </w:r>
    </w:p>
    <w:p>
      <w:pPr>
        <w:spacing w:line="440" w:lineRule="exact"/>
        <w:jc w:val="center"/>
        <w:rPr>
          <w:rFonts w:hAnsi="宋体" w:cs="宋体"/>
          <w:color w:val="000000"/>
          <w:sz w:val="24"/>
          <w:szCs w:val="24"/>
        </w:rPr>
      </w:pPr>
      <w:r>
        <w:rPr>
          <w:rFonts w:hint="eastAsia" w:hAnsi="宋体" w:cs="宋体"/>
          <w:color w:val="000000"/>
          <w:sz w:val="21"/>
          <w:szCs w:val="21"/>
        </w:rPr>
        <w:t xml:space="preserve"> </w:t>
      </w:r>
      <w:r>
        <w:rPr>
          <w:rFonts w:hint="eastAsia" w:hAnsi="宋体" w:cs="宋体"/>
          <w:color w:val="000000"/>
          <w:sz w:val="24"/>
          <w:szCs w:val="24"/>
        </w:rPr>
        <w:t>（1）中小企业声明函（工程、服务类）</w:t>
      </w:r>
    </w:p>
    <w:p>
      <w:pPr>
        <w:snapToGrid w:val="0"/>
        <w:spacing w:line="440" w:lineRule="exact"/>
        <w:ind w:firstLine="420" w:firstLineChars="200"/>
        <w:rPr>
          <w:rFonts w:hAnsi="宋体" w:cs="宋体"/>
          <w:color w:val="000000"/>
          <w:kern w:val="2"/>
          <w:sz w:val="21"/>
          <w:szCs w:val="21"/>
        </w:rPr>
      </w:pPr>
      <w:r>
        <w:rPr>
          <w:rFonts w:hint="eastAsia" w:hAnsi="宋体" w:cs="宋体"/>
          <w:color w:val="000000"/>
          <w:kern w:val="2"/>
          <w:sz w:val="21"/>
          <w:szCs w:val="21"/>
        </w:rP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 </w:t>
      </w:r>
    </w:p>
    <w:p>
      <w:pPr>
        <w:snapToGrid w:val="0"/>
        <w:spacing w:line="440" w:lineRule="exact"/>
        <w:ind w:firstLine="422" w:firstLineChars="200"/>
        <w:rPr>
          <w:rFonts w:hAnsi="宋体" w:cs="宋体"/>
          <w:b/>
          <w:bCs/>
          <w:color w:val="000000"/>
          <w:kern w:val="2"/>
          <w:sz w:val="21"/>
          <w:szCs w:val="21"/>
        </w:rPr>
      </w:pPr>
      <w:r>
        <w:rPr>
          <w:rFonts w:hint="eastAsia" w:hAnsi="宋体" w:cs="宋体"/>
          <w:b/>
          <w:bCs/>
          <w:color w:val="000000"/>
          <w:kern w:val="2"/>
          <w:sz w:val="21"/>
          <w:szCs w:val="21"/>
        </w:rPr>
        <w:t>1.（标的名称） ，属于（采购文件中明确的所属行业）； 承建（承接）企业为（企业名称），从业人员</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人，营业收入为</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万元，资产总额为</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 xml:space="preserve">万元，属于（中型企业、小型企业、微型企业）； </w:t>
      </w:r>
    </w:p>
    <w:p>
      <w:pPr>
        <w:snapToGrid w:val="0"/>
        <w:spacing w:line="440" w:lineRule="exact"/>
        <w:ind w:firstLine="422" w:firstLineChars="200"/>
        <w:rPr>
          <w:rFonts w:hAnsi="宋体" w:cs="宋体"/>
          <w:b/>
          <w:bCs/>
          <w:color w:val="000000"/>
          <w:kern w:val="2"/>
          <w:sz w:val="21"/>
          <w:szCs w:val="21"/>
        </w:rPr>
      </w:pPr>
      <w:r>
        <w:rPr>
          <w:rFonts w:hint="eastAsia" w:hAnsi="宋体" w:cs="宋体"/>
          <w:b/>
          <w:bCs/>
          <w:color w:val="000000"/>
          <w:kern w:val="2"/>
          <w:sz w:val="21"/>
          <w:szCs w:val="21"/>
        </w:rPr>
        <w:t>2.（标的名称） ，属于（采购文件中明确的所属行业）； 承建（承接）企业为（企业名称），从业人员</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人，营业收入为</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万元，资产总额为</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 xml:space="preserve">万元，属于（中型企业、小型企业、微型企业）； </w:t>
      </w:r>
    </w:p>
    <w:p>
      <w:pPr>
        <w:snapToGrid w:val="0"/>
        <w:spacing w:line="440" w:lineRule="exact"/>
        <w:rPr>
          <w:rFonts w:hAnsi="宋体" w:cs="宋体"/>
          <w:color w:val="000000"/>
          <w:kern w:val="2"/>
          <w:sz w:val="21"/>
          <w:szCs w:val="21"/>
        </w:rPr>
      </w:pPr>
      <w:r>
        <w:rPr>
          <w:rFonts w:hint="eastAsia" w:hAnsi="宋体" w:cs="宋体"/>
          <w:color w:val="000000"/>
          <w:kern w:val="2"/>
          <w:sz w:val="21"/>
          <w:szCs w:val="21"/>
        </w:rPr>
        <w:t xml:space="preserve">…… </w:t>
      </w:r>
    </w:p>
    <w:p>
      <w:pPr>
        <w:snapToGrid w:val="0"/>
        <w:spacing w:line="440" w:lineRule="exact"/>
        <w:ind w:firstLine="420" w:firstLineChars="200"/>
        <w:rPr>
          <w:rFonts w:hAnsi="宋体" w:cs="宋体"/>
          <w:color w:val="000000"/>
          <w:kern w:val="2"/>
          <w:sz w:val="21"/>
          <w:szCs w:val="21"/>
        </w:rPr>
      </w:pPr>
      <w:r>
        <w:rPr>
          <w:rFonts w:hint="eastAsia" w:hAnsi="宋体" w:cs="宋体"/>
          <w:color w:val="000000"/>
          <w:kern w:val="2"/>
          <w:sz w:val="21"/>
          <w:szCs w:val="21"/>
        </w:rPr>
        <w:t xml:space="preserve">以上企业，不属于大企业的分支机构，不存在控股股东为大企业的情形，也不存在与大企业的负责人为同一人的情形。 </w:t>
      </w:r>
    </w:p>
    <w:p>
      <w:pPr>
        <w:snapToGrid w:val="0"/>
        <w:spacing w:line="440" w:lineRule="exact"/>
        <w:ind w:firstLine="420" w:firstLineChars="200"/>
        <w:rPr>
          <w:rFonts w:hAnsi="宋体" w:cs="宋体"/>
          <w:color w:val="000000"/>
          <w:kern w:val="2"/>
          <w:sz w:val="21"/>
          <w:szCs w:val="21"/>
        </w:rPr>
      </w:pPr>
      <w:r>
        <w:rPr>
          <w:rFonts w:hint="eastAsia" w:hAnsi="宋体" w:cs="宋体"/>
          <w:color w:val="000000"/>
          <w:kern w:val="2"/>
          <w:sz w:val="21"/>
          <w:szCs w:val="21"/>
        </w:rPr>
        <w:t xml:space="preserve">本企业对上述声明内容的真实性负责。如有虚假，将依法承担相应责任。 </w:t>
      </w:r>
    </w:p>
    <w:p>
      <w:pPr>
        <w:snapToGrid w:val="0"/>
        <w:spacing w:line="440" w:lineRule="exact"/>
        <w:ind w:firstLine="210" w:firstLineChars="100"/>
        <w:rPr>
          <w:rFonts w:hAnsi="宋体" w:cs="宋体"/>
          <w:color w:val="000000"/>
          <w:kern w:val="2"/>
          <w:sz w:val="21"/>
          <w:szCs w:val="21"/>
        </w:rPr>
      </w:pPr>
      <w:r>
        <w:rPr>
          <w:rFonts w:hint="eastAsia" w:hAnsi="宋体" w:cs="宋体"/>
          <w:color w:val="000000"/>
          <w:kern w:val="2"/>
          <w:sz w:val="21"/>
          <w:szCs w:val="21"/>
        </w:rPr>
        <w:t xml:space="preserve">企业名称（盖章）： </w:t>
      </w:r>
    </w:p>
    <w:p>
      <w:pPr>
        <w:snapToGrid w:val="0"/>
        <w:spacing w:line="440" w:lineRule="exact"/>
        <w:ind w:firstLine="210" w:firstLineChars="100"/>
        <w:rPr>
          <w:rFonts w:hAnsi="宋体" w:cs="宋体"/>
          <w:color w:val="000000"/>
          <w:kern w:val="2"/>
          <w:sz w:val="21"/>
          <w:szCs w:val="21"/>
        </w:rPr>
      </w:pPr>
      <w:r>
        <w:rPr>
          <w:rFonts w:hint="eastAsia" w:hAnsi="宋体" w:cs="宋体"/>
          <w:color w:val="000000"/>
          <w:kern w:val="2"/>
          <w:sz w:val="21"/>
          <w:szCs w:val="21"/>
        </w:rPr>
        <w:t xml:space="preserve">日 期： </w:t>
      </w:r>
    </w:p>
    <w:p>
      <w:pPr>
        <w:snapToGrid w:val="0"/>
        <w:spacing w:line="440" w:lineRule="exact"/>
        <w:rPr>
          <w:rFonts w:hAnsi="宋体" w:cs="宋体"/>
          <w:color w:val="000000"/>
          <w:kern w:val="2"/>
          <w:sz w:val="21"/>
          <w:szCs w:val="21"/>
        </w:rPr>
      </w:pPr>
      <w:r>
        <w:rPr>
          <w:rFonts w:hint="eastAsia" w:hAnsi="宋体" w:cs="宋体"/>
          <w:b/>
          <w:color w:val="000000"/>
          <w:kern w:val="2"/>
          <w:sz w:val="21"/>
          <w:szCs w:val="21"/>
        </w:rPr>
        <w:t>填报说明：</w:t>
      </w:r>
      <w:r>
        <w:rPr>
          <w:rFonts w:hint="eastAsia" w:hAnsi="宋体" w:cs="宋体"/>
          <w:color w:val="000000"/>
          <w:kern w:val="2"/>
          <w:sz w:val="21"/>
          <w:szCs w:val="21"/>
        </w:rPr>
        <w:t>①本声明函中“从业人员”、“营业收入”、“资产总额”填报上一年度数据，无上一年度数据的新成立企业可不填报。</w:t>
      </w:r>
    </w:p>
    <w:p>
      <w:pPr>
        <w:pStyle w:val="44"/>
        <w:spacing w:line="500" w:lineRule="exact"/>
        <w:ind w:left="0" w:leftChars="0" w:firstLine="0"/>
        <w:rPr>
          <w:rFonts w:ascii="宋体" w:hAnsi="宋体"/>
          <w:color w:val="000000"/>
          <w:kern w:val="0"/>
        </w:rPr>
      </w:pPr>
      <w:r>
        <w:rPr>
          <w:rFonts w:hint="eastAsia" w:ascii="宋体" w:hAnsi="宋体" w:cs="宋体"/>
          <w:color w:val="000000"/>
          <w:sz w:val="21"/>
          <w:szCs w:val="21"/>
        </w:rPr>
        <w:t>②本项目采购标的对应的中小企业划分标准所属行业为《中小企业划型标准规定》（工信部联企业〔2011〕300号）中的“</w:t>
      </w:r>
      <w:r>
        <w:rPr>
          <w:rFonts w:hint="eastAsia" w:hAnsi="宋体" w:cs="宋体"/>
          <w:color w:val="000000"/>
          <w:sz w:val="21"/>
          <w:szCs w:val="21"/>
        </w:rPr>
        <w:t xml:space="preserve">其他未列明行业---科学研究和技术服务业 </w:t>
      </w:r>
      <w:r>
        <w:rPr>
          <w:rFonts w:hint="eastAsia" w:ascii="宋体" w:hAnsi="宋体" w:cs="宋体"/>
          <w:color w:val="000000"/>
          <w:sz w:val="21"/>
          <w:szCs w:val="21"/>
        </w:rPr>
        <w:t>”，从业人员300人以下的为中小微型企业。其中，从业人员100人及以上的为中型企业；从业人员10人及以上的为小型企业；从业人员10人以下的为微型企业。</w:t>
      </w:r>
    </w:p>
    <w:p>
      <w:pPr>
        <w:autoSpaceDE/>
        <w:autoSpaceDN/>
        <w:adjustRightInd/>
        <w:spacing w:line="440" w:lineRule="exact"/>
        <w:ind w:firstLine="420" w:firstLineChars="200"/>
        <w:jc w:val="both"/>
        <w:rPr>
          <w:rFonts w:hAnsi="宋体" w:cs="宋体"/>
          <w:color w:val="000000"/>
          <w:kern w:val="2"/>
          <w:sz w:val="21"/>
          <w:szCs w:val="21"/>
        </w:rPr>
      </w:pPr>
      <w:r>
        <w:rPr>
          <w:rFonts w:hint="eastAsia" w:hAnsi="宋体" w:cs="宋体"/>
          <w:color w:val="000000"/>
          <w:kern w:val="2"/>
          <w:sz w:val="21"/>
          <w:szCs w:val="21"/>
        </w:rPr>
        <w:t>③符合中小企业划分标准的个体工商户、其他组织机构，在本项目采购活动中视同中小企业；</w:t>
      </w:r>
    </w:p>
    <w:p>
      <w:pPr>
        <w:spacing w:line="440" w:lineRule="exact"/>
        <w:ind w:firstLine="420" w:firstLineChars="200"/>
        <w:rPr>
          <w:rFonts w:hAnsi="宋体" w:cs="宋体"/>
          <w:color w:val="000000"/>
        </w:rPr>
      </w:pPr>
      <w:r>
        <w:rPr>
          <w:rFonts w:hint="eastAsia" w:hAnsi="宋体" w:cs="宋体"/>
          <w:color w:val="000000"/>
          <w:kern w:val="2"/>
          <w:sz w:val="21"/>
          <w:szCs w:val="21"/>
        </w:rPr>
        <w:t>④投标人应当按照《政府采购促进中小企业发展管理办法》规定和《中小企业划型标准规定》（工信部联企业〔2011〕300号），如实填写并提交《中小企业声明函》，对其声明内容的真实性负责，声明函内容不实的，属于提供虚假材料谋取中标、成交，将依照《中华人民共和国政府采购法》等国家有关规定追究相应责任</w:t>
      </w:r>
      <w:r>
        <w:rPr>
          <w:rFonts w:hint="eastAsia" w:hAnsi="宋体" w:cs="宋体"/>
          <w:color w:val="000000"/>
          <w:spacing w:val="-1"/>
          <w:sz w:val="20"/>
        </w:rPr>
        <w:t>。</w:t>
      </w:r>
    </w:p>
    <w:p>
      <w:pPr>
        <w:spacing w:line="458" w:lineRule="exact"/>
        <w:jc w:val="center"/>
        <w:rPr>
          <w:rFonts w:hAnsi="宋体" w:cs="宋体"/>
          <w:color w:val="000000"/>
          <w:sz w:val="21"/>
          <w:szCs w:val="21"/>
        </w:rPr>
      </w:pPr>
    </w:p>
    <w:p>
      <w:pPr>
        <w:spacing w:line="352" w:lineRule="exact"/>
        <w:jc w:val="center"/>
        <w:rPr>
          <w:rFonts w:hAnsi="宋体" w:cs="宋体"/>
          <w:color w:val="000000"/>
          <w:sz w:val="21"/>
          <w:szCs w:val="21"/>
        </w:rPr>
      </w:pPr>
      <w:r>
        <w:rPr>
          <w:rFonts w:hint="eastAsia" w:hAnsi="宋体" w:cs="宋体"/>
          <w:color w:val="000000"/>
          <w:sz w:val="21"/>
          <w:szCs w:val="21"/>
        </w:rPr>
        <w:br w:type="page"/>
      </w:r>
      <w:r>
        <w:rPr>
          <w:rFonts w:hint="eastAsia" w:hAnsi="宋体" w:cs="宋体"/>
          <w:color w:val="000000"/>
          <w:sz w:val="21"/>
          <w:szCs w:val="21"/>
        </w:rPr>
        <w:t>（2）残疾人福利性单位声明函</w:t>
      </w:r>
    </w:p>
    <w:p>
      <w:pPr>
        <w:pStyle w:val="88"/>
        <w:spacing w:before="240" w:beforeLines="100" w:line="500" w:lineRule="exact"/>
        <w:ind w:firstLine="601"/>
        <w:rPr>
          <w:rFonts w:hint="default" w:ascii="宋体" w:hAnsi="宋体" w:eastAsia="宋体" w:cs="宋体"/>
          <w:color w:val="000000"/>
          <w:kern w:val="2"/>
          <w:szCs w:val="21"/>
          <w:lang w:eastAsia="zh-CN"/>
        </w:rPr>
      </w:pPr>
      <w:r>
        <w:rPr>
          <w:rFonts w:ascii="宋体" w:hAnsi="宋体" w:eastAsia="宋体" w:cs="宋体"/>
          <w:color w:val="000000"/>
          <w:kern w:val="2"/>
          <w:szCs w:val="21"/>
          <w:lang w:eastAsia="zh-CN"/>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88"/>
        <w:spacing w:line="500" w:lineRule="exact"/>
        <w:ind w:firstLine="600"/>
        <w:rPr>
          <w:rFonts w:hint="default" w:ascii="宋体" w:hAnsi="宋体" w:eastAsia="宋体" w:cs="宋体"/>
          <w:color w:val="000000"/>
          <w:kern w:val="2"/>
          <w:szCs w:val="21"/>
          <w:lang w:eastAsia="zh-CN"/>
        </w:rPr>
      </w:pPr>
      <w:r>
        <w:rPr>
          <w:rFonts w:ascii="宋体" w:hAnsi="宋体" w:eastAsia="宋体" w:cs="宋体"/>
          <w:color w:val="000000"/>
          <w:kern w:val="2"/>
          <w:szCs w:val="21"/>
          <w:lang w:eastAsia="zh-CN"/>
        </w:rPr>
        <w:t>本单位对上述声明的真实性负责。如有虚假，将依法承担相应责任。</w:t>
      </w:r>
    </w:p>
    <w:p>
      <w:pPr>
        <w:pStyle w:val="88"/>
        <w:spacing w:line="500" w:lineRule="exact"/>
        <w:rPr>
          <w:rFonts w:hint="default" w:ascii="宋体" w:hAnsi="宋体" w:eastAsia="宋体" w:cs="宋体"/>
          <w:color w:val="000000"/>
          <w:spacing w:val="6"/>
          <w:szCs w:val="21"/>
          <w:lang w:eastAsia="zh-CN"/>
        </w:rPr>
      </w:pPr>
    </w:p>
    <w:p>
      <w:pPr>
        <w:pStyle w:val="88"/>
        <w:spacing w:line="500" w:lineRule="exact"/>
        <w:ind w:right="1560" w:firstLine="600"/>
        <w:jc w:val="center"/>
        <w:rPr>
          <w:rFonts w:hint="default" w:ascii="宋体" w:hAnsi="宋体" w:eastAsia="宋体" w:cs="宋体"/>
          <w:color w:val="000000"/>
          <w:kern w:val="2"/>
          <w:szCs w:val="21"/>
          <w:lang w:eastAsia="zh-CN"/>
        </w:rPr>
      </w:pPr>
      <w:r>
        <w:rPr>
          <w:rFonts w:ascii="宋体" w:hAnsi="宋体" w:eastAsia="宋体" w:cs="宋体"/>
          <w:color w:val="000000"/>
          <w:spacing w:val="6"/>
          <w:szCs w:val="21"/>
          <w:lang w:eastAsia="zh-CN"/>
        </w:rPr>
        <w:t xml:space="preserve">               </w:t>
      </w:r>
      <w:r>
        <w:rPr>
          <w:rFonts w:ascii="宋体" w:hAnsi="宋体" w:eastAsia="宋体" w:cs="宋体"/>
          <w:color w:val="000000"/>
          <w:kern w:val="2"/>
          <w:szCs w:val="21"/>
          <w:lang w:eastAsia="zh-CN"/>
        </w:rPr>
        <w:t>单位名称（盖章）：</w:t>
      </w:r>
    </w:p>
    <w:p>
      <w:pPr>
        <w:pStyle w:val="88"/>
        <w:spacing w:line="500" w:lineRule="exact"/>
        <w:ind w:right="1560" w:firstLine="600"/>
        <w:jc w:val="center"/>
        <w:rPr>
          <w:rFonts w:hint="default" w:ascii="宋体" w:hAnsi="宋体" w:eastAsia="宋体" w:cs="宋体"/>
          <w:color w:val="000000"/>
          <w:kern w:val="2"/>
          <w:szCs w:val="21"/>
          <w:lang w:eastAsia="zh-CN"/>
        </w:rPr>
      </w:pPr>
      <w:r>
        <w:rPr>
          <w:rFonts w:ascii="宋体" w:hAnsi="宋体" w:eastAsia="宋体" w:cs="宋体"/>
          <w:color w:val="000000"/>
          <w:kern w:val="2"/>
          <w:szCs w:val="21"/>
          <w:lang w:eastAsia="zh-CN"/>
        </w:rPr>
        <w:t xml:space="preserve">       日  期：</w:t>
      </w:r>
    </w:p>
    <w:p>
      <w:pPr>
        <w:snapToGrid w:val="0"/>
        <w:spacing w:line="500" w:lineRule="exact"/>
        <w:jc w:val="center"/>
        <w:rPr>
          <w:rFonts w:hAnsi="宋体" w:cs="宋体"/>
          <w:color w:val="000000"/>
          <w:sz w:val="21"/>
          <w:szCs w:val="21"/>
        </w:rPr>
      </w:pPr>
      <w:r>
        <w:rPr>
          <w:rFonts w:hint="eastAsia" w:hAnsi="宋体" w:cs="宋体"/>
          <w:color w:val="000000"/>
          <w:sz w:val="21"/>
          <w:szCs w:val="21"/>
        </w:rPr>
        <w:t>（3）监狱企业证明文件</w:t>
      </w:r>
    </w:p>
    <w:p>
      <w:pPr>
        <w:widowControl/>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监狱企业参加政府采购活动时，应当提供由省级以上监狱管理局、戒毒管理局（含新疆生产建设兵团）出具的属于监狱企业的证明文件。</w:t>
      </w:r>
    </w:p>
    <w:p>
      <w:pPr>
        <w:spacing w:line="458" w:lineRule="exact"/>
        <w:rPr>
          <w:rFonts w:hAnsi="宋体" w:cs="宋体"/>
          <w:color w:val="000000"/>
          <w:sz w:val="21"/>
          <w:szCs w:val="21"/>
        </w:rPr>
      </w:pPr>
    </w:p>
    <w:p>
      <w:pPr>
        <w:spacing w:line="500" w:lineRule="exact"/>
        <w:jc w:val="center"/>
        <w:rPr>
          <w:rFonts w:hAnsi="宋体" w:cs="宋体"/>
          <w:b/>
          <w:color w:val="000000"/>
          <w:sz w:val="24"/>
          <w:szCs w:val="24"/>
        </w:rPr>
      </w:pPr>
    </w:p>
    <w:p>
      <w:pPr>
        <w:pStyle w:val="25"/>
        <w:snapToGrid w:val="0"/>
        <w:spacing w:before="295" w:after="295"/>
        <w:rPr>
          <w:rFonts w:ascii="宋体" w:hAnsi="宋体" w:cs="宋体"/>
          <w:b/>
          <w:color w:val="000000"/>
          <w:sz w:val="24"/>
          <w:szCs w:val="24"/>
        </w:rPr>
      </w:pPr>
      <w:r>
        <w:rPr>
          <w:rFonts w:hint="eastAsia" w:ascii="宋体" w:hAnsi="宋体" w:cs="宋体"/>
          <w:color w:val="000000"/>
          <w:sz w:val="24"/>
          <w:szCs w:val="24"/>
        </w:rPr>
        <w:t>注：若为联合体投标人，由联合体投标人牵头人签字、盖章。</w:t>
      </w: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lang w:val="zh-TW"/>
        </w:rPr>
      </w:pPr>
      <w:r>
        <w:rPr>
          <w:rFonts w:hint="eastAsia" w:hAnsi="宋体" w:cs="宋体"/>
          <w:b/>
          <w:color w:val="000000"/>
          <w:sz w:val="24"/>
          <w:szCs w:val="24"/>
        </w:rPr>
        <w:t>4.</w:t>
      </w:r>
      <w:r>
        <w:rPr>
          <w:rFonts w:hint="eastAsia" w:hAnsi="宋体" w:cs="宋体"/>
          <w:b/>
          <w:color w:val="000000"/>
          <w:sz w:val="24"/>
          <w:szCs w:val="24"/>
          <w:lang w:val="zh-TW"/>
        </w:rPr>
        <w:t>联合协议</w:t>
      </w:r>
    </w:p>
    <w:p>
      <w:pPr>
        <w:pStyle w:val="109"/>
        <w:snapToGrid w:val="0"/>
        <w:spacing w:before="0" w:beforeAutospacing="0" w:after="0" w:afterAutospacing="0" w:line="500" w:lineRule="exact"/>
        <w:ind w:firstLine="480" w:firstLineChars="200"/>
        <w:jc w:val="center"/>
        <w:rPr>
          <w:rFonts w:ascii="宋体"/>
          <w:b/>
          <w:bCs/>
          <w:color w:val="000000"/>
          <w:sz w:val="21"/>
          <w:szCs w:val="21"/>
        </w:rPr>
      </w:pPr>
      <w:r>
        <w:rPr>
          <w:rFonts w:hint="eastAsia" w:ascii="宋体"/>
          <w:color w:val="000000"/>
        </w:rPr>
        <w:t>（投标人以联合体形式参与投标的适用）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牵头方公司名称：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住所地：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成员方公司名称：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住所地：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鉴于上述各成员公司经过友好协商，自愿组成</w:t>
      </w:r>
      <w:r>
        <w:rPr>
          <w:rFonts w:hint="eastAsia" w:hAnsi="宋体" w:cs="宋体"/>
          <w:color w:val="000000"/>
          <w:kern w:val="1"/>
          <w:sz w:val="21"/>
          <w:szCs w:val="21"/>
          <w:u w:val="single"/>
        </w:rPr>
        <w:t xml:space="preserve">        </w:t>
      </w:r>
      <w:r>
        <w:rPr>
          <w:rFonts w:hint="eastAsia" w:hAnsi="宋体" w:cs="宋体"/>
          <w:color w:val="000000"/>
          <w:kern w:val="1"/>
          <w:sz w:val="21"/>
          <w:szCs w:val="21"/>
        </w:rPr>
        <w:t>(联合体名称)联合体，共同参加</w:t>
      </w:r>
      <w:r>
        <w:rPr>
          <w:rFonts w:hint="eastAsia" w:hAnsi="宋体" w:cs="宋体"/>
          <w:color w:val="000000"/>
          <w:kern w:val="1"/>
          <w:sz w:val="21"/>
          <w:szCs w:val="21"/>
          <w:u w:val="single"/>
        </w:rPr>
        <w:t xml:space="preserve">          (项目名称)</w:t>
      </w:r>
      <w:r>
        <w:rPr>
          <w:rFonts w:hint="eastAsia" w:hAnsi="宋体" w:cs="宋体"/>
          <w:color w:val="000000"/>
          <w:kern w:val="1"/>
          <w:sz w:val="21"/>
          <w:szCs w:val="21"/>
        </w:rPr>
        <w:t>及</w:t>
      </w:r>
      <w:r>
        <w:rPr>
          <w:rFonts w:hint="eastAsia" w:hAnsi="宋体" w:cs="宋体"/>
          <w:color w:val="000000"/>
          <w:kern w:val="1"/>
          <w:sz w:val="21"/>
          <w:szCs w:val="21"/>
          <w:u w:val="single"/>
        </w:rPr>
        <w:t xml:space="preserve">（采购编号）      </w:t>
      </w:r>
      <w:r>
        <w:rPr>
          <w:rFonts w:hint="eastAsia" w:hAnsi="宋体" w:cs="宋体"/>
          <w:color w:val="000000"/>
          <w:kern w:val="1"/>
          <w:sz w:val="21"/>
          <w:szCs w:val="21"/>
        </w:rPr>
        <w:t>的投标活动。现就联合体申请及投标事宜订立如下协议：</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1、由</w:t>
      </w:r>
      <w:r>
        <w:rPr>
          <w:rFonts w:hint="eastAsia" w:hAnsi="宋体" w:cs="宋体"/>
          <w:color w:val="000000"/>
          <w:kern w:val="1"/>
          <w:sz w:val="21"/>
          <w:szCs w:val="21"/>
          <w:u w:val="single"/>
        </w:rPr>
        <w:t xml:space="preserve">     </w:t>
      </w:r>
      <w:r>
        <w:rPr>
          <w:rFonts w:hint="eastAsia" w:hAnsi="宋体" w:cs="宋体"/>
          <w:color w:val="000000"/>
          <w:kern w:val="1"/>
          <w:sz w:val="21"/>
          <w:szCs w:val="21"/>
        </w:rPr>
        <w:t>作为牵头公司负责联合体在本项目的投标活动。联合体各方及其法定代表人授权委托其授权代表参加本项目的招投标活动。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2、牵头公司代表联合体全体成员负责联合体在项目中的一切投标活动，包括但不限于提交组织编制投标文件、提交投标文件、提交澄清文件以及处理与项目投标相关的一切必要的事宜。投标人与招标人之间的来往函件将通过牵头公司收寄。</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3、牵头公司做出的关于</w:t>
      </w:r>
      <w:r>
        <w:rPr>
          <w:rFonts w:hint="eastAsia" w:hAnsi="宋体" w:cs="宋体"/>
          <w:color w:val="000000"/>
          <w:kern w:val="1"/>
          <w:sz w:val="21"/>
          <w:szCs w:val="21"/>
          <w:u w:val="single"/>
        </w:rPr>
        <w:t xml:space="preserve">           </w:t>
      </w:r>
      <w:r>
        <w:rPr>
          <w:rFonts w:hint="eastAsia" w:hAnsi="宋体" w:cs="宋体"/>
          <w:color w:val="000000"/>
          <w:kern w:val="1"/>
          <w:sz w:val="21"/>
          <w:szCs w:val="21"/>
        </w:rPr>
        <w:t>(项目名称)相关的行为对联合体全体成员均具有法律效力。联合体成员各方对牵头公司在投标活动中及中标后履约的一切行为承担连带责任。</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4、联合体各方均同意授权联合体牵头方员工</w:t>
      </w:r>
      <w:r>
        <w:rPr>
          <w:rFonts w:hint="eastAsia" w:hAnsi="宋体" w:cs="宋体"/>
          <w:color w:val="000000"/>
          <w:kern w:val="1"/>
          <w:sz w:val="21"/>
          <w:szCs w:val="21"/>
          <w:u w:val="single"/>
        </w:rPr>
        <w:t xml:space="preserve">        </w:t>
      </w:r>
      <w:r>
        <w:rPr>
          <w:rFonts w:hint="eastAsia" w:hAnsi="宋体" w:cs="宋体"/>
          <w:color w:val="000000"/>
          <w:kern w:val="1"/>
          <w:sz w:val="21"/>
          <w:szCs w:val="21"/>
        </w:rPr>
        <w:t>（姓名、职务）作为联合体参与本项目投标活动的授权代表。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5、联合体成员各方在本项目中的工作职责、权利与义务如下：(需列述)</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5.1</w:t>
      </w:r>
      <w:r>
        <w:rPr>
          <w:rFonts w:hint="eastAsia" w:hAnsi="宋体" w:cs="宋体"/>
          <w:b/>
          <w:color w:val="000000"/>
          <w:sz w:val="21"/>
          <w:szCs w:val="21"/>
          <w:u w:val="single"/>
        </w:rPr>
        <w:t xml:space="preserve">          </w:t>
      </w:r>
      <w:r>
        <w:rPr>
          <w:rFonts w:hint="eastAsia" w:hAnsi="宋体" w:cs="宋体"/>
          <w:b/>
          <w:color w:val="000000"/>
          <w:sz w:val="21"/>
          <w:szCs w:val="21"/>
        </w:rPr>
        <w:t>作为联合体牵头方，负责</w:t>
      </w:r>
      <w:r>
        <w:rPr>
          <w:rFonts w:hint="eastAsia" w:hAnsi="宋体" w:cs="宋体"/>
          <w:color w:val="000000"/>
          <w:kern w:val="1"/>
          <w:sz w:val="21"/>
          <w:szCs w:val="21"/>
          <w:u w:val="single"/>
        </w:rPr>
        <w:t xml:space="preserve">       </w:t>
      </w:r>
      <w:r>
        <w:rPr>
          <w:rFonts w:hint="eastAsia" w:hAnsi="宋体" w:cs="宋体"/>
          <w:b/>
          <w:color w:val="000000"/>
          <w:sz w:val="21"/>
          <w:szCs w:val="21"/>
        </w:rPr>
        <w:t>。</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5.2</w:t>
      </w:r>
      <w:r>
        <w:rPr>
          <w:rFonts w:hint="eastAsia" w:hAnsi="宋体" w:cs="宋体"/>
          <w:b/>
          <w:color w:val="000000"/>
          <w:sz w:val="21"/>
          <w:szCs w:val="21"/>
          <w:u w:val="single"/>
        </w:rPr>
        <w:t xml:space="preserve">          </w:t>
      </w:r>
      <w:r>
        <w:rPr>
          <w:rFonts w:hint="eastAsia" w:hAnsi="宋体" w:cs="宋体"/>
          <w:b/>
          <w:color w:val="000000"/>
          <w:sz w:val="21"/>
          <w:szCs w:val="21"/>
        </w:rPr>
        <w:t>作为联合体成员方，负责</w:t>
      </w:r>
      <w:r>
        <w:rPr>
          <w:rFonts w:hint="eastAsia" w:hAnsi="宋体" w:cs="宋体"/>
          <w:color w:val="000000"/>
          <w:kern w:val="1"/>
          <w:sz w:val="21"/>
          <w:szCs w:val="21"/>
          <w:u w:val="single"/>
        </w:rPr>
        <w:t xml:space="preserve">       </w:t>
      </w:r>
      <w:r>
        <w:rPr>
          <w:rFonts w:hint="eastAsia" w:hAnsi="宋体" w:cs="宋体"/>
          <w:b/>
          <w:color w:val="000000"/>
          <w:sz w:val="21"/>
          <w:szCs w:val="21"/>
        </w:rPr>
        <w:t>。</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6、关于</w:t>
      </w:r>
      <w:r>
        <w:rPr>
          <w:rFonts w:hint="eastAsia" w:hAnsi="宋体" w:cs="宋体"/>
          <w:color w:val="000000"/>
          <w:sz w:val="21"/>
          <w:szCs w:val="21"/>
        </w:rPr>
        <w:t>联合体内小微企业合同份额</w:t>
      </w:r>
      <w:r>
        <w:rPr>
          <w:rFonts w:hint="eastAsia" w:hAnsi="宋体" w:cs="宋体"/>
          <w:color w:val="000000"/>
          <w:kern w:val="1"/>
          <w:sz w:val="21"/>
          <w:szCs w:val="21"/>
        </w:rPr>
        <w:t>的承诺与声明：</w:t>
      </w:r>
    </w:p>
    <w:p>
      <w:pPr>
        <w:snapToGrid w:val="0"/>
        <w:spacing w:line="460" w:lineRule="atLeast"/>
        <w:ind w:left="207" w:leftChars="61" w:firstLine="210" w:firstLineChars="100"/>
        <w:rPr>
          <w:rFonts w:hAnsi="宋体" w:cs="宋体"/>
          <w:b/>
          <w:bCs/>
          <w:color w:val="000000"/>
          <w:spacing w:val="14"/>
          <w:sz w:val="21"/>
          <w:szCs w:val="21"/>
        </w:rPr>
      </w:pPr>
      <w:r>
        <w:rPr>
          <w:rFonts w:hint="eastAsia" w:hAnsi="宋体" w:cs="宋体"/>
          <w:color w:val="000000"/>
          <w:kern w:val="1"/>
          <w:sz w:val="21"/>
          <w:szCs w:val="21"/>
        </w:rPr>
        <w:t>6.1联合体中的</w:t>
      </w:r>
      <w:r>
        <w:rPr>
          <w:rFonts w:hint="eastAsia" w:hAnsi="宋体" w:cs="宋体"/>
          <w:color w:val="000000"/>
          <w:sz w:val="21"/>
          <w:szCs w:val="21"/>
        </w:rPr>
        <w:t>小微</w:t>
      </w:r>
      <w:r>
        <w:rPr>
          <w:rFonts w:hint="eastAsia" w:hAnsi="宋体" w:cs="宋体"/>
          <w:color w:val="000000"/>
          <w:kern w:val="1"/>
          <w:sz w:val="21"/>
          <w:szCs w:val="21"/>
        </w:rPr>
        <w:t>企业是</w:t>
      </w:r>
      <w:r>
        <w:rPr>
          <w:rFonts w:hint="eastAsia" w:hAnsi="宋体" w:cs="宋体"/>
          <w:color w:val="000000"/>
          <w:kern w:val="1"/>
          <w:sz w:val="21"/>
          <w:szCs w:val="21"/>
          <w:u w:val="single"/>
        </w:rPr>
        <w:t xml:space="preserve">（供应商名称）               </w:t>
      </w:r>
      <w:r>
        <w:rPr>
          <w:rFonts w:hint="eastAsia" w:hAnsi="宋体" w:cs="宋体"/>
          <w:color w:val="000000"/>
          <w:kern w:val="1"/>
          <w:sz w:val="21"/>
          <w:szCs w:val="21"/>
        </w:rPr>
        <w:t>(请将小微企业的《中小企业声明函》附后），各</w:t>
      </w:r>
      <w:r>
        <w:rPr>
          <w:rFonts w:hint="eastAsia" w:hAnsi="宋体" w:cs="宋体"/>
          <w:color w:val="000000"/>
          <w:sz w:val="21"/>
          <w:szCs w:val="21"/>
        </w:rPr>
        <w:t>小微</w:t>
      </w:r>
      <w:r>
        <w:rPr>
          <w:rFonts w:hint="eastAsia" w:hAnsi="宋体" w:cs="宋体"/>
          <w:color w:val="000000"/>
          <w:kern w:val="1"/>
          <w:sz w:val="21"/>
          <w:szCs w:val="21"/>
        </w:rPr>
        <w:t>企业之间及各</w:t>
      </w:r>
      <w:r>
        <w:rPr>
          <w:rFonts w:hint="eastAsia" w:hAnsi="宋体" w:cs="宋体"/>
          <w:color w:val="000000"/>
          <w:sz w:val="21"/>
          <w:szCs w:val="21"/>
        </w:rPr>
        <w:t>小微</w:t>
      </w:r>
      <w:r>
        <w:rPr>
          <w:rFonts w:hint="eastAsia" w:hAnsi="宋体" w:cs="宋体"/>
          <w:color w:val="000000"/>
          <w:kern w:val="1"/>
          <w:sz w:val="21"/>
          <w:szCs w:val="21"/>
        </w:rPr>
        <w:t>企业</w:t>
      </w:r>
      <w:r>
        <w:rPr>
          <w:rFonts w:hint="eastAsia" w:hAnsi="宋体" w:cs="宋体"/>
          <w:color w:val="000000"/>
          <w:sz w:val="21"/>
          <w:szCs w:val="21"/>
        </w:rPr>
        <w:t>与联合体内其他企业之间均不存在直接控股、管理关系。</w:t>
      </w:r>
    </w:p>
    <w:p>
      <w:pPr>
        <w:snapToGrid w:val="0"/>
        <w:spacing w:line="500" w:lineRule="exact"/>
        <w:ind w:firstLine="420"/>
        <w:rPr>
          <w:rFonts w:hAnsi="宋体" w:cs="宋体"/>
          <w:color w:val="000000"/>
          <w:sz w:val="21"/>
          <w:szCs w:val="21"/>
        </w:rPr>
      </w:pPr>
      <w:r>
        <w:rPr>
          <w:rFonts w:hint="eastAsia" w:hAnsi="宋体" w:cs="宋体"/>
          <w:color w:val="000000"/>
          <w:kern w:val="1"/>
          <w:sz w:val="21"/>
          <w:szCs w:val="21"/>
        </w:rPr>
        <w:t>6.2 上述</w:t>
      </w:r>
      <w:r>
        <w:rPr>
          <w:rFonts w:hint="eastAsia" w:hAnsi="宋体" w:cs="宋体"/>
          <w:color w:val="000000"/>
          <w:sz w:val="21"/>
          <w:szCs w:val="21"/>
        </w:rPr>
        <w:t>小微</w:t>
      </w:r>
      <w:r>
        <w:rPr>
          <w:rFonts w:hint="eastAsia" w:hAnsi="宋体" w:cs="宋体"/>
          <w:color w:val="000000"/>
          <w:kern w:val="1"/>
          <w:sz w:val="21"/>
          <w:szCs w:val="21"/>
        </w:rPr>
        <w:t>企业</w:t>
      </w:r>
      <w:r>
        <w:rPr>
          <w:rFonts w:hint="eastAsia" w:hAnsi="宋体" w:cs="宋体"/>
          <w:color w:val="000000"/>
          <w:kern w:val="1"/>
          <w:sz w:val="21"/>
          <w:szCs w:val="21"/>
          <w:u w:val="single"/>
        </w:rPr>
        <w:t xml:space="preserve">中：（1）供应商（供应商名称）               </w:t>
      </w:r>
      <w:r>
        <w:rPr>
          <w:rFonts w:hint="eastAsia" w:hAnsi="宋体" w:cs="宋体"/>
          <w:color w:val="000000"/>
          <w:sz w:val="21"/>
          <w:szCs w:val="21"/>
        </w:rPr>
        <w:t>承担的工作和相应的责任是</w:t>
      </w:r>
      <w:r>
        <w:rPr>
          <w:rFonts w:hint="eastAsia" w:hAnsi="宋体" w:cs="宋体"/>
          <w:color w:val="000000"/>
          <w:sz w:val="21"/>
          <w:szCs w:val="21"/>
          <w:u w:val="single"/>
        </w:rPr>
        <w:t xml:space="preserve">           ，其</w:t>
      </w:r>
      <w:r>
        <w:rPr>
          <w:rFonts w:hint="eastAsia" w:hAnsi="宋体" w:cs="宋体"/>
          <w:color w:val="000000"/>
          <w:sz w:val="21"/>
          <w:szCs w:val="21"/>
        </w:rPr>
        <w:t>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）；（2）</w:t>
      </w:r>
      <w:r>
        <w:rPr>
          <w:rFonts w:hint="eastAsia" w:hAnsi="宋体" w:cs="宋体"/>
          <w:color w:val="000000"/>
          <w:kern w:val="1"/>
          <w:sz w:val="21"/>
          <w:szCs w:val="21"/>
          <w:u w:val="single"/>
        </w:rPr>
        <w:t xml:space="preserve">供应商（供应商名称）               </w:t>
      </w:r>
      <w:r>
        <w:rPr>
          <w:rFonts w:hint="eastAsia" w:hAnsi="宋体" w:cs="宋体"/>
          <w:color w:val="000000"/>
          <w:sz w:val="21"/>
          <w:szCs w:val="21"/>
        </w:rPr>
        <w:t>承担的工作和相应的责任是</w:t>
      </w:r>
      <w:r>
        <w:rPr>
          <w:rFonts w:hint="eastAsia" w:hAnsi="宋体" w:cs="宋体"/>
          <w:color w:val="000000"/>
          <w:sz w:val="21"/>
          <w:szCs w:val="21"/>
          <w:u w:val="single"/>
        </w:rPr>
        <w:t xml:space="preserve">           ，其</w:t>
      </w:r>
      <w:r>
        <w:rPr>
          <w:rFonts w:hint="eastAsia" w:hAnsi="宋体" w:cs="宋体"/>
          <w:color w:val="000000"/>
          <w:sz w:val="21"/>
          <w:szCs w:val="21"/>
        </w:rPr>
        <w:t>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rPr>
          <w:rFonts w:hAnsi="宋体" w:cs="宋体"/>
          <w:color w:val="000000"/>
          <w:kern w:val="1"/>
          <w:sz w:val="21"/>
          <w:szCs w:val="21"/>
          <w:u w:val="single"/>
        </w:rPr>
      </w:pPr>
      <w:r>
        <w:rPr>
          <w:rFonts w:hint="eastAsia" w:hAnsi="宋体" w:cs="宋体"/>
          <w:color w:val="000000"/>
          <w:sz w:val="21"/>
          <w:szCs w:val="21"/>
        </w:rPr>
        <w:t>综上，小微</w:t>
      </w:r>
      <w:r>
        <w:rPr>
          <w:rFonts w:hint="eastAsia" w:hAnsi="宋体" w:cs="宋体"/>
          <w:color w:val="000000"/>
          <w:kern w:val="1"/>
          <w:sz w:val="21"/>
          <w:szCs w:val="21"/>
        </w:rPr>
        <w:t>企业</w:t>
      </w:r>
      <w:r>
        <w:rPr>
          <w:rFonts w:hint="eastAsia" w:hAnsi="宋体" w:cs="宋体"/>
          <w:color w:val="000000"/>
          <w:sz w:val="21"/>
          <w:szCs w:val="21"/>
        </w:rPr>
        <w:t>承担工作的协议合同份额合计数占本项目投标总金额（合同总金额）的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7、本协议经所有联合体成员盖章和法定代表人或授权代表签字后生效。若本联合体未获得本项目中标资格，本协议有效期与本投标文件有效期一致；若本联合体获得本项目中标资格，则本协议有效期自动延长至招标人与中标人双方履行采购合同结束之日。</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8、本协议书一式</w:t>
      </w:r>
      <w:r>
        <w:rPr>
          <w:rFonts w:hint="eastAsia" w:hAnsi="宋体" w:cs="宋体"/>
          <w:color w:val="000000"/>
          <w:kern w:val="1"/>
          <w:sz w:val="21"/>
          <w:szCs w:val="21"/>
          <w:u w:val="single"/>
        </w:rPr>
        <w:t xml:space="preserve">  </w:t>
      </w:r>
      <w:r>
        <w:rPr>
          <w:rFonts w:hint="eastAsia" w:hAnsi="宋体" w:cs="宋体"/>
          <w:color w:val="000000"/>
          <w:kern w:val="1"/>
          <w:sz w:val="21"/>
          <w:szCs w:val="21"/>
        </w:rPr>
        <w:t>份，联合体各方和招标人各执</w:t>
      </w:r>
      <w:r>
        <w:rPr>
          <w:rFonts w:hint="eastAsia" w:hAnsi="宋体" w:cs="宋体"/>
          <w:color w:val="000000"/>
          <w:kern w:val="1"/>
          <w:sz w:val="21"/>
          <w:szCs w:val="21"/>
          <w:u w:val="single"/>
        </w:rPr>
        <w:t xml:space="preserve">  </w:t>
      </w:r>
      <w:r>
        <w:rPr>
          <w:rFonts w:hint="eastAsia" w:hAnsi="宋体" w:cs="宋体"/>
          <w:color w:val="000000"/>
          <w:kern w:val="1"/>
          <w:sz w:val="21"/>
          <w:szCs w:val="21"/>
        </w:rPr>
        <w:t>份。</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9、本联合体提供的投标文件以联合体各方盖章或联合体牵头方的盖章有效，签名以联合体各方的授权代表或联合体牵头方的授权代表有效。</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牵头公司名称(盖单位公章):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授权代表（签字或盖章）：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成员公司名称(盖单位公章):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授权代表（签字或盖章）：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pStyle w:val="2"/>
        <w:rPr>
          <w:rFonts w:ascii="宋体" w:hAnsi="宋体" w:eastAsia="宋体" w:cs="宋体"/>
          <w:color w:val="000000"/>
          <w:kern w:val="1"/>
          <w:sz w:val="21"/>
          <w:szCs w:val="21"/>
        </w:rPr>
      </w:pPr>
    </w:p>
    <w:p>
      <w:pPr>
        <w:rPr>
          <w:rFonts w:hAnsi="宋体" w:cs="宋体"/>
          <w:color w:val="000000"/>
          <w:kern w:val="1"/>
          <w:sz w:val="21"/>
          <w:szCs w:val="21"/>
        </w:rPr>
      </w:pPr>
    </w:p>
    <w:p>
      <w:pPr>
        <w:pStyle w:val="2"/>
        <w:rPr>
          <w:rFonts w:ascii="宋体" w:hAnsi="宋体" w:eastAsia="宋体" w:cs="宋体"/>
          <w:color w:val="000000"/>
          <w:kern w:val="1"/>
          <w:sz w:val="21"/>
          <w:szCs w:val="21"/>
        </w:rPr>
      </w:pPr>
    </w:p>
    <w:p>
      <w:pPr>
        <w:rPr>
          <w:rFonts w:hAnsi="宋体" w:cs="宋体"/>
          <w:color w:val="000000"/>
          <w:kern w:val="1"/>
          <w:sz w:val="21"/>
          <w:szCs w:val="21"/>
        </w:rPr>
      </w:pPr>
    </w:p>
    <w:p>
      <w:pPr>
        <w:widowControl/>
        <w:ind w:firstLine="420" w:firstLineChars="200"/>
        <w:rPr>
          <w:rFonts w:hAnsi="宋体" w:cs="宋体"/>
          <w:color w:val="000000"/>
          <w:sz w:val="21"/>
          <w:szCs w:val="21"/>
        </w:rPr>
      </w:pPr>
    </w:p>
    <w:p>
      <w:pPr>
        <w:autoSpaceDE/>
        <w:autoSpaceDN/>
        <w:adjustRightInd/>
        <w:spacing w:line="500" w:lineRule="exact"/>
        <w:ind w:firstLine="420" w:firstLineChars="200"/>
        <w:jc w:val="both"/>
        <w:rPr>
          <w:rFonts w:hAnsi="宋体" w:cs="宋体"/>
          <w:color w:val="000000"/>
          <w:sz w:val="21"/>
          <w:szCs w:val="21"/>
        </w:rPr>
      </w:pPr>
    </w:p>
    <w:p>
      <w:pPr>
        <w:ind w:firstLine="723" w:firstLineChars="300"/>
        <w:jc w:val="center"/>
        <w:rPr>
          <w:rFonts w:hAnsi="宋体" w:cs="宋体"/>
          <w:b/>
          <w:color w:val="000000"/>
          <w:sz w:val="24"/>
          <w:szCs w:val="22"/>
        </w:rPr>
      </w:pPr>
      <w:r>
        <w:rPr>
          <w:rFonts w:hint="eastAsia" w:hAnsi="宋体" w:cs="宋体"/>
          <w:b/>
          <w:color w:val="000000"/>
          <w:sz w:val="24"/>
          <w:szCs w:val="22"/>
        </w:rPr>
        <w:br w:type="page"/>
      </w:r>
    </w:p>
    <w:p>
      <w:pPr>
        <w:ind w:firstLine="723" w:firstLineChars="300"/>
        <w:jc w:val="center"/>
        <w:rPr>
          <w:rFonts w:hAnsi="宋体" w:cs="宋体"/>
          <w:b/>
          <w:color w:val="000000"/>
          <w:sz w:val="24"/>
          <w:szCs w:val="22"/>
        </w:rPr>
      </w:pPr>
      <w:r>
        <w:rPr>
          <w:rFonts w:hint="eastAsia" w:hAnsi="宋体" w:cs="宋体"/>
          <w:b/>
          <w:color w:val="000000"/>
          <w:sz w:val="24"/>
          <w:szCs w:val="22"/>
        </w:rPr>
        <w:t>5.分包意向协议</w:t>
      </w:r>
    </w:p>
    <w:p>
      <w:pPr>
        <w:spacing w:line="500" w:lineRule="exact"/>
        <w:ind w:firstLine="420" w:firstLineChars="200"/>
        <w:jc w:val="center"/>
        <w:rPr>
          <w:rFonts w:hAnsi="宋体" w:cs="宋体"/>
          <w:b/>
          <w:color w:val="000000"/>
          <w:sz w:val="24"/>
          <w:szCs w:val="22"/>
        </w:rPr>
      </w:pPr>
      <w:r>
        <w:rPr>
          <w:rFonts w:hint="eastAsia" w:hAnsi="宋体" w:cs="宋体"/>
          <w:color w:val="000000"/>
          <w:sz w:val="21"/>
          <w:szCs w:val="21"/>
        </w:rPr>
        <w:t>（分包适用）</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立约方：</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（投标人名称）</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（所有接受分包供应商名称）</w:t>
      </w:r>
    </w:p>
    <w:p>
      <w:pPr>
        <w:snapToGrid w:val="0"/>
        <w:spacing w:line="500" w:lineRule="exact"/>
        <w:ind w:firstLine="420" w:firstLineChars="200"/>
        <w:rPr>
          <w:rFonts w:hAnsi="宋体" w:cs="宋体"/>
          <w:color w:val="000000"/>
          <w:sz w:val="21"/>
          <w:szCs w:val="21"/>
          <w:u w:val="single"/>
        </w:rPr>
      </w:pP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（投标人名称）就</w:t>
      </w:r>
      <w:r>
        <w:rPr>
          <w:rFonts w:hint="eastAsia" w:hAnsi="宋体" w:cs="宋体"/>
          <w:color w:val="000000"/>
          <w:sz w:val="21"/>
          <w:szCs w:val="21"/>
        </w:rPr>
        <w:t>（项目名称）（项目编号）的投标事宜，与</w:t>
      </w:r>
      <w:r>
        <w:rPr>
          <w:rFonts w:hint="eastAsia" w:hAnsi="宋体" w:cs="宋体"/>
          <w:color w:val="000000"/>
          <w:sz w:val="21"/>
          <w:szCs w:val="21"/>
          <w:u w:val="single"/>
        </w:rPr>
        <w:t>（所有接受分包供应商名称）</w:t>
      </w:r>
      <w:r>
        <w:rPr>
          <w:rFonts w:hint="eastAsia" w:hAnsi="宋体" w:cs="宋体"/>
          <w:color w:val="000000"/>
          <w:sz w:val="21"/>
          <w:szCs w:val="21"/>
        </w:rPr>
        <w:t>通过友好协商达成以下协议：</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lang w:val="zh-CN"/>
        </w:rPr>
        <w:t>一、在本次投标有效期内，</w:t>
      </w:r>
      <w:r>
        <w:rPr>
          <w:rFonts w:hint="eastAsia" w:hAnsi="宋体" w:cs="宋体"/>
          <w:color w:val="000000"/>
          <w:sz w:val="21"/>
          <w:szCs w:val="21"/>
          <w:u w:val="single"/>
        </w:rPr>
        <w:t>（所有接受分包供应商名称）</w:t>
      </w:r>
      <w:r>
        <w:rPr>
          <w:rFonts w:hint="eastAsia" w:hAnsi="宋体" w:cs="宋体"/>
          <w:color w:val="000000"/>
          <w:sz w:val="21"/>
          <w:szCs w:val="21"/>
        </w:rPr>
        <w:t>同意</w:t>
      </w:r>
      <w:r>
        <w:rPr>
          <w:rFonts w:hint="eastAsia" w:hAnsi="宋体" w:cs="宋体"/>
          <w:color w:val="000000"/>
          <w:sz w:val="21"/>
          <w:szCs w:val="21"/>
          <w:u w:val="single"/>
        </w:rPr>
        <w:t>（投标人名称）</w:t>
      </w:r>
      <w:r>
        <w:rPr>
          <w:rFonts w:hint="eastAsia" w:hAnsi="宋体" w:cs="宋体"/>
          <w:color w:val="000000"/>
          <w:sz w:val="21"/>
          <w:szCs w:val="21"/>
        </w:rPr>
        <w:t>代理上述投标事宜。若中标，各方按照本协议中约定的分工事项，完成各方对应的工作。</w:t>
      </w:r>
    </w:p>
    <w:p>
      <w:pPr>
        <w:snapToGrid w:val="0"/>
        <w:spacing w:line="500" w:lineRule="exact"/>
        <w:ind w:firstLine="420" w:firstLineChars="200"/>
        <w:rPr>
          <w:rFonts w:hAnsi="宋体" w:cs="宋体"/>
          <w:color w:val="000000"/>
          <w:sz w:val="21"/>
          <w:szCs w:val="21"/>
          <w:lang w:val="zh-CN"/>
        </w:rPr>
      </w:pPr>
      <w:r>
        <w:rPr>
          <w:rFonts w:hint="eastAsia" w:hAnsi="宋体" w:cs="宋体"/>
          <w:color w:val="000000"/>
          <w:sz w:val="21"/>
          <w:szCs w:val="21"/>
          <w:lang w:val="zh-CN"/>
        </w:rPr>
        <w:t>二、各方分工</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1、参加本项目政府采购活动工作由</w:t>
      </w:r>
      <w:r>
        <w:rPr>
          <w:rFonts w:hint="eastAsia" w:hAnsi="宋体" w:cs="宋体"/>
          <w:color w:val="000000"/>
          <w:sz w:val="21"/>
          <w:szCs w:val="21"/>
          <w:u w:val="single"/>
        </w:rPr>
        <w:t>（投标人名称）</w:t>
      </w:r>
      <w:r>
        <w:rPr>
          <w:rFonts w:hint="eastAsia" w:hAnsi="宋体" w:cs="宋体"/>
          <w:color w:val="000000"/>
          <w:sz w:val="21"/>
          <w:szCs w:val="21"/>
        </w:rPr>
        <w:t>负责。</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2、本项目由</w:t>
      </w:r>
      <w:r>
        <w:rPr>
          <w:rFonts w:hint="eastAsia" w:hAnsi="宋体" w:cs="宋体"/>
          <w:color w:val="000000"/>
          <w:sz w:val="21"/>
          <w:szCs w:val="21"/>
          <w:u w:val="single"/>
        </w:rPr>
        <w:t>（投标人名称）</w:t>
      </w:r>
      <w:r>
        <w:rPr>
          <w:rFonts w:hint="eastAsia" w:hAnsi="宋体" w:cs="宋体"/>
          <w:color w:val="000000"/>
          <w:sz w:val="21"/>
          <w:szCs w:val="21"/>
        </w:rPr>
        <w:t>授权人员负责与采购人联系。</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3、</w:t>
      </w:r>
      <w:r>
        <w:rPr>
          <w:rFonts w:hint="eastAsia" w:hAnsi="宋体" w:cs="宋体"/>
          <w:color w:val="000000"/>
          <w:sz w:val="21"/>
          <w:szCs w:val="21"/>
          <w:u w:val="single"/>
        </w:rPr>
        <w:t>（投标人名称）</w:t>
      </w:r>
      <w:r>
        <w:rPr>
          <w:rFonts w:hint="eastAsia" w:hAnsi="宋体" w:cs="宋体"/>
          <w:color w:val="000000"/>
          <w:sz w:val="21"/>
          <w:szCs w:val="21"/>
        </w:rPr>
        <w:t>为分包方，拟承担的工作和职责：</w:t>
      </w:r>
      <w:r>
        <w:rPr>
          <w:rFonts w:hint="eastAsia" w:hAnsi="宋体" w:cs="宋体"/>
          <w:color w:val="000000"/>
          <w:sz w:val="21"/>
          <w:szCs w:val="21"/>
          <w:u w:val="single"/>
        </w:rPr>
        <w:t xml:space="preserve">                    。</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4、</w:t>
      </w:r>
      <w:r>
        <w:rPr>
          <w:rFonts w:hint="eastAsia" w:hAnsi="宋体" w:cs="宋体"/>
          <w:color w:val="000000"/>
          <w:sz w:val="21"/>
          <w:szCs w:val="21"/>
          <w:u w:val="single"/>
        </w:rPr>
        <w:t>（接受分包供应商1名称）</w:t>
      </w:r>
      <w:r>
        <w:rPr>
          <w:rFonts w:hint="eastAsia" w:hAnsi="宋体" w:cs="宋体"/>
          <w:color w:val="000000"/>
          <w:sz w:val="21"/>
          <w:szCs w:val="21"/>
        </w:rPr>
        <w:t>为接受分包方，系</w:t>
      </w:r>
      <w:r>
        <w:rPr>
          <w:rFonts w:hint="eastAsia" w:hAnsi="宋体" w:cs="宋体"/>
          <w:b/>
          <w:color w:val="000000"/>
          <w:kern w:val="1"/>
          <w:sz w:val="21"/>
          <w:szCs w:val="21"/>
        </w:rPr>
        <w:t>小型/微型企业（</w:t>
      </w:r>
      <w:r>
        <w:rPr>
          <w:rFonts w:hint="eastAsia" w:hAnsi="宋体" w:cs="宋体"/>
          <w:color w:val="000000"/>
          <w:kern w:val="1"/>
          <w:sz w:val="21"/>
          <w:szCs w:val="21"/>
        </w:rPr>
        <w:t>请将小微企业的《中小企业声明函》附后），</w:t>
      </w:r>
      <w:r>
        <w:rPr>
          <w:rFonts w:hint="eastAsia" w:hAnsi="宋体" w:cs="宋体"/>
          <w:color w:val="000000"/>
          <w:sz w:val="21"/>
          <w:szCs w:val="21"/>
        </w:rPr>
        <w:t>拟承担的工作和职责：</w:t>
      </w:r>
      <w:r>
        <w:rPr>
          <w:rFonts w:hint="eastAsia" w:hAnsi="宋体" w:cs="宋体"/>
          <w:color w:val="000000"/>
          <w:sz w:val="21"/>
          <w:szCs w:val="21"/>
          <w:u w:val="single"/>
        </w:rPr>
        <w:t xml:space="preserve">                    ，其</w:t>
      </w:r>
      <w:r>
        <w:rPr>
          <w:rFonts w:hint="eastAsia" w:hAnsi="宋体" w:cs="宋体"/>
          <w:color w:val="000000"/>
          <w:sz w:val="21"/>
          <w:szCs w:val="21"/>
        </w:rPr>
        <w:t>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630" w:firstLineChars="300"/>
        <w:rPr>
          <w:rFonts w:hAnsi="宋体" w:cs="宋体"/>
          <w:color w:val="000000"/>
          <w:sz w:val="21"/>
          <w:szCs w:val="21"/>
          <w:u w:val="single"/>
        </w:rPr>
      </w:pPr>
      <w:r>
        <w:rPr>
          <w:rFonts w:hint="eastAsia" w:hAnsi="宋体" w:cs="宋体"/>
          <w:color w:val="000000"/>
          <w:sz w:val="21"/>
          <w:szCs w:val="21"/>
          <w:u w:val="single"/>
        </w:rPr>
        <w:t>（接受分包供应商2名称）</w:t>
      </w:r>
      <w:r>
        <w:rPr>
          <w:rFonts w:hint="eastAsia" w:hAnsi="宋体" w:cs="宋体"/>
          <w:color w:val="000000"/>
          <w:sz w:val="21"/>
          <w:szCs w:val="21"/>
        </w:rPr>
        <w:t>为接受分包方，系</w:t>
      </w:r>
      <w:r>
        <w:rPr>
          <w:rFonts w:hint="eastAsia" w:hAnsi="宋体" w:cs="宋体"/>
          <w:b/>
          <w:color w:val="000000"/>
          <w:kern w:val="1"/>
          <w:sz w:val="21"/>
          <w:szCs w:val="21"/>
        </w:rPr>
        <w:t>小型/微型企业（</w:t>
      </w:r>
      <w:r>
        <w:rPr>
          <w:rFonts w:hint="eastAsia" w:hAnsi="宋体" w:cs="宋体"/>
          <w:color w:val="000000"/>
          <w:kern w:val="1"/>
          <w:sz w:val="21"/>
          <w:szCs w:val="21"/>
        </w:rPr>
        <w:t>请将小微企业的《中小企业声明函》附后</w:t>
      </w:r>
      <w:r>
        <w:rPr>
          <w:rFonts w:hint="eastAsia" w:hAnsi="宋体" w:cs="宋体"/>
          <w:b/>
          <w:color w:val="000000"/>
          <w:kern w:val="1"/>
          <w:sz w:val="21"/>
          <w:szCs w:val="21"/>
        </w:rPr>
        <w:t>）</w:t>
      </w:r>
      <w:r>
        <w:rPr>
          <w:rFonts w:hint="eastAsia" w:hAnsi="宋体" w:cs="宋体"/>
          <w:color w:val="000000"/>
          <w:kern w:val="1"/>
          <w:sz w:val="21"/>
          <w:szCs w:val="21"/>
        </w:rPr>
        <w:t>，</w:t>
      </w:r>
      <w:r>
        <w:rPr>
          <w:rFonts w:hint="eastAsia" w:hAnsi="宋体" w:cs="宋体"/>
          <w:color w:val="000000"/>
          <w:sz w:val="21"/>
          <w:szCs w:val="21"/>
        </w:rPr>
        <w:t>拟承担的工作和职责：</w:t>
      </w:r>
      <w:r>
        <w:rPr>
          <w:rFonts w:hint="eastAsia" w:hAnsi="宋体" w:cs="宋体"/>
          <w:color w:val="000000"/>
          <w:sz w:val="21"/>
          <w:szCs w:val="21"/>
          <w:u w:val="single"/>
        </w:rPr>
        <w:t xml:space="preserve">                    </w:t>
      </w:r>
      <w:r>
        <w:rPr>
          <w:rFonts w:hint="eastAsia" w:hAnsi="宋体" w:cs="宋体"/>
          <w:color w:val="000000"/>
          <w:sz w:val="21"/>
          <w:szCs w:val="21"/>
        </w:rPr>
        <w:t>，其分包协议合同份额占本项目投标总金额（合同总金额）的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以上分包给小微企业的分包协议合同份额占本项目投标总金额（合同总金额）的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widowControl/>
        <w:ind w:firstLine="420" w:firstLineChars="200"/>
        <w:rPr>
          <w:rFonts w:hAnsi="宋体" w:cs="宋体"/>
          <w:color w:val="000000"/>
          <w:sz w:val="21"/>
          <w:szCs w:val="21"/>
        </w:rPr>
      </w:pPr>
      <w:r>
        <w:rPr>
          <w:rFonts w:hint="eastAsia" w:hAnsi="宋体" w:cs="宋体"/>
          <w:color w:val="000000"/>
          <w:sz w:val="21"/>
          <w:szCs w:val="21"/>
        </w:rPr>
        <w:t>5、上述接受分包工作的中小企业与分包企业或其他接受分包的中小企业之间不存在直接控股、管理关系。</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6、如中标，由</w:t>
      </w:r>
      <w:r>
        <w:rPr>
          <w:rFonts w:hint="eastAsia" w:hAnsi="宋体" w:cs="宋体"/>
          <w:color w:val="000000"/>
          <w:sz w:val="21"/>
          <w:szCs w:val="21"/>
          <w:u w:val="single"/>
        </w:rPr>
        <w:t>（投标人名称）</w:t>
      </w:r>
      <w:r>
        <w:rPr>
          <w:rFonts w:hint="eastAsia" w:hAnsi="宋体" w:cs="宋体"/>
          <w:color w:val="000000"/>
          <w:sz w:val="21"/>
          <w:szCs w:val="21"/>
        </w:rPr>
        <w:t>与本项目采购人签订《政府采购合同》，同时，由</w:t>
      </w:r>
      <w:r>
        <w:rPr>
          <w:rFonts w:hint="eastAsia" w:hAnsi="宋体" w:cs="宋体"/>
          <w:color w:val="000000"/>
          <w:sz w:val="21"/>
          <w:szCs w:val="21"/>
          <w:u w:val="single"/>
        </w:rPr>
        <w:t>（投标人名称）</w:t>
      </w:r>
      <w:r>
        <w:rPr>
          <w:rFonts w:hint="eastAsia" w:hAnsi="宋体" w:cs="宋体"/>
          <w:color w:val="000000"/>
          <w:sz w:val="21"/>
          <w:szCs w:val="21"/>
        </w:rPr>
        <w:t>与各接受分包供应商签订《分包合同》。</w:t>
      </w:r>
      <w:r>
        <w:rPr>
          <w:rFonts w:hint="eastAsia" w:hAnsi="宋体" w:cs="宋体"/>
          <w:color w:val="000000"/>
          <w:sz w:val="21"/>
          <w:szCs w:val="21"/>
          <w:u w:val="single"/>
        </w:rPr>
        <w:t>（投标人名称）</w:t>
      </w:r>
      <w:r>
        <w:rPr>
          <w:rFonts w:hint="eastAsia" w:hAnsi="宋体" w:cs="宋体"/>
          <w:color w:val="000000"/>
          <w:sz w:val="21"/>
          <w:szCs w:val="21"/>
        </w:rPr>
        <w:t>就采购项目和分包项目向采购人负责，接受分包供应商就分包项目承担责任。</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三、本协议在自签署之日起生效，投标有效期内有效；如获中标资格，本协议有效期延续到《政府采购合同》履行完毕之日。</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四、本协议书一式</w:t>
      </w:r>
      <w:r>
        <w:rPr>
          <w:rFonts w:hint="eastAsia" w:hAnsi="宋体" w:cs="宋体"/>
          <w:color w:val="000000"/>
          <w:sz w:val="21"/>
          <w:szCs w:val="21"/>
          <w:u w:val="single"/>
        </w:rPr>
        <w:t xml:space="preserve">   </w:t>
      </w:r>
      <w:r>
        <w:rPr>
          <w:rFonts w:hint="eastAsia" w:hAnsi="宋体" w:cs="宋体"/>
          <w:color w:val="000000"/>
          <w:sz w:val="21"/>
          <w:szCs w:val="21"/>
        </w:rPr>
        <w:t>份，分包意向协议成员</w:t>
      </w:r>
      <w:r>
        <w:rPr>
          <w:rFonts w:hint="eastAsia" w:hAnsi="宋体" w:cs="宋体"/>
          <w:color w:val="000000"/>
          <w:kern w:val="1"/>
          <w:sz w:val="21"/>
          <w:szCs w:val="21"/>
        </w:rPr>
        <w:t>和招标人</w:t>
      </w:r>
      <w:r>
        <w:rPr>
          <w:rFonts w:hint="eastAsia" w:hAnsi="宋体" w:cs="宋体"/>
          <w:color w:val="000000"/>
          <w:sz w:val="21"/>
          <w:szCs w:val="21"/>
        </w:rPr>
        <w:t>各执</w:t>
      </w:r>
      <w:r>
        <w:rPr>
          <w:rFonts w:hint="eastAsia" w:hAnsi="宋体" w:cs="宋体"/>
          <w:color w:val="000000"/>
          <w:sz w:val="21"/>
          <w:szCs w:val="21"/>
          <w:u w:val="single"/>
        </w:rPr>
        <w:t xml:space="preserve">   </w:t>
      </w:r>
      <w:r>
        <w:rPr>
          <w:rFonts w:hint="eastAsia" w:hAnsi="宋体" w:cs="宋体"/>
          <w:color w:val="000000"/>
          <w:sz w:val="21"/>
          <w:szCs w:val="21"/>
        </w:rPr>
        <w:t>份。</w:t>
      </w:r>
    </w:p>
    <w:p>
      <w:pPr>
        <w:snapToGrid w:val="0"/>
        <w:spacing w:line="360" w:lineRule="auto"/>
        <w:ind w:firstLine="576"/>
        <w:rPr>
          <w:rFonts w:hAnsi="宋体" w:cs="宋体"/>
          <w:b/>
          <w:color w:val="000000"/>
          <w:sz w:val="21"/>
          <w:szCs w:val="21"/>
          <w:lang w:val="zh-CN"/>
        </w:rPr>
      </w:pP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投标人全称(盖单位公章):</w:t>
      </w:r>
    </w:p>
    <w:p>
      <w:pPr>
        <w:snapToGrid w:val="0"/>
        <w:spacing w:line="500" w:lineRule="exact"/>
        <w:ind w:firstLine="412" w:firstLineChars="200"/>
        <w:rPr>
          <w:rFonts w:hAnsi="宋体" w:cs="宋体"/>
          <w:color w:val="000000"/>
          <w:sz w:val="21"/>
          <w:szCs w:val="21"/>
        </w:rPr>
      </w:pPr>
      <w:r>
        <w:rPr>
          <w:rFonts w:hint="eastAsia" w:hAnsi="宋体" w:cs="宋体"/>
          <w:color w:val="000000"/>
          <w:spacing w:val="-2"/>
          <w:sz w:val="21"/>
          <w:szCs w:val="21"/>
        </w:rPr>
        <w:t>法定代表人（签字或盖章）：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接受分包供应商1名称(盖单位公章):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接受分包供应商2名称(盖单位公章):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ind w:firstLine="420"/>
        <w:rPr>
          <w:rFonts w:hAnsi="宋体" w:cs="宋体"/>
          <w:color w:val="000000"/>
          <w:szCs w:val="21"/>
        </w:rPr>
      </w:pPr>
      <w:r>
        <w:rPr>
          <w:rFonts w:hint="eastAsia" w:hAnsi="宋体" w:cs="宋体"/>
          <w:color w:val="000000"/>
          <w:kern w:val="1"/>
          <w:sz w:val="21"/>
          <w:szCs w:val="21"/>
        </w:rPr>
        <w:t>日期：</w:t>
      </w:r>
    </w:p>
    <w:p>
      <w:pPr>
        <w:spacing w:line="458" w:lineRule="exact"/>
        <w:rPr>
          <w:rFonts w:hAnsi="宋体" w:cs="宋体"/>
          <w:color w:val="000000"/>
          <w:sz w:val="21"/>
          <w:szCs w:val="21"/>
        </w:rPr>
      </w:pPr>
    </w:p>
    <w:sectPr>
      <w:footerReference r:id="rId10" w:type="first"/>
      <w:footerReference r:id="rId9" w:type="default"/>
      <w:pgSz w:w="11906" w:h="16838"/>
      <w:pgMar w:top="1440" w:right="1080" w:bottom="1440" w:left="1080" w:header="680" w:footer="1077" w:gutter="0"/>
      <w:pgNumType w:start="1"/>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Menlo">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urier">
    <w:altName w:val="Courier New"/>
    <w:panose1 w:val="02060409020205020404"/>
    <w:charset w:val="00"/>
    <w:family w:val="moder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607" w:h="430" w:hRule="exact" w:wrap="around" w:vAnchor="text" w:hAnchor="page" w:x="8905" w:y="-58"/>
      <w:ind w:right="360"/>
      <w:rPr>
        <w:rStyle w:val="49"/>
      </w:rPr>
    </w:pPr>
  </w:p>
  <w:p>
    <w:pPr>
      <w:pStyle w:val="30"/>
      <w:framePr w:wrap="around" w:vAnchor="text" w:hAnchor="page" w:x="15730" w:y="74"/>
      <w:ind w:right="360"/>
      <w:rPr>
        <w:rStyle w:val="49"/>
      </w:rP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separate"/>
    </w:r>
    <w:r>
      <w:rPr>
        <w:rStyle w:val="49"/>
      </w:rPr>
      <w:t>34</w: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607" w:h="430" w:hRule="exact" w:wrap="around" w:vAnchor="text" w:hAnchor="page" w:x="8905" w:y="-58"/>
      <w:ind w:right="360"/>
      <w:rPr>
        <w:rStyle w:val="49"/>
      </w:rPr>
    </w:pPr>
  </w:p>
  <w:p>
    <w:pPr>
      <w:pStyle w:val="30"/>
      <w:framePr w:wrap="around" w:vAnchor="text" w:hAnchor="page" w:x="15730" w:y="74"/>
      <w:ind w:right="360"/>
      <w:rPr>
        <w:rStyle w:val="49"/>
      </w:rPr>
    </w:pPr>
  </w:p>
  <w:p>
    <w:pPr>
      <w:pStyle w:val="3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separate"/>
    </w:r>
    <w:r>
      <w:rPr>
        <w:rStyle w:val="49"/>
      </w:rPr>
      <w:t>66</w:t>
    </w:r>
    <w:r>
      <w:fldChar w:fldCharType="end"/>
    </w:r>
  </w:p>
  <w:p>
    <w:pPr>
      <w:pStyle w:val="30"/>
      <w:framePr w:w="607" w:h="430" w:hRule="exact" w:wrap="around" w:vAnchor="text" w:hAnchor="page" w:x="8905" w:y="-58"/>
      <w:ind w:right="360"/>
      <w:rPr>
        <w:rStyle w:val="49"/>
      </w:rPr>
    </w:pPr>
  </w:p>
  <w:p>
    <w:pPr>
      <w:pStyle w:val="30"/>
      <w:framePr w:wrap="around" w:vAnchor="text" w:hAnchor="page" w:x="15730" w:y="74"/>
      <w:ind w:right="360"/>
      <w:rPr>
        <w:rStyle w:val="49"/>
      </w:rPr>
    </w:pPr>
  </w:p>
  <w:p>
    <w:pPr>
      <w:pStyle w:val="3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6" w:space="0"/>
      </w:pBdr>
      <w:rPr>
        <w:rFonts w:ascii="宋体" w:hAnsi="宋体" w:cs="宋体"/>
      </w:rPr>
    </w:pPr>
    <w:r>
      <w:rPr>
        <w:sz w:val="18"/>
      </w:rPr>
      <w:pict>
        <v:shape id="_x0000_s1027" o:spid="_x0000_s1027" o:spt="136" type="#_x0000_t136" style="position:absolute;left:0pt;height:37.15pt;width:468.35pt;mso-position-horizontal:center;mso-position-horizontal-relative:margin;mso-position-vertical:center;mso-position-vertical-relative:margin;rotation:3604480f;z-index:251659264;mso-width-relative:page;mso-height-relative:page;" fillcolor="#393000" filled="t" stroked="f" coordsize="21600,21600" adj="10800">
          <v:path/>
          <v:fill on="t" opacity="6553f" focussize="0,0"/>
          <v:stroke on="f"/>
          <v:imagedata o:title=""/>
          <o:lock v:ext="edit" aspectratio="t"/>
          <v:textpath on="t" fitshape="t" fitpath="t" trim="t" xscale="f" string="金华市自然资源局1698396173598" style="font-family:宋体;font-size:1pt;v-same-letter-heights:f;v-text-align:center;"/>
        </v:shape>
      </w:pict>
    </w:r>
    <w:r>
      <w:rPr>
        <w:rFonts w:hint="eastAsia" w:ascii="宋体" w:hAnsi="宋体" w:cs="宋体"/>
      </w:rPr>
      <w:t>金华市天盈招标代理有限公司</w:t>
    </w:r>
  </w:p>
  <w:p>
    <w:pPr>
      <w:pStyle w:val="31"/>
      <w:pBdr>
        <w:bottom w:val="single" w:color="auto" w:sz="6" w:space="0"/>
      </w:pBdr>
      <w:rPr>
        <w:rFonts w:hint="default" w:ascii="宋体" w:hAnsi="宋体" w:eastAsia="宋体" w:cs="宋体"/>
        <w:lang w:val="en-US" w:eastAsia="zh-CN"/>
      </w:rPr>
    </w:pPr>
    <w:r>
      <w:rPr>
        <w:rFonts w:hint="eastAsia" w:ascii="宋体" w:hAnsi="宋体" w:cs="宋体"/>
      </w:rPr>
      <w:t>项目编号：TY2023-FW</w:t>
    </w:r>
    <w:r>
      <w:rPr>
        <w:rFonts w:hint="eastAsia" w:ascii="宋体" w:hAnsi="宋体" w:cs="宋体"/>
        <w:lang w:val="en-US" w:eastAsia="zh-CN"/>
      </w:rPr>
      <w:t>325</w:t>
    </w:r>
    <w:r>
      <w:rPr>
        <w:rFonts w:hint="eastAsia" w:ascii="宋体" w:hAnsi="宋体" w:cs="宋体"/>
      </w:rPr>
      <w:t>-ZFCG</w:t>
    </w:r>
    <w:r>
      <w:rPr>
        <w:rFonts w:hint="eastAsia" w:ascii="宋体" w:hAnsi="宋体" w:cs="宋体"/>
        <w:lang w:val="en-US" w:eastAsia="zh-CN"/>
      </w:rPr>
      <w:t>325</w:t>
    </w:r>
  </w:p>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6" w:space="0"/>
      </w:pBdr>
      <w:rPr>
        <w:rFonts w:ascii="宋体" w:hAnsi="宋体" w:cs="宋体"/>
      </w:rPr>
    </w:pPr>
    <w:r>
      <w:rPr>
        <w:rFonts w:hint="eastAsia" w:ascii="宋体" w:hAnsi="宋体" w:cs="宋体"/>
      </w:rPr>
      <w:t>金华市天盈招标代理有限公司</w:t>
    </w:r>
  </w:p>
  <w:p>
    <w:pPr>
      <w:pStyle w:val="31"/>
      <w:pBdr>
        <w:bottom w:val="single" w:color="auto" w:sz="6" w:space="0"/>
      </w:pBdr>
      <w:rPr>
        <w:rFonts w:hint="eastAsia" w:ascii="宋体" w:hAnsi="宋体" w:eastAsia="宋体" w:cs="宋体"/>
        <w:lang w:eastAsia="zh-CN"/>
      </w:rPr>
    </w:pPr>
    <w:r>
      <w:rPr>
        <w:rFonts w:hint="eastAsia" w:ascii="宋体" w:hAnsi="宋体" w:cs="宋体"/>
      </w:rPr>
      <w:t>项目编号：</w:t>
    </w:r>
    <w:r>
      <w:rPr>
        <w:rFonts w:hint="eastAsia" w:ascii="宋体" w:hAnsi="宋体" w:cs="宋体"/>
        <w:lang w:eastAsia="zh-CN"/>
      </w:rPr>
      <w:t xml:space="preserve">TY2023-FW325 -ZFCG325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73F02"/>
    <w:multiLevelType w:val="singleLevel"/>
    <w:tmpl w:val="95C73F02"/>
    <w:lvl w:ilvl="0" w:tentative="0">
      <w:start w:val="2"/>
      <w:numFmt w:val="chineseCounting"/>
      <w:suff w:val="nothing"/>
      <w:lvlText w:val="（%1）"/>
      <w:lvlJc w:val="left"/>
      <w:rPr>
        <w:rFonts w:hint="eastAsia"/>
      </w:rPr>
    </w:lvl>
  </w:abstractNum>
  <w:abstractNum w:abstractNumId="1">
    <w:nsid w:val="F5D54546"/>
    <w:multiLevelType w:val="singleLevel"/>
    <w:tmpl w:val="F5D54546"/>
    <w:lvl w:ilvl="0" w:tentative="0">
      <w:start w:val="3"/>
      <w:numFmt w:val="chineseCounting"/>
      <w:suff w:val="nothing"/>
      <w:lvlText w:val="%1、"/>
      <w:lvlJc w:val="left"/>
      <w:rPr>
        <w:rFonts w:hint="eastAsia"/>
      </w:rPr>
    </w:lvl>
  </w:abstractNum>
  <w:abstractNum w:abstractNumId="2">
    <w:nsid w:val="4B1E5889"/>
    <w:multiLevelType w:val="singleLevel"/>
    <w:tmpl w:val="4B1E5889"/>
    <w:lvl w:ilvl="0" w:tentative="0">
      <w:start w:val="5"/>
      <w:numFmt w:val="chineseCounting"/>
      <w:suff w:val="nothing"/>
      <w:lvlText w:val="%1、"/>
      <w:lvlJc w:val="left"/>
      <w:rPr>
        <w:rFonts w:hint="eastAsia"/>
      </w:rPr>
    </w:lvl>
  </w:abstractNum>
  <w:abstractNum w:abstractNumId="3">
    <w:nsid w:val="64FFC62E"/>
    <w:multiLevelType w:val="singleLevel"/>
    <w:tmpl w:val="64FFC62E"/>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forms" w:enforcement="0"/>
  <w:defaultTabStop w:val="720"/>
  <w:drawingGridHorizontalSpacing w:val="170"/>
  <w:drawingGridVerticalSpacing w:val="230"/>
  <w:displayHorizontalDrawingGridEvery w:val="1"/>
  <w:displayVerticalDrawingGridEvery w:val="1"/>
  <w:doNotShadeFormData w:val="1"/>
  <w:noPunctuationKerning w:val="1"/>
  <w:characterSpacingControl w:val="doNotCompress"/>
  <w:doNotValidateAgainstSchema/>
  <w:doNotDemarcateInvalidXml/>
  <w:hdrShapeDefaults>
    <o:shapelayout v:ext="edit">
      <o:idmap v:ext="edit" data="1"/>
    </o:shapelayout>
  </w:hdrShapeDefaults>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DM1MGFiMzBmMTY4OGQwNWIzOTBkZWZlMTg4NTliMjAifQ=="/>
  </w:docVars>
  <w:rsids>
    <w:rsidRoot w:val="00172A27"/>
    <w:rsid w:val="000005B4"/>
    <w:rsid w:val="00000D0C"/>
    <w:rsid w:val="0000215B"/>
    <w:rsid w:val="00002687"/>
    <w:rsid w:val="00003612"/>
    <w:rsid w:val="00003641"/>
    <w:rsid w:val="00003972"/>
    <w:rsid w:val="0000429B"/>
    <w:rsid w:val="00004C9F"/>
    <w:rsid w:val="00005649"/>
    <w:rsid w:val="000058E8"/>
    <w:rsid w:val="000059AC"/>
    <w:rsid w:val="00005F6F"/>
    <w:rsid w:val="000061FA"/>
    <w:rsid w:val="0000721C"/>
    <w:rsid w:val="000075A6"/>
    <w:rsid w:val="00007727"/>
    <w:rsid w:val="00007AC9"/>
    <w:rsid w:val="00007DDF"/>
    <w:rsid w:val="00010215"/>
    <w:rsid w:val="0001098B"/>
    <w:rsid w:val="00010ADA"/>
    <w:rsid w:val="00010D0A"/>
    <w:rsid w:val="00011D51"/>
    <w:rsid w:val="00011F6E"/>
    <w:rsid w:val="000120A0"/>
    <w:rsid w:val="00012E6A"/>
    <w:rsid w:val="00013616"/>
    <w:rsid w:val="00014CF0"/>
    <w:rsid w:val="00014FC5"/>
    <w:rsid w:val="00015062"/>
    <w:rsid w:val="00015130"/>
    <w:rsid w:val="000154F4"/>
    <w:rsid w:val="000157A4"/>
    <w:rsid w:val="000157C0"/>
    <w:rsid w:val="0001584B"/>
    <w:rsid w:val="00015F06"/>
    <w:rsid w:val="000162CB"/>
    <w:rsid w:val="00016454"/>
    <w:rsid w:val="000169DC"/>
    <w:rsid w:val="00016A63"/>
    <w:rsid w:val="00016E51"/>
    <w:rsid w:val="00017056"/>
    <w:rsid w:val="00017368"/>
    <w:rsid w:val="00017F1D"/>
    <w:rsid w:val="0002005F"/>
    <w:rsid w:val="00020F1F"/>
    <w:rsid w:val="00020F7A"/>
    <w:rsid w:val="00022040"/>
    <w:rsid w:val="0002306F"/>
    <w:rsid w:val="00023542"/>
    <w:rsid w:val="00023604"/>
    <w:rsid w:val="00023E43"/>
    <w:rsid w:val="00024041"/>
    <w:rsid w:val="0002467A"/>
    <w:rsid w:val="000246F6"/>
    <w:rsid w:val="0002556F"/>
    <w:rsid w:val="00025DC0"/>
    <w:rsid w:val="00026007"/>
    <w:rsid w:val="00026356"/>
    <w:rsid w:val="000263D5"/>
    <w:rsid w:val="0002723D"/>
    <w:rsid w:val="00027707"/>
    <w:rsid w:val="0002796A"/>
    <w:rsid w:val="00030709"/>
    <w:rsid w:val="00030EFD"/>
    <w:rsid w:val="0003137B"/>
    <w:rsid w:val="000326D8"/>
    <w:rsid w:val="000331C3"/>
    <w:rsid w:val="00033B08"/>
    <w:rsid w:val="00033BB6"/>
    <w:rsid w:val="00033CD2"/>
    <w:rsid w:val="00034324"/>
    <w:rsid w:val="00034538"/>
    <w:rsid w:val="00034660"/>
    <w:rsid w:val="00034E51"/>
    <w:rsid w:val="00035DE1"/>
    <w:rsid w:val="00035F7F"/>
    <w:rsid w:val="00036093"/>
    <w:rsid w:val="000362C9"/>
    <w:rsid w:val="00036453"/>
    <w:rsid w:val="000366E1"/>
    <w:rsid w:val="00036CD0"/>
    <w:rsid w:val="0003794F"/>
    <w:rsid w:val="000401AC"/>
    <w:rsid w:val="00040816"/>
    <w:rsid w:val="00040BC7"/>
    <w:rsid w:val="00041E17"/>
    <w:rsid w:val="000421E2"/>
    <w:rsid w:val="000423D3"/>
    <w:rsid w:val="00042AF4"/>
    <w:rsid w:val="000432B0"/>
    <w:rsid w:val="00043394"/>
    <w:rsid w:val="00043A00"/>
    <w:rsid w:val="00043B3E"/>
    <w:rsid w:val="00044039"/>
    <w:rsid w:val="00044112"/>
    <w:rsid w:val="00044604"/>
    <w:rsid w:val="00044A92"/>
    <w:rsid w:val="00044C4F"/>
    <w:rsid w:val="00044C99"/>
    <w:rsid w:val="00045C7F"/>
    <w:rsid w:val="00045D2E"/>
    <w:rsid w:val="00045EBA"/>
    <w:rsid w:val="000461BC"/>
    <w:rsid w:val="00046BA4"/>
    <w:rsid w:val="00046F6F"/>
    <w:rsid w:val="00047580"/>
    <w:rsid w:val="00047EA0"/>
    <w:rsid w:val="00047EB5"/>
    <w:rsid w:val="0005009C"/>
    <w:rsid w:val="00050109"/>
    <w:rsid w:val="00050DE5"/>
    <w:rsid w:val="00051992"/>
    <w:rsid w:val="00051B47"/>
    <w:rsid w:val="00051B65"/>
    <w:rsid w:val="000520AA"/>
    <w:rsid w:val="00052762"/>
    <w:rsid w:val="00053022"/>
    <w:rsid w:val="0005441C"/>
    <w:rsid w:val="0005470F"/>
    <w:rsid w:val="000549C1"/>
    <w:rsid w:val="00055908"/>
    <w:rsid w:val="00056A25"/>
    <w:rsid w:val="00057798"/>
    <w:rsid w:val="000607F4"/>
    <w:rsid w:val="00060E80"/>
    <w:rsid w:val="000618FC"/>
    <w:rsid w:val="00061F7E"/>
    <w:rsid w:val="00062846"/>
    <w:rsid w:val="00062EA2"/>
    <w:rsid w:val="00064659"/>
    <w:rsid w:val="00064778"/>
    <w:rsid w:val="000648C0"/>
    <w:rsid w:val="00064D0B"/>
    <w:rsid w:val="000650F7"/>
    <w:rsid w:val="0006534D"/>
    <w:rsid w:val="000656A6"/>
    <w:rsid w:val="000659A4"/>
    <w:rsid w:val="00065A01"/>
    <w:rsid w:val="00066644"/>
    <w:rsid w:val="00066CA8"/>
    <w:rsid w:val="00067359"/>
    <w:rsid w:val="000714A5"/>
    <w:rsid w:val="00071536"/>
    <w:rsid w:val="00071699"/>
    <w:rsid w:val="00072C30"/>
    <w:rsid w:val="0007310C"/>
    <w:rsid w:val="00073FBF"/>
    <w:rsid w:val="0007401A"/>
    <w:rsid w:val="00074656"/>
    <w:rsid w:val="00074D42"/>
    <w:rsid w:val="0007518E"/>
    <w:rsid w:val="000751A5"/>
    <w:rsid w:val="000759E6"/>
    <w:rsid w:val="0007668B"/>
    <w:rsid w:val="000766FC"/>
    <w:rsid w:val="00076E22"/>
    <w:rsid w:val="000771C1"/>
    <w:rsid w:val="000771FF"/>
    <w:rsid w:val="00077C54"/>
    <w:rsid w:val="00080AC4"/>
    <w:rsid w:val="00080BA2"/>
    <w:rsid w:val="0008132A"/>
    <w:rsid w:val="00081468"/>
    <w:rsid w:val="00081AEA"/>
    <w:rsid w:val="000820F9"/>
    <w:rsid w:val="0008256E"/>
    <w:rsid w:val="000831A4"/>
    <w:rsid w:val="00083D53"/>
    <w:rsid w:val="00084027"/>
    <w:rsid w:val="000841D4"/>
    <w:rsid w:val="000841D8"/>
    <w:rsid w:val="00084868"/>
    <w:rsid w:val="00084BFB"/>
    <w:rsid w:val="00084DB0"/>
    <w:rsid w:val="0008552A"/>
    <w:rsid w:val="00085ABE"/>
    <w:rsid w:val="00085DDC"/>
    <w:rsid w:val="00087399"/>
    <w:rsid w:val="0008751A"/>
    <w:rsid w:val="000877F3"/>
    <w:rsid w:val="00090170"/>
    <w:rsid w:val="00090267"/>
    <w:rsid w:val="00090B81"/>
    <w:rsid w:val="0009217A"/>
    <w:rsid w:val="00092836"/>
    <w:rsid w:val="00092A18"/>
    <w:rsid w:val="00092AC7"/>
    <w:rsid w:val="00093399"/>
    <w:rsid w:val="00093A21"/>
    <w:rsid w:val="00093A8C"/>
    <w:rsid w:val="0009429E"/>
    <w:rsid w:val="00094888"/>
    <w:rsid w:val="00095D49"/>
    <w:rsid w:val="00096534"/>
    <w:rsid w:val="000971C9"/>
    <w:rsid w:val="000A0043"/>
    <w:rsid w:val="000A0355"/>
    <w:rsid w:val="000A07B9"/>
    <w:rsid w:val="000A0B64"/>
    <w:rsid w:val="000A294B"/>
    <w:rsid w:val="000A31C7"/>
    <w:rsid w:val="000A3D80"/>
    <w:rsid w:val="000A4EC7"/>
    <w:rsid w:val="000A5339"/>
    <w:rsid w:val="000A5724"/>
    <w:rsid w:val="000A57FA"/>
    <w:rsid w:val="000A5A85"/>
    <w:rsid w:val="000A6055"/>
    <w:rsid w:val="000A65B7"/>
    <w:rsid w:val="000A681F"/>
    <w:rsid w:val="000A6C41"/>
    <w:rsid w:val="000A6C75"/>
    <w:rsid w:val="000A721B"/>
    <w:rsid w:val="000A7C5C"/>
    <w:rsid w:val="000B0172"/>
    <w:rsid w:val="000B0297"/>
    <w:rsid w:val="000B11ED"/>
    <w:rsid w:val="000B169A"/>
    <w:rsid w:val="000B19D1"/>
    <w:rsid w:val="000B1FD7"/>
    <w:rsid w:val="000B2C16"/>
    <w:rsid w:val="000B3383"/>
    <w:rsid w:val="000B3604"/>
    <w:rsid w:val="000B397F"/>
    <w:rsid w:val="000B4013"/>
    <w:rsid w:val="000B411D"/>
    <w:rsid w:val="000B45CC"/>
    <w:rsid w:val="000B51E6"/>
    <w:rsid w:val="000B5B13"/>
    <w:rsid w:val="000B5E63"/>
    <w:rsid w:val="000B61F7"/>
    <w:rsid w:val="000B630D"/>
    <w:rsid w:val="000B67FF"/>
    <w:rsid w:val="000B7FD5"/>
    <w:rsid w:val="000C0301"/>
    <w:rsid w:val="000C0631"/>
    <w:rsid w:val="000C0BFE"/>
    <w:rsid w:val="000C0EB7"/>
    <w:rsid w:val="000C1588"/>
    <w:rsid w:val="000C15E4"/>
    <w:rsid w:val="000C2471"/>
    <w:rsid w:val="000C24D0"/>
    <w:rsid w:val="000C279A"/>
    <w:rsid w:val="000C2E06"/>
    <w:rsid w:val="000C3055"/>
    <w:rsid w:val="000C4116"/>
    <w:rsid w:val="000C41A0"/>
    <w:rsid w:val="000C4702"/>
    <w:rsid w:val="000C49C2"/>
    <w:rsid w:val="000C5323"/>
    <w:rsid w:val="000C55F2"/>
    <w:rsid w:val="000C58BF"/>
    <w:rsid w:val="000C58D1"/>
    <w:rsid w:val="000C5D53"/>
    <w:rsid w:val="000C6415"/>
    <w:rsid w:val="000C6467"/>
    <w:rsid w:val="000C760C"/>
    <w:rsid w:val="000D02C5"/>
    <w:rsid w:val="000D10AB"/>
    <w:rsid w:val="000D118C"/>
    <w:rsid w:val="000D1794"/>
    <w:rsid w:val="000D2BFC"/>
    <w:rsid w:val="000D2E18"/>
    <w:rsid w:val="000D39F3"/>
    <w:rsid w:val="000D3B9C"/>
    <w:rsid w:val="000D3C6C"/>
    <w:rsid w:val="000D44F3"/>
    <w:rsid w:val="000D46DA"/>
    <w:rsid w:val="000D4890"/>
    <w:rsid w:val="000D4899"/>
    <w:rsid w:val="000D4965"/>
    <w:rsid w:val="000D499A"/>
    <w:rsid w:val="000D4A17"/>
    <w:rsid w:val="000D4E9B"/>
    <w:rsid w:val="000D57FD"/>
    <w:rsid w:val="000D60A5"/>
    <w:rsid w:val="000D65D3"/>
    <w:rsid w:val="000D6688"/>
    <w:rsid w:val="000D6DFB"/>
    <w:rsid w:val="000D6F12"/>
    <w:rsid w:val="000D760C"/>
    <w:rsid w:val="000E135C"/>
    <w:rsid w:val="000E1E1C"/>
    <w:rsid w:val="000E1F10"/>
    <w:rsid w:val="000E2601"/>
    <w:rsid w:val="000E2F08"/>
    <w:rsid w:val="000E3268"/>
    <w:rsid w:val="000E3507"/>
    <w:rsid w:val="000E397B"/>
    <w:rsid w:val="000E3C64"/>
    <w:rsid w:val="000E4907"/>
    <w:rsid w:val="000E52C2"/>
    <w:rsid w:val="000E6767"/>
    <w:rsid w:val="000E696B"/>
    <w:rsid w:val="000E6A3C"/>
    <w:rsid w:val="000E6C8F"/>
    <w:rsid w:val="000E6D26"/>
    <w:rsid w:val="000E6FDF"/>
    <w:rsid w:val="000E6FFA"/>
    <w:rsid w:val="000E79F2"/>
    <w:rsid w:val="000E7C0A"/>
    <w:rsid w:val="000F0DCE"/>
    <w:rsid w:val="000F18BB"/>
    <w:rsid w:val="000F18C1"/>
    <w:rsid w:val="000F1AEE"/>
    <w:rsid w:val="000F1DE2"/>
    <w:rsid w:val="000F228B"/>
    <w:rsid w:val="000F2B0C"/>
    <w:rsid w:val="000F2DE7"/>
    <w:rsid w:val="000F38F8"/>
    <w:rsid w:val="000F43CB"/>
    <w:rsid w:val="000F47B8"/>
    <w:rsid w:val="000F4929"/>
    <w:rsid w:val="000F537E"/>
    <w:rsid w:val="000F53EE"/>
    <w:rsid w:val="000F57DF"/>
    <w:rsid w:val="000F5F58"/>
    <w:rsid w:val="000F641D"/>
    <w:rsid w:val="000F6F5C"/>
    <w:rsid w:val="000F6F9E"/>
    <w:rsid w:val="000F76F6"/>
    <w:rsid w:val="001000D1"/>
    <w:rsid w:val="00100808"/>
    <w:rsid w:val="0010167C"/>
    <w:rsid w:val="0010174C"/>
    <w:rsid w:val="00101B07"/>
    <w:rsid w:val="00101EBA"/>
    <w:rsid w:val="00102572"/>
    <w:rsid w:val="00102B24"/>
    <w:rsid w:val="00102E06"/>
    <w:rsid w:val="00102E18"/>
    <w:rsid w:val="00103266"/>
    <w:rsid w:val="00103381"/>
    <w:rsid w:val="001040D8"/>
    <w:rsid w:val="001041AD"/>
    <w:rsid w:val="00104582"/>
    <w:rsid w:val="0010469D"/>
    <w:rsid w:val="00104AD6"/>
    <w:rsid w:val="00104B6C"/>
    <w:rsid w:val="00105197"/>
    <w:rsid w:val="00105439"/>
    <w:rsid w:val="001054AB"/>
    <w:rsid w:val="00105DF6"/>
    <w:rsid w:val="00106C3C"/>
    <w:rsid w:val="00106DE3"/>
    <w:rsid w:val="00106E1F"/>
    <w:rsid w:val="0010717D"/>
    <w:rsid w:val="001073D1"/>
    <w:rsid w:val="00107482"/>
    <w:rsid w:val="00107BE5"/>
    <w:rsid w:val="00107BEB"/>
    <w:rsid w:val="00110057"/>
    <w:rsid w:val="00110305"/>
    <w:rsid w:val="001112EA"/>
    <w:rsid w:val="001114FD"/>
    <w:rsid w:val="00111670"/>
    <w:rsid w:val="00111990"/>
    <w:rsid w:val="00111ABC"/>
    <w:rsid w:val="00111AD3"/>
    <w:rsid w:val="001125CC"/>
    <w:rsid w:val="0011338B"/>
    <w:rsid w:val="0011339C"/>
    <w:rsid w:val="00113825"/>
    <w:rsid w:val="001147E8"/>
    <w:rsid w:val="00114D14"/>
    <w:rsid w:val="00115E0B"/>
    <w:rsid w:val="00120511"/>
    <w:rsid w:val="00120721"/>
    <w:rsid w:val="00120BB2"/>
    <w:rsid w:val="00120D30"/>
    <w:rsid w:val="00120F6F"/>
    <w:rsid w:val="001212CB"/>
    <w:rsid w:val="00121612"/>
    <w:rsid w:val="00121A55"/>
    <w:rsid w:val="00121F4E"/>
    <w:rsid w:val="001220B1"/>
    <w:rsid w:val="00122B21"/>
    <w:rsid w:val="00122E43"/>
    <w:rsid w:val="00122EF4"/>
    <w:rsid w:val="00123580"/>
    <w:rsid w:val="0012412B"/>
    <w:rsid w:val="001243E3"/>
    <w:rsid w:val="00124770"/>
    <w:rsid w:val="00124B45"/>
    <w:rsid w:val="00125738"/>
    <w:rsid w:val="00125F1F"/>
    <w:rsid w:val="00125FA8"/>
    <w:rsid w:val="001267D8"/>
    <w:rsid w:val="001304B3"/>
    <w:rsid w:val="001313DA"/>
    <w:rsid w:val="00131A88"/>
    <w:rsid w:val="00131B57"/>
    <w:rsid w:val="00131E90"/>
    <w:rsid w:val="0013232F"/>
    <w:rsid w:val="001325B3"/>
    <w:rsid w:val="00132EAC"/>
    <w:rsid w:val="00133646"/>
    <w:rsid w:val="00133ADF"/>
    <w:rsid w:val="0013401D"/>
    <w:rsid w:val="00134537"/>
    <w:rsid w:val="001349BA"/>
    <w:rsid w:val="00134E70"/>
    <w:rsid w:val="00134FB5"/>
    <w:rsid w:val="00135C72"/>
    <w:rsid w:val="00136733"/>
    <w:rsid w:val="0013748E"/>
    <w:rsid w:val="00137BA3"/>
    <w:rsid w:val="00137DB4"/>
    <w:rsid w:val="001409B8"/>
    <w:rsid w:val="00141125"/>
    <w:rsid w:val="00141417"/>
    <w:rsid w:val="0014187D"/>
    <w:rsid w:val="001418E2"/>
    <w:rsid w:val="001425F4"/>
    <w:rsid w:val="00142613"/>
    <w:rsid w:val="00142760"/>
    <w:rsid w:val="00143758"/>
    <w:rsid w:val="0014392C"/>
    <w:rsid w:val="00143AF4"/>
    <w:rsid w:val="00143BC2"/>
    <w:rsid w:val="00143D37"/>
    <w:rsid w:val="001449E5"/>
    <w:rsid w:val="00144E17"/>
    <w:rsid w:val="00144F43"/>
    <w:rsid w:val="00146179"/>
    <w:rsid w:val="001464C8"/>
    <w:rsid w:val="00146699"/>
    <w:rsid w:val="00146A2C"/>
    <w:rsid w:val="00146ACF"/>
    <w:rsid w:val="00146DC4"/>
    <w:rsid w:val="00147A6D"/>
    <w:rsid w:val="00147FBF"/>
    <w:rsid w:val="00150A43"/>
    <w:rsid w:val="0015194D"/>
    <w:rsid w:val="001527A2"/>
    <w:rsid w:val="001531B2"/>
    <w:rsid w:val="0015397C"/>
    <w:rsid w:val="001539AC"/>
    <w:rsid w:val="00154D03"/>
    <w:rsid w:val="0015519E"/>
    <w:rsid w:val="00155977"/>
    <w:rsid w:val="00155F34"/>
    <w:rsid w:val="00156425"/>
    <w:rsid w:val="001565E4"/>
    <w:rsid w:val="00156C6C"/>
    <w:rsid w:val="00156FF2"/>
    <w:rsid w:val="001570C7"/>
    <w:rsid w:val="001579E4"/>
    <w:rsid w:val="00157A19"/>
    <w:rsid w:val="00157F7F"/>
    <w:rsid w:val="00157F93"/>
    <w:rsid w:val="001602DE"/>
    <w:rsid w:val="00160681"/>
    <w:rsid w:val="00160B0D"/>
    <w:rsid w:val="00160B64"/>
    <w:rsid w:val="00161489"/>
    <w:rsid w:val="00161D42"/>
    <w:rsid w:val="0016229E"/>
    <w:rsid w:val="0016247F"/>
    <w:rsid w:val="00162A38"/>
    <w:rsid w:val="0016304F"/>
    <w:rsid w:val="00163838"/>
    <w:rsid w:val="00163EB4"/>
    <w:rsid w:val="00164559"/>
    <w:rsid w:val="00164C3F"/>
    <w:rsid w:val="00164CD2"/>
    <w:rsid w:val="00165B58"/>
    <w:rsid w:val="00166B7D"/>
    <w:rsid w:val="00166DEF"/>
    <w:rsid w:val="001700AD"/>
    <w:rsid w:val="001727B0"/>
    <w:rsid w:val="0017286B"/>
    <w:rsid w:val="00172A27"/>
    <w:rsid w:val="00173546"/>
    <w:rsid w:val="00173F5B"/>
    <w:rsid w:val="0017432D"/>
    <w:rsid w:val="00174489"/>
    <w:rsid w:val="00175351"/>
    <w:rsid w:val="0017571A"/>
    <w:rsid w:val="00176066"/>
    <w:rsid w:val="00176A60"/>
    <w:rsid w:val="00176BB0"/>
    <w:rsid w:val="00176F1C"/>
    <w:rsid w:val="00177166"/>
    <w:rsid w:val="001772C9"/>
    <w:rsid w:val="001778F0"/>
    <w:rsid w:val="00177990"/>
    <w:rsid w:val="00177BD1"/>
    <w:rsid w:val="00180D44"/>
    <w:rsid w:val="00180E0C"/>
    <w:rsid w:val="00181794"/>
    <w:rsid w:val="00181F10"/>
    <w:rsid w:val="00181F41"/>
    <w:rsid w:val="001825AA"/>
    <w:rsid w:val="00182677"/>
    <w:rsid w:val="001836DF"/>
    <w:rsid w:val="00183A25"/>
    <w:rsid w:val="00183D08"/>
    <w:rsid w:val="00183ECA"/>
    <w:rsid w:val="00184E79"/>
    <w:rsid w:val="001851B0"/>
    <w:rsid w:val="001853E7"/>
    <w:rsid w:val="001856C3"/>
    <w:rsid w:val="00185795"/>
    <w:rsid w:val="00186C7C"/>
    <w:rsid w:val="00187912"/>
    <w:rsid w:val="00190005"/>
    <w:rsid w:val="00190385"/>
    <w:rsid w:val="00190665"/>
    <w:rsid w:val="0019090F"/>
    <w:rsid w:val="00190B6B"/>
    <w:rsid w:val="00191016"/>
    <w:rsid w:val="00191230"/>
    <w:rsid w:val="00191605"/>
    <w:rsid w:val="001924BF"/>
    <w:rsid w:val="00192795"/>
    <w:rsid w:val="00192AB6"/>
    <w:rsid w:val="00193401"/>
    <w:rsid w:val="00193898"/>
    <w:rsid w:val="00193E34"/>
    <w:rsid w:val="00194FE5"/>
    <w:rsid w:val="00195996"/>
    <w:rsid w:val="0019701D"/>
    <w:rsid w:val="001971E2"/>
    <w:rsid w:val="00197775"/>
    <w:rsid w:val="001978E6"/>
    <w:rsid w:val="00197A2D"/>
    <w:rsid w:val="00197E65"/>
    <w:rsid w:val="001A0ABA"/>
    <w:rsid w:val="001A1244"/>
    <w:rsid w:val="001A1CBB"/>
    <w:rsid w:val="001A22D0"/>
    <w:rsid w:val="001A23B6"/>
    <w:rsid w:val="001A2EF3"/>
    <w:rsid w:val="001A2F0E"/>
    <w:rsid w:val="001A2F35"/>
    <w:rsid w:val="001A3564"/>
    <w:rsid w:val="001A36C2"/>
    <w:rsid w:val="001A39CE"/>
    <w:rsid w:val="001A4250"/>
    <w:rsid w:val="001A4923"/>
    <w:rsid w:val="001A499A"/>
    <w:rsid w:val="001A4A2E"/>
    <w:rsid w:val="001A5138"/>
    <w:rsid w:val="001A518D"/>
    <w:rsid w:val="001A59E6"/>
    <w:rsid w:val="001A5AF9"/>
    <w:rsid w:val="001A5B8F"/>
    <w:rsid w:val="001A5C63"/>
    <w:rsid w:val="001A66B8"/>
    <w:rsid w:val="001A723A"/>
    <w:rsid w:val="001A7390"/>
    <w:rsid w:val="001A77F5"/>
    <w:rsid w:val="001A79C4"/>
    <w:rsid w:val="001B06F3"/>
    <w:rsid w:val="001B0C39"/>
    <w:rsid w:val="001B1D19"/>
    <w:rsid w:val="001B2237"/>
    <w:rsid w:val="001B254F"/>
    <w:rsid w:val="001B27B9"/>
    <w:rsid w:val="001B311A"/>
    <w:rsid w:val="001B31B5"/>
    <w:rsid w:val="001B33E8"/>
    <w:rsid w:val="001B3509"/>
    <w:rsid w:val="001B3EC8"/>
    <w:rsid w:val="001B4B94"/>
    <w:rsid w:val="001B4BCB"/>
    <w:rsid w:val="001B4BD0"/>
    <w:rsid w:val="001B52D3"/>
    <w:rsid w:val="001B5651"/>
    <w:rsid w:val="001B565A"/>
    <w:rsid w:val="001B63D8"/>
    <w:rsid w:val="001B6448"/>
    <w:rsid w:val="001B6684"/>
    <w:rsid w:val="001C1169"/>
    <w:rsid w:val="001C1556"/>
    <w:rsid w:val="001C1716"/>
    <w:rsid w:val="001C17B5"/>
    <w:rsid w:val="001C1E01"/>
    <w:rsid w:val="001C3A02"/>
    <w:rsid w:val="001C41C6"/>
    <w:rsid w:val="001C42E5"/>
    <w:rsid w:val="001C5007"/>
    <w:rsid w:val="001C518D"/>
    <w:rsid w:val="001C5341"/>
    <w:rsid w:val="001C5550"/>
    <w:rsid w:val="001C576A"/>
    <w:rsid w:val="001C58AE"/>
    <w:rsid w:val="001C5997"/>
    <w:rsid w:val="001C5C1B"/>
    <w:rsid w:val="001C5DA9"/>
    <w:rsid w:val="001C5F11"/>
    <w:rsid w:val="001C6EAF"/>
    <w:rsid w:val="001C758B"/>
    <w:rsid w:val="001C7DC0"/>
    <w:rsid w:val="001C7E4C"/>
    <w:rsid w:val="001D0389"/>
    <w:rsid w:val="001D2174"/>
    <w:rsid w:val="001D3EC4"/>
    <w:rsid w:val="001D47A3"/>
    <w:rsid w:val="001D493C"/>
    <w:rsid w:val="001D5753"/>
    <w:rsid w:val="001D64BB"/>
    <w:rsid w:val="001D6529"/>
    <w:rsid w:val="001D675E"/>
    <w:rsid w:val="001D6E9B"/>
    <w:rsid w:val="001D70DB"/>
    <w:rsid w:val="001D7C5D"/>
    <w:rsid w:val="001D7D78"/>
    <w:rsid w:val="001D7EBD"/>
    <w:rsid w:val="001E1FD0"/>
    <w:rsid w:val="001E2657"/>
    <w:rsid w:val="001E3B88"/>
    <w:rsid w:val="001E4529"/>
    <w:rsid w:val="001E72FD"/>
    <w:rsid w:val="001E73C8"/>
    <w:rsid w:val="001F045B"/>
    <w:rsid w:val="001F0D7C"/>
    <w:rsid w:val="001F1241"/>
    <w:rsid w:val="001F158B"/>
    <w:rsid w:val="001F1E22"/>
    <w:rsid w:val="001F2428"/>
    <w:rsid w:val="001F2A69"/>
    <w:rsid w:val="001F3953"/>
    <w:rsid w:val="001F3BC3"/>
    <w:rsid w:val="001F43BC"/>
    <w:rsid w:val="001F444D"/>
    <w:rsid w:val="001F44A5"/>
    <w:rsid w:val="001F5433"/>
    <w:rsid w:val="001F5B9D"/>
    <w:rsid w:val="001F5EC6"/>
    <w:rsid w:val="001F6383"/>
    <w:rsid w:val="001F64BC"/>
    <w:rsid w:val="001F6B94"/>
    <w:rsid w:val="001F6D82"/>
    <w:rsid w:val="001F6E77"/>
    <w:rsid w:val="001F7464"/>
    <w:rsid w:val="001F785A"/>
    <w:rsid w:val="001F78BC"/>
    <w:rsid w:val="001F7996"/>
    <w:rsid w:val="001F7C30"/>
    <w:rsid w:val="00200CEE"/>
    <w:rsid w:val="0020100F"/>
    <w:rsid w:val="00202603"/>
    <w:rsid w:val="00202682"/>
    <w:rsid w:val="002027A3"/>
    <w:rsid w:val="00202C9F"/>
    <w:rsid w:val="00202D3F"/>
    <w:rsid w:val="0020317A"/>
    <w:rsid w:val="0020347B"/>
    <w:rsid w:val="00203685"/>
    <w:rsid w:val="00204F86"/>
    <w:rsid w:val="0020558D"/>
    <w:rsid w:val="00205856"/>
    <w:rsid w:val="00205BF3"/>
    <w:rsid w:val="00206442"/>
    <w:rsid w:val="00206F02"/>
    <w:rsid w:val="00206F72"/>
    <w:rsid w:val="0020760D"/>
    <w:rsid w:val="0020764E"/>
    <w:rsid w:val="00207692"/>
    <w:rsid w:val="002079C7"/>
    <w:rsid w:val="0021017D"/>
    <w:rsid w:val="002103BE"/>
    <w:rsid w:val="002110A6"/>
    <w:rsid w:val="00211874"/>
    <w:rsid w:val="00211DAF"/>
    <w:rsid w:val="00212C52"/>
    <w:rsid w:val="00212E83"/>
    <w:rsid w:val="00213C69"/>
    <w:rsid w:val="00213EFB"/>
    <w:rsid w:val="002149F8"/>
    <w:rsid w:val="00214A06"/>
    <w:rsid w:val="00214B45"/>
    <w:rsid w:val="002152FC"/>
    <w:rsid w:val="002156E2"/>
    <w:rsid w:val="00215857"/>
    <w:rsid w:val="002161D5"/>
    <w:rsid w:val="00216456"/>
    <w:rsid w:val="00216BAD"/>
    <w:rsid w:val="0021710C"/>
    <w:rsid w:val="00217129"/>
    <w:rsid w:val="00217373"/>
    <w:rsid w:val="00217B7E"/>
    <w:rsid w:val="00217C68"/>
    <w:rsid w:val="002201EB"/>
    <w:rsid w:val="002206E7"/>
    <w:rsid w:val="00220F65"/>
    <w:rsid w:val="00221F90"/>
    <w:rsid w:val="00223274"/>
    <w:rsid w:val="002233A2"/>
    <w:rsid w:val="00223718"/>
    <w:rsid w:val="00223FAD"/>
    <w:rsid w:val="0022422A"/>
    <w:rsid w:val="002246A9"/>
    <w:rsid w:val="002254B3"/>
    <w:rsid w:val="00225948"/>
    <w:rsid w:val="00226055"/>
    <w:rsid w:val="002262F3"/>
    <w:rsid w:val="0022662B"/>
    <w:rsid w:val="0022752D"/>
    <w:rsid w:val="002275EA"/>
    <w:rsid w:val="002276C1"/>
    <w:rsid w:val="00230119"/>
    <w:rsid w:val="002323B9"/>
    <w:rsid w:val="00232672"/>
    <w:rsid w:val="00233493"/>
    <w:rsid w:val="00233D0B"/>
    <w:rsid w:val="00233D90"/>
    <w:rsid w:val="00234957"/>
    <w:rsid w:val="002352A4"/>
    <w:rsid w:val="002354AB"/>
    <w:rsid w:val="00235595"/>
    <w:rsid w:val="00235639"/>
    <w:rsid w:val="00236111"/>
    <w:rsid w:val="00237933"/>
    <w:rsid w:val="002379DB"/>
    <w:rsid w:val="002404A5"/>
    <w:rsid w:val="002407A5"/>
    <w:rsid w:val="002418C6"/>
    <w:rsid w:val="00241ECB"/>
    <w:rsid w:val="002420F5"/>
    <w:rsid w:val="002421FD"/>
    <w:rsid w:val="0024277E"/>
    <w:rsid w:val="00243070"/>
    <w:rsid w:val="002431E0"/>
    <w:rsid w:val="002433D2"/>
    <w:rsid w:val="002433D3"/>
    <w:rsid w:val="0024349E"/>
    <w:rsid w:val="00243814"/>
    <w:rsid w:val="00243D88"/>
    <w:rsid w:val="0024449D"/>
    <w:rsid w:val="00244841"/>
    <w:rsid w:val="00244F64"/>
    <w:rsid w:val="00245010"/>
    <w:rsid w:val="0024544E"/>
    <w:rsid w:val="002456FE"/>
    <w:rsid w:val="00246747"/>
    <w:rsid w:val="002472C2"/>
    <w:rsid w:val="002478B2"/>
    <w:rsid w:val="00247B2C"/>
    <w:rsid w:val="002502ED"/>
    <w:rsid w:val="002515B6"/>
    <w:rsid w:val="00251745"/>
    <w:rsid w:val="002519A7"/>
    <w:rsid w:val="00251D70"/>
    <w:rsid w:val="00251F32"/>
    <w:rsid w:val="00252795"/>
    <w:rsid w:val="00252AA2"/>
    <w:rsid w:val="00252E76"/>
    <w:rsid w:val="002533AB"/>
    <w:rsid w:val="00253947"/>
    <w:rsid w:val="00253975"/>
    <w:rsid w:val="00253AC2"/>
    <w:rsid w:val="00253CE4"/>
    <w:rsid w:val="00254C35"/>
    <w:rsid w:val="0025500C"/>
    <w:rsid w:val="002551A0"/>
    <w:rsid w:val="00255E72"/>
    <w:rsid w:val="00257111"/>
    <w:rsid w:val="00257AB6"/>
    <w:rsid w:val="00257B2C"/>
    <w:rsid w:val="00257E53"/>
    <w:rsid w:val="00260FE6"/>
    <w:rsid w:val="002613C9"/>
    <w:rsid w:val="00261905"/>
    <w:rsid w:val="00261F61"/>
    <w:rsid w:val="00262221"/>
    <w:rsid w:val="0026251B"/>
    <w:rsid w:val="002629B7"/>
    <w:rsid w:val="0026327D"/>
    <w:rsid w:val="00263B0A"/>
    <w:rsid w:val="00263D51"/>
    <w:rsid w:val="002641AE"/>
    <w:rsid w:val="0026465A"/>
    <w:rsid w:val="00264A0E"/>
    <w:rsid w:val="00264B7E"/>
    <w:rsid w:val="00265B4F"/>
    <w:rsid w:val="00265ECA"/>
    <w:rsid w:val="00266B48"/>
    <w:rsid w:val="00266C18"/>
    <w:rsid w:val="00266C93"/>
    <w:rsid w:val="00267076"/>
    <w:rsid w:val="002673D9"/>
    <w:rsid w:val="00267424"/>
    <w:rsid w:val="00267AA4"/>
    <w:rsid w:val="00267E20"/>
    <w:rsid w:val="00270057"/>
    <w:rsid w:val="002707D9"/>
    <w:rsid w:val="0027098C"/>
    <w:rsid w:val="00270DE2"/>
    <w:rsid w:val="00271200"/>
    <w:rsid w:val="00271653"/>
    <w:rsid w:val="0027259F"/>
    <w:rsid w:val="002727D0"/>
    <w:rsid w:val="00272B46"/>
    <w:rsid w:val="00272DC8"/>
    <w:rsid w:val="00272F6E"/>
    <w:rsid w:val="00273F6B"/>
    <w:rsid w:val="00273F90"/>
    <w:rsid w:val="00274517"/>
    <w:rsid w:val="00274960"/>
    <w:rsid w:val="00274CC9"/>
    <w:rsid w:val="00275018"/>
    <w:rsid w:val="002751CA"/>
    <w:rsid w:val="0027524B"/>
    <w:rsid w:val="00275257"/>
    <w:rsid w:val="00275589"/>
    <w:rsid w:val="00275A03"/>
    <w:rsid w:val="00275C08"/>
    <w:rsid w:val="0027654B"/>
    <w:rsid w:val="00277373"/>
    <w:rsid w:val="00281179"/>
    <w:rsid w:val="0028168C"/>
    <w:rsid w:val="002819B0"/>
    <w:rsid w:val="00282768"/>
    <w:rsid w:val="002830B3"/>
    <w:rsid w:val="0028372F"/>
    <w:rsid w:val="00283BCF"/>
    <w:rsid w:val="00284094"/>
    <w:rsid w:val="002840DD"/>
    <w:rsid w:val="002841D2"/>
    <w:rsid w:val="00284A81"/>
    <w:rsid w:val="00284FAC"/>
    <w:rsid w:val="00285230"/>
    <w:rsid w:val="002853D4"/>
    <w:rsid w:val="00285A2F"/>
    <w:rsid w:val="00285D04"/>
    <w:rsid w:val="00285E44"/>
    <w:rsid w:val="00286139"/>
    <w:rsid w:val="00286189"/>
    <w:rsid w:val="002865D1"/>
    <w:rsid w:val="00286E44"/>
    <w:rsid w:val="0028721A"/>
    <w:rsid w:val="002875BA"/>
    <w:rsid w:val="002876A6"/>
    <w:rsid w:val="0028779D"/>
    <w:rsid w:val="002900E5"/>
    <w:rsid w:val="00290C94"/>
    <w:rsid w:val="0029123D"/>
    <w:rsid w:val="0029170E"/>
    <w:rsid w:val="002917E2"/>
    <w:rsid w:val="00291E47"/>
    <w:rsid w:val="002937F7"/>
    <w:rsid w:val="00293C9B"/>
    <w:rsid w:val="002959FB"/>
    <w:rsid w:val="00295C22"/>
    <w:rsid w:val="00295DEB"/>
    <w:rsid w:val="00295E58"/>
    <w:rsid w:val="00295EA3"/>
    <w:rsid w:val="0029619E"/>
    <w:rsid w:val="00296934"/>
    <w:rsid w:val="002971D1"/>
    <w:rsid w:val="00297F82"/>
    <w:rsid w:val="00297F8D"/>
    <w:rsid w:val="002A0849"/>
    <w:rsid w:val="002A12A0"/>
    <w:rsid w:val="002A18ED"/>
    <w:rsid w:val="002A2EE4"/>
    <w:rsid w:val="002A2F3B"/>
    <w:rsid w:val="002A3614"/>
    <w:rsid w:val="002A364D"/>
    <w:rsid w:val="002A376F"/>
    <w:rsid w:val="002A3C87"/>
    <w:rsid w:val="002A49C7"/>
    <w:rsid w:val="002A4A54"/>
    <w:rsid w:val="002A546F"/>
    <w:rsid w:val="002A58FB"/>
    <w:rsid w:val="002A5D7C"/>
    <w:rsid w:val="002A6D63"/>
    <w:rsid w:val="002A6E16"/>
    <w:rsid w:val="002A70E8"/>
    <w:rsid w:val="002A741A"/>
    <w:rsid w:val="002A7874"/>
    <w:rsid w:val="002B0069"/>
    <w:rsid w:val="002B0828"/>
    <w:rsid w:val="002B085F"/>
    <w:rsid w:val="002B1154"/>
    <w:rsid w:val="002B2238"/>
    <w:rsid w:val="002B2244"/>
    <w:rsid w:val="002B2AB0"/>
    <w:rsid w:val="002B2C06"/>
    <w:rsid w:val="002B2CE1"/>
    <w:rsid w:val="002B2F68"/>
    <w:rsid w:val="002B3342"/>
    <w:rsid w:val="002B4271"/>
    <w:rsid w:val="002B4A20"/>
    <w:rsid w:val="002B5A41"/>
    <w:rsid w:val="002B7432"/>
    <w:rsid w:val="002B7FF7"/>
    <w:rsid w:val="002C0342"/>
    <w:rsid w:val="002C0896"/>
    <w:rsid w:val="002C1B6E"/>
    <w:rsid w:val="002C1BCB"/>
    <w:rsid w:val="002C2579"/>
    <w:rsid w:val="002C2B8D"/>
    <w:rsid w:val="002C31BA"/>
    <w:rsid w:val="002C3426"/>
    <w:rsid w:val="002C35E6"/>
    <w:rsid w:val="002C3B80"/>
    <w:rsid w:val="002C4280"/>
    <w:rsid w:val="002C44FD"/>
    <w:rsid w:val="002C4688"/>
    <w:rsid w:val="002C4806"/>
    <w:rsid w:val="002C4EFB"/>
    <w:rsid w:val="002C51CD"/>
    <w:rsid w:val="002C521B"/>
    <w:rsid w:val="002C5450"/>
    <w:rsid w:val="002C557A"/>
    <w:rsid w:val="002C5DAD"/>
    <w:rsid w:val="002C612A"/>
    <w:rsid w:val="002C6404"/>
    <w:rsid w:val="002C653C"/>
    <w:rsid w:val="002C7007"/>
    <w:rsid w:val="002C7E2A"/>
    <w:rsid w:val="002D094C"/>
    <w:rsid w:val="002D0C00"/>
    <w:rsid w:val="002D0E75"/>
    <w:rsid w:val="002D0EB8"/>
    <w:rsid w:val="002D113B"/>
    <w:rsid w:val="002D1187"/>
    <w:rsid w:val="002D137B"/>
    <w:rsid w:val="002D1E41"/>
    <w:rsid w:val="002D1FCD"/>
    <w:rsid w:val="002D218B"/>
    <w:rsid w:val="002D287C"/>
    <w:rsid w:val="002D2ADE"/>
    <w:rsid w:val="002D2B4C"/>
    <w:rsid w:val="002D2D36"/>
    <w:rsid w:val="002D2EFB"/>
    <w:rsid w:val="002D308A"/>
    <w:rsid w:val="002D30BA"/>
    <w:rsid w:val="002D35C7"/>
    <w:rsid w:val="002D37D9"/>
    <w:rsid w:val="002D39A4"/>
    <w:rsid w:val="002D3A08"/>
    <w:rsid w:val="002D42BF"/>
    <w:rsid w:val="002D45D6"/>
    <w:rsid w:val="002D462F"/>
    <w:rsid w:val="002D4709"/>
    <w:rsid w:val="002D472D"/>
    <w:rsid w:val="002D4BB7"/>
    <w:rsid w:val="002D4E6F"/>
    <w:rsid w:val="002D5250"/>
    <w:rsid w:val="002D5565"/>
    <w:rsid w:val="002D59B1"/>
    <w:rsid w:val="002D5BFF"/>
    <w:rsid w:val="002D602D"/>
    <w:rsid w:val="002D7E99"/>
    <w:rsid w:val="002E0427"/>
    <w:rsid w:val="002E10C4"/>
    <w:rsid w:val="002E1809"/>
    <w:rsid w:val="002E22CB"/>
    <w:rsid w:val="002E2FC5"/>
    <w:rsid w:val="002E311A"/>
    <w:rsid w:val="002E31B9"/>
    <w:rsid w:val="002E3412"/>
    <w:rsid w:val="002E3B63"/>
    <w:rsid w:val="002E3CC2"/>
    <w:rsid w:val="002E3DC2"/>
    <w:rsid w:val="002E3F8D"/>
    <w:rsid w:val="002E40D8"/>
    <w:rsid w:val="002E48D5"/>
    <w:rsid w:val="002E58F7"/>
    <w:rsid w:val="002E6497"/>
    <w:rsid w:val="002E6521"/>
    <w:rsid w:val="002E6D25"/>
    <w:rsid w:val="002E6DAF"/>
    <w:rsid w:val="002E6E03"/>
    <w:rsid w:val="002E70F4"/>
    <w:rsid w:val="002E73EA"/>
    <w:rsid w:val="002E74ED"/>
    <w:rsid w:val="002F0271"/>
    <w:rsid w:val="002F0DD3"/>
    <w:rsid w:val="002F0EC9"/>
    <w:rsid w:val="002F0F22"/>
    <w:rsid w:val="002F0F85"/>
    <w:rsid w:val="002F119F"/>
    <w:rsid w:val="002F12F2"/>
    <w:rsid w:val="002F13EC"/>
    <w:rsid w:val="002F19E2"/>
    <w:rsid w:val="002F2049"/>
    <w:rsid w:val="002F211F"/>
    <w:rsid w:val="002F23B5"/>
    <w:rsid w:val="002F249E"/>
    <w:rsid w:val="002F2E3B"/>
    <w:rsid w:val="002F3079"/>
    <w:rsid w:val="002F31E6"/>
    <w:rsid w:val="002F324D"/>
    <w:rsid w:val="002F3843"/>
    <w:rsid w:val="002F41D3"/>
    <w:rsid w:val="002F56BD"/>
    <w:rsid w:val="002F637A"/>
    <w:rsid w:val="002F720F"/>
    <w:rsid w:val="002F7382"/>
    <w:rsid w:val="002F7B03"/>
    <w:rsid w:val="003006D5"/>
    <w:rsid w:val="00300E94"/>
    <w:rsid w:val="00301586"/>
    <w:rsid w:val="00302215"/>
    <w:rsid w:val="00302A5E"/>
    <w:rsid w:val="00302AFD"/>
    <w:rsid w:val="00302BF4"/>
    <w:rsid w:val="003036AD"/>
    <w:rsid w:val="0030428F"/>
    <w:rsid w:val="00304572"/>
    <w:rsid w:val="0030509A"/>
    <w:rsid w:val="00305629"/>
    <w:rsid w:val="00305807"/>
    <w:rsid w:val="00305A04"/>
    <w:rsid w:val="00305ADC"/>
    <w:rsid w:val="00306046"/>
    <w:rsid w:val="003060F3"/>
    <w:rsid w:val="003063E1"/>
    <w:rsid w:val="0030660B"/>
    <w:rsid w:val="00307996"/>
    <w:rsid w:val="0030799F"/>
    <w:rsid w:val="00310CFB"/>
    <w:rsid w:val="00310D5B"/>
    <w:rsid w:val="00310DA1"/>
    <w:rsid w:val="00311289"/>
    <w:rsid w:val="003112C3"/>
    <w:rsid w:val="00311320"/>
    <w:rsid w:val="0031145F"/>
    <w:rsid w:val="003116BA"/>
    <w:rsid w:val="00311ADD"/>
    <w:rsid w:val="0031308F"/>
    <w:rsid w:val="00313415"/>
    <w:rsid w:val="00313A71"/>
    <w:rsid w:val="00313AFE"/>
    <w:rsid w:val="00313FD6"/>
    <w:rsid w:val="00314265"/>
    <w:rsid w:val="003149D0"/>
    <w:rsid w:val="00314E8A"/>
    <w:rsid w:val="00315588"/>
    <w:rsid w:val="00315F9A"/>
    <w:rsid w:val="003161CF"/>
    <w:rsid w:val="003166D4"/>
    <w:rsid w:val="0031706E"/>
    <w:rsid w:val="00317138"/>
    <w:rsid w:val="00317D9E"/>
    <w:rsid w:val="00317EBF"/>
    <w:rsid w:val="00320395"/>
    <w:rsid w:val="00320B22"/>
    <w:rsid w:val="003211FA"/>
    <w:rsid w:val="0032191E"/>
    <w:rsid w:val="003227D6"/>
    <w:rsid w:val="00323C1A"/>
    <w:rsid w:val="00323CAC"/>
    <w:rsid w:val="00323EDC"/>
    <w:rsid w:val="00324062"/>
    <w:rsid w:val="00324FD1"/>
    <w:rsid w:val="0032606A"/>
    <w:rsid w:val="0032622C"/>
    <w:rsid w:val="0032664E"/>
    <w:rsid w:val="003267EC"/>
    <w:rsid w:val="00326A80"/>
    <w:rsid w:val="0032729D"/>
    <w:rsid w:val="0032787E"/>
    <w:rsid w:val="00330894"/>
    <w:rsid w:val="00330DAD"/>
    <w:rsid w:val="00330FC4"/>
    <w:rsid w:val="00331676"/>
    <w:rsid w:val="0033171F"/>
    <w:rsid w:val="003326E2"/>
    <w:rsid w:val="00332BE8"/>
    <w:rsid w:val="00333279"/>
    <w:rsid w:val="00333579"/>
    <w:rsid w:val="003352DC"/>
    <w:rsid w:val="003358EA"/>
    <w:rsid w:val="00335E6D"/>
    <w:rsid w:val="00335F20"/>
    <w:rsid w:val="00336112"/>
    <w:rsid w:val="0033622E"/>
    <w:rsid w:val="00336248"/>
    <w:rsid w:val="003362A4"/>
    <w:rsid w:val="003369AC"/>
    <w:rsid w:val="00336A16"/>
    <w:rsid w:val="0033759D"/>
    <w:rsid w:val="003414D2"/>
    <w:rsid w:val="003428B8"/>
    <w:rsid w:val="00342A93"/>
    <w:rsid w:val="00343357"/>
    <w:rsid w:val="00343C51"/>
    <w:rsid w:val="00343CF1"/>
    <w:rsid w:val="00344110"/>
    <w:rsid w:val="00344986"/>
    <w:rsid w:val="00344C32"/>
    <w:rsid w:val="00344C4F"/>
    <w:rsid w:val="0034517B"/>
    <w:rsid w:val="003451B9"/>
    <w:rsid w:val="003455FE"/>
    <w:rsid w:val="00345C0C"/>
    <w:rsid w:val="003469AA"/>
    <w:rsid w:val="00346B98"/>
    <w:rsid w:val="003477B3"/>
    <w:rsid w:val="003500E1"/>
    <w:rsid w:val="003501DA"/>
    <w:rsid w:val="0035070B"/>
    <w:rsid w:val="00350858"/>
    <w:rsid w:val="00350945"/>
    <w:rsid w:val="00350949"/>
    <w:rsid w:val="00350A22"/>
    <w:rsid w:val="00350D75"/>
    <w:rsid w:val="00350F64"/>
    <w:rsid w:val="003512EC"/>
    <w:rsid w:val="003522E8"/>
    <w:rsid w:val="00352F27"/>
    <w:rsid w:val="00353751"/>
    <w:rsid w:val="00353827"/>
    <w:rsid w:val="00353D86"/>
    <w:rsid w:val="00354851"/>
    <w:rsid w:val="00354AE7"/>
    <w:rsid w:val="00354CE9"/>
    <w:rsid w:val="00355772"/>
    <w:rsid w:val="00355D1F"/>
    <w:rsid w:val="00355F85"/>
    <w:rsid w:val="0035652A"/>
    <w:rsid w:val="00356756"/>
    <w:rsid w:val="00356C98"/>
    <w:rsid w:val="00356F65"/>
    <w:rsid w:val="00357B6F"/>
    <w:rsid w:val="00357DAA"/>
    <w:rsid w:val="0036055B"/>
    <w:rsid w:val="00360DBB"/>
    <w:rsid w:val="003613A3"/>
    <w:rsid w:val="00361414"/>
    <w:rsid w:val="003616AE"/>
    <w:rsid w:val="003618A3"/>
    <w:rsid w:val="00361D13"/>
    <w:rsid w:val="00363589"/>
    <w:rsid w:val="003636B6"/>
    <w:rsid w:val="00365000"/>
    <w:rsid w:val="0036534A"/>
    <w:rsid w:val="003653A7"/>
    <w:rsid w:val="0036613B"/>
    <w:rsid w:val="0036688E"/>
    <w:rsid w:val="00366904"/>
    <w:rsid w:val="00366EB6"/>
    <w:rsid w:val="003672F4"/>
    <w:rsid w:val="00367BA7"/>
    <w:rsid w:val="00370383"/>
    <w:rsid w:val="00370400"/>
    <w:rsid w:val="00370C6F"/>
    <w:rsid w:val="00370CB1"/>
    <w:rsid w:val="00371545"/>
    <w:rsid w:val="00371711"/>
    <w:rsid w:val="00371BBF"/>
    <w:rsid w:val="00371C72"/>
    <w:rsid w:val="00371CB2"/>
    <w:rsid w:val="0037212D"/>
    <w:rsid w:val="00372265"/>
    <w:rsid w:val="0037228D"/>
    <w:rsid w:val="003722CE"/>
    <w:rsid w:val="00372908"/>
    <w:rsid w:val="00373630"/>
    <w:rsid w:val="00373B9A"/>
    <w:rsid w:val="00373F45"/>
    <w:rsid w:val="003741C3"/>
    <w:rsid w:val="003756F7"/>
    <w:rsid w:val="003763C0"/>
    <w:rsid w:val="00376C34"/>
    <w:rsid w:val="00376FD4"/>
    <w:rsid w:val="00377BCA"/>
    <w:rsid w:val="00377FF2"/>
    <w:rsid w:val="00380202"/>
    <w:rsid w:val="00381001"/>
    <w:rsid w:val="00381026"/>
    <w:rsid w:val="00381459"/>
    <w:rsid w:val="00381481"/>
    <w:rsid w:val="00381641"/>
    <w:rsid w:val="0038197A"/>
    <w:rsid w:val="00381DF7"/>
    <w:rsid w:val="00382800"/>
    <w:rsid w:val="00382BE3"/>
    <w:rsid w:val="003830B4"/>
    <w:rsid w:val="00383884"/>
    <w:rsid w:val="00384125"/>
    <w:rsid w:val="0038434C"/>
    <w:rsid w:val="00384839"/>
    <w:rsid w:val="00384F03"/>
    <w:rsid w:val="0038670C"/>
    <w:rsid w:val="003904A8"/>
    <w:rsid w:val="003908DF"/>
    <w:rsid w:val="00392469"/>
    <w:rsid w:val="003924F4"/>
    <w:rsid w:val="003929A6"/>
    <w:rsid w:val="00392D0A"/>
    <w:rsid w:val="0039432F"/>
    <w:rsid w:val="0039471F"/>
    <w:rsid w:val="00394CD6"/>
    <w:rsid w:val="00395A20"/>
    <w:rsid w:val="00396DF0"/>
    <w:rsid w:val="00397A26"/>
    <w:rsid w:val="00397F11"/>
    <w:rsid w:val="003A1085"/>
    <w:rsid w:val="003A1348"/>
    <w:rsid w:val="003A1CB0"/>
    <w:rsid w:val="003A1CF2"/>
    <w:rsid w:val="003A24D1"/>
    <w:rsid w:val="003A2A3F"/>
    <w:rsid w:val="003A318F"/>
    <w:rsid w:val="003A347A"/>
    <w:rsid w:val="003A3E80"/>
    <w:rsid w:val="003A406A"/>
    <w:rsid w:val="003A45CE"/>
    <w:rsid w:val="003A496E"/>
    <w:rsid w:val="003A4EE5"/>
    <w:rsid w:val="003A50AF"/>
    <w:rsid w:val="003A5E72"/>
    <w:rsid w:val="003A60A1"/>
    <w:rsid w:val="003A6D06"/>
    <w:rsid w:val="003A6D56"/>
    <w:rsid w:val="003A6FC3"/>
    <w:rsid w:val="003A7025"/>
    <w:rsid w:val="003A7496"/>
    <w:rsid w:val="003A7BF2"/>
    <w:rsid w:val="003B0505"/>
    <w:rsid w:val="003B0C19"/>
    <w:rsid w:val="003B10CB"/>
    <w:rsid w:val="003B1113"/>
    <w:rsid w:val="003B1143"/>
    <w:rsid w:val="003B1354"/>
    <w:rsid w:val="003B1407"/>
    <w:rsid w:val="003B1891"/>
    <w:rsid w:val="003B1EEC"/>
    <w:rsid w:val="003B28EF"/>
    <w:rsid w:val="003B32DC"/>
    <w:rsid w:val="003B34D5"/>
    <w:rsid w:val="003B4295"/>
    <w:rsid w:val="003B4E4D"/>
    <w:rsid w:val="003B4F60"/>
    <w:rsid w:val="003B639C"/>
    <w:rsid w:val="003B73A4"/>
    <w:rsid w:val="003B77D1"/>
    <w:rsid w:val="003C0360"/>
    <w:rsid w:val="003C0A07"/>
    <w:rsid w:val="003C1380"/>
    <w:rsid w:val="003C18F4"/>
    <w:rsid w:val="003C21C4"/>
    <w:rsid w:val="003C2348"/>
    <w:rsid w:val="003C296D"/>
    <w:rsid w:val="003C2BD2"/>
    <w:rsid w:val="003C350A"/>
    <w:rsid w:val="003C36E7"/>
    <w:rsid w:val="003C42CE"/>
    <w:rsid w:val="003C4317"/>
    <w:rsid w:val="003C4D16"/>
    <w:rsid w:val="003C65D2"/>
    <w:rsid w:val="003C68F3"/>
    <w:rsid w:val="003C7F23"/>
    <w:rsid w:val="003D085B"/>
    <w:rsid w:val="003D0C23"/>
    <w:rsid w:val="003D100E"/>
    <w:rsid w:val="003D168A"/>
    <w:rsid w:val="003D17BB"/>
    <w:rsid w:val="003D1B10"/>
    <w:rsid w:val="003D230B"/>
    <w:rsid w:val="003D231E"/>
    <w:rsid w:val="003D2B4A"/>
    <w:rsid w:val="003D42ED"/>
    <w:rsid w:val="003D4630"/>
    <w:rsid w:val="003D49BF"/>
    <w:rsid w:val="003D51C5"/>
    <w:rsid w:val="003D52A2"/>
    <w:rsid w:val="003D5F9D"/>
    <w:rsid w:val="003D6063"/>
    <w:rsid w:val="003D61C9"/>
    <w:rsid w:val="003D686B"/>
    <w:rsid w:val="003D6DF0"/>
    <w:rsid w:val="003D71D1"/>
    <w:rsid w:val="003D758B"/>
    <w:rsid w:val="003D768B"/>
    <w:rsid w:val="003E00B1"/>
    <w:rsid w:val="003E01EC"/>
    <w:rsid w:val="003E02B7"/>
    <w:rsid w:val="003E052E"/>
    <w:rsid w:val="003E064B"/>
    <w:rsid w:val="003E15B6"/>
    <w:rsid w:val="003E3418"/>
    <w:rsid w:val="003E3A96"/>
    <w:rsid w:val="003E3C86"/>
    <w:rsid w:val="003E4158"/>
    <w:rsid w:val="003E4353"/>
    <w:rsid w:val="003E474B"/>
    <w:rsid w:val="003E6540"/>
    <w:rsid w:val="003E664A"/>
    <w:rsid w:val="003E68ED"/>
    <w:rsid w:val="003E74F2"/>
    <w:rsid w:val="003E7546"/>
    <w:rsid w:val="003E7D5E"/>
    <w:rsid w:val="003F03E4"/>
    <w:rsid w:val="003F06CE"/>
    <w:rsid w:val="003F0809"/>
    <w:rsid w:val="003F0D4D"/>
    <w:rsid w:val="003F1465"/>
    <w:rsid w:val="003F1466"/>
    <w:rsid w:val="003F1A1E"/>
    <w:rsid w:val="003F2DA4"/>
    <w:rsid w:val="003F44D1"/>
    <w:rsid w:val="003F4CFE"/>
    <w:rsid w:val="003F521E"/>
    <w:rsid w:val="003F59E6"/>
    <w:rsid w:val="003F6E32"/>
    <w:rsid w:val="003F70A2"/>
    <w:rsid w:val="003F70C9"/>
    <w:rsid w:val="003F7386"/>
    <w:rsid w:val="003F7AB4"/>
    <w:rsid w:val="004001B5"/>
    <w:rsid w:val="00400731"/>
    <w:rsid w:val="004008FD"/>
    <w:rsid w:val="00400B50"/>
    <w:rsid w:val="0040107C"/>
    <w:rsid w:val="00401965"/>
    <w:rsid w:val="004020F7"/>
    <w:rsid w:val="004024A3"/>
    <w:rsid w:val="0040254B"/>
    <w:rsid w:val="0040255F"/>
    <w:rsid w:val="004026A4"/>
    <w:rsid w:val="00403017"/>
    <w:rsid w:val="004032F6"/>
    <w:rsid w:val="004036B4"/>
    <w:rsid w:val="0040375E"/>
    <w:rsid w:val="004048FD"/>
    <w:rsid w:val="00404BDA"/>
    <w:rsid w:val="00404DA7"/>
    <w:rsid w:val="00405392"/>
    <w:rsid w:val="004061DA"/>
    <w:rsid w:val="004062EB"/>
    <w:rsid w:val="004064D5"/>
    <w:rsid w:val="0040691B"/>
    <w:rsid w:val="00407645"/>
    <w:rsid w:val="00407DEC"/>
    <w:rsid w:val="00410D44"/>
    <w:rsid w:val="00410F21"/>
    <w:rsid w:val="0041166F"/>
    <w:rsid w:val="00411ED7"/>
    <w:rsid w:val="00411FE6"/>
    <w:rsid w:val="00412015"/>
    <w:rsid w:val="0041268D"/>
    <w:rsid w:val="00413809"/>
    <w:rsid w:val="0041430E"/>
    <w:rsid w:val="00414CE8"/>
    <w:rsid w:val="00415AC8"/>
    <w:rsid w:val="00416281"/>
    <w:rsid w:val="004167D9"/>
    <w:rsid w:val="00416856"/>
    <w:rsid w:val="00416CCC"/>
    <w:rsid w:val="00417285"/>
    <w:rsid w:val="00417E20"/>
    <w:rsid w:val="0042011D"/>
    <w:rsid w:val="0042046C"/>
    <w:rsid w:val="00420685"/>
    <w:rsid w:val="004207AD"/>
    <w:rsid w:val="00421273"/>
    <w:rsid w:val="0042132E"/>
    <w:rsid w:val="0042217E"/>
    <w:rsid w:val="00422254"/>
    <w:rsid w:val="004223A9"/>
    <w:rsid w:val="0042252D"/>
    <w:rsid w:val="004228B9"/>
    <w:rsid w:val="00422E88"/>
    <w:rsid w:val="00423161"/>
    <w:rsid w:val="0042425B"/>
    <w:rsid w:val="0042484D"/>
    <w:rsid w:val="00424B8A"/>
    <w:rsid w:val="00424C21"/>
    <w:rsid w:val="004255CB"/>
    <w:rsid w:val="00425ADC"/>
    <w:rsid w:val="00425E2B"/>
    <w:rsid w:val="00426AD8"/>
    <w:rsid w:val="00426BAB"/>
    <w:rsid w:val="00426C8B"/>
    <w:rsid w:val="00426E6D"/>
    <w:rsid w:val="00427169"/>
    <w:rsid w:val="00427708"/>
    <w:rsid w:val="00427DD4"/>
    <w:rsid w:val="004305B7"/>
    <w:rsid w:val="00430D23"/>
    <w:rsid w:val="00430D2E"/>
    <w:rsid w:val="0043104B"/>
    <w:rsid w:val="00431B3E"/>
    <w:rsid w:val="004326F8"/>
    <w:rsid w:val="0043291D"/>
    <w:rsid w:val="004333E9"/>
    <w:rsid w:val="0043368C"/>
    <w:rsid w:val="0043371F"/>
    <w:rsid w:val="00433922"/>
    <w:rsid w:val="00433D7B"/>
    <w:rsid w:val="00433F9B"/>
    <w:rsid w:val="00434072"/>
    <w:rsid w:val="004340B0"/>
    <w:rsid w:val="00434A69"/>
    <w:rsid w:val="0043531F"/>
    <w:rsid w:val="00435AC9"/>
    <w:rsid w:val="004377F3"/>
    <w:rsid w:val="004406EF"/>
    <w:rsid w:val="004407D3"/>
    <w:rsid w:val="004407F1"/>
    <w:rsid w:val="00440B9E"/>
    <w:rsid w:val="00442200"/>
    <w:rsid w:val="00442E84"/>
    <w:rsid w:val="004443FF"/>
    <w:rsid w:val="0044551F"/>
    <w:rsid w:val="0044559E"/>
    <w:rsid w:val="004456F4"/>
    <w:rsid w:val="00446D95"/>
    <w:rsid w:val="0044733C"/>
    <w:rsid w:val="00447369"/>
    <w:rsid w:val="00447C4C"/>
    <w:rsid w:val="00450312"/>
    <w:rsid w:val="0045073B"/>
    <w:rsid w:val="00451C16"/>
    <w:rsid w:val="00451CA2"/>
    <w:rsid w:val="0045214B"/>
    <w:rsid w:val="00452C04"/>
    <w:rsid w:val="00452E17"/>
    <w:rsid w:val="00452F85"/>
    <w:rsid w:val="0045311F"/>
    <w:rsid w:val="004533F9"/>
    <w:rsid w:val="00453A1C"/>
    <w:rsid w:val="00453ADE"/>
    <w:rsid w:val="004541D7"/>
    <w:rsid w:val="0045562B"/>
    <w:rsid w:val="00455B3E"/>
    <w:rsid w:val="00455CB0"/>
    <w:rsid w:val="0045614A"/>
    <w:rsid w:val="00456240"/>
    <w:rsid w:val="0045655E"/>
    <w:rsid w:val="00456C9E"/>
    <w:rsid w:val="00457F21"/>
    <w:rsid w:val="00460182"/>
    <w:rsid w:val="004601BC"/>
    <w:rsid w:val="00461527"/>
    <w:rsid w:val="004619DA"/>
    <w:rsid w:val="00461B29"/>
    <w:rsid w:val="00461D56"/>
    <w:rsid w:val="00462220"/>
    <w:rsid w:val="004622C9"/>
    <w:rsid w:val="004622D1"/>
    <w:rsid w:val="0046268F"/>
    <w:rsid w:val="004628C0"/>
    <w:rsid w:val="00463602"/>
    <w:rsid w:val="004638C3"/>
    <w:rsid w:val="0046424A"/>
    <w:rsid w:val="00464B25"/>
    <w:rsid w:val="00464B79"/>
    <w:rsid w:val="00464C2B"/>
    <w:rsid w:val="004650DB"/>
    <w:rsid w:val="00465175"/>
    <w:rsid w:val="00465BDC"/>
    <w:rsid w:val="0046611E"/>
    <w:rsid w:val="00466280"/>
    <w:rsid w:val="00466F89"/>
    <w:rsid w:val="004671F9"/>
    <w:rsid w:val="0047028F"/>
    <w:rsid w:val="00470D65"/>
    <w:rsid w:val="00471206"/>
    <w:rsid w:val="00471BEA"/>
    <w:rsid w:val="00471C99"/>
    <w:rsid w:val="00472240"/>
    <w:rsid w:val="00472850"/>
    <w:rsid w:val="004746F1"/>
    <w:rsid w:val="0047498C"/>
    <w:rsid w:val="00474EBE"/>
    <w:rsid w:val="00474F3D"/>
    <w:rsid w:val="00475126"/>
    <w:rsid w:val="0047655C"/>
    <w:rsid w:val="004765C3"/>
    <w:rsid w:val="00476618"/>
    <w:rsid w:val="00476BD4"/>
    <w:rsid w:val="00477187"/>
    <w:rsid w:val="004775A3"/>
    <w:rsid w:val="00477955"/>
    <w:rsid w:val="00477B0D"/>
    <w:rsid w:val="00477B6A"/>
    <w:rsid w:val="00480384"/>
    <w:rsid w:val="00481535"/>
    <w:rsid w:val="004818B3"/>
    <w:rsid w:val="00482861"/>
    <w:rsid w:val="0048292D"/>
    <w:rsid w:val="00483BB3"/>
    <w:rsid w:val="00483FB0"/>
    <w:rsid w:val="00485041"/>
    <w:rsid w:val="0048565A"/>
    <w:rsid w:val="004856FD"/>
    <w:rsid w:val="004858F0"/>
    <w:rsid w:val="00485B6F"/>
    <w:rsid w:val="00485BE9"/>
    <w:rsid w:val="00485C7F"/>
    <w:rsid w:val="004866B0"/>
    <w:rsid w:val="00486A96"/>
    <w:rsid w:val="00486B2F"/>
    <w:rsid w:val="00486CDE"/>
    <w:rsid w:val="00486CF8"/>
    <w:rsid w:val="0048705A"/>
    <w:rsid w:val="0048747C"/>
    <w:rsid w:val="0048759E"/>
    <w:rsid w:val="0048773E"/>
    <w:rsid w:val="00487921"/>
    <w:rsid w:val="00487A23"/>
    <w:rsid w:val="00487DBF"/>
    <w:rsid w:val="0049105B"/>
    <w:rsid w:val="00491B59"/>
    <w:rsid w:val="00491B9E"/>
    <w:rsid w:val="0049200B"/>
    <w:rsid w:val="004934D7"/>
    <w:rsid w:val="00493ECE"/>
    <w:rsid w:val="00493F18"/>
    <w:rsid w:val="004943F5"/>
    <w:rsid w:val="0049493F"/>
    <w:rsid w:val="00494A98"/>
    <w:rsid w:val="00494CF9"/>
    <w:rsid w:val="0049523A"/>
    <w:rsid w:val="00495C97"/>
    <w:rsid w:val="00495F4F"/>
    <w:rsid w:val="004960DA"/>
    <w:rsid w:val="0049634E"/>
    <w:rsid w:val="00496427"/>
    <w:rsid w:val="0049653F"/>
    <w:rsid w:val="004967F8"/>
    <w:rsid w:val="00496982"/>
    <w:rsid w:val="00496CD7"/>
    <w:rsid w:val="00497006"/>
    <w:rsid w:val="004970EA"/>
    <w:rsid w:val="004A0339"/>
    <w:rsid w:val="004A0ECF"/>
    <w:rsid w:val="004A127B"/>
    <w:rsid w:val="004A1AE8"/>
    <w:rsid w:val="004A1D34"/>
    <w:rsid w:val="004A1DAA"/>
    <w:rsid w:val="004A1EFF"/>
    <w:rsid w:val="004A26A6"/>
    <w:rsid w:val="004A26B8"/>
    <w:rsid w:val="004A3823"/>
    <w:rsid w:val="004A4241"/>
    <w:rsid w:val="004A43A9"/>
    <w:rsid w:val="004A5243"/>
    <w:rsid w:val="004A5343"/>
    <w:rsid w:val="004A579C"/>
    <w:rsid w:val="004A743E"/>
    <w:rsid w:val="004A75B2"/>
    <w:rsid w:val="004A78DB"/>
    <w:rsid w:val="004A79BC"/>
    <w:rsid w:val="004A7CF3"/>
    <w:rsid w:val="004A7DA4"/>
    <w:rsid w:val="004A7F1E"/>
    <w:rsid w:val="004A7F8E"/>
    <w:rsid w:val="004B00BA"/>
    <w:rsid w:val="004B0D36"/>
    <w:rsid w:val="004B268C"/>
    <w:rsid w:val="004B2E48"/>
    <w:rsid w:val="004B37B0"/>
    <w:rsid w:val="004B3A71"/>
    <w:rsid w:val="004B41A8"/>
    <w:rsid w:val="004B463F"/>
    <w:rsid w:val="004B4B50"/>
    <w:rsid w:val="004B574A"/>
    <w:rsid w:val="004B601E"/>
    <w:rsid w:val="004B61AC"/>
    <w:rsid w:val="004B65A3"/>
    <w:rsid w:val="004B6850"/>
    <w:rsid w:val="004B7137"/>
    <w:rsid w:val="004B7638"/>
    <w:rsid w:val="004B7C50"/>
    <w:rsid w:val="004C0799"/>
    <w:rsid w:val="004C154A"/>
    <w:rsid w:val="004C1FC6"/>
    <w:rsid w:val="004C2041"/>
    <w:rsid w:val="004C2643"/>
    <w:rsid w:val="004C2F0A"/>
    <w:rsid w:val="004C2F45"/>
    <w:rsid w:val="004C3338"/>
    <w:rsid w:val="004C47D9"/>
    <w:rsid w:val="004C490D"/>
    <w:rsid w:val="004C5009"/>
    <w:rsid w:val="004C5DE3"/>
    <w:rsid w:val="004C6509"/>
    <w:rsid w:val="004C6D0E"/>
    <w:rsid w:val="004C7D0D"/>
    <w:rsid w:val="004C7D14"/>
    <w:rsid w:val="004C7DA9"/>
    <w:rsid w:val="004D0D55"/>
    <w:rsid w:val="004D0EC7"/>
    <w:rsid w:val="004D0F62"/>
    <w:rsid w:val="004D2502"/>
    <w:rsid w:val="004D2ACE"/>
    <w:rsid w:val="004D2AEC"/>
    <w:rsid w:val="004D2BEA"/>
    <w:rsid w:val="004D2CDB"/>
    <w:rsid w:val="004D2D8D"/>
    <w:rsid w:val="004D2F15"/>
    <w:rsid w:val="004D3F7A"/>
    <w:rsid w:val="004D436D"/>
    <w:rsid w:val="004D47A8"/>
    <w:rsid w:val="004D4D70"/>
    <w:rsid w:val="004D5B21"/>
    <w:rsid w:val="004D5BDA"/>
    <w:rsid w:val="004D628E"/>
    <w:rsid w:val="004D6376"/>
    <w:rsid w:val="004D682A"/>
    <w:rsid w:val="004D689F"/>
    <w:rsid w:val="004D69E8"/>
    <w:rsid w:val="004D6A6B"/>
    <w:rsid w:val="004D7085"/>
    <w:rsid w:val="004D731E"/>
    <w:rsid w:val="004E00C8"/>
    <w:rsid w:val="004E0431"/>
    <w:rsid w:val="004E0B4A"/>
    <w:rsid w:val="004E105E"/>
    <w:rsid w:val="004E116B"/>
    <w:rsid w:val="004E21EC"/>
    <w:rsid w:val="004E2333"/>
    <w:rsid w:val="004E25EE"/>
    <w:rsid w:val="004E2C55"/>
    <w:rsid w:val="004E3724"/>
    <w:rsid w:val="004E3811"/>
    <w:rsid w:val="004E3875"/>
    <w:rsid w:val="004E3F53"/>
    <w:rsid w:val="004E4191"/>
    <w:rsid w:val="004E4351"/>
    <w:rsid w:val="004E43AA"/>
    <w:rsid w:val="004E4608"/>
    <w:rsid w:val="004E49C9"/>
    <w:rsid w:val="004E4E50"/>
    <w:rsid w:val="004E5231"/>
    <w:rsid w:val="004E650F"/>
    <w:rsid w:val="004E66B6"/>
    <w:rsid w:val="004E7408"/>
    <w:rsid w:val="004E7B5F"/>
    <w:rsid w:val="004F0413"/>
    <w:rsid w:val="004F0B90"/>
    <w:rsid w:val="004F0F80"/>
    <w:rsid w:val="004F1373"/>
    <w:rsid w:val="004F1A7A"/>
    <w:rsid w:val="004F26AD"/>
    <w:rsid w:val="004F2CA5"/>
    <w:rsid w:val="004F30CE"/>
    <w:rsid w:val="004F403F"/>
    <w:rsid w:val="004F4863"/>
    <w:rsid w:val="004F4EB1"/>
    <w:rsid w:val="004F4FD7"/>
    <w:rsid w:val="004F5FED"/>
    <w:rsid w:val="004F610A"/>
    <w:rsid w:val="004F6CEC"/>
    <w:rsid w:val="004F77C3"/>
    <w:rsid w:val="004F7CEE"/>
    <w:rsid w:val="005001CD"/>
    <w:rsid w:val="005004CC"/>
    <w:rsid w:val="00500703"/>
    <w:rsid w:val="00500799"/>
    <w:rsid w:val="005008E5"/>
    <w:rsid w:val="00500A7B"/>
    <w:rsid w:val="00500A99"/>
    <w:rsid w:val="005012E4"/>
    <w:rsid w:val="00501500"/>
    <w:rsid w:val="0050249B"/>
    <w:rsid w:val="00502525"/>
    <w:rsid w:val="00502591"/>
    <w:rsid w:val="0050276A"/>
    <w:rsid w:val="00502A93"/>
    <w:rsid w:val="00503A44"/>
    <w:rsid w:val="00504033"/>
    <w:rsid w:val="00504277"/>
    <w:rsid w:val="00504443"/>
    <w:rsid w:val="005053FD"/>
    <w:rsid w:val="00505E59"/>
    <w:rsid w:val="0050771D"/>
    <w:rsid w:val="00507784"/>
    <w:rsid w:val="005077CC"/>
    <w:rsid w:val="00507D73"/>
    <w:rsid w:val="00510E5C"/>
    <w:rsid w:val="00511455"/>
    <w:rsid w:val="00511599"/>
    <w:rsid w:val="00511BD9"/>
    <w:rsid w:val="0051278B"/>
    <w:rsid w:val="00512C92"/>
    <w:rsid w:val="00512EC7"/>
    <w:rsid w:val="005136F9"/>
    <w:rsid w:val="005137F8"/>
    <w:rsid w:val="00513BCA"/>
    <w:rsid w:val="00514073"/>
    <w:rsid w:val="00514600"/>
    <w:rsid w:val="00514B47"/>
    <w:rsid w:val="00514E23"/>
    <w:rsid w:val="005161EE"/>
    <w:rsid w:val="005165CC"/>
    <w:rsid w:val="005169B1"/>
    <w:rsid w:val="00516B4A"/>
    <w:rsid w:val="00517318"/>
    <w:rsid w:val="0051764B"/>
    <w:rsid w:val="0052005F"/>
    <w:rsid w:val="0052054D"/>
    <w:rsid w:val="00520B31"/>
    <w:rsid w:val="00520B9A"/>
    <w:rsid w:val="00520D80"/>
    <w:rsid w:val="00521B25"/>
    <w:rsid w:val="00521B75"/>
    <w:rsid w:val="00521BFD"/>
    <w:rsid w:val="005220CB"/>
    <w:rsid w:val="005222C5"/>
    <w:rsid w:val="00522400"/>
    <w:rsid w:val="005224F9"/>
    <w:rsid w:val="00522D5A"/>
    <w:rsid w:val="0052341F"/>
    <w:rsid w:val="00523736"/>
    <w:rsid w:val="00523D53"/>
    <w:rsid w:val="00523E89"/>
    <w:rsid w:val="00524339"/>
    <w:rsid w:val="00524D5F"/>
    <w:rsid w:val="005255D6"/>
    <w:rsid w:val="005258AF"/>
    <w:rsid w:val="00525CBA"/>
    <w:rsid w:val="00525F4A"/>
    <w:rsid w:val="005262FE"/>
    <w:rsid w:val="00526D8B"/>
    <w:rsid w:val="00527459"/>
    <w:rsid w:val="00527822"/>
    <w:rsid w:val="005278F7"/>
    <w:rsid w:val="00527924"/>
    <w:rsid w:val="00527BD6"/>
    <w:rsid w:val="00527ECC"/>
    <w:rsid w:val="0053056B"/>
    <w:rsid w:val="00530A07"/>
    <w:rsid w:val="00530D6F"/>
    <w:rsid w:val="00531182"/>
    <w:rsid w:val="00531834"/>
    <w:rsid w:val="005319E8"/>
    <w:rsid w:val="00531E58"/>
    <w:rsid w:val="00531F45"/>
    <w:rsid w:val="0053280F"/>
    <w:rsid w:val="005328ED"/>
    <w:rsid w:val="00532F72"/>
    <w:rsid w:val="00533276"/>
    <w:rsid w:val="005338E5"/>
    <w:rsid w:val="00533D5E"/>
    <w:rsid w:val="0053468E"/>
    <w:rsid w:val="005348A4"/>
    <w:rsid w:val="00534B51"/>
    <w:rsid w:val="00534C37"/>
    <w:rsid w:val="005352D6"/>
    <w:rsid w:val="00535653"/>
    <w:rsid w:val="00535CEA"/>
    <w:rsid w:val="005362BC"/>
    <w:rsid w:val="00536351"/>
    <w:rsid w:val="005364D7"/>
    <w:rsid w:val="00536F6B"/>
    <w:rsid w:val="00537752"/>
    <w:rsid w:val="005404ED"/>
    <w:rsid w:val="0054153C"/>
    <w:rsid w:val="005418EF"/>
    <w:rsid w:val="00541D24"/>
    <w:rsid w:val="00541F78"/>
    <w:rsid w:val="0054268F"/>
    <w:rsid w:val="00542E15"/>
    <w:rsid w:val="0054360F"/>
    <w:rsid w:val="005451CF"/>
    <w:rsid w:val="00545A46"/>
    <w:rsid w:val="00545D41"/>
    <w:rsid w:val="00545DA9"/>
    <w:rsid w:val="005462E7"/>
    <w:rsid w:val="005463CB"/>
    <w:rsid w:val="00546714"/>
    <w:rsid w:val="005469A6"/>
    <w:rsid w:val="005479AB"/>
    <w:rsid w:val="00547BC2"/>
    <w:rsid w:val="00550874"/>
    <w:rsid w:val="00550E15"/>
    <w:rsid w:val="00551363"/>
    <w:rsid w:val="0055146B"/>
    <w:rsid w:val="00551767"/>
    <w:rsid w:val="00551E95"/>
    <w:rsid w:val="00552382"/>
    <w:rsid w:val="005525BC"/>
    <w:rsid w:val="005529E6"/>
    <w:rsid w:val="00553035"/>
    <w:rsid w:val="00553060"/>
    <w:rsid w:val="0055308B"/>
    <w:rsid w:val="0055311F"/>
    <w:rsid w:val="00553F13"/>
    <w:rsid w:val="00554673"/>
    <w:rsid w:val="0055541E"/>
    <w:rsid w:val="00555690"/>
    <w:rsid w:val="005556D0"/>
    <w:rsid w:val="0055593A"/>
    <w:rsid w:val="00555D53"/>
    <w:rsid w:val="0055634F"/>
    <w:rsid w:val="0055664F"/>
    <w:rsid w:val="00556864"/>
    <w:rsid w:val="005569E0"/>
    <w:rsid w:val="00557169"/>
    <w:rsid w:val="005572DE"/>
    <w:rsid w:val="005572F3"/>
    <w:rsid w:val="005575D3"/>
    <w:rsid w:val="00557832"/>
    <w:rsid w:val="00560182"/>
    <w:rsid w:val="0056128A"/>
    <w:rsid w:val="00561358"/>
    <w:rsid w:val="00561AE3"/>
    <w:rsid w:val="0056239B"/>
    <w:rsid w:val="005623C5"/>
    <w:rsid w:val="005640B6"/>
    <w:rsid w:val="00564B38"/>
    <w:rsid w:val="00565453"/>
    <w:rsid w:val="00565676"/>
    <w:rsid w:val="00565E58"/>
    <w:rsid w:val="00566FF2"/>
    <w:rsid w:val="005679E4"/>
    <w:rsid w:val="00570B94"/>
    <w:rsid w:val="00571169"/>
    <w:rsid w:val="00572852"/>
    <w:rsid w:val="00572E04"/>
    <w:rsid w:val="005730D1"/>
    <w:rsid w:val="00573CA5"/>
    <w:rsid w:val="005748B1"/>
    <w:rsid w:val="00574AE0"/>
    <w:rsid w:val="00574AE5"/>
    <w:rsid w:val="00574C60"/>
    <w:rsid w:val="0057552E"/>
    <w:rsid w:val="005761BE"/>
    <w:rsid w:val="0057735C"/>
    <w:rsid w:val="0058018B"/>
    <w:rsid w:val="00580761"/>
    <w:rsid w:val="00580B0C"/>
    <w:rsid w:val="00580D3D"/>
    <w:rsid w:val="00580DF7"/>
    <w:rsid w:val="00580E5E"/>
    <w:rsid w:val="0058156E"/>
    <w:rsid w:val="00581C78"/>
    <w:rsid w:val="00581F96"/>
    <w:rsid w:val="005822D4"/>
    <w:rsid w:val="00582A57"/>
    <w:rsid w:val="00582B50"/>
    <w:rsid w:val="00583651"/>
    <w:rsid w:val="00583B7F"/>
    <w:rsid w:val="00584DCF"/>
    <w:rsid w:val="00584EBE"/>
    <w:rsid w:val="005851BA"/>
    <w:rsid w:val="005861D3"/>
    <w:rsid w:val="0058657A"/>
    <w:rsid w:val="0058690C"/>
    <w:rsid w:val="00586ADB"/>
    <w:rsid w:val="00586C44"/>
    <w:rsid w:val="0058720F"/>
    <w:rsid w:val="00587210"/>
    <w:rsid w:val="005872CD"/>
    <w:rsid w:val="00587581"/>
    <w:rsid w:val="0058782E"/>
    <w:rsid w:val="00587894"/>
    <w:rsid w:val="00587FFA"/>
    <w:rsid w:val="0059007E"/>
    <w:rsid w:val="00590635"/>
    <w:rsid w:val="0059097A"/>
    <w:rsid w:val="005913BD"/>
    <w:rsid w:val="005919E9"/>
    <w:rsid w:val="00592252"/>
    <w:rsid w:val="00592463"/>
    <w:rsid w:val="005926B6"/>
    <w:rsid w:val="0059271E"/>
    <w:rsid w:val="005929FB"/>
    <w:rsid w:val="00592FDB"/>
    <w:rsid w:val="00593926"/>
    <w:rsid w:val="00593B09"/>
    <w:rsid w:val="00593B2B"/>
    <w:rsid w:val="00593F61"/>
    <w:rsid w:val="00593FCC"/>
    <w:rsid w:val="00594F85"/>
    <w:rsid w:val="00595936"/>
    <w:rsid w:val="005962E4"/>
    <w:rsid w:val="005966F3"/>
    <w:rsid w:val="00596D2E"/>
    <w:rsid w:val="00597192"/>
    <w:rsid w:val="0059784C"/>
    <w:rsid w:val="00597BAC"/>
    <w:rsid w:val="00597D75"/>
    <w:rsid w:val="00597FEF"/>
    <w:rsid w:val="005A0383"/>
    <w:rsid w:val="005A060D"/>
    <w:rsid w:val="005A0811"/>
    <w:rsid w:val="005A092A"/>
    <w:rsid w:val="005A0D3C"/>
    <w:rsid w:val="005A0ED9"/>
    <w:rsid w:val="005A1409"/>
    <w:rsid w:val="005A1574"/>
    <w:rsid w:val="005A16CF"/>
    <w:rsid w:val="005A1BC5"/>
    <w:rsid w:val="005A2B40"/>
    <w:rsid w:val="005A2CC6"/>
    <w:rsid w:val="005A3331"/>
    <w:rsid w:val="005A3FA4"/>
    <w:rsid w:val="005A45A7"/>
    <w:rsid w:val="005A4B13"/>
    <w:rsid w:val="005A50E2"/>
    <w:rsid w:val="005A5833"/>
    <w:rsid w:val="005A58C6"/>
    <w:rsid w:val="005A5EE3"/>
    <w:rsid w:val="005A648F"/>
    <w:rsid w:val="005A68EF"/>
    <w:rsid w:val="005A6970"/>
    <w:rsid w:val="005A6BBE"/>
    <w:rsid w:val="005A6FCB"/>
    <w:rsid w:val="005A7060"/>
    <w:rsid w:val="005A7239"/>
    <w:rsid w:val="005A78FF"/>
    <w:rsid w:val="005B02BF"/>
    <w:rsid w:val="005B0B5B"/>
    <w:rsid w:val="005B0D6B"/>
    <w:rsid w:val="005B2A38"/>
    <w:rsid w:val="005B2AD5"/>
    <w:rsid w:val="005B34C0"/>
    <w:rsid w:val="005B4A48"/>
    <w:rsid w:val="005B4BB2"/>
    <w:rsid w:val="005B6BE9"/>
    <w:rsid w:val="005B73C4"/>
    <w:rsid w:val="005B7CEF"/>
    <w:rsid w:val="005B7EDA"/>
    <w:rsid w:val="005C0A20"/>
    <w:rsid w:val="005C102D"/>
    <w:rsid w:val="005C19E7"/>
    <w:rsid w:val="005C228E"/>
    <w:rsid w:val="005C25A4"/>
    <w:rsid w:val="005C274C"/>
    <w:rsid w:val="005C2F08"/>
    <w:rsid w:val="005C326F"/>
    <w:rsid w:val="005C3CAB"/>
    <w:rsid w:val="005C49FF"/>
    <w:rsid w:val="005C529A"/>
    <w:rsid w:val="005C5AF7"/>
    <w:rsid w:val="005C630F"/>
    <w:rsid w:val="005C646C"/>
    <w:rsid w:val="005C6E2A"/>
    <w:rsid w:val="005C7C75"/>
    <w:rsid w:val="005C7FC5"/>
    <w:rsid w:val="005D1116"/>
    <w:rsid w:val="005D16E5"/>
    <w:rsid w:val="005D1D97"/>
    <w:rsid w:val="005D1F31"/>
    <w:rsid w:val="005D22FF"/>
    <w:rsid w:val="005D26E0"/>
    <w:rsid w:val="005D42E8"/>
    <w:rsid w:val="005D4603"/>
    <w:rsid w:val="005D498F"/>
    <w:rsid w:val="005D4CF7"/>
    <w:rsid w:val="005D4FED"/>
    <w:rsid w:val="005D5982"/>
    <w:rsid w:val="005D5984"/>
    <w:rsid w:val="005D5AB7"/>
    <w:rsid w:val="005D7A25"/>
    <w:rsid w:val="005D7FFD"/>
    <w:rsid w:val="005E222F"/>
    <w:rsid w:val="005E22B7"/>
    <w:rsid w:val="005E27B9"/>
    <w:rsid w:val="005E3393"/>
    <w:rsid w:val="005E371C"/>
    <w:rsid w:val="005E3E7F"/>
    <w:rsid w:val="005E43A4"/>
    <w:rsid w:val="005E4E53"/>
    <w:rsid w:val="005E6635"/>
    <w:rsid w:val="005E6A95"/>
    <w:rsid w:val="005E6BF6"/>
    <w:rsid w:val="005E76FD"/>
    <w:rsid w:val="005E7A6F"/>
    <w:rsid w:val="005E7E62"/>
    <w:rsid w:val="005F0945"/>
    <w:rsid w:val="005F0D5D"/>
    <w:rsid w:val="005F1187"/>
    <w:rsid w:val="005F1836"/>
    <w:rsid w:val="005F2051"/>
    <w:rsid w:val="005F21F2"/>
    <w:rsid w:val="005F2351"/>
    <w:rsid w:val="005F24F1"/>
    <w:rsid w:val="005F24FD"/>
    <w:rsid w:val="005F33D0"/>
    <w:rsid w:val="005F3DAD"/>
    <w:rsid w:val="005F4EBB"/>
    <w:rsid w:val="005F5915"/>
    <w:rsid w:val="005F5975"/>
    <w:rsid w:val="005F5C78"/>
    <w:rsid w:val="005F6162"/>
    <w:rsid w:val="005F6636"/>
    <w:rsid w:val="005F6B7A"/>
    <w:rsid w:val="005F6C24"/>
    <w:rsid w:val="005F7C9C"/>
    <w:rsid w:val="00600B81"/>
    <w:rsid w:val="00600DB2"/>
    <w:rsid w:val="0060190A"/>
    <w:rsid w:val="006020E1"/>
    <w:rsid w:val="00602671"/>
    <w:rsid w:val="006026B1"/>
    <w:rsid w:val="0060353D"/>
    <w:rsid w:val="0060361F"/>
    <w:rsid w:val="00603B76"/>
    <w:rsid w:val="006042B0"/>
    <w:rsid w:val="006046DF"/>
    <w:rsid w:val="00604A32"/>
    <w:rsid w:val="00604C36"/>
    <w:rsid w:val="00605442"/>
    <w:rsid w:val="006059B9"/>
    <w:rsid w:val="0060617F"/>
    <w:rsid w:val="00606219"/>
    <w:rsid w:val="00606256"/>
    <w:rsid w:val="00606321"/>
    <w:rsid w:val="00606C86"/>
    <w:rsid w:val="00607051"/>
    <w:rsid w:val="006075B0"/>
    <w:rsid w:val="00607D8B"/>
    <w:rsid w:val="00607E8C"/>
    <w:rsid w:val="00610100"/>
    <w:rsid w:val="0061071F"/>
    <w:rsid w:val="00610C1A"/>
    <w:rsid w:val="00611397"/>
    <w:rsid w:val="00611794"/>
    <w:rsid w:val="00611B49"/>
    <w:rsid w:val="00611BA1"/>
    <w:rsid w:val="00612797"/>
    <w:rsid w:val="00612E30"/>
    <w:rsid w:val="006131B3"/>
    <w:rsid w:val="006134F3"/>
    <w:rsid w:val="00614175"/>
    <w:rsid w:val="0061529F"/>
    <w:rsid w:val="00615AF4"/>
    <w:rsid w:val="00615B30"/>
    <w:rsid w:val="00617170"/>
    <w:rsid w:val="00617181"/>
    <w:rsid w:val="0061781A"/>
    <w:rsid w:val="00617FFE"/>
    <w:rsid w:val="00620A0F"/>
    <w:rsid w:val="00620B88"/>
    <w:rsid w:val="00621454"/>
    <w:rsid w:val="006214F4"/>
    <w:rsid w:val="00621597"/>
    <w:rsid w:val="0062190C"/>
    <w:rsid w:val="00621BF3"/>
    <w:rsid w:val="00622CE0"/>
    <w:rsid w:val="0062329D"/>
    <w:rsid w:val="006232B8"/>
    <w:rsid w:val="00623617"/>
    <w:rsid w:val="00623D75"/>
    <w:rsid w:val="00624392"/>
    <w:rsid w:val="00624DF5"/>
    <w:rsid w:val="00625D1A"/>
    <w:rsid w:val="00625DBA"/>
    <w:rsid w:val="00627400"/>
    <w:rsid w:val="00627674"/>
    <w:rsid w:val="00627B61"/>
    <w:rsid w:val="006304AC"/>
    <w:rsid w:val="00630993"/>
    <w:rsid w:val="00630A04"/>
    <w:rsid w:val="00631838"/>
    <w:rsid w:val="00631C7C"/>
    <w:rsid w:val="00632209"/>
    <w:rsid w:val="00632971"/>
    <w:rsid w:val="00632B96"/>
    <w:rsid w:val="00632CEE"/>
    <w:rsid w:val="00634F15"/>
    <w:rsid w:val="0063529C"/>
    <w:rsid w:val="00635643"/>
    <w:rsid w:val="00635AB3"/>
    <w:rsid w:val="00635BD5"/>
    <w:rsid w:val="00636A5A"/>
    <w:rsid w:val="00636E64"/>
    <w:rsid w:val="0063717D"/>
    <w:rsid w:val="006402FF"/>
    <w:rsid w:val="006410FC"/>
    <w:rsid w:val="0064113B"/>
    <w:rsid w:val="00641429"/>
    <w:rsid w:val="00641CBB"/>
    <w:rsid w:val="00642B6A"/>
    <w:rsid w:val="006435B5"/>
    <w:rsid w:val="006437A9"/>
    <w:rsid w:val="006437C8"/>
    <w:rsid w:val="00643B33"/>
    <w:rsid w:val="00643C1E"/>
    <w:rsid w:val="006451A3"/>
    <w:rsid w:val="00645A2E"/>
    <w:rsid w:val="00645D3B"/>
    <w:rsid w:val="00645F6E"/>
    <w:rsid w:val="00646DD2"/>
    <w:rsid w:val="00647B38"/>
    <w:rsid w:val="00647F9F"/>
    <w:rsid w:val="00650056"/>
    <w:rsid w:val="00650BD0"/>
    <w:rsid w:val="0065111C"/>
    <w:rsid w:val="006511CF"/>
    <w:rsid w:val="006517EE"/>
    <w:rsid w:val="00651929"/>
    <w:rsid w:val="00651C13"/>
    <w:rsid w:val="006521E9"/>
    <w:rsid w:val="00652BBD"/>
    <w:rsid w:val="00652E34"/>
    <w:rsid w:val="00653232"/>
    <w:rsid w:val="00653B05"/>
    <w:rsid w:val="006548CF"/>
    <w:rsid w:val="00654B5A"/>
    <w:rsid w:val="00655735"/>
    <w:rsid w:val="006558F9"/>
    <w:rsid w:val="006559C6"/>
    <w:rsid w:val="00656140"/>
    <w:rsid w:val="0065621F"/>
    <w:rsid w:val="0065653C"/>
    <w:rsid w:val="00656E0F"/>
    <w:rsid w:val="00657234"/>
    <w:rsid w:val="0065763F"/>
    <w:rsid w:val="006576F9"/>
    <w:rsid w:val="00657852"/>
    <w:rsid w:val="00657962"/>
    <w:rsid w:val="006579D8"/>
    <w:rsid w:val="00660735"/>
    <w:rsid w:val="0066082C"/>
    <w:rsid w:val="00660DF6"/>
    <w:rsid w:val="006618EE"/>
    <w:rsid w:val="006621CC"/>
    <w:rsid w:val="0066285D"/>
    <w:rsid w:val="006641F9"/>
    <w:rsid w:val="006649F7"/>
    <w:rsid w:val="006652CA"/>
    <w:rsid w:val="00665588"/>
    <w:rsid w:val="00665B46"/>
    <w:rsid w:val="00666386"/>
    <w:rsid w:val="00666AE1"/>
    <w:rsid w:val="006671DA"/>
    <w:rsid w:val="006675A2"/>
    <w:rsid w:val="00667DDF"/>
    <w:rsid w:val="00667E02"/>
    <w:rsid w:val="00670149"/>
    <w:rsid w:val="006706D3"/>
    <w:rsid w:val="006707FE"/>
    <w:rsid w:val="00671354"/>
    <w:rsid w:val="00671356"/>
    <w:rsid w:val="00671B33"/>
    <w:rsid w:val="00671B7E"/>
    <w:rsid w:val="00672F26"/>
    <w:rsid w:val="00673B1B"/>
    <w:rsid w:val="0067428E"/>
    <w:rsid w:val="00674B26"/>
    <w:rsid w:val="00674CBB"/>
    <w:rsid w:val="006752EC"/>
    <w:rsid w:val="00676357"/>
    <w:rsid w:val="00676410"/>
    <w:rsid w:val="00676767"/>
    <w:rsid w:val="00676EE3"/>
    <w:rsid w:val="006772B7"/>
    <w:rsid w:val="006776D5"/>
    <w:rsid w:val="00677A0E"/>
    <w:rsid w:val="0068037D"/>
    <w:rsid w:val="00680907"/>
    <w:rsid w:val="006809BC"/>
    <w:rsid w:val="00680AA8"/>
    <w:rsid w:val="00680AB5"/>
    <w:rsid w:val="00680C61"/>
    <w:rsid w:val="00681409"/>
    <w:rsid w:val="006816D1"/>
    <w:rsid w:val="00681791"/>
    <w:rsid w:val="00681C65"/>
    <w:rsid w:val="00682182"/>
    <w:rsid w:val="006824DA"/>
    <w:rsid w:val="0068295D"/>
    <w:rsid w:val="00683297"/>
    <w:rsid w:val="006835B2"/>
    <w:rsid w:val="006836B4"/>
    <w:rsid w:val="00683EDA"/>
    <w:rsid w:val="0068405E"/>
    <w:rsid w:val="006841FB"/>
    <w:rsid w:val="0068441D"/>
    <w:rsid w:val="00684B63"/>
    <w:rsid w:val="00685CA6"/>
    <w:rsid w:val="00686568"/>
    <w:rsid w:val="00686836"/>
    <w:rsid w:val="00686C24"/>
    <w:rsid w:val="0068757C"/>
    <w:rsid w:val="00687F43"/>
    <w:rsid w:val="00690612"/>
    <w:rsid w:val="00690787"/>
    <w:rsid w:val="00691677"/>
    <w:rsid w:val="00691B12"/>
    <w:rsid w:val="006921DD"/>
    <w:rsid w:val="00692486"/>
    <w:rsid w:val="00692666"/>
    <w:rsid w:val="006930ED"/>
    <w:rsid w:val="00693233"/>
    <w:rsid w:val="006938E8"/>
    <w:rsid w:val="00693CF7"/>
    <w:rsid w:val="00693F86"/>
    <w:rsid w:val="006942A6"/>
    <w:rsid w:val="00694AA1"/>
    <w:rsid w:val="0069521C"/>
    <w:rsid w:val="006956F7"/>
    <w:rsid w:val="00695E20"/>
    <w:rsid w:val="00696EC8"/>
    <w:rsid w:val="0069704C"/>
    <w:rsid w:val="00697735"/>
    <w:rsid w:val="00697A4C"/>
    <w:rsid w:val="00697E58"/>
    <w:rsid w:val="006A0C9B"/>
    <w:rsid w:val="006A0CA6"/>
    <w:rsid w:val="006A0EC1"/>
    <w:rsid w:val="006A13B6"/>
    <w:rsid w:val="006A19B9"/>
    <w:rsid w:val="006A1EC1"/>
    <w:rsid w:val="006A291D"/>
    <w:rsid w:val="006A2B05"/>
    <w:rsid w:val="006A3437"/>
    <w:rsid w:val="006A3528"/>
    <w:rsid w:val="006A3716"/>
    <w:rsid w:val="006A3AE2"/>
    <w:rsid w:val="006A3BEB"/>
    <w:rsid w:val="006A40C3"/>
    <w:rsid w:val="006A4F5F"/>
    <w:rsid w:val="006A51D2"/>
    <w:rsid w:val="006A56A2"/>
    <w:rsid w:val="006A5A04"/>
    <w:rsid w:val="006A5BA4"/>
    <w:rsid w:val="006A5F04"/>
    <w:rsid w:val="006A6AEC"/>
    <w:rsid w:val="006A7B2D"/>
    <w:rsid w:val="006A7B31"/>
    <w:rsid w:val="006B111F"/>
    <w:rsid w:val="006B11C4"/>
    <w:rsid w:val="006B1A4D"/>
    <w:rsid w:val="006B1BAE"/>
    <w:rsid w:val="006B25DE"/>
    <w:rsid w:val="006B2BDF"/>
    <w:rsid w:val="006B30D0"/>
    <w:rsid w:val="006B39B2"/>
    <w:rsid w:val="006B3C6F"/>
    <w:rsid w:val="006B4038"/>
    <w:rsid w:val="006B4967"/>
    <w:rsid w:val="006B5555"/>
    <w:rsid w:val="006B57F7"/>
    <w:rsid w:val="006B5963"/>
    <w:rsid w:val="006B5984"/>
    <w:rsid w:val="006B598F"/>
    <w:rsid w:val="006B5BDE"/>
    <w:rsid w:val="006B7420"/>
    <w:rsid w:val="006B7E0E"/>
    <w:rsid w:val="006B7FC3"/>
    <w:rsid w:val="006C0124"/>
    <w:rsid w:val="006C031F"/>
    <w:rsid w:val="006C0371"/>
    <w:rsid w:val="006C054C"/>
    <w:rsid w:val="006C05E3"/>
    <w:rsid w:val="006C10A1"/>
    <w:rsid w:val="006C15E9"/>
    <w:rsid w:val="006C18A8"/>
    <w:rsid w:val="006C2415"/>
    <w:rsid w:val="006C2433"/>
    <w:rsid w:val="006C2BD0"/>
    <w:rsid w:val="006C2F49"/>
    <w:rsid w:val="006C3050"/>
    <w:rsid w:val="006C3919"/>
    <w:rsid w:val="006C40DF"/>
    <w:rsid w:val="006C46A0"/>
    <w:rsid w:val="006C6117"/>
    <w:rsid w:val="006C6FD3"/>
    <w:rsid w:val="006C7DDB"/>
    <w:rsid w:val="006D0190"/>
    <w:rsid w:val="006D05C5"/>
    <w:rsid w:val="006D0FA9"/>
    <w:rsid w:val="006D13E6"/>
    <w:rsid w:val="006D1BDB"/>
    <w:rsid w:val="006D2F42"/>
    <w:rsid w:val="006D3E19"/>
    <w:rsid w:val="006D42F1"/>
    <w:rsid w:val="006D485F"/>
    <w:rsid w:val="006D49BC"/>
    <w:rsid w:val="006D504C"/>
    <w:rsid w:val="006D5448"/>
    <w:rsid w:val="006D5E83"/>
    <w:rsid w:val="006D6ABB"/>
    <w:rsid w:val="006D6B83"/>
    <w:rsid w:val="006D7A85"/>
    <w:rsid w:val="006D7A91"/>
    <w:rsid w:val="006D7C7E"/>
    <w:rsid w:val="006E1000"/>
    <w:rsid w:val="006E173D"/>
    <w:rsid w:val="006E1B89"/>
    <w:rsid w:val="006E1F8C"/>
    <w:rsid w:val="006E22DC"/>
    <w:rsid w:val="006E243F"/>
    <w:rsid w:val="006E28BF"/>
    <w:rsid w:val="006E3113"/>
    <w:rsid w:val="006E346E"/>
    <w:rsid w:val="006E4761"/>
    <w:rsid w:val="006E4D7A"/>
    <w:rsid w:val="006E4E8E"/>
    <w:rsid w:val="006E4F55"/>
    <w:rsid w:val="006E4F5A"/>
    <w:rsid w:val="006E500A"/>
    <w:rsid w:val="006E5273"/>
    <w:rsid w:val="006E61CA"/>
    <w:rsid w:val="006E6931"/>
    <w:rsid w:val="006E6951"/>
    <w:rsid w:val="006E7688"/>
    <w:rsid w:val="006E79ED"/>
    <w:rsid w:val="006E7A7B"/>
    <w:rsid w:val="006F18F7"/>
    <w:rsid w:val="006F18FE"/>
    <w:rsid w:val="006F2292"/>
    <w:rsid w:val="006F26EA"/>
    <w:rsid w:val="006F32D2"/>
    <w:rsid w:val="006F42B9"/>
    <w:rsid w:val="006F4CEF"/>
    <w:rsid w:val="006F5335"/>
    <w:rsid w:val="006F5BB0"/>
    <w:rsid w:val="006F65E2"/>
    <w:rsid w:val="006F6864"/>
    <w:rsid w:val="006F6F2C"/>
    <w:rsid w:val="00700185"/>
    <w:rsid w:val="007001E2"/>
    <w:rsid w:val="007003C6"/>
    <w:rsid w:val="00700443"/>
    <w:rsid w:val="0070052E"/>
    <w:rsid w:val="00700F26"/>
    <w:rsid w:val="0070122B"/>
    <w:rsid w:val="0070140A"/>
    <w:rsid w:val="00702549"/>
    <w:rsid w:val="007030E9"/>
    <w:rsid w:val="007039B2"/>
    <w:rsid w:val="007050B2"/>
    <w:rsid w:val="00705162"/>
    <w:rsid w:val="007059DD"/>
    <w:rsid w:val="00705D91"/>
    <w:rsid w:val="00705E68"/>
    <w:rsid w:val="00706640"/>
    <w:rsid w:val="007079F2"/>
    <w:rsid w:val="00710380"/>
    <w:rsid w:val="00710A43"/>
    <w:rsid w:val="00710F92"/>
    <w:rsid w:val="0071186A"/>
    <w:rsid w:val="007129C7"/>
    <w:rsid w:val="00712B66"/>
    <w:rsid w:val="00712F31"/>
    <w:rsid w:val="00712F6E"/>
    <w:rsid w:val="00713A91"/>
    <w:rsid w:val="00713D8A"/>
    <w:rsid w:val="00714C5E"/>
    <w:rsid w:val="00714E6C"/>
    <w:rsid w:val="00715151"/>
    <w:rsid w:val="00715431"/>
    <w:rsid w:val="00715A2E"/>
    <w:rsid w:val="00715E6A"/>
    <w:rsid w:val="007162ED"/>
    <w:rsid w:val="00716E5C"/>
    <w:rsid w:val="007170C0"/>
    <w:rsid w:val="00717328"/>
    <w:rsid w:val="00717464"/>
    <w:rsid w:val="00717628"/>
    <w:rsid w:val="007177A8"/>
    <w:rsid w:val="00717A58"/>
    <w:rsid w:val="00717F04"/>
    <w:rsid w:val="007200EC"/>
    <w:rsid w:val="0072089B"/>
    <w:rsid w:val="00720CB6"/>
    <w:rsid w:val="00721585"/>
    <w:rsid w:val="0072212D"/>
    <w:rsid w:val="00722765"/>
    <w:rsid w:val="00722AAE"/>
    <w:rsid w:val="00722C7A"/>
    <w:rsid w:val="007246B8"/>
    <w:rsid w:val="00724782"/>
    <w:rsid w:val="007249E1"/>
    <w:rsid w:val="00725441"/>
    <w:rsid w:val="007254FB"/>
    <w:rsid w:val="007263C6"/>
    <w:rsid w:val="0072683A"/>
    <w:rsid w:val="00726A6F"/>
    <w:rsid w:val="00726B2B"/>
    <w:rsid w:val="00727364"/>
    <w:rsid w:val="00727797"/>
    <w:rsid w:val="007300BD"/>
    <w:rsid w:val="007308E6"/>
    <w:rsid w:val="007310EC"/>
    <w:rsid w:val="007319D7"/>
    <w:rsid w:val="00731B11"/>
    <w:rsid w:val="00732644"/>
    <w:rsid w:val="007326C3"/>
    <w:rsid w:val="0073328C"/>
    <w:rsid w:val="00733875"/>
    <w:rsid w:val="007341C7"/>
    <w:rsid w:val="007343D6"/>
    <w:rsid w:val="00734616"/>
    <w:rsid w:val="00734C27"/>
    <w:rsid w:val="007360A6"/>
    <w:rsid w:val="00736177"/>
    <w:rsid w:val="00736D97"/>
    <w:rsid w:val="007371A9"/>
    <w:rsid w:val="007375E0"/>
    <w:rsid w:val="0073782A"/>
    <w:rsid w:val="0074011A"/>
    <w:rsid w:val="007411E9"/>
    <w:rsid w:val="0074170C"/>
    <w:rsid w:val="00741CDE"/>
    <w:rsid w:val="00741F82"/>
    <w:rsid w:val="007429FD"/>
    <w:rsid w:val="007437CC"/>
    <w:rsid w:val="00743D80"/>
    <w:rsid w:val="0074462D"/>
    <w:rsid w:val="00744C7D"/>
    <w:rsid w:val="0074533E"/>
    <w:rsid w:val="00745BE4"/>
    <w:rsid w:val="00745D39"/>
    <w:rsid w:val="0074619A"/>
    <w:rsid w:val="007461F7"/>
    <w:rsid w:val="00746301"/>
    <w:rsid w:val="007463DD"/>
    <w:rsid w:val="0074719F"/>
    <w:rsid w:val="00747543"/>
    <w:rsid w:val="007475B0"/>
    <w:rsid w:val="0074763E"/>
    <w:rsid w:val="00747829"/>
    <w:rsid w:val="00750410"/>
    <w:rsid w:val="0075099F"/>
    <w:rsid w:val="00750D92"/>
    <w:rsid w:val="0075205E"/>
    <w:rsid w:val="007521A8"/>
    <w:rsid w:val="007522D5"/>
    <w:rsid w:val="00753C43"/>
    <w:rsid w:val="00753FF3"/>
    <w:rsid w:val="0075469A"/>
    <w:rsid w:val="00754CB5"/>
    <w:rsid w:val="007557A1"/>
    <w:rsid w:val="00755A33"/>
    <w:rsid w:val="00755DA5"/>
    <w:rsid w:val="00756955"/>
    <w:rsid w:val="00756D48"/>
    <w:rsid w:val="00756E18"/>
    <w:rsid w:val="00757460"/>
    <w:rsid w:val="007575FE"/>
    <w:rsid w:val="00757A2C"/>
    <w:rsid w:val="00760C28"/>
    <w:rsid w:val="0076114B"/>
    <w:rsid w:val="0076132A"/>
    <w:rsid w:val="00761540"/>
    <w:rsid w:val="00761B0B"/>
    <w:rsid w:val="007621FD"/>
    <w:rsid w:val="007626F6"/>
    <w:rsid w:val="00762934"/>
    <w:rsid w:val="007632D6"/>
    <w:rsid w:val="00763A6F"/>
    <w:rsid w:val="00763F0B"/>
    <w:rsid w:val="0076503F"/>
    <w:rsid w:val="00765374"/>
    <w:rsid w:val="00765827"/>
    <w:rsid w:val="00765857"/>
    <w:rsid w:val="00765899"/>
    <w:rsid w:val="00765A0F"/>
    <w:rsid w:val="00765C43"/>
    <w:rsid w:val="007661D5"/>
    <w:rsid w:val="00766A3B"/>
    <w:rsid w:val="0076720A"/>
    <w:rsid w:val="007708A3"/>
    <w:rsid w:val="007709EF"/>
    <w:rsid w:val="00770B72"/>
    <w:rsid w:val="00772DFB"/>
    <w:rsid w:val="00773221"/>
    <w:rsid w:val="00773474"/>
    <w:rsid w:val="0077360A"/>
    <w:rsid w:val="0077388E"/>
    <w:rsid w:val="00773C7B"/>
    <w:rsid w:val="00773E5B"/>
    <w:rsid w:val="00773F1E"/>
    <w:rsid w:val="007740D0"/>
    <w:rsid w:val="00774156"/>
    <w:rsid w:val="00774706"/>
    <w:rsid w:val="0077503D"/>
    <w:rsid w:val="0077532F"/>
    <w:rsid w:val="00775394"/>
    <w:rsid w:val="007757AB"/>
    <w:rsid w:val="00775B43"/>
    <w:rsid w:val="00775E98"/>
    <w:rsid w:val="0077637D"/>
    <w:rsid w:val="00776490"/>
    <w:rsid w:val="00777DED"/>
    <w:rsid w:val="00777E2F"/>
    <w:rsid w:val="00780131"/>
    <w:rsid w:val="007802F1"/>
    <w:rsid w:val="0078075B"/>
    <w:rsid w:val="007808C9"/>
    <w:rsid w:val="00780A89"/>
    <w:rsid w:val="00780BDE"/>
    <w:rsid w:val="00780CE4"/>
    <w:rsid w:val="00781BF7"/>
    <w:rsid w:val="00782130"/>
    <w:rsid w:val="007824FB"/>
    <w:rsid w:val="00782671"/>
    <w:rsid w:val="00782ED3"/>
    <w:rsid w:val="007837EA"/>
    <w:rsid w:val="00783888"/>
    <w:rsid w:val="00783E87"/>
    <w:rsid w:val="007841D3"/>
    <w:rsid w:val="00784547"/>
    <w:rsid w:val="00784CFF"/>
    <w:rsid w:val="00784EF0"/>
    <w:rsid w:val="007853D9"/>
    <w:rsid w:val="007853ED"/>
    <w:rsid w:val="0078600F"/>
    <w:rsid w:val="007868FA"/>
    <w:rsid w:val="00786A5D"/>
    <w:rsid w:val="0078739B"/>
    <w:rsid w:val="007874F9"/>
    <w:rsid w:val="00787584"/>
    <w:rsid w:val="00787FF6"/>
    <w:rsid w:val="00790026"/>
    <w:rsid w:val="0079022E"/>
    <w:rsid w:val="00790549"/>
    <w:rsid w:val="00790B7D"/>
    <w:rsid w:val="00791384"/>
    <w:rsid w:val="007913AD"/>
    <w:rsid w:val="007913E2"/>
    <w:rsid w:val="00791666"/>
    <w:rsid w:val="00791960"/>
    <w:rsid w:val="00791CC2"/>
    <w:rsid w:val="0079279B"/>
    <w:rsid w:val="00792902"/>
    <w:rsid w:val="007929BF"/>
    <w:rsid w:val="00793A7A"/>
    <w:rsid w:val="00793B07"/>
    <w:rsid w:val="00793BE8"/>
    <w:rsid w:val="00794AB4"/>
    <w:rsid w:val="007957C0"/>
    <w:rsid w:val="007959F7"/>
    <w:rsid w:val="00795A6C"/>
    <w:rsid w:val="007962B1"/>
    <w:rsid w:val="007962CB"/>
    <w:rsid w:val="00797370"/>
    <w:rsid w:val="007976A0"/>
    <w:rsid w:val="00797A23"/>
    <w:rsid w:val="00797E8D"/>
    <w:rsid w:val="007A039F"/>
    <w:rsid w:val="007A0617"/>
    <w:rsid w:val="007A0E7E"/>
    <w:rsid w:val="007A1395"/>
    <w:rsid w:val="007A1620"/>
    <w:rsid w:val="007A22A0"/>
    <w:rsid w:val="007A24DE"/>
    <w:rsid w:val="007A268C"/>
    <w:rsid w:val="007A271C"/>
    <w:rsid w:val="007A2E9C"/>
    <w:rsid w:val="007A30DB"/>
    <w:rsid w:val="007A38B0"/>
    <w:rsid w:val="007A3E1E"/>
    <w:rsid w:val="007A4DA6"/>
    <w:rsid w:val="007A5468"/>
    <w:rsid w:val="007A5C5B"/>
    <w:rsid w:val="007A606E"/>
    <w:rsid w:val="007A6577"/>
    <w:rsid w:val="007A68E1"/>
    <w:rsid w:val="007A7E73"/>
    <w:rsid w:val="007B0440"/>
    <w:rsid w:val="007B05F3"/>
    <w:rsid w:val="007B0A1C"/>
    <w:rsid w:val="007B0CF7"/>
    <w:rsid w:val="007B230E"/>
    <w:rsid w:val="007B260E"/>
    <w:rsid w:val="007B270B"/>
    <w:rsid w:val="007B2B72"/>
    <w:rsid w:val="007B3185"/>
    <w:rsid w:val="007B31B9"/>
    <w:rsid w:val="007B39D3"/>
    <w:rsid w:val="007B3A13"/>
    <w:rsid w:val="007B48C2"/>
    <w:rsid w:val="007B4D20"/>
    <w:rsid w:val="007B5A0F"/>
    <w:rsid w:val="007B5B63"/>
    <w:rsid w:val="007B5DCE"/>
    <w:rsid w:val="007B5F54"/>
    <w:rsid w:val="007B696F"/>
    <w:rsid w:val="007B6E13"/>
    <w:rsid w:val="007B6E3A"/>
    <w:rsid w:val="007B7812"/>
    <w:rsid w:val="007B7A71"/>
    <w:rsid w:val="007B7D1A"/>
    <w:rsid w:val="007C0102"/>
    <w:rsid w:val="007C0E67"/>
    <w:rsid w:val="007C16A8"/>
    <w:rsid w:val="007C1832"/>
    <w:rsid w:val="007C1A84"/>
    <w:rsid w:val="007C1F46"/>
    <w:rsid w:val="007C2171"/>
    <w:rsid w:val="007C22DD"/>
    <w:rsid w:val="007C2518"/>
    <w:rsid w:val="007C36E7"/>
    <w:rsid w:val="007C46E8"/>
    <w:rsid w:val="007C4EB7"/>
    <w:rsid w:val="007C5247"/>
    <w:rsid w:val="007C5701"/>
    <w:rsid w:val="007C6631"/>
    <w:rsid w:val="007C68A2"/>
    <w:rsid w:val="007C6EF5"/>
    <w:rsid w:val="007C7112"/>
    <w:rsid w:val="007D02A0"/>
    <w:rsid w:val="007D077A"/>
    <w:rsid w:val="007D0896"/>
    <w:rsid w:val="007D19EF"/>
    <w:rsid w:val="007D1EE3"/>
    <w:rsid w:val="007D2B60"/>
    <w:rsid w:val="007D2DBA"/>
    <w:rsid w:val="007D4296"/>
    <w:rsid w:val="007D43C3"/>
    <w:rsid w:val="007D4516"/>
    <w:rsid w:val="007D46ED"/>
    <w:rsid w:val="007D4CEA"/>
    <w:rsid w:val="007D5C2A"/>
    <w:rsid w:val="007D604A"/>
    <w:rsid w:val="007D60D8"/>
    <w:rsid w:val="007D6852"/>
    <w:rsid w:val="007D68B9"/>
    <w:rsid w:val="007D6D4F"/>
    <w:rsid w:val="007D7026"/>
    <w:rsid w:val="007D76B8"/>
    <w:rsid w:val="007E057F"/>
    <w:rsid w:val="007E05CD"/>
    <w:rsid w:val="007E07F7"/>
    <w:rsid w:val="007E0C59"/>
    <w:rsid w:val="007E1251"/>
    <w:rsid w:val="007E131B"/>
    <w:rsid w:val="007E1B88"/>
    <w:rsid w:val="007E21C7"/>
    <w:rsid w:val="007E227A"/>
    <w:rsid w:val="007E29D0"/>
    <w:rsid w:val="007E2F1E"/>
    <w:rsid w:val="007E4120"/>
    <w:rsid w:val="007E4813"/>
    <w:rsid w:val="007E748A"/>
    <w:rsid w:val="007E76B3"/>
    <w:rsid w:val="007E7D86"/>
    <w:rsid w:val="007F077D"/>
    <w:rsid w:val="007F0CCF"/>
    <w:rsid w:val="007F1089"/>
    <w:rsid w:val="007F10F6"/>
    <w:rsid w:val="007F115B"/>
    <w:rsid w:val="007F1363"/>
    <w:rsid w:val="007F1C59"/>
    <w:rsid w:val="007F24EC"/>
    <w:rsid w:val="007F277B"/>
    <w:rsid w:val="007F2994"/>
    <w:rsid w:val="007F3053"/>
    <w:rsid w:val="007F3707"/>
    <w:rsid w:val="007F398A"/>
    <w:rsid w:val="007F4B1D"/>
    <w:rsid w:val="007F4BC1"/>
    <w:rsid w:val="007F4BDD"/>
    <w:rsid w:val="007F4D76"/>
    <w:rsid w:val="007F5ACC"/>
    <w:rsid w:val="007F60F8"/>
    <w:rsid w:val="007F767B"/>
    <w:rsid w:val="007F7914"/>
    <w:rsid w:val="007F7B9E"/>
    <w:rsid w:val="007F7C0C"/>
    <w:rsid w:val="007F7FEA"/>
    <w:rsid w:val="008003EC"/>
    <w:rsid w:val="00800922"/>
    <w:rsid w:val="00800D9D"/>
    <w:rsid w:val="00800FE1"/>
    <w:rsid w:val="00801372"/>
    <w:rsid w:val="00801486"/>
    <w:rsid w:val="00801E43"/>
    <w:rsid w:val="00803008"/>
    <w:rsid w:val="008031F7"/>
    <w:rsid w:val="008032DA"/>
    <w:rsid w:val="008038F0"/>
    <w:rsid w:val="008040DF"/>
    <w:rsid w:val="0080428D"/>
    <w:rsid w:val="00805947"/>
    <w:rsid w:val="008079AC"/>
    <w:rsid w:val="00807D94"/>
    <w:rsid w:val="00807F47"/>
    <w:rsid w:val="008108A0"/>
    <w:rsid w:val="00810952"/>
    <w:rsid w:val="00810F8A"/>
    <w:rsid w:val="0081119C"/>
    <w:rsid w:val="00811F99"/>
    <w:rsid w:val="0081245F"/>
    <w:rsid w:val="00812909"/>
    <w:rsid w:val="00812A07"/>
    <w:rsid w:val="00813201"/>
    <w:rsid w:val="00813392"/>
    <w:rsid w:val="0081357F"/>
    <w:rsid w:val="0081382C"/>
    <w:rsid w:val="008138D4"/>
    <w:rsid w:val="008139E3"/>
    <w:rsid w:val="00813B41"/>
    <w:rsid w:val="00813B51"/>
    <w:rsid w:val="00815D82"/>
    <w:rsid w:val="00815DDE"/>
    <w:rsid w:val="008169A8"/>
    <w:rsid w:val="00816E1C"/>
    <w:rsid w:val="008175C0"/>
    <w:rsid w:val="0081799D"/>
    <w:rsid w:val="00817CB2"/>
    <w:rsid w:val="00817DAB"/>
    <w:rsid w:val="00817F96"/>
    <w:rsid w:val="008200C3"/>
    <w:rsid w:val="008204D2"/>
    <w:rsid w:val="00821031"/>
    <w:rsid w:val="00821287"/>
    <w:rsid w:val="0082165F"/>
    <w:rsid w:val="00821740"/>
    <w:rsid w:val="00821991"/>
    <w:rsid w:val="00821DEE"/>
    <w:rsid w:val="00821E5E"/>
    <w:rsid w:val="00822ABF"/>
    <w:rsid w:val="00822D24"/>
    <w:rsid w:val="00822DA6"/>
    <w:rsid w:val="008231DD"/>
    <w:rsid w:val="008239D7"/>
    <w:rsid w:val="00823D68"/>
    <w:rsid w:val="00824CFE"/>
    <w:rsid w:val="00824F68"/>
    <w:rsid w:val="008254C9"/>
    <w:rsid w:val="00825711"/>
    <w:rsid w:val="008263B0"/>
    <w:rsid w:val="00826437"/>
    <w:rsid w:val="00826914"/>
    <w:rsid w:val="00826DE8"/>
    <w:rsid w:val="00827311"/>
    <w:rsid w:val="00827716"/>
    <w:rsid w:val="00827F6E"/>
    <w:rsid w:val="008303E7"/>
    <w:rsid w:val="0083061A"/>
    <w:rsid w:val="00830DE8"/>
    <w:rsid w:val="00831302"/>
    <w:rsid w:val="00831944"/>
    <w:rsid w:val="00831978"/>
    <w:rsid w:val="00831A9F"/>
    <w:rsid w:val="00831DEF"/>
    <w:rsid w:val="00832D19"/>
    <w:rsid w:val="00832D88"/>
    <w:rsid w:val="0083351F"/>
    <w:rsid w:val="00833743"/>
    <w:rsid w:val="00833947"/>
    <w:rsid w:val="00833DE7"/>
    <w:rsid w:val="00834738"/>
    <w:rsid w:val="00834870"/>
    <w:rsid w:val="00834A74"/>
    <w:rsid w:val="008350D6"/>
    <w:rsid w:val="0083576B"/>
    <w:rsid w:val="00835947"/>
    <w:rsid w:val="00835B6E"/>
    <w:rsid w:val="00835F4F"/>
    <w:rsid w:val="00836160"/>
    <w:rsid w:val="00836C79"/>
    <w:rsid w:val="008375D4"/>
    <w:rsid w:val="00837886"/>
    <w:rsid w:val="008378BE"/>
    <w:rsid w:val="00837D77"/>
    <w:rsid w:val="00837F1B"/>
    <w:rsid w:val="00840084"/>
    <w:rsid w:val="008405B2"/>
    <w:rsid w:val="00840A92"/>
    <w:rsid w:val="00840AB6"/>
    <w:rsid w:val="0084106E"/>
    <w:rsid w:val="00841C53"/>
    <w:rsid w:val="00842411"/>
    <w:rsid w:val="00842799"/>
    <w:rsid w:val="00842EF7"/>
    <w:rsid w:val="00843030"/>
    <w:rsid w:val="008430A3"/>
    <w:rsid w:val="00843389"/>
    <w:rsid w:val="008438FC"/>
    <w:rsid w:val="00844171"/>
    <w:rsid w:val="008452A8"/>
    <w:rsid w:val="00845F4B"/>
    <w:rsid w:val="00845F57"/>
    <w:rsid w:val="008461B5"/>
    <w:rsid w:val="00846794"/>
    <w:rsid w:val="00846B1E"/>
    <w:rsid w:val="00846B24"/>
    <w:rsid w:val="00846E08"/>
    <w:rsid w:val="00846F1E"/>
    <w:rsid w:val="0084771E"/>
    <w:rsid w:val="0085039D"/>
    <w:rsid w:val="0085055E"/>
    <w:rsid w:val="0085095C"/>
    <w:rsid w:val="00850B3B"/>
    <w:rsid w:val="0085118A"/>
    <w:rsid w:val="008513AF"/>
    <w:rsid w:val="008514B3"/>
    <w:rsid w:val="00851922"/>
    <w:rsid w:val="00851C23"/>
    <w:rsid w:val="008521DD"/>
    <w:rsid w:val="00852C18"/>
    <w:rsid w:val="00852F5C"/>
    <w:rsid w:val="0085411D"/>
    <w:rsid w:val="00854152"/>
    <w:rsid w:val="008545D5"/>
    <w:rsid w:val="008556E5"/>
    <w:rsid w:val="00855B8A"/>
    <w:rsid w:val="008561B5"/>
    <w:rsid w:val="00856A6B"/>
    <w:rsid w:val="00856E17"/>
    <w:rsid w:val="008570C8"/>
    <w:rsid w:val="00857240"/>
    <w:rsid w:val="00857C87"/>
    <w:rsid w:val="00857CD6"/>
    <w:rsid w:val="008606EE"/>
    <w:rsid w:val="00860E19"/>
    <w:rsid w:val="0086147B"/>
    <w:rsid w:val="008617BC"/>
    <w:rsid w:val="00861FB2"/>
    <w:rsid w:val="00862EF6"/>
    <w:rsid w:val="00863197"/>
    <w:rsid w:val="00863429"/>
    <w:rsid w:val="00863972"/>
    <w:rsid w:val="00863C4A"/>
    <w:rsid w:val="008647B1"/>
    <w:rsid w:val="0086541F"/>
    <w:rsid w:val="008660D4"/>
    <w:rsid w:val="00866290"/>
    <w:rsid w:val="00866615"/>
    <w:rsid w:val="008667CA"/>
    <w:rsid w:val="00867543"/>
    <w:rsid w:val="00867835"/>
    <w:rsid w:val="00867942"/>
    <w:rsid w:val="00867BFF"/>
    <w:rsid w:val="008700E1"/>
    <w:rsid w:val="0087047F"/>
    <w:rsid w:val="00871422"/>
    <w:rsid w:val="008725E7"/>
    <w:rsid w:val="008743C9"/>
    <w:rsid w:val="00874732"/>
    <w:rsid w:val="008748B6"/>
    <w:rsid w:val="008749DC"/>
    <w:rsid w:val="00875187"/>
    <w:rsid w:val="0087536B"/>
    <w:rsid w:val="00875560"/>
    <w:rsid w:val="0087616C"/>
    <w:rsid w:val="00876932"/>
    <w:rsid w:val="00876FCB"/>
    <w:rsid w:val="008771E4"/>
    <w:rsid w:val="00880000"/>
    <w:rsid w:val="0088030A"/>
    <w:rsid w:val="008804F0"/>
    <w:rsid w:val="00881E14"/>
    <w:rsid w:val="008820AD"/>
    <w:rsid w:val="008821F3"/>
    <w:rsid w:val="00882A30"/>
    <w:rsid w:val="00882AD4"/>
    <w:rsid w:val="00882B5F"/>
    <w:rsid w:val="00882E34"/>
    <w:rsid w:val="00882FE4"/>
    <w:rsid w:val="00883FA8"/>
    <w:rsid w:val="00884612"/>
    <w:rsid w:val="00884A83"/>
    <w:rsid w:val="00884D7B"/>
    <w:rsid w:val="00884E9E"/>
    <w:rsid w:val="00885184"/>
    <w:rsid w:val="008853B1"/>
    <w:rsid w:val="008861BF"/>
    <w:rsid w:val="0088666A"/>
    <w:rsid w:val="00886B7E"/>
    <w:rsid w:val="0088790A"/>
    <w:rsid w:val="00887C00"/>
    <w:rsid w:val="008903C3"/>
    <w:rsid w:val="008904F2"/>
    <w:rsid w:val="008914FF"/>
    <w:rsid w:val="0089221B"/>
    <w:rsid w:val="008922A3"/>
    <w:rsid w:val="0089289F"/>
    <w:rsid w:val="00893CD5"/>
    <w:rsid w:val="008949D4"/>
    <w:rsid w:val="00894E2A"/>
    <w:rsid w:val="00894EA2"/>
    <w:rsid w:val="00895507"/>
    <w:rsid w:val="00895720"/>
    <w:rsid w:val="00895C90"/>
    <w:rsid w:val="008964F9"/>
    <w:rsid w:val="00896580"/>
    <w:rsid w:val="008971DA"/>
    <w:rsid w:val="00897211"/>
    <w:rsid w:val="00897327"/>
    <w:rsid w:val="0089751C"/>
    <w:rsid w:val="00897890"/>
    <w:rsid w:val="00897F4B"/>
    <w:rsid w:val="008A075E"/>
    <w:rsid w:val="008A2ABE"/>
    <w:rsid w:val="008A2C63"/>
    <w:rsid w:val="008A2CC5"/>
    <w:rsid w:val="008A394D"/>
    <w:rsid w:val="008A4A5B"/>
    <w:rsid w:val="008A4C50"/>
    <w:rsid w:val="008A5421"/>
    <w:rsid w:val="008A5BBD"/>
    <w:rsid w:val="008A5C22"/>
    <w:rsid w:val="008A5E47"/>
    <w:rsid w:val="008A5F5B"/>
    <w:rsid w:val="008A6754"/>
    <w:rsid w:val="008A7E43"/>
    <w:rsid w:val="008A7F5D"/>
    <w:rsid w:val="008B044E"/>
    <w:rsid w:val="008B082D"/>
    <w:rsid w:val="008B0B5F"/>
    <w:rsid w:val="008B176B"/>
    <w:rsid w:val="008B219F"/>
    <w:rsid w:val="008B21C1"/>
    <w:rsid w:val="008B3EF9"/>
    <w:rsid w:val="008B4248"/>
    <w:rsid w:val="008B42FF"/>
    <w:rsid w:val="008B46D4"/>
    <w:rsid w:val="008B49FA"/>
    <w:rsid w:val="008B4C3F"/>
    <w:rsid w:val="008B4D4A"/>
    <w:rsid w:val="008B5A8B"/>
    <w:rsid w:val="008B6DC3"/>
    <w:rsid w:val="008B7172"/>
    <w:rsid w:val="008B7641"/>
    <w:rsid w:val="008B79A0"/>
    <w:rsid w:val="008B7E61"/>
    <w:rsid w:val="008C0840"/>
    <w:rsid w:val="008C0D30"/>
    <w:rsid w:val="008C15DC"/>
    <w:rsid w:val="008C1D31"/>
    <w:rsid w:val="008C26B1"/>
    <w:rsid w:val="008C28FD"/>
    <w:rsid w:val="008C2D11"/>
    <w:rsid w:val="008C2EE2"/>
    <w:rsid w:val="008C2EFF"/>
    <w:rsid w:val="008C30EA"/>
    <w:rsid w:val="008C35F6"/>
    <w:rsid w:val="008C37B4"/>
    <w:rsid w:val="008C3853"/>
    <w:rsid w:val="008C4A61"/>
    <w:rsid w:val="008C5523"/>
    <w:rsid w:val="008C62EA"/>
    <w:rsid w:val="008C67FF"/>
    <w:rsid w:val="008D0282"/>
    <w:rsid w:val="008D04DE"/>
    <w:rsid w:val="008D0C0A"/>
    <w:rsid w:val="008D1217"/>
    <w:rsid w:val="008D152F"/>
    <w:rsid w:val="008D2E4E"/>
    <w:rsid w:val="008D3333"/>
    <w:rsid w:val="008D3831"/>
    <w:rsid w:val="008D3E96"/>
    <w:rsid w:val="008D3EAE"/>
    <w:rsid w:val="008D417B"/>
    <w:rsid w:val="008D4ABB"/>
    <w:rsid w:val="008D5092"/>
    <w:rsid w:val="008D523F"/>
    <w:rsid w:val="008D5692"/>
    <w:rsid w:val="008D59AA"/>
    <w:rsid w:val="008D6447"/>
    <w:rsid w:val="008D73B2"/>
    <w:rsid w:val="008D749D"/>
    <w:rsid w:val="008D7762"/>
    <w:rsid w:val="008D7E8B"/>
    <w:rsid w:val="008E078E"/>
    <w:rsid w:val="008E1C7C"/>
    <w:rsid w:val="008E1F48"/>
    <w:rsid w:val="008E1FDC"/>
    <w:rsid w:val="008E26B7"/>
    <w:rsid w:val="008E28AD"/>
    <w:rsid w:val="008E307B"/>
    <w:rsid w:val="008E3B2E"/>
    <w:rsid w:val="008E3C39"/>
    <w:rsid w:val="008E3D28"/>
    <w:rsid w:val="008E3D6E"/>
    <w:rsid w:val="008E4361"/>
    <w:rsid w:val="008E53A1"/>
    <w:rsid w:val="008E567A"/>
    <w:rsid w:val="008E62D1"/>
    <w:rsid w:val="008E6707"/>
    <w:rsid w:val="008E6893"/>
    <w:rsid w:val="008E70B3"/>
    <w:rsid w:val="008E72E1"/>
    <w:rsid w:val="008E7A83"/>
    <w:rsid w:val="008E7CEF"/>
    <w:rsid w:val="008E7D44"/>
    <w:rsid w:val="008F06C3"/>
    <w:rsid w:val="008F0FE1"/>
    <w:rsid w:val="008F134A"/>
    <w:rsid w:val="008F1678"/>
    <w:rsid w:val="008F1DED"/>
    <w:rsid w:val="008F2081"/>
    <w:rsid w:val="008F242F"/>
    <w:rsid w:val="008F252B"/>
    <w:rsid w:val="008F2646"/>
    <w:rsid w:val="008F26FB"/>
    <w:rsid w:val="008F3BCC"/>
    <w:rsid w:val="008F4272"/>
    <w:rsid w:val="008F4E80"/>
    <w:rsid w:val="008F5528"/>
    <w:rsid w:val="008F5609"/>
    <w:rsid w:val="008F5A93"/>
    <w:rsid w:val="008F5F20"/>
    <w:rsid w:val="008F6991"/>
    <w:rsid w:val="008F727C"/>
    <w:rsid w:val="009000F0"/>
    <w:rsid w:val="00901194"/>
    <w:rsid w:val="00901CBA"/>
    <w:rsid w:val="00901E22"/>
    <w:rsid w:val="009029E4"/>
    <w:rsid w:val="00902CC9"/>
    <w:rsid w:val="00902D64"/>
    <w:rsid w:val="00903881"/>
    <w:rsid w:val="00903E77"/>
    <w:rsid w:val="009042A8"/>
    <w:rsid w:val="00904726"/>
    <w:rsid w:val="00904921"/>
    <w:rsid w:val="009057EE"/>
    <w:rsid w:val="00905950"/>
    <w:rsid w:val="00905990"/>
    <w:rsid w:val="0090663B"/>
    <w:rsid w:val="00907092"/>
    <w:rsid w:val="009077F6"/>
    <w:rsid w:val="00911482"/>
    <w:rsid w:val="00911A7E"/>
    <w:rsid w:val="00911C88"/>
    <w:rsid w:val="009120FC"/>
    <w:rsid w:val="009131A4"/>
    <w:rsid w:val="009131D5"/>
    <w:rsid w:val="00913256"/>
    <w:rsid w:val="009144E9"/>
    <w:rsid w:val="0091452B"/>
    <w:rsid w:val="00914ED5"/>
    <w:rsid w:val="009151A6"/>
    <w:rsid w:val="00915376"/>
    <w:rsid w:val="00915F5D"/>
    <w:rsid w:val="00916366"/>
    <w:rsid w:val="00916533"/>
    <w:rsid w:val="009168E1"/>
    <w:rsid w:val="009176CD"/>
    <w:rsid w:val="009177F2"/>
    <w:rsid w:val="00917E53"/>
    <w:rsid w:val="00920667"/>
    <w:rsid w:val="00920897"/>
    <w:rsid w:val="00920BAA"/>
    <w:rsid w:val="00921383"/>
    <w:rsid w:val="00921E06"/>
    <w:rsid w:val="00921E7C"/>
    <w:rsid w:val="0092208F"/>
    <w:rsid w:val="0092297A"/>
    <w:rsid w:val="00923349"/>
    <w:rsid w:val="00923AD0"/>
    <w:rsid w:val="00924926"/>
    <w:rsid w:val="009249F6"/>
    <w:rsid w:val="00924FB9"/>
    <w:rsid w:val="0092540E"/>
    <w:rsid w:val="00925CE9"/>
    <w:rsid w:val="00926A0F"/>
    <w:rsid w:val="009273E5"/>
    <w:rsid w:val="0092751B"/>
    <w:rsid w:val="0092763A"/>
    <w:rsid w:val="00930518"/>
    <w:rsid w:val="00930C82"/>
    <w:rsid w:val="009311CB"/>
    <w:rsid w:val="00931235"/>
    <w:rsid w:val="00931657"/>
    <w:rsid w:val="00931831"/>
    <w:rsid w:val="0093221E"/>
    <w:rsid w:val="0093286F"/>
    <w:rsid w:val="009334DC"/>
    <w:rsid w:val="00933C63"/>
    <w:rsid w:val="0093402E"/>
    <w:rsid w:val="0093405E"/>
    <w:rsid w:val="009345F8"/>
    <w:rsid w:val="00934D50"/>
    <w:rsid w:val="00934FA1"/>
    <w:rsid w:val="0093546D"/>
    <w:rsid w:val="00936260"/>
    <w:rsid w:val="00936337"/>
    <w:rsid w:val="009368D8"/>
    <w:rsid w:val="00936A7D"/>
    <w:rsid w:val="009376A0"/>
    <w:rsid w:val="009376D6"/>
    <w:rsid w:val="00940176"/>
    <w:rsid w:val="00940192"/>
    <w:rsid w:val="0094022B"/>
    <w:rsid w:val="00940533"/>
    <w:rsid w:val="009405BC"/>
    <w:rsid w:val="00940659"/>
    <w:rsid w:val="00940FA8"/>
    <w:rsid w:val="009414F5"/>
    <w:rsid w:val="009418C3"/>
    <w:rsid w:val="009419F3"/>
    <w:rsid w:val="00941A61"/>
    <w:rsid w:val="00941D6C"/>
    <w:rsid w:val="009435C4"/>
    <w:rsid w:val="009439E4"/>
    <w:rsid w:val="00943A50"/>
    <w:rsid w:val="00943DF2"/>
    <w:rsid w:val="00943F75"/>
    <w:rsid w:val="00944E56"/>
    <w:rsid w:val="00946A3F"/>
    <w:rsid w:val="00946F41"/>
    <w:rsid w:val="00947255"/>
    <w:rsid w:val="00947CF0"/>
    <w:rsid w:val="009503C0"/>
    <w:rsid w:val="009514AE"/>
    <w:rsid w:val="009518DE"/>
    <w:rsid w:val="009519D3"/>
    <w:rsid w:val="0095321C"/>
    <w:rsid w:val="0095334B"/>
    <w:rsid w:val="00955D05"/>
    <w:rsid w:val="00955E34"/>
    <w:rsid w:val="009604B9"/>
    <w:rsid w:val="00961136"/>
    <w:rsid w:val="009615FB"/>
    <w:rsid w:val="00961635"/>
    <w:rsid w:val="009616A2"/>
    <w:rsid w:val="00961FBE"/>
    <w:rsid w:val="00962232"/>
    <w:rsid w:val="009629B8"/>
    <w:rsid w:val="00962EB1"/>
    <w:rsid w:val="00963640"/>
    <w:rsid w:val="00963D16"/>
    <w:rsid w:val="00963F77"/>
    <w:rsid w:val="00963F8F"/>
    <w:rsid w:val="00964456"/>
    <w:rsid w:val="00964717"/>
    <w:rsid w:val="00965090"/>
    <w:rsid w:val="009652EB"/>
    <w:rsid w:val="00965558"/>
    <w:rsid w:val="00965FFF"/>
    <w:rsid w:val="00967564"/>
    <w:rsid w:val="0096773E"/>
    <w:rsid w:val="0097009C"/>
    <w:rsid w:val="00970784"/>
    <w:rsid w:val="00970E46"/>
    <w:rsid w:val="00971342"/>
    <w:rsid w:val="00971347"/>
    <w:rsid w:val="00971615"/>
    <w:rsid w:val="00971895"/>
    <w:rsid w:val="00971DE3"/>
    <w:rsid w:val="0097259F"/>
    <w:rsid w:val="0097279E"/>
    <w:rsid w:val="00972A77"/>
    <w:rsid w:val="00973F0E"/>
    <w:rsid w:val="00974589"/>
    <w:rsid w:val="009749EC"/>
    <w:rsid w:val="00974EDF"/>
    <w:rsid w:val="0097518D"/>
    <w:rsid w:val="00975386"/>
    <w:rsid w:val="0097581E"/>
    <w:rsid w:val="00975AD7"/>
    <w:rsid w:val="009762D9"/>
    <w:rsid w:val="0097637A"/>
    <w:rsid w:val="00976B20"/>
    <w:rsid w:val="00977C33"/>
    <w:rsid w:val="009816B7"/>
    <w:rsid w:val="00981FE9"/>
    <w:rsid w:val="009820A1"/>
    <w:rsid w:val="00982190"/>
    <w:rsid w:val="00983538"/>
    <w:rsid w:val="00984916"/>
    <w:rsid w:val="00985241"/>
    <w:rsid w:val="009858CE"/>
    <w:rsid w:val="009858DB"/>
    <w:rsid w:val="00985A81"/>
    <w:rsid w:val="00985B82"/>
    <w:rsid w:val="00986291"/>
    <w:rsid w:val="009862FA"/>
    <w:rsid w:val="00986F98"/>
    <w:rsid w:val="00990103"/>
    <w:rsid w:val="00990AAD"/>
    <w:rsid w:val="00990EB5"/>
    <w:rsid w:val="00992A00"/>
    <w:rsid w:val="00992C4C"/>
    <w:rsid w:val="00992CF6"/>
    <w:rsid w:val="00992F29"/>
    <w:rsid w:val="009933CF"/>
    <w:rsid w:val="009933E3"/>
    <w:rsid w:val="00993F87"/>
    <w:rsid w:val="009942AF"/>
    <w:rsid w:val="009946CE"/>
    <w:rsid w:val="00994993"/>
    <w:rsid w:val="0099508B"/>
    <w:rsid w:val="0099598B"/>
    <w:rsid w:val="009959EA"/>
    <w:rsid w:val="0099621C"/>
    <w:rsid w:val="00996257"/>
    <w:rsid w:val="009965E1"/>
    <w:rsid w:val="00996C7C"/>
    <w:rsid w:val="00997611"/>
    <w:rsid w:val="009A0375"/>
    <w:rsid w:val="009A091D"/>
    <w:rsid w:val="009A145A"/>
    <w:rsid w:val="009A1922"/>
    <w:rsid w:val="009A19BA"/>
    <w:rsid w:val="009A2188"/>
    <w:rsid w:val="009A2505"/>
    <w:rsid w:val="009A2F3A"/>
    <w:rsid w:val="009A2F8F"/>
    <w:rsid w:val="009A3AE9"/>
    <w:rsid w:val="009A3E50"/>
    <w:rsid w:val="009A3FD9"/>
    <w:rsid w:val="009A42EA"/>
    <w:rsid w:val="009A4FC7"/>
    <w:rsid w:val="009A60D1"/>
    <w:rsid w:val="009A64F5"/>
    <w:rsid w:val="009A6DEB"/>
    <w:rsid w:val="009A72A6"/>
    <w:rsid w:val="009A7E30"/>
    <w:rsid w:val="009B06AA"/>
    <w:rsid w:val="009B0B62"/>
    <w:rsid w:val="009B10C6"/>
    <w:rsid w:val="009B1986"/>
    <w:rsid w:val="009B2102"/>
    <w:rsid w:val="009B2444"/>
    <w:rsid w:val="009B25D8"/>
    <w:rsid w:val="009B2C65"/>
    <w:rsid w:val="009B3202"/>
    <w:rsid w:val="009B328B"/>
    <w:rsid w:val="009B32DA"/>
    <w:rsid w:val="009B3C6E"/>
    <w:rsid w:val="009B4859"/>
    <w:rsid w:val="009B5ACB"/>
    <w:rsid w:val="009B6885"/>
    <w:rsid w:val="009B68A0"/>
    <w:rsid w:val="009B74B3"/>
    <w:rsid w:val="009C04F9"/>
    <w:rsid w:val="009C07E3"/>
    <w:rsid w:val="009C1087"/>
    <w:rsid w:val="009C12DC"/>
    <w:rsid w:val="009C1544"/>
    <w:rsid w:val="009C252D"/>
    <w:rsid w:val="009C25CA"/>
    <w:rsid w:val="009C3D10"/>
    <w:rsid w:val="009C4520"/>
    <w:rsid w:val="009C4A8D"/>
    <w:rsid w:val="009C4BD2"/>
    <w:rsid w:val="009C5047"/>
    <w:rsid w:val="009C5192"/>
    <w:rsid w:val="009C5274"/>
    <w:rsid w:val="009C5437"/>
    <w:rsid w:val="009C5CF7"/>
    <w:rsid w:val="009C6067"/>
    <w:rsid w:val="009C607F"/>
    <w:rsid w:val="009C62B1"/>
    <w:rsid w:val="009C6640"/>
    <w:rsid w:val="009C66A0"/>
    <w:rsid w:val="009C6D6F"/>
    <w:rsid w:val="009C793F"/>
    <w:rsid w:val="009D04CA"/>
    <w:rsid w:val="009D0835"/>
    <w:rsid w:val="009D0957"/>
    <w:rsid w:val="009D0D67"/>
    <w:rsid w:val="009D0DB0"/>
    <w:rsid w:val="009D0EBA"/>
    <w:rsid w:val="009D0F48"/>
    <w:rsid w:val="009D1E7F"/>
    <w:rsid w:val="009D2F78"/>
    <w:rsid w:val="009D3025"/>
    <w:rsid w:val="009D3465"/>
    <w:rsid w:val="009D3605"/>
    <w:rsid w:val="009D3F2E"/>
    <w:rsid w:val="009D456F"/>
    <w:rsid w:val="009D47A5"/>
    <w:rsid w:val="009D5B96"/>
    <w:rsid w:val="009D6988"/>
    <w:rsid w:val="009D6D20"/>
    <w:rsid w:val="009D6F6D"/>
    <w:rsid w:val="009E03DA"/>
    <w:rsid w:val="009E0C21"/>
    <w:rsid w:val="009E16B8"/>
    <w:rsid w:val="009E3008"/>
    <w:rsid w:val="009E354A"/>
    <w:rsid w:val="009E38AA"/>
    <w:rsid w:val="009E3AC3"/>
    <w:rsid w:val="009E42F4"/>
    <w:rsid w:val="009E43B5"/>
    <w:rsid w:val="009E45D8"/>
    <w:rsid w:val="009E56E2"/>
    <w:rsid w:val="009E665D"/>
    <w:rsid w:val="009E6DCA"/>
    <w:rsid w:val="009E79D3"/>
    <w:rsid w:val="009E7E0D"/>
    <w:rsid w:val="009F0194"/>
    <w:rsid w:val="009F02AA"/>
    <w:rsid w:val="009F0676"/>
    <w:rsid w:val="009F091C"/>
    <w:rsid w:val="009F09D7"/>
    <w:rsid w:val="009F0F2C"/>
    <w:rsid w:val="009F105B"/>
    <w:rsid w:val="009F1519"/>
    <w:rsid w:val="009F1B6E"/>
    <w:rsid w:val="009F2475"/>
    <w:rsid w:val="009F2B61"/>
    <w:rsid w:val="009F2B72"/>
    <w:rsid w:val="009F348D"/>
    <w:rsid w:val="009F4265"/>
    <w:rsid w:val="009F4567"/>
    <w:rsid w:val="009F49CD"/>
    <w:rsid w:val="009F4E69"/>
    <w:rsid w:val="009F4EAD"/>
    <w:rsid w:val="009F6EE5"/>
    <w:rsid w:val="009F6FE8"/>
    <w:rsid w:val="00A000D6"/>
    <w:rsid w:val="00A0064E"/>
    <w:rsid w:val="00A01091"/>
    <w:rsid w:val="00A015C2"/>
    <w:rsid w:val="00A017A7"/>
    <w:rsid w:val="00A01915"/>
    <w:rsid w:val="00A020C0"/>
    <w:rsid w:val="00A021B0"/>
    <w:rsid w:val="00A02402"/>
    <w:rsid w:val="00A0250B"/>
    <w:rsid w:val="00A02A38"/>
    <w:rsid w:val="00A02B2A"/>
    <w:rsid w:val="00A02BA7"/>
    <w:rsid w:val="00A03506"/>
    <w:rsid w:val="00A038DC"/>
    <w:rsid w:val="00A03C42"/>
    <w:rsid w:val="00A04BC5"/>
    <w:rsid w:val="00A056F2"/>
    <w:rsid w:val="00A05CBB"/>
    <w:rsid w:val="00A0759D"/>
    <w:rsid w:val="00A077BA"/>
    <w:rsid w:val="00A102A4"/>
    <w:rsid w:val="00A123DC"/>
    <w:rsid w:val="00A12C52"/>
    <w:rsid w:val="00A13588"/>
    <w:rsid w:val="00A13774"/>
    <w:rsid w:val="00A14887"/>
    <w:rsid w:val="00A14D8C"/>
    <w:rsid w:val="00A156CC"/>
    <w:rsid w:val="00A15810"/>
    <w:rsid w:val="00A158B0"/>
    <w:rsid w:val="00A15BA4"/>
    <w:rsid w:val="00A16382"/>
    <w:rsid w:val="00A16919"/>
    <w:rsid w:val="00A17084"/>
    <w:rsid w:val="00A176AF"/>
    <w:rsid w:val="00A1799C"/>
    <w:rsid w:val="00A17DB4"/>
    <w:rsid w:val="00A20022"/>
    <w:rsid w:val="00A200EA"/>
    <w:rsid w:val="00A20637"/>
    <w:rsid w:val="00A209F1"/>
    <w:rsid w:val="00A2119F"/>
    <w:rsid w:val="00A218A4"/>
    <w:rsid w:val="00A21999"/>
    <w:rsid w:val="00A2370E"/>
    <w:rsid w:val="00A23BDC"/>
    <w:rsid w:val="00A249A2"/>
    <w:rsid w:val="00A257F1"/>
    <w:rsid w:val="00A26CEE"/>
    <w:rsid w:val="00A278EF"/>
    <w:rsid w:val="00A27D4E"/>
    <w:rsid w:val="00A30108"/>
    <w:rsid w:val="00A30385"/>
    <w:rsid w:val="00A3067C"/>
    <w:rsid w:val="00A3093F"/>
    <w:rsid w:val="00A30DFE"/>
    <w:rsid w:val="00A31C8B"/>
    <w:rsid w:val="00A326D3"/>
    <w:rsid w:val="00A32863"/>
    <w:rsid w:val="00A32F72"/>
    <w:rsid w:val="00A33272"/>
    <w:rsid w:val="00A33577"/>
    <w:rsid w:val="00A3383A"/>
    <w:rsid w:val="00A33848"/>
    <w:rsid w:val="00A3594F"/>
    <w:rsid w:val="00A35F0D"/>
    <w:rsid w:val="00A3609E"/>
    <w:rsid w:val="00A360F2"/>
    <w:rsid w:val="00A36A45"/>
    <w:rsid w:val="00A371DA"/>
    <w:rsid w:val="00A37909"/>
    <w:rsid w:val="00A40055"/>
    <w:rsid w:val="00A408DC"/>
    <w:rsid w:val="00A4146E"/>
    <w:rsid w:val="00A4153C"/>
    <w:rsid w:val="00A41D9C"/>
    <w:rsid w:val="00A42656"/>
    <w:rsid w:val="00A42815"/>
    <w:rsid w:val="00A42919"/>
    <w:rsid w:val="00A436C6"/>
    <w:rsid w:val="00A44497"/>
    <w:rsid w:val="00A444A4"/>
    <w:rsid w:val="00A452CF"/>
    <w:rsid w:val="00A458E2"/>
    <w:rsid w:val="00A45EF4"/>
    <w:rsid w:val="00A4605B"/>
    <w:rsid w:val="00A46069"/>
    <w:rsid w:val="00A4644D"/>
    <w:rsid w:val="00A465F6"/>
    <w:rsid w:val="00A46617"/>
    <w:rsid w:val="00A46651"/>
    <w:rsid w:val="00A46B6B"/>
    <w:rsid w:val="00A46BB4"/>
    <w:rsid w:val="00A46E59"/>
    <w:rsid w:val="00A4702B"/>
    <w:rsid w:val="00A4789A"/>
    <w:rsid w:val="00A50122"/>
    <w:rsid w:val="00A5037D"/>
    <w:rsid w:val="00A509E6"/>
    <w:rsid w:val="00A50EB2"/>
    <w:rsid w:val="00A51655"/>
    <w:rsid w:val="00A51AD0"/>
    <w:rsid w:val="00A51EE0"/>
    <w:rsid w:val="00A5215D"/>
    <w:rsid w:val="00A52891"/>
    <w:rsid w:val="00A52D58"/>
    <w:rsid w:val="00A533F7"/>
    <w:rsid w:val="00A5398D"/>
    <w:rsid w:val="00A542CA"/>
    <w:rsid w:val="00A54B61"/>
    <w:rsid w:val="00A55F7C"/>
    <w:rsid w:val="00A563F7"/>
    <w:rsid w:val="00A56E71"/>
    <w:rsid w:val="00A57353"/>
    <w:rsid w:val="00A57358"/>
    <w:rsid w:val="00A57AF8"/>
    <w:rsid w:val="00A60843"/>
    <w:rsid w:val="00A60F97"/>
    <w:rsid w:val="00A61CE8"/>
    <w:rsid w:val="00A61FFD"/>
    <w:rsid w:val="00A62421"/>
    <w:rsid w:val="00A625DC"/>
    <w:rsid w:val="00A62C2D"/>
    <w:rsid w:val="00A63350"/>
    <w:rsid w:val="00A63AA6"/>
    <w:rsid w:val="00A63CBF"/>
    <w:rsid w:val="00A64237"/>
    <w:rsid w:val="00A654F1"/>
    <w:rsid w:val="00A655AE"/>
    <w:rsid w:val="00A65EF1"/>
    <w:rsid w:val="00A70B03"/>
    <w:rsid w:val="00A70ECA"/>
    <w:rsid w:val="00A71081"/>
    <w:rsid w:val="00A714AF"/>
    <w:rsid w:val="00A71984"/>
    <w:rsid w:val="00A733B3"/>
    <w:rsid w:val="00A733CC"/>
    <w:rsid w:val="00A73653"/>
    <w:rsid w:val="00A74151"/>
    <w:rsid w:val="00A7440C"/>
    <w:rsid w:val="00A7447D"/>
    <w:rsid w:val="00A74611"/>
    <w:rsid w:val="00A746C7"/>
    <w:rsid w:val="00A75467"/>
    <w:rsid w:val="00A754E3"/>
    <w:rsid w:val="00A75592"/>
    <w:rsid w:val="00A76C7F"/>
    <w:rsid w:val="00A77C07"/>
    <w:rsid w:val="00A77CAD"/>
    <w:rsid w:val="00A77F18"/>
    <w:rsid w:val="00A81663"/>
    <w:rsid w:val="00A81778"/>
    <w:rsid w:val="00A81E53"/>
    <w:rsid w:val="00A823FC"/>
    <w:rsid w:val="00A82A93"/>
    <w:rsid w:val="00A82BFF"/>
    <w:rsid w:val="00A831D6"/>
    <w:rsid w:val="00A835AE"/>
    <w:rsid w:val="00A83E23"/>
    <w:rsid w:val="00A83EC9"/>
    <w:rsid w:val="00A849F8"/>
    <w:rsid w:val="00A85A3A"/>
    <w:rsid w:val="00A85A5F"/>
    <w:rsid w:val="00A868CC"/>
    <w:rsid w:val="00A86BD4"/>
    <w:rsid w:val="00A86EC2"/>
    <w:rsid w:val="00A87800"/>
    <w:rsid w:val="00A87A21"/>
    <w:rsid w:val="00A87D89"/>
    <w:rsid w:val="00A87FF7"/>
    <w:rsid w:val="00A9082F"/>
    <w:rsid w:val="00A908C5"/>
    <w:rsid w:val="00A90C9C"/>
    <w:rsid w:val="00A90E41"/>
    <w:rsid w:val="00A90EC9"/>
    <w:rsid w:val="00A911F7"/>
    <w:rsid w:val="00A9176B"/>
    <w:rsid w:val="00A91CFA"/>
    <w:rsid w:val="00A9215D"/>
    <w:rsid w:val="00A9218E"/>
    <w:rsid w:val="00A92E19"/>
    <w:rsid w:val="00A931A2"/>
    <w:rsid w:val="00A93201"/>
    <w:rsid w:val="00A935DA"/>
    <w:rsid w:val="00A94131"/>
    <w:rsid w:val="00A94C62"/>
    <w:rsid w:val="00A95175"/>
    <w:rsid w:val="00A958E1"/>
    <w:rsid w:val="00A969BD"/>
    <w:rsid w:val="00A96BE6"/>
    <w:rsid w:val="00A97D61"/>
    <w:rsid w:val="00AA0115"/>
    <w:rsid w:val="00AA15AA"/>
    <w:rsid w:val="00AA1C3D"/>
    <w:rsid w:val="00AA2DEF"/>
    <w:rsid w:val="00AA34B7"/>
    <w:rsid w:val="00AA3701"/>
    <w:rsid w:val="00AA455A"/>
    <w:rsid w:val="00AA4697"/>
    <w:rsid w:val="00AA4EE6"/>
    <w:rsid w:val="00AA4F53"/>
    <w:rsid w:val="00AA50B0"/>
    <w:rsid w:val="00AA547B"/>
    <w:rsid w:val="00AA66C5"/>
    <w:rsid w:val="00AA72B9"/>
    <w:rsid w:val="00AA774A"/>
    <w:rsid w:val="00AB0553"/>
    <w:rsid w:val="00AB079C"/>
    <w:rsid w:val="00AB0E23"/>
    <w:rsid w:val="00AB0E6C"/>
    <w:rsid w:val="00AB0F6D"/>
    <w:rsid w:val="00AB151C"/>
    <w:rsid w:val="00AB1982"/>
    <w:rsid w:val="00AB1A7C"/>
    <w:rsid w:val="00AB1F12"/>
    <w:rsid w:val="00AB405B"/>
    <w:rsid w:val="00AB4910"/>
    <w:rsid w:val="00AB5DAF"/>
    <w:rsid w:val="00AB6022"/>
    <w:rsid w:val="00AC078D"/>
    <w:rsid w:val="00AC16CA"/>
    <w:rsid w:val="00AC1732"/>
    <w:rsid w:val="00AC175D"/>
    <w:rsid w:val="00AC18D5"/>
    <w:rsid w:val="00AC195A"/>
    <w:rsid w:val="00AC1DA8"/>
    <w:rsid w:val="00AC2676"/>
    <w:rsid w:val="00AC2BCE"/>
    <w:rsid w:val="00AC2E2D"/>
    <w:rsid w:val="00AC3381"/>
    <w:rsid w:val="00AC3F7A"/>
    <w:rsid w:val="00AC421F"/>
    <w:rsid w:val="00AC46E8"/>
    <w:rsid w:val="00AC47E6"/>
    <w:rsid w:val="00AC48CC"/>
    <w:rsid w:val="00AC4FE8"/>
    <w:rsid w:val="00AC5D20"/>
    <w:rsid w:val="00AC7628"/>
    <w:rsid w:val="00AC7D53"/>
    <w:rsid w:val="00AD0A1C"/>
    <w:rsid w:val="00AD0C22"/>
    <w:rsid w:val="00AD0FCF"/>
    <w:rsid w:val="00AD17A1"/>
    <w:rsid w:val="00AD1854"/>
    <w:rsid w:val="00AD21AC"/>
    <w:rsid w:val="00AD2C82"/>
    <w:rsid w:val="00AD4438"/>
    <w:rsid w:val="00AD4FC4"/>
    <w:rsid w:val="00AD51C0"/>
    <w:rsid w:val="00AD525E"/>
    <w:rsid w:val="00AD6293"/>
    <w:rsid w:val="00AD6B6E"/>
    <w:rsid w:val="00AD6D0A"/>
    <w:rsid w:val="00AD72C5"/>
    <w:rsid w:val="00AD76E0"/>
    <w:rsid w:val="00AE092F"/>
    <w:rsid w:val="00AE0D43"/>
    <w:rsid w:val="00AE12A1"/>
    <w:rsid w:val="00AE1659"/>
    <w:rsid w:val="00AE1844"/>
    <w:rsid w:val="00AE262A"/>
    <w:rsid w:val="00AE2743"/>
    <w:rsid w:val="00AE27D2"/>
    <w:rsid w:val="00AE4505"/>
    <w:rsid w:val="00AE4A0C"/>
    <w:rsid w:val="00AE4AE7"/>
    <w:rsid w:val="00AE55CB"/>
    <w:rsid w:val="00AE63C5"/>
    <w:rsid w:val="00AE6456"/>
    <w:rsid w:val="00AE6679"/>
    <w:rsid w:val="00AE6CB2"/>
    <w:rsid w:val="00AE6F9D"/>
    <w:rsid w:val="00AE6FBB"/>
    <w:rsid w:val="00AE7162"/>
    <w:rsid w:val="00AE741B"/>
    <w:rsid w:val="00AE7747"/>
    <w:rsid w:val="00AE7B53"/>
    <w:rsid w:val="00AE7B90"/>
    <w:rsid w:val="00AF0049"/>
    <w:rsid w:val="00AF017F"/>
    <w:rsid w:val="00AF10AA"/>
    <w:rsid w:val="00AF17A4"/>
    <w:rsid w:val="00AF18AA"/>
    <w:rsid w:val="00AF237C"/>
    <w:rsid w:val="00AF24F6"/>
    <w:rsid w:val="00AF2999"/>
    <w:rsid w:val="00AF2EF7"/>
    <w:rsid w:val="00AF2FFB"/>
    <w:rsid w:val="00AF31D4"/>
    <w:rsid w:val="00AF334A"/>
    <w:rsid w:val="00AF53FB"/>
    <w:rsid w:val="00AF5E5D"/>
    <w:rsid w:val="00AF5E82"/>
    <w:rsid w:val="00AF7B7E"/>
    <w:rsid w:val="00B0004B"/>
    <w:rsid w:val="00B013DA"/>
    <w:rsid w:val="00B01ECA"/>
    <w:rsid w:val="00B021A9"/>
    <w:rsid w:val="00B02540"/>
    <w:rsid w:val="00B027DD"/>
    <w:rsid w:val="00B0343A"/>
    <w:rsid w:val="00B036A3"/>
    <w:rsid w:val="00B03952"/>
    <w:rsid w:val="00B03C1F"/>
    <w:rsid w:val="00B0429E"/>
    <w:rsid w:val="00B0489C"/>
    <w:rsid w:val="00B04E2E"/>
    <w:rsid w:val="00B0506D"/>
    <w:rsid w:val="00B054DB"/>
    <w:rsid w:val="00B067F3"/>
    <w:rsid w:val="00B069CA"/>
    <w:rsid w:val="00B06B15"/>
    <w:rsid w:val="00B06F1F"/>
    <w:rsid w:val="00B07010"/>
    <w:rsid w:val="00B101A9"/>
    <w:rsid w:val="00B107AD"/>
    <w:rsid w:val="00B108FE"/>
    <w:rsid w:val="00B10AEC"/>
    <w:rsid w:val="00B10B28"/>
    <w:rsid w:val="00B10C27"/>
    <w:rsid w:val="00B110B8"/>
    <w:rsid w:val="00B114F4"/>
    <w:rsid w:val="00B11B47"/>
    <w:rsid w:val="00B11EEF"/>
    <w:rsid w:val="00B12074"/>
    <w:rsid w:val="00B123BA"/>
    <w:rsid w:val="00B128B4"/>
    <w:rsid w:val="00B12A56"/>
    <w:rsid w:val="00B138D8"/>
    <w:rsid w:val="00B1391F"/>
    <w:rsid w:val="00B139D0"/>
    <w:rsid w:val="00B13EC4"/>
    <w:rsid w:val="00B14A9A"/>
    <w:rsid w:val="00B14EE2"/>
    <w:rsid w:val="00B15EBD"/>
    <w:rsid w:val="00B16B98"/>
    <w:rsid w:val="00B16D2C"/>
    <w:rsid w:val="00B175F1"/>
    <w:rsid w:val="00B202BE"/>
    <w:rsid w:val="00B2106D"/>
    <w:rsid w:val="00B2115B"/>
    <w:rsid w:val="00B212DD"/>
    <w:rsid w:val="00B21508"/>
    <w:rsid w:val="00B21D8B"/>
    <w:rsid w:val="00B22860"/>
    <w:rsid w:val="00B22CEB"/>
    <w:rsid w:val="00B231CD"/>
    <w:rsid w:val="00B23D24"/>
    <w:rsid w:val="00B24C58"/>
    <w:rsid w:val="00B260C1"/>
    <w:rsid w:val="00B260DD"/>
    <w:rsid w:val="00B26643"/>
    <w:rsid w:val="00B269F7"/>
    <w:rsid w:val="00B26A84"/>
    <w:rsid w:val="00B26BA6"/>
    <w:rsid w:val="00B27590"/>
    <w:rsid w:val="00B27B6F"/>
    <w:rsid w:val="00B27C05"/>
    <w:rsid w:val="00B30216"/>
    <w:rsid w:val="00B30447"/>
    <w:rsid w:val="00B30551"/>
    <w:rsid w:val="00B3091E"/>
    <w:rsid w:val="00B30F81"/>
    <w:rsid w:val="00B310D1"/>
    <w:rsid w:val="00B3111C"/>
    <w:rsid w:val="00B313EA"/>
    <w:rsid w:val="00B3166D"/>
    <w:rsid w:val="00B317B9"/>
    <w:rsid w:val="00B31AA3"/>
    <w:rsid w:val="00B31F15"/>
    <w:rsid w:val="00B323C8"/>
    <w:rsid w:val="00B32B61"/>
    <w:rsid w:val="00B32C4D"/>
    <w:rsid w:val="00B33616"/>
    <w:rsid w:val="00B3373C"/>
    <w:rsid w:val="00B33AA7"/>
    <w:rsid w:val="00B33F2A"/>
    <w:rsid w:val="00B364B4"/>
    <w:rsid w:val="00B371BF"/>
    <w:rsid w:val="00B37AAA"/>
    <w:rsid w:val="00B40A23"/>
    <w:rsid w:val="00B4148B"/>
    <w:rsid w:val="00B41A20"/>
    <w:rsid w:val="00B41C09"/>
    <w:rsid w:val="00B41F07"/>
    <w:rsid w:val="00B4205B"/>
    <w:rsid w:val="00B426F6"/>
    <w:rsid w:val="00B42DA7"/>
    <w:rsid w:val="00B43DA9"/>
    <w:rsid w:val="00B44D35"/>
    <w:rsid w:val="00B455A8"/>
    <w:rsid w:val="00B46071"/>
    <w:rsid w:val="00B4621A"/>
    <w:rsid w:val="00B523CD"/>
    <w:rsid w:val="00B53528"/>
    <w:rsid w:val="00B53887"/>
    <w:rsid w:val="00B53DC4"/>
    <w:rsid w:val="00B54D12"/>
    <w:rsid w:val="00B55E3D"/>
    <w:rsid w:val="00B5681F"/>
    <w:rsid w:val="00B56B77"/>
    <w:rsid w:val="00B57208"/>
    <w:rsid w:val="00B573A5"/>
    <w:rsid w:val="00B57423"/>
    <w:rsid w:val="00B5786F"/>
    <w:rsid w:val="00B60145"/>
    <w:rsid w:val="00B61078"/>
    <w:rsid w:val="00B61C61"/>
    <w:rsid w:val="00B623AF"/>
    <w:rsid w:val="00B626C7"/>
    <w:rsid w:val="00B627E1"/>
    <w:rsid w:val="00B62D75"/>
    <w:rsid w:val="00B62F53"/>
    <w:rsid w:val="00B6320E"/>
    <w:rsid w:val="00B63BC8"/>
    <w:rsid w:val="00B642BF"/>
    <w:rsid w:val="00B64705"/>
    <w:rsid w:val="00B64841"/>
    <w:rsid w:val="00B6491A"/>
    <w:rsid w:val="00B64BA9"/>
    <w:rsid w:val="00B6571A"/>
    <w:rsid w:val="00B6617F"/>
    <w:rsid w:val="00B67592"/>
    <w:rsid w:val="00B6773D"/>
    <w:rsid w:val="00B678C9"/>
    <w:rsid w:val="00B7154F"/>
    <w:rsid w:val="00B71890"/>
    <w:rsid w:val="00B71A6F"/>
    <w:rsid w:val="00B71AA8"/>
    <w:rsid w:val="00B71E46"/>
    <w:rsid w:val="00B72402"/>
    <w:rsid w:val="00B7249A"/>
    <w:rsid w:val="00B72B66"/>
    <w:rsid w:val="00B72C7D"/>
    <w:rsid w:val="00B72CE6"/>
    <w:rsid w:val="00B72EA0"/>
    <w:rsid w:val="00B731B4"/>
    <w:rsid w:val="00B733D7"/>
    <w:rsid w:val="00B736C1"/>
    <w:rsid w:val="00B7370A"/>
    <w:rsid w:val="00B73790"/>
    <w:rsid w:val="00B7399D"/>
    <w:rsid w:val="00B73AD5"/>
    <w:rsid w:val="00B73E6B"/>
    <w:rsid w:val="00B74044"/>
    <w:rsid w:val="00B74106"/>
    <w:rsid w:val="00B74695"/>
    <w:rsid w:val="00B74AED"/>
    <w:rsid w:val="00B74C20"/>
    <w:rsid w:val="00B75274"/>
    <w:rsid w:val="00B753F5"/>
    <w:rsid w:val="00B75696"/>
    <w:rsid w:val="00B7577C"/>
    <w:rsid w:val="00B75991"/>
    <w:rsid w:val="00B75A3D"/>
    <w:rsid w:val="00B75C7F"/>
    <w:rsid w:val="00B76037"/>
    <w:rsid w:val="00B761E9"/>
    <w:rsid w:val="00B76563"/>
    <w:rsid w:val="00B7682E"/>
    <w:rsid w:val="00B776E1"/>
    <w:rsid w:val="00B77E2F"/>
    <w:rsid w:val="00B80509"/>
    <w:rsid w:val="00B80966"/>
    <w:rsid w:val="00B8105F"/>
    <w:rsid w:val="00B8141D"/>
    <w:rsid w:val="00B8182D"/>
    <w:rsid w:val="00B82531"/>
    <w:rsid w:val="00B82AC3"/>
    <w:rsid w:val="00B82C8B"/>
    <w:rsid w:val="00B82CE3"/>
    <w:rsid w:val="00B83272"/>
    <w:rsid w:val="00B8391E"/>
    <w:rsid w:val="00B84DD3"/>
    <w:rsid w:val="00B84E10"/>
    <w:rsid w:val="00B8542B"/>
    <w:rsid w:val="00B854A1"/>
    <w:rsid w:val="00B858A4"/>
    <w:rsid w:val="00B858E4"/>
    <w:rsid w:val="00B85AC8"/>
    <w:rsid w:val="00B86403"/>
    <w:rsid w:val="00B8659F"/>
    <w:rsid w:val="00B8677A"/>
    <w:rsid w:val="00B86880"/>
    <w:rsid w:val="00B87052"/>
    <w:rsid w:val="00B87AF1"/>
    <w:rsid w:val="00B87CF2"/>
    <w:rsid w:val="00B901AB"/>
    <w:rsid w:val="00B9063C"/>
    <w:rsid w:val="00B90671"/>
    <w:rsid w:val="00B90B1C"/>
    <w:rsid w:val="00B91366"/>
    <w:rsid w:val="00B9191B"/>
    <w:rsid w:val="00B928C5"/>
    <w:rsid w:val="00B92CEA"/>
    <w:rsid w:val="00B93D83"/>
    <w:rsid w:val="00B93DA6"/>
    <w:rsid w:val="00B93F03"/>
    <w:rsid w:val="00B944D5"/>
    <w:rsid w:val="00B94539"/>
    <w:rsid w:val="00B94E15"/>
    <w:rsid w:val="00B9524E"/>
    <w:rsid w:val="00B9576F"/>
    <w:rsid w:val="00B9584C"/>
    <w:rsid w:val="00B95CE4"/>
    <w:rsid w:val="00B95DCE"/>
    <w:rsid w:val="00B9632D"/>
    <w:rsid w:val="00B971FA"/>
    <w:rsid w:val="00B976A3"/>
    <w:rsid w:val="00B97921"/>
    <w:rsid w:val="00BA0046"/>
    <w:rsid w:val="00BA0646"/>
    <w:rsid w:val="00BA064C"/>
    <w:rsid w:val="00BA09D4"/>
    <w:rsid w:val="00BA1318"/>
    <w:rsid w:val="00BA13E1"/>
    <w:rsid w:val="00BA1CE8"/>
    <w:rsid w:val="00BA1F63"/>
    <w:rsid w:val="00BA266B"/>
    <w:rsid w:val="00BA284E"/>
    <w:rsid w:val="00BA2EE4"/>
    <w:rsid w:val="00BA3BAA"/>
    <w:rsid w:val="00BA5278"/>
    <w:rsid w:val="00BA5788"/>
    <w:rsid w:val="00BA59B0"/>
    <w:rsid w:val="00BA60A8"/>
    <w:rsid w:val="00BA61E3"/>
    <w:rsid w:val="00BA796A"/>
    <w:rsid w:val="00BA7CF9"/>
    <w:rsid w:val="00BB001D"/>
    <w:rsid w:val="00BB00EA"/>
    <w:rsid w:val="00BB1992"/>
    <w:rsid w:val="00BB1DB4"/>
    <w:rsid w:val="00BB1FB9"/>
    <w:rsid w:val="00BB3866"/>
    <w:rsid w:val="00BB3EB4"/>
    <w:rsid w:val="00BB40F1"/>
    <w:rsid w:val="00BB4361"/>
    <w:rsid w:val="00BB4828"/>
    <w:rsid w:val="00BB5EC9"/>
    <w:rsid w:val="00BB6786"/>
    <w:rsid w:val="00BB6AD3"/>
    <w:rsid w:val="00BB745C"/>
    <w:rsid w:val="00BB7663"/>
    <w:rsid w:val="00BB7784"/>
    <w:rsid w:val="00BB7FB8"/>
    <w:rsid w:val="00BC0598"/>
    <w:rsid w:val="00BC0C36"/>
    <w:rsid w:val="00BC19B7"/>
    <w:rsid w:val="00BC263A"/>
    <w:rsid w:val="00BC3BA0"/>
    <w:rsid w:val="00BC5146"/>
    <w:rsid w:val="00BC5D70"/>
    <w:rsid w:val="00BC6339"/>
    <w:rsid w:val="00BC6A4E"/>
    <w:rsid w:val="00BC76DA"/>
    <w:rsid w:val="00BC7A3D"/>
    <w:rsid w:val="00BD004E"/>
    <w:rsid w:val="00BD0A28"/>
    <w:rsid w:val="00BD1A63"/>
    <w:rsid w:val="00BD1E6F"/>
    <w:rsid w:val="00BD223E"/>
    <w:rsid w:val="00BD3615"/>
    <w:rsid w:val="00BD3811"/>
    <w:rsid w:val="00BD3817"/>
    <w:rsid w:val="00BD3997"/>
    <w:rsid w:val="00BD3A1A"/>
    <w:rsid w:val="00BD3B28"/>
    <w:rsid w:val="00BD40C6"/>
    <w:rsid w:val="00BD43F2"/>
    <w:rsid w:val="00BD43F3"/>
    <w:rsid w:val="00BD4412"/>
    <w:rsid w:val="00BD5A21"/>
    <w:rsid w:val="00BD660B"/>
    <w:rsid w:val="00BD68AC"/>
    <w:rsid w:val="00BD71F5"/>
    <w:rsid w:val="00BD7276"/>
    <w:rsid w:val="00BD79A0"/>
    <w:rsid w:val="00BD7C2E"/>
    <w:rsid w:val="00BE0555"/>
    <w:rsid w:val="00BE1666"/>
    <w:rsid w:val="00BE1DB0"/>
    <w:rsid w:val="00BE2AD0"/>
    <w:rsid w:val="00BE3E0D"/>
    <w:rsid w:val="00BE40EB"/>
    <w:rsid w:val="00BE4367"/>
    <w:rsid w:val="00BE475F"/>
    <w:rsid w:val="00BE6013"/>
    <w:rsid w:val="00BE6777"/>
    <w:rsid w:val="00BE6959"/>
    <w:rsid w:val="00BE6AA1"/>
    <w:rsid w:val="00BE6DD6"/>
    <w:rsid w:val="00BE77D0"/>
    <w:rsid w:val="00BE7A03"/>
    <w:rsid w:val="00BE7A06"/>
    <w:rsid w:val="00BE7F3A"/>
    <w:rsid w:val="00BE7F43"/>
    <w:rsid w:val="00BE7F87"/>
    <w:rsid w:val="00BF068A"/>
    <w:rsid w:val="00BF1B3C"/>
    <w:rsid w:val="00BF1B74"/>
    <w:rsid w:val="00BF1F54"/>
    <w:rsid w:val="00BF248C"/>
    <w:rsid w:val="00BF28DB"/>
    <w:rsid w:val="00BF2E6A"/>
    <w:rsid w:val="00BF3006"/>
    <w:rsid w:val="00BF3C10"/>
    <w:rsid w:val="00BF4086"/>
    <w:rsid w:val="00BF4595"/>
    <w:rsid w:val="00BF47D6"/>
    <w:rsid w:val="00BF5021"/>
    <w:rsid w:val="00BF5B75"/>
    <w:rsid w:val="00BF6518"/>
    <w:rsid w:val="00BF666E"/>
    <w:rsid w:val="00BF66FC"/>
    <w:rsid w:val="00BF6DB4"/>
    <w:rsid w:val="00BF7A25"/>
    <w:rsid w:val="00BF7A5C"/>
    <w:rsid w:val="00C004E0"/>
    <w:rsid w:val="00C0051E"/>
    <w:rsid w:val="00C007F4"/>
    <w:rsid w:val="00C00ADF"/>
    <w:rsid w:val="00C01ACD"/>
    <w:rsid w:val="00C01E36"/>
    <w:rsid w:val="00C024CB"/>
    <w:rsid w:val="00C0286C"/>
    <w:rsid w:val="00C02A83"/>
    <w:rsid w:val="00C02AEF"/>
    <w:rsid w:val="00C02B2E"/>
    <w:rsid w:val="00C02DFE"/>
    <w:rsid w:val="00C02E04"/>
    <w:rsid w:val="00C0339F"/>
    <w:rsid w:val="00C03CFF"/>
    <w:rsid w:val="00C0478D"/>
    <w:rsid w:val="00C049F6"/>
    <w:rsid w:val="00C053BC"/>
    <w:rsid w:val="00C05697"/>
    <w:rsid w:val="00C05C45"/>
    <w:rsid w:val="00C05DDD"/>
    <w:rsid w:val="00C0610C"/>
    <w:rsid w:val="00C0631A"/>
    <w:rsid w:val="00C064C8"/>
    <w:rsid w:val="00C0680E"/>
    <w:rsid w:val="00C06D4E"/>
    <w:rsid w:val="00C07273"/>
    <w:rsid w:val="00C072B1"/>
    <w:rsid w:val="00C076D9"/>
    <w:rsid w:val="00C10051"/>
    <w:rsid w:val="00C11AC1"/>
    <w:rsid w:val="00C11EB7"/>
    <w:rsid w:val="00C1263D"/>
    <w:rsid w:val="00C13B80"/>
    <w:rsid w:val="00C14159"/>
    <w:rsid w:val="00C14687"/>
    <w:rsid w:val="00C147F6"/>
    <w:rsid w:val="00C14A4C"/>
    <w:rsid w:val="00C14A8C"/>
    <w:rsid w:val="00C15622"/>
    <w:rsid w:val="00C158FA"/>
    <w:rsid w:val="00C16B32"/>
    <w:rsid w:val="00C177AF"/>
    <w:rsid w:val="00C201DE"/>
    <w:rsid w:val="00C20613"/>
    <w:rsid w:val="00C20694"/>
    <w:rsid w:val="00C208A2"/>
    <w:rsid w:val="00C20BD5"/>
    <w:rsid w:val="00C2194B"/>
    <w:rsid w:val="00C21AB7"/>
    <w:rsid w:val="00C21E79"/>
    <w:rsid w:val="00C21F40"/>
    <w:rsid w:val="00C22213"/>
    <w:rsid w:val="00C2223D"/>
    <w:rsid w:val="00C23CD5"/>
    <w:rsid w:val="00C24592"/>
    <w:rsid w:val="00C26B9E"/>
    <w:rsid w:val="00C26E78"/>
    <w:rsid w:val="00C274AA"/>
    <w:rsid w:val="00C27711"/>
    <w:rsid w:val="00C27782"/>
    <w:rsid w:val="00C30D23"/>
    <w:rsid w:val="00C310B2"/>
    <w:rsid w:val="00C31763"/>
    <w:rsid w:val="00C318E5"/>
    <w:rsid w:val="00C31A8A"/>
    <w:rsid w:val="00C31B33"/>
    <w:rsid w:val="00C320C6"/>
    <w:rsid w:val="00C32C65"/>
    <w:rsid w:val="00C3337C"/>
    <w:rsid w:val="00C33408"/>
    <w:rsid w:val="00C34042"/>
    <w:rsid w:val="00C342C8"/>
    <w:rsid w:val="00C34885"/>
    <w:rsid w:val="00C35598"/>
    <w:rsid w:val="00C35663"/>
    <w:rsid w:val="00C358DA"/>
    <w:rsid w:val="00C3634B"/>
    <w:rsid w:val="00C363AA"/>
    <w:rsid w:val="00C36AD1"/>
    <w:rsid w:val="00C36E72"/>
    <w:rsid w:val="00C37644"/>
    <w:rsid w:val="00C3786C"/>
    <w:rsid w:val="00C3791E"/>
    <w:rsid w:val="00C40052"/>
    <w:rsid w:val="00C401B9"/>
    <w:rsid w:val="00C40970"/>
    <w:rsid w:val="00C410DB"/>
    <w:rsid w:val="00C4139C"/>
    <w:rsid w:val="00C4157C"/>
    <w:rsid w:val="00C41D40"/>
    <w:rsid w:val="00C4218C"/>
    <w:rsid w:val="00C422B4"/>
    <w:rsid w:val="00C42437"/>
    <w:rsid w:val="00C429FE"/>
    <w:rsid w:val="00C42A95"/>
    <w:rsid w:val="00C42C97"/>
    <w:rsid w:val="00C434C2"/>
    <w:rsid w:val="00C4368B"/>
    <w:rsid w:val="00C4564F"/>
    <w:rsid w:val="00C456D2"/>
    <w:rsid w:val="00C457CF"/>
    <w:rsid w:val="00C457F0"/>
    <w:rsid w:val="00C4593F"/>
    <w:rsid w:val="00C45A29"/>
    <w:rsid w:val="00C45A61"/>
    <w:rsid w:val="00C4634C"/>
    <w:rsid w:val="00C466DD"/>
    <w:rsid w:val="00C46E34"/>
    <w:rsid w:val="00C4748C"/>
    <w:rsid w:val="00C50263"/>
    <w:rsid w:val="00C512DF"/>
    <w:rsid w:val="00C5160D"/>
    <w:rsid w:val="00C51628"/>
    <w:rsid w:val="00C5266C"/>
    <w:rsid w:val="00C53095"/>
    <w:rsid w:val="00C53D1A"/>
    <w:rsid w:val="00C53EE4"/>
    <w:rsid w:val="00C54124"/>
    <w:rsid w:val="00C54944"/>
    <w:rsid w:val="00C54957"/>
    <w:rsid w:val="00C551EB"/>
    <w:rsid w:val="00C5536F"/>
    <w:rsid w:val="00C55BCF"/>
    <w:rsid w:val="00C56226"/>
    <w:rsid w:val="00C56277"/>
    <w:rsid w:val="00C56E43"/>
    <w:rsid w:val="00C56F84"/>
    <w:rsid w:val="00C5723F"/>
    <w:rsid w:val="00C57A77"/>
    <w:rsid w:val="00C57FB3"/>
    <w:rsid w:val="00C60379"/>
    <w:rsid w:val="00C60794"/>
    <w:rsid w:val="00C60DF9"/>
    <w:rsid w:val="00C614C5"/>
    <w:rsid w:val="00C614CE"/>
    <w:rsid w:val="00C61810"/>
    <w:rsid w:val="00C631AB"/>
    <w:rsid w:val="00C63523"/>
    <w:rsid w:val="00C64E03"/>
    <w:rsid w:val="00C66C40"/>
    <w:rsid w:val="00C675F3"/>
    <w:rsid w:val="00C679E7"/>
    <w:rsid w:val="00C67DAE"/>
    <w:rsid w:val="00C7114B"/>
    <w:rsid w:val="00C7119A"/>
    <w:rsid w:val="00C71508"/>
    <w:rsid w:val="00C7158E"/>
    <w:rsid w:val="00C7179B"/>
    <w:rsid w:val="00C71EC2"/>
    <w:rsid w:val="00C72664"/>
    <w:rsid w:val="00C72DB6"/>
    <w:rsid w:val="00C73B87"/>
    <w:rsid w:val="00C73D14"/>
    <w:rsid w:val="00C73E7C"/>
    <w:rsid w:val="00C74244"/>
    <w:rsid w:val="00C74D92"/>
    <w:rsid w:val="00C74DEB"/>
    <w:rsid w:val="00C75871"/>
    <w:rsid w:val="00C75AFA"/>
    <w:rsid w:val="00C765D4"/>
    <w:rsid w:val="00C770BC"/>
    <w:rsid w:val="00C775A0"/>
    <w:rsid w:val="00C8035F"/>
    <w:rsid w:val="00C809E4"/>
    <w:rsid w:val="00C822DD"/>
    <w:rsid w:val="00C82C06"/>
    <w:rsid w:val="00C8346C"/>
    <w:rsid w:val="00C835F1"/>
    <w:rsid w:val="00C83638"/>
    <w:rsid w:val="00C83FCD"/>
    <w:rsid w:val="00C84B64"/>
    <w:rsid w:val="00C84D53"/>
    <w:rsid w:val="00C851A3"/>
    <w:rsid w:val="00C856BD"/>
    <w:rsid w:val="00C8619C"/>
    <w:rsid w:val="00C8635E"/>
    <w:rsid w:val="00C864CB"/>
    <w:rsid w:val="00C869B9"/>
    <w:rsid w:val="00C8773B"/>
    <w:rsid w:val="00C87B7B"/>
    <w:rsid w:val="00C87BC4"/>
    <w:rsid w:val="00C87CDB"/>
    <w:rsid w:val="00C87F6D"/>
    <w:rsid w:val="00C90209"/>
    <w:rsid w:val="00C90290"/>
    <w:rsid w:val="00C90679"/>
    <w:rsid w:val="00C907AF"/>
    <w:rsid w:val="00C912E0"/>
    <w:rsid w:val="00C916EB"/>
    <w:rsid w:val="00C91A22"/>
    <w:rsid w:val="00C91E12"/>
    <w:rsid w:val="00C91F5C"/>
    <w:rsid w:val="00C925C9"/>
    <w:rsid w:val="00C92B77"/>
    <w:rsid w:val="00C92B9E"/>
    <w:rsid w:val="00C92EDD"/>
    <w:rsid w:val="00C9301B"/>
    <w:rsid w:val="00C938B5"/>
    <w:rsid w:val="00C93A9E"/>
    <w:rsid w:val="00C93DE4"/>
    <w:rsid w:val="00C96F70"/>
    <w:rsid w:val="00CA0409"/>
    <w:rsid w:val="00CA0876"/>
    <w:rsid w:val="00CA18A0"/>
    <w:rsid w:val="00CA1E40"/>
    <w:rsid w:val="00CA2CAC"/>
    <w:rsid w:val="00CA36A1"/>
    <w:rsid w:val="00CA3EA9"/>
    <w:rsid w:val="00CA41DB"/>
    <w:rsid w:val="00CA4F51"/>
    <w:rsid w:val="00CA526A"/>
    <w:rsid w:val="00CA56EF"/>
    <w:rsid w:val="00CA572D"/>
    <w:rsid w:val="00CA6002"/>
    <w:rsid w:val="00CA6B9D"/>
    <w:rsid w:val="00CA70BA"/>
    <w:rsid w:val="00CA7181"/>
    <w:rsid w:val="00CA7E40"/>
    <w:rsid w:val="00CA7F24"/>
    <w:rsid w:val="00CB0023"/>
    <w:rsid w:val="00CB0062"/>
    <w:rsid w:val="00CB0D78"/>
    <w:rsid w:val="00CB11BB"/>
    <w:rsid w:val="00CB2843"/>
    <w:rsid w:val="00CB296C"/>
    <w:rsid w:val="00CB3070"/>
    <w:rsid w:val="00CB391C"/>
    <w:rsid w:val="00CB3A5F"/>
    <w:rsid w:val="00CB3C7A"/>
    <w:rsid w:val="00CB3D98"/>
    <w:rsid w:val="00CB4C4D"/>
    <w:rsid w:val="00CB5D35"/>
    <w:rsid w:val="00CB655D"/>
    <w:rsid w:val="00CB6C83"/>
    <w:rsid w:val="00CB6D7E"/>
    <w:rsid w:val="00CB6E06"/>
    <w:rsid w:val="00CB6F85"/>
    <w:rsid w:val="00CB705E"/>
    <w:rsid w:val="00CB72BB"/>
    <w:rsid w:val="00CB7BC0"/>
    <w:rsid w:val="00CB7D83"/>
    <w:rsid w:val="00CC0585"/>
    <w:rsid w:val="00CC07A1"/>
    <w:rsid w:val="00CC0B66"/>
    <w:rsid w:val="00CC15FC"/>
    <w:rsid w:val="00CC17D3"/>
    <w:rsid w:val="00CC1AD3"/>
    <w:rsid w:val="00CC1F18"/>
    <w:rsid w:val="00CC210D"/>
    <w:rsid w:val="00CC21B6"/>
    <w:rsid w:val="00CC22E0"/>
    <w:rsid w:val="00CC236E"/>
    <w:rsid w:val="00CC293D"/>
    <w:rsid w:val="00CC3461"/>
    <w:rsid w:val="00CC3633"/>
    <w:rsid w:val="00CC3D17"/>
    <w:rsid w:val="00CC44CB"/>
    <w:rsid w:val="00CC4854"/>
    <w:rsid w:val="00CC4C9A"/>
    <w:rsid w:val="00CC5118"/>
    <w:rsid w:val="00CC5963"/>
    <w:rsid w:val="00CC659C"/>
    <w:rsid w:val="00CC6AF0"/>
    <w:rsid w:val="00CC6B8C"/>
    <w:rsid w:val="00CC6E5B"/>
    <w:rsid w:val="00CC745A"/>
    <w:rsid w:val="00CC7A6C"/>
    <w:rsid w:val="00CC7FAE"/>
    <w:rsid w:val="00CD00DC"/>
    <w:rsid w:val="00CD07AE"/>
    <w:rsid w:val="00CD0E60"/>
    <w:rsid w:val="00CD0FC7"/>
    <w:rsid w:val="00CD1972"/>
    <w:rsid w:val="00CD1999"/>
    <w:rsid w:val="00CD22A0"/>
    <w:rsid w:val="00CD2B22"/>
    <w:rsid w:val="00CD3584"/>
    <w:rsid w:val="00CD3B14"/>
    <w:rsid w:val="00CD3F92"/>
    <w:rsid w:val="00CD4081"/>
    <w:rsid w:val="00CD4262"/>
    <w:rsid w:val="00CD49E9"/>
    <w:rsid w:val="00CD4BE8"/>
    <w:rsid w:val="00CD4CD7"/>
    <w:rsid w:val="00CD55B3"/>
    <w:rsid w:val="00CD55D2"/>
    <w:rsid w:val="00CD5846"/>
    <w:rsid w:val="00CD667A"/>
    <w:rsid w:val="00CD6EC9"/>
    <w:rsid w:val="00CD761A"/>
    <w:rsid w:val="00CD78B3"/>
    <w:rsid w:val="00CD7B66"/>
    <w:rsid w:val="00CD7CB4"/>
    <w:rsid w:val="00CE000A"/>
    <w:rsid w:val="00CE06EF"/>
    <w:rsid w:val="00CE085D"/>
    <w:rsid w:val="00CE090A"/>
    <w:rsid w:val="00CE1222"/>
    <w:rsid w:val="00CE181F"/>
    <w:rsid w:val="00CE1CC3"/>
    <w:rsid w:val="00CE1DF3"/>
    <w:rsid w:val="00CE25C6"/>
    <w:rsid w:val="00CE4A4E"/>
    <w:rsid w:val="00CE502E"/>
    <w:rsid w:val="00CE57C0"/>
    <w:rsid w:val="00CE5AB2"/>
    <w:rsid w:val="00CE617C"/>
    <w:rsid w:val="00CE61E7"/>
    <w:rsid w:val="00CE6A59"/>
    <w:rsid w:val="00CE6E11"/>
    <w:rsid w:val="00CE72E4"/>
    <w:rsid w:val="00CE74DA"/>
    <w:rsid w:val="00CE7B9D"/>
    <w:rsid w:val="00CE7C99"/>
    <w:rsid w:val="00CE7D9F"/>
    <w:rsid w:val="00CF0CFA"/>
    <w:rsid w:val="00CF0F38"/>
    <w:rsid w:val="00CF0F5F"/>
    <w:rsid w:val="00CF1622"/>
    <w:rsid w:val="00CF21DD"/>
    <w:rsid w:val="00CF2716"/>
    <w:rsid w:val="00CF2D60"/>
    <w:rsid w:val="00CF2E62"/>
    <w:rsid w:val="00CF32FA"/>
    <w:rsid w:val="00CF3C38"/>
    <w:rsid w:val="00CF3CDD"/>
    <w:rsid w:val="00CF41DF"/>
    <w:rsid w:val="00CF4396"/>
    <w:rsid w:val="00CF4731"/>
    <w:rsid w:val="00CF4B82"/>
    <w:rsid w:val="00CF4F52"/>
    <w:rsid w:val="00CF534C"/>
    <w:rsid w:val="00CF5A68"/>
    <w:rsid w:val="00CF5A8B"/>
    <w:rsid w:val="00CF5BA0"/>
    <w:rsid w:val="00CF6235"/>
    <w:rsid w:val="00CF6645"/>
    <w:rsid w:val="00D00F0A"/>
    <w:rsid w:val="00D01280"/>
    <w:rsid w:val="00D012F9"/>
    <w:rsid w:val="00D01DFA"/>
    <w:rsid w:val="00D02272"/>
    <w:rsid w:val="00D02635"/>
    <w:rsid w:val="00D034A1"/>
    <w:rsid w:val="00D03BCB"/>
    <w:rsid w:val="00D04A53"/>
    <w:rsid w:val="00D04E25"/>
    <w:rsid w:val="00D05621"/>
    <w:rsid w:val="00D06102"/>
    <w:rsid w:val="00D06E74"/>
    <w:rsid w:val="00D0762C"/>
    <w:rsid w:val="00D07B57"/>
    <w:rsid w:val="00D107EC"/>
    <w:rsid w:val="00D11652"/>
    <w:rsid w:val="00D11CEB"/>
    <w:rsid w:val="00D11E74"/>
    <w:rsid w:val="00D121BF"/>
    <w:rsid w:val="00D13332"/>
    <w:rsid w:val="00D1382F"/>
    <w:rsid w:val="00D13BD4"/>
    <w:rsid w:val="00D156B9"/>
    <w:rsid w:val="00D15DDA"/>
    <w:rsid w:val="00D15E98"/>
    <w:rsid w:val="00D15EF4"/>
    <w:rsid w:val="00D166BD"/>
    <w:rsid w:val="00D166F8"/>
    <w:rsid w:val="00D1762A"/>
    <w:rsid w:val="00D17BEC"/>
    <w:rsid w:val="00D17F76"/>
    <w:rsid w:val="00D20A68"/>
    <w:rsid w:val="00D20E5B"/>
    <w:rsid w:val="00D21558"/>
    <w:rsid w:val="00D21EEF"/>
    <w:rsid w:val="00D221FC"/>
    <w:rsid w:val="00D22351"/>
    <w:rsid w:val="00D231FF"/>
    <w:rsid w:val="00D23EAC"/>
    <w:rsid w:val="00D24041"/>
    <w:rsid w:val="00D25860"/>
    <w:rsid w:val="00D26094"/>
    <w:rsid w:val="00D2646C"/>
    <w:rsid w:val="00D26BE5"/>
    <w:rsid w:val="00D277A3"/>
    <w:rsid w:val="00D27CD4"/>
    <w:rsid w:val="00D30856"/>
    <w:rsid w:val="00D30B82"/>
    <w:rsid w:val="00D30BAC"/>
    <w:rsid w:val="00D313BD"/>
    <w:rsid w:val="00D3179F"/>
    <w:rsid w:val="00D318A2"/>
    <w:rsid w:val="00D31A78"/>
    <w:rsid w:val="00D31AF7"/>
    <w:rsid w:val="00D3346B"/>
    <w:rsid w:val="00D343B5"/>
    <w:rsid w:val="00D34EB1"/>
    <w:rsid w:val="00D35EF8"/>
    <w:rsid w:val="00D3686B"/>
    <w:rsid w:val="00D400F5"/>
    <w:rsid w:val="00D4119C"/>
    <w:rsid w:val="00D41BE8"/>
    <w:rsid w:val="00D42F23"/>
    <w:rsid w:val="00D4347E"/>
    <w:rsid w:val="00D4515D"/>
    <w:rsid w:val="00D45542"/>
    <w:rsid w:val="00D4576E"/>
    <w:rsid w:val="00D458C0"/>
    <w:rsid w:val="00D45A74"/>
    <w:rsid w:val="00D45A9A"/>
    <w:rsid w:val="00D46A33"/>
    <w:rsid w:val="00D47001"/>
    <w:rsid w:val="00D50D88"/>
    <w:rsid w:val="00D510ED"/>
    <w:rsid w:val="00D51280"/>
    <w:rsid w:val="00D51BA0"/>
    <w:rsid w:val="00D51E1B"/>
    <w:rsid w:val="00D51E4C"/>
    <w:rsid w:val="00D52543"/>
    <w:rsid w:val="00D52CD8"/>
    <w:rsid w:val="00D54239"/>
    <w:rsid w:val="00D546E9"/>
    <w:rsid w:val="00D5530B"/>
    <w:rsid w:val="00D553AE"/>
    <w:rsid w:val="00D553DD"/>
    <w:rsid w:val="00D5665F"/>
    <w:rsid w:val="00D56EF3"/>
    <w:rsid w:val="00D572DC"/>
    <w:rsid w:val="00D57499"/>
    <w:rsid w:val="00D5753E"/>
    <w:rsid w:val="00D57CDE"/>
    <w:rsid w:val="00D57D1F"/>
    <w:rsid w:val="00D6022F"/>
    <w:rsid w:val="00D602BE"/>
    <w:rsid w:val="00D6037F"/>
    <w:rsid w:val="00D6054A"/>
    <w:rsid w:val="00D61064"/>
    <w:rsid w:val="00D612D3"/>
    <w:rsid w:val="00D61312"/>
    <w:rsid w:val="00D618AC"/>
    <w:rsid w:val="00D62EAE"/>
    <w:rsid w:val="00D63D92"/>
    <w:rsid w:val="00D648D7"/>
    <w:rsid w:val="00D66952"/>
    <w:rsid w:val="00D66F41"/>
    <w:rsid w:val="00D70F5A"/>
    <w:rsid w:val="00D713AA"/>
    <w:rsid w:val="00D71A10"/>
    <w:rsid w:val="00D71C1F"/>
    <w:rsid w:val="00D71D09"/>
    <w:rsid w:val="00D722DF"/>
    <w:rsid w:val="00D741D5"/>
    <w:rsid w:val="00D744DE"/>
    <w:rsid w:val="00D74B1F"/>
    <w:rsid w:val="00D74C61"/>
    <w:rsid w:val="00D74F48"/>
    <w:rsid w:val="00D75725"/>
    <w:rsid w:val="00D759C1"/>
    <w:rsid w:val="00D75DC2"/>
    <w:rsid w:val="00D764AE"/>
    <w:rsid w:val="00D766FD"/>
    <w:rsid w:val="00D76ED4"/>
    <w:rsid w:val="00D770CE"/>
    <w:rsid w:val="00D77892"/>
    <w:rsid w:val="00D801B7"/>
    <w:rsid w:val="00D8042A"/>
    <w:rsid w:val="00D807DD"/>
    <w:rsid w:val="00D81276"/>
    <w:rsid w:val="00D81C38"/>
    <w:rsid w:val="00D81E77"/>
    <w:rsid w:val="00D828F5"/>
    <w:rsid w:val="00D82B1B"/>
    <w:rsid w:val="00D82D6E"/>
    <w:rsid w:val="00D8346F"/>
    <w:rsid w:val="00D839FD"/>
    <w:rsid w:val="00D8462F"/>
    <w:rsid w:val="00D84B86"/>
    <w:rsid w:val="00D84F82"/>
    <w:rsid w:val="00D85AE3"/>
    <w:rsid w:val="00D85D2B"/>
    <w:rsid w:val="00D85FCC"/>
    <w:rsid w:val="00D8632C"/>
    <w:rsid w:val="00D865D8"/>
    <w:rsid w:val="00D86A5C"/>
    <w:rsid w:val="00D86B09"/>
    <w:rsid w:val="00D8718E"/>
    <w:rsid w:val="00D87879"/>
    <w:rsid w:val="00D87D71"/>
    <w:rsid w:val="00D908EA"/>
    <w:rsid w:val="00D90DF3"/>
    <w:rsid w:val="00D90E13"/>
    <w:rsid w:val="00D91A66"/>
    <w:rsid w:val="00D92A83"/>
    <w:rsid w:val="00D93739"/>
    <w:rsid w:val="00D93978"/>
    <w:rsid w:val="00D939CD"/>
    <w:rsid w:val="00D93BB6"/>
    <w:rsid w:val="00D93CEE"/>
    <w:rsid w:val="00D93F44"/>
    <w:rsid w:val="00D9432B"/>
    <w:rsid w:val="00D94E18"/>
    <w:rsid w:val="00D94FFF"/>
    <w:rsid w:val="00D959D2"/>
    <w:rsid w:val="00D95BAC"/>
    <w:rsid w:val="00D961B0"/>
    <w:rsid w:val="00D962C1"/>
    <w:rsid w:val="00D96C03"/>
    <w:rsid w:val="00D96CB2"/>
    <w:rsid w:val="00D977B4"/>
    <w:rsid w:val="00D97BC0"/>
    <w:rsid w:val="00D97D0C"/>
    <w:rsid w:val="00DA00D0"/>
    <w:rsid w:val="00DA08A4"/>
    <w:rsid w:val="00DA0CED"/>
    <w:rsid w:val="00DA10F5"/>
    <w:rsid w:val="00DA122A"/>
    <w:rsid w:val="00DA164F"/>
    <w:rsid w:val="00DA1967"/>
    <w:rsid w:val="00DA253B"/>
    <w:rsid w:val="00DA372C"/>
    <w:rsid w:val="00DA38E3"/>
    <w:rsid w:val="00DA39F4"/>
    <w:rsid w:val="00DA4847"/>
    <w:rsid w:val="00DA4B11"/>
    <w:rsid w:val="00DA4F01"/>
    <w:rsid w:val="00DA51C9"/>
    <w:rsid w:val="00DA528A"/>
    <w:rsid w:val="00DA55DB"/>
    <w:rsid w:val="00DA5671"/>
    <w:rsid w:val="00DA5C27"/>
    <w:rsid w:val="00DA68F3"/>
    <w:rsid w:val="00DA6A95"/>
    <w:rsid w:val="00DA6B52"/>
    <w:rsid w:val="00DA6D22"/>
    <w:rsid w:val="00DA6DF0"/>
    <w:rsid w:val="00DA7757"/>
    <w:rsid w:val="00DB040C"/>
    <w:rsid w:val="00DB053A"/>
    <w:rsid w:val="00DB0926"/>
    <w:rsid w:val="00DB0FF9"/>
    <w:rsid w:val="00DB16D0"/>
    <w:rsid w:val="00DB2269"/>
    <w:rsid w:val="00DB2308"/>
    <w:rsid w:val="00DB26A0"/>
    <w:rsid w:val="00DB3BA2"/>
    <w:rsid w:val="00DB3ED8"/>
    <w:rsid w:val="00DB4773"/>
    <w:rsid w:val="00DB52A8"/>
    <w:rsid w:val="00DB5B9F"/>
    <w:rsid w:val="00DB5F6B"/>
    <w:rsid w:val="00DB6C93"/>
    <w:rsid w:val="00DB6ECB"/>
    <w:rsid w:val="00DB7B08"/>
    <w:rsid w:val="00DC0BA5"/>
    <w:rsid w:val="00DC1D9A"/>
    <w:rsid w:val="00DC337E"/>
    <w:rsid w:val="00DC513C"/>
    <w:rsid w:val="00DC5455"/>
    <w:rsid w:val="00DC5C36"/>
    <w:rsid w:val="00DC6A9A"/>
    <w:rsid w:val="00DC794C"/>
    <w:rsid w:val="00DC7EB0"/>
    <w:rsid w:val="00DD0C5B"/>
    <w:rsid w:val="00DD1C06"/>
    <w:rsid w:val="00DD1C3E"/>
    <w:rsid w:val="00DD1EC4"/>
    <w:rsid w:val="00DD2944"/>
    <w:rsid w:val="00DD2A76"/>
    <w:rsid w:val="00DD2AEF"/>
    <w:rsid w:val="00DD3491"/>
    <w:rsid w:val="00DD35C8"/>
    <w:rsid w:val="00DD366C"/>
    <w:rsid w:val="00DD377F"/>
    <w:rsid w:val="00DD3C2D"/>
    <w:rsid w:val="00DD420A"/>
    <w:rsid w:val="00DD5364"/>
    <w:rsid w:val="00DD5383"/>
    <w:rsid w:val="00DD5F5C"/>
    <w:rsid w:val="00DD6083"/>
    <w:rsid w:val="00DD61CD"/>
    <w:rsid w:val="00DD61EC"/>
    <w:rsid w:val="00DD758A"/>
    <w:rsid w:val="00DD774B"/>
    <w:rsid w:val="00DD7E52"/>
    <w:rsid w:val="00DD7F38"/>
    <w:rsid w:val="00DE0C4B"/>
    <w:rsid w:val="00DE121E"/>
    <w:rsid w:val="00DE1414"/>
    <w:rsid w:val="00DE17C0"/>
    <w:rsid w:val="00DE2490"/>
    <w:rsid w:val="00DE25BA"/>
    <w:rsid w:val="00DE28CB"/>
    <w:rsid w:val="00DE35EA"/>
    <w:rsid w:val="00DE418C"/>
    <w:rsid w:val="00DE41AD"/>
    <w:rsid w:val="00DE4611"/>
    <w:rsid w:val="00DE54A7"/>
    <w:rsid w:val="00DE555E"/>
    <w:rsid w:val="00DE57DA"/>
    <w:rsid w:val="00DE61DE"/>
    <w:rsid w:val="00DE62A6"/>
    <w:rsid w:val="00DE6411"/>
    <w:rsid w:val="00DE668C"/>
    <w:rsid w:val="00DE6B47"/>
    <w:rsid w:val="00DF0139"/>
    <w:rsid w:val="00DF0CAD"/>
    <w:rsid w:val="00DF0EBD"/>
    <w:rsid w:val="00DF10D8"/>
    <w:rsid w:val="00DF13AE"/>
    <w:rsid w:val="00DF1499"/>
    <w:rsid w:val="00DF1B0E"/>
    <w:rsid w:val="00DF1C55"/>
    <w:rsid w:val="00DF2F7F"/>
    <w:rsid w:val="00DF3A00"/>
    <w:rsid w:val="00DF464B"/>
    <w:rsid w:val="00DF5136"/>
    <w:rsid w:val="00DF5563"/>
    <w:rsid w:val="00DF56BE"/>
    <w:rsid w:val="00DF5FDB"/>
    <w:rsid w:val="00DF6BA3"/>
    <w:rsid w:val="00DF6F77"/>
    <w:rsid w:val="00DF767D"/>
    <w:rsid w:val="00DF76D9"/>
    <w:rsid w:val="00E00232"/>
    <w:rsid w:val="00E006EE"/>
    <w:rsid w:val="00E009E5"/>
    <w:rsid w:val="00E00C51"/>
    <w:rsid w:val="00E013BC"/>
    <w:rsid w:val="00E01808"/>
    <w:rsid w:val="00E01B55"/>
    <w:rsid w:val="00E02006"/>
    <w:rsid w:val="00E026CD"/>
    <w:rsid w:val="00E026D8"/>
    <w:rsid w:val="00E02E6B"/>
    <w:rsid w:val="00E0319A"/>
    <w:rsid w:val="00E03388"/>
    <w:rsid w:val="00E03F9F"/>
    <w:rsid w:val="00E045FF"/>
    <w:rsid w:val="00E0471B"/>
    <w:rsid w:val="00E04D4D"/>
    <w:rsid w:val="00E04FD3"/>
    <w:rsid w:val="00E051CD"/>
    <w:rsid w:val="00E052D8"/>
    <w:rsid w:val="00E058E1"/>
    <w:rsid w:val="00E05A22"/>
    <w:rsid w:val="00E068A0"/>
    <w:rsid w:val="00E07049"/>
    <w:rsid w:val="00E073E6"/>
    <w:rsid w:val="00E1046B"/>
    <w:rsid w:val="00E106EF"/>
    <w:rsid w:val="00E1103F"/>
    <w:rsid w:val="00E1131E"/>
    <w:rsid w:val="00E11908"/>
    <w:rsid w:val="00E11986"/>
    <w:rsid w:val="00E11C27"/>
    <w:rsid w:val="00E11EA5"/>
    <w:rsid w:val="00E12636"/>
    <w:rsid w:val="00E12D0F"/>
    <w:rsid w:val="00E12EF6"/>
    <w:rsid w:val="00E13766"/>
    <w:rsid w:val="00E1409A"/>
    <w:rsid w:val="00E147C6"/>
    <w:rsid w:val="00E14824"/>
    <w:rsid w:val="00E14CA9"/>
    <w:rsid w:val="00E14CEA"/>
    <w:rsid w:val="00E14D77"/>
    <w:rsid w:val="00E15057"/>
    <w:rsid w:val="00E15B12"/>
    <w:rsid w:val="00E15CB0"/>
    <w:rsid w:val="00E15FC5"/>
    <w:rsid w:val="00E16CB7"/>
    <w:rsid w:val="00E201A5"/>
    <w:rsid w:val="00E201E1"/>
    <w:rsid w:val="00E203E8"/>
    <w:rsid w:val="00E209F0"/>
    <w:rsid w:val="00E21145"/>
    <w:rsid w:val="00E215BC"/>
    <w:rsid w:val="00E21EE7"/>
    <w:rsid w:val="00E21FC2"/>
    <w:rsid w:val="00E22EF1"/>
    <w:rsid w:val="00E23157"/>
    <w:rsid w:val="00E23615"/>
    <w:rsid w:val="00E23965"/>
    <w:rsid w:val="00E23A7E"/>
    <w:rsid w:val="00E25067"/>
    <w:rsid w:val="00E254D1"/>
    <w:rsid w:val="00E25DA9"/>
    <w:rsid w:val="00E269E4"/>
    <w:rsid w:val="00E27EDD"/>
    <w:rsid w:val="00E30D13"/>
    <w:rsid w:val="00E30FB6"/>
    <w:rsid w:val="00E31234"/>
    <w:rsid w:val="00E312A8"/>
    <w:rsid w:val="00E31363"/>
    <w:rsid w:val="00E319AA"/>
    <w:rsid w:val="00E319E8"/>
    <w:rsid w:val="00E31E14"/>
    <w:rsid w:val="00E330D6"/>
    <w:rsid w:val="00E33160"/>
    <w:rsid w:val="00E33194"/>
    <w:rsid w:val="00E336F5"/>
    <w:rsid w:val="00E33793"/>
    <w:rsid w:val="00E33953"/>
    <w:rsid w:val="00E33A44"/>
    <w:rsid w:val="00E34796"/>
    <w:rsid w:val="00E34BCF"/>
    <w:rsid w:val="00E35D53"/>
    <w:rsid w:val="00E3609E"/>
    <w:rsid w:val="00E360B8"/>
    <w:rsid w:val="00E36C0D"/>
    <w:rsid w:val="00E373C5"/>
    <w:rsid w:val="00E37E19"/>
    <w:rsid w:val="00E4026A"/>
    <w:rsid w:val="00E4043F"/>
    <w:rsid w:val="00E40717"/>
    <w:rsid w:val="00E40FF9"/>
    <w:rsid w:val="00E42D62"/>
    <w:rsid w:val="00E4400D"/>
    <w:rsid w:val="00E44218"/>
    <w:rsid w:val="00E44725"/>
    <w:rsid w:val="00E46482"/>
    <w:rsid w:val="00E476C0"/>
    <w:rsid w:val="00E4782A"/>
    <w:rsid w:val="00E501A4"/>
    <w:rsid w:val="00E502B4"/>
    <w:rsid w:val="00E51841"/>
    <w:rsid w:val="00E525F1"/>
    <w:rsid w:val="00E52C53"/>
    <w:rsid w:val="00E5320F"/>
    <w:rsid w:val="00E53310"/>
    <w:rsid w:val="00E53934"/>
    <w:rsid w:val="00E5398C"/>
    <w:rsid w:val="00E53CD6"/>
    <w:rsid w:val="00E54FA2"/>
    <w:rsid w:val="00E56396"/>
    <w:rsid w:val="00E56EC2"/>
    <w:rsid w:val="00E570A3"/>
    <w:rsid w:val="00E5729B"/>
    <w:rsid w:val="00E57345"/>
    <w:rsid w:val="00E57922"/>
    <w:rsid w:val="00E607C5"/>
    <w:rsid w:val="00E609EF"/>
    <w:rsid w:val="00E60C99"/>
    <w:rsid w:val="00E614FF"/>
    <w:rsid w:val="00E61BD3"/>
    <w:rsid w:val="00E65A57"/>
    <w:rsid w:val="00E660DF"/>
    <w:rsid w:val="00E665CB"/>
    <w:rsid w:val="00E66E52"/>
    <w:rsid w:val="00E6742D"/>
    <w:rsid w:val="00E67759"/>
    <w:rsid w:val="00E67A5F"/>
    <w:rsid w:val="00E708A1"/>
    <w:rsid w:val="00E70AEC"/>
    <w:rsid w:val="00E719BC"/>
    <w:rsid w:val="00E71F3A"/>
    <w:rsid w:val="00E7216A"/>
    <w:rsid w:val="00E726BB"/>
    <w:rsid w:val="00E72826"/>
    <w:rsid w:val="00E72AC0"/>
    <w:rsid w:val="00E72B77"/>
    <w:rsid w:val="00E72CB3"/>
    <w:rsid w:val="00E72F87"/>
    <w:rsid w:val="00E73546"/>
    <w:rsid w:val="00E73769"/>
    <w:rsid w:val="00E737C8"/>
    <w:rsid w:val="00E747C2"/>
    <w:rsid w:val="00E74AB0"/>
    <w:rsid w:val="00E7552F"/>
    <w:rsid w:val="00E755C9"/>
    <w:rsid w:val="00E757B1"/>
    <w:rsid w:val="00E75E37"/>
    <w:rsid w:val="00E75FF4"/>
    <w:rsid w:val="00E762DA"/>
    <w:rsid w:val="00E76BFC"/>
    <w:rsid w:val="00E777C6"/>
    <w:rsid w:val="00E7790E"/>
    <w:rsid w:val="00E77A2E"/>
    <w:rsid w:val="00E77DD0"/>
    <w:rsid w:val="00E80011"/>
    <w:rsid w:val="00E803E1"/>
    <w:rsid w:val="00E80472"/>
    <w:rsid w:val="00E81232"/>
    <w:rsid w:val="00E81EC8"/>
    <w:rsid w:val="00E81FFB"/>
    <w:rsid w:val="00E8271E"/>
    <w:rsid w:val="00E82B62"/>
    <w:rsid w:val="00E8405D"/>
    <w:rsid w:val="00E84230"/>
    <w:rsid w:val="00E856C0"/>
    <w:rsid w:val="00E858FF"/>
    <w:rsid w:val="00E86329"/>
    <w:rsid w:val="00E86405"/>
    <w:rsid w:val="00E86620"/>
    <w:rsid w:val="00E86D18"/>
    <w:rsid w:val="00E870B3"/>
    <w:rsid w:val="00E87C58"/>
    <w:rsid w:val="00E87F3C"/>
    <w:rsid w:val="00E90532"/>
    <w:rsid w:val="00E90750"/>
    <w:rsid w:val="00E90FA7"/>
    <w:rsid w:val="00E91993"/>
    <w:rsid w:val="00E91E3B"/>
    <w:rsid w:val="00E92498"/>
    <w:rsid w:val="00E9272E"/>
    <w:rsid w:val="00E92816"/>
    <w:rsid w:val="00E92EA8"/>
    <w:rsid w:val="00E9351F"/>
    <w:rsid w:val="00E939E1"/>
    <w:rsid w:val="00E94032"/>
    <w:rsid w:val="00E94303"/>
    <w:rsid w:val="00E94326"/>
    <w:rsid w:val="00E948C6"/>
    <w:rsid w:val="00E94ADA"/>
    <w:rsid w:val="00E9733C"/>
    <w:rsid w:val="00E9744D"/>
    <w:rsid w:val="00E9771C"/>
    <w:rsid w:val="00E97828"/>
    <w:rsid w:val="00E97E26"/>
    <w:rsid w:val="00EA0B46"/>
    <w:rsid w:val="00EA0D3A"/>
    <w:rsid w:val="00EA0F80"/>
    <w:rsid w:val="00EA0FCE"/>
    <w:rsid w:val="00EA1178"/>
    <w:rsid w:val="00EA1842"/>
    <w:rsid w:val="00EA1C66"/>
    <w:rsid w:val="00EA21DB"/>
    <w:rsid w:val="00EA2893"/>
    <w:rsid w:val="00EA2AAA"/>
    <w:rsid w:val="00EA2F26"/>
    <w:rsid w:val="00EA3813"/>
    <w:rsid w:val="00EA3A45"/>
    <w:rsid w:val="00EA3DF2"/>
    <w:rsid w:val="00EA46D7"/>
    <w:rsid w:val="00EA4764"/>
    <w:rsid w:val="00EA4E3D"/>
    <w:rsid w:val="00EA4F2A"/>
    <w:rsid w:val="00EA50B6"/>
    <w:rsid w:val="00EA52E3"/>
    <w:rsid w:val="00EA54E6"/>
    <w:rsid w:val="00EA5589"/>
    <w:rsid w:val="00EA572F"/>
    <w:rsid w:val="00EA5931"/>
    <w:rsid w:val="00EA6573"/>
    <w:rsid w:val="00EA6C24"/>
    <w:rsid w:val="00EA6D10"/>
    <w:rsid w:val="00EA71AA"/>
    <w:rsid w:val="00EA74BF"/>
    <w:rsid w:val="00EA7F20"/>
    <w:rsid w:val="00EB0204"/>
    <w:rsid w:val="00EB0872"/>
    <w:rsid w:val="00EB0EB4"/>
    <w:rsid w:val="00EB0EC7"/>
    <w:rsid w:val="00EB10EA"/>
    <w:rsid w:val="00EB21C9"/>
    <w:rsid w:val="00EB2EDC"/>
    <w:rsid w:val="00EB3985"/>
    <w:rsid w:val="00EB3BDF"/>
    <w:rsid w:val="00EB416B"/>
    <w:rsid w:val="00EB4194"/>
    <w:rsid w:val="00EB4797"/>
    <w:rsid w:val="00EB4D50"/>
    <w:rsid w:val="00EB5BF7"/>
    <w:rsid w:val="00EB6C20"/>
    <w:rsid w:val="00EB74D2"/>
    <w:rsid w:val="00EC04E5"/>
    <w:rsid w:val="00EC0633"/>
    <w:rsid w:val="00EC06AC"/>
    <w:rsid w:val="00EC101A"/>
    <w:rsid w:val="00EC118A"/>
    <w:rsid w:val="00EC2530"/>
    <w:rsid w:val="00EC27A6"/>
    <w:rsid w:val="00EC2BA9"/>
    <w:rsid w:val="00EC2F06"/>
    <w:rsid w:val="00EC33FC"/>
    <w:rsid w:val="00EC3EBA"/>
    <w:rsid w:val="00EC4332"/>
    <w:rsid w:val="00EC4DB1"/>
    <w:rsid w:val="00EC5080"/>
    <w:rsid w:val="00EC62B5"/>
    <w:rsid w:val="00EC63C4"/>
    <w:rsid w:val="00EC66FE"/>
    <w:rsid w:val="00EC6EF9"/>
    <w:rsid w:val="00EC6F86"/>
    <w:rsid w:val="00EC70A4"/>
    <w:rsid w:val="00EC78BD"/>
    <w:rsid w:val="00EC7CB5"/>
    <w:rsid w:val="00ED078C"/>
    <w:rsid w:val="00ED0846"/>
    <w:rsid w:val="00ED0EE9"/>
    <w:rsid w:val="00ED155B"/>
    <w:rsid w:val="00ED1EFF"/>
    <w:rsid w:val="00ED2290"/>
    <w:rsid w:val="00ED2C3E"/>
    <w:rsid w:val="00ED30C4"/>
    <w:rsid w:val="00ED389A"/>
    <w:rsid w:val="00ED3BEA"/>
    <w:rsid w:val="00ED3E76"/>
    <w:rsid w:val="00ED43FA"/>
    <w:rsid w:val="00ED48B0"/>
    <w:rsid w:val="00ED4F04"/>
    <w:rsid w:val="00ED5826"/>
    <w:rsid w:val="00ED585D"/>
    <w:rsid w:val="00ED6517"/>
    <w:rsid w:val="00ED6901"/>
    <w:rsid w:val="00ED6C2F"/>
    <w:rsid w:val="00ED71CD"/>
    <w:rsid w:val="00ED77FE"/>
    <w:rsid w:val="00EE0367"/>
    <w:rsid w:val="00EE0554"/>
    <w:rsid w:val="00EE0C44"/>
    <w:rsid w:val="00EE0C96"/>
    <w:rsid w:val="00EE1512"/>
    <w:rsid w:val="00EE2567"/>
    <w:rsid w:val="00EE2614"/>
    <w:rsid w:val="00EE26D6"/>
    <w:rsid w:val="00EE2AFE"/>
    <w:rsid w:val="00EE2F95"/>
    <w:rsid w:val="00EE30B0"/>
    <w:rsid w:val="00EE369D"/>
    <w:rsid w:val="00EE3BDF"/>
    <w:rsid w:val="00EE4115"/>
    <w:rsid w:val="00EE42D6"/>
    <w:rsid w:val="00EE4419"/>
    <w:rsid w:val="00EE4596"/>
    <w:rsid w:val="00EE4DBB"/>
    <w:rsid w:val="00EE52D9"/>
    <w:rsid w:val="00EE57DE"/>
    <w:rsid w:val="00EE5BA2"/>
    <w:rsid w:val="00EE5C8B"/>
    <w:rsid w:val="00EE60C3"/>
    <w:rsid w:val="00EE6CE3"/>
    <w:rsid w:val="00EE75B2"/>
    <w:rsid w:val="00EE77ED"/>
    <w:rsid w:val="00EF037C"/>
    <w:rsid w:val="00EF0E4C"/>
    <w:rsid w:val="00EF104B"/>
    <w:rsid w:val="00EF159A"/>
    <w:rsid w:val="00EF18CE"/>
    <w:rsid w:val="00EF206C"/>
    <w:rsid w:val="00EF250D"/>
    <w:rsid w:val="00EF2D6A"/>
    <w:rsid w:val="00EF33C8"/>
    <w:rsid w:val="00EF384C"/>
    <w:rsid w:val="00EF439F"/>
    <w:rsid w:val="00EF441B"/>
    <w:rsid w:val="00EF4432"/>
    <w:rsid w:val="00EF4ABA"/>
    <w:rsid w:val="00EF4C06"/>
    <w:rsid w:val="00EF4EEB"/>
    <w:rsid w:val="00EF5436"/>
    <w:rsid w:val="00EF54B1"/>
    <w:rsid w:val="00EF58B8"/>
    <w:rsid w:val="00EF5C9C"/>
    <w:rsid w:val="00EF6A28"/>
    <w:rsid w:val="00EF6F2C"/>
    <w:rsid w:val="00EF723F"/>
    <w:rsid w:val="00EF7550"/>
    <w:rsid w:val="00EF7634"/>
    <w:rsid w:val="00EF7781"/>
    <w:rsid w:val="00EF7786"/>
    <w:rsid w:val="00EF7D05"/>
    <w:rsid w:val="00F0023B"/>
    <w:rsid w:val="00F002C7"/>
    <w:rsid w:val="00F00A9B"/>
    <w:rsid w:val="00F00EFD"/>
    <w:rsid w:val="00F01103"/>
    <w:rsid w:val="00F0134D"/>
    <w:rsid w:val="00F02005"/>
    <w:rsid w:val="00F04428"/>
    <w:rsid w:val="00F0476A"/>
    <w:rsid w:val="00F05916"/>
    <w:rsid w:val="00F05966"/>
    <w:rsid w:val="00F05EC7"/>
    <w:rsid w:val="00F064DD"/>
    <w:rsid w:val="00F069E4"/>
    <w:rsid w:val="00F06DBC"/>
    <w:rsid w:val="00F07A5A"/>
    <w:rsid w:val="00F07C34"/>
    <w:rsid w:val="00F1079F"/>
    <w:rsid w:val="00F10ED9"/>
    <w:rsid w:val="00F11C14"/>
    <w:rsid w:val="00F11EB9"/>
    <w:rsid w:val="00F12027"/>
    <w:rsid w:val="00F12411"/>
    <w:rsid w:val="00F128F0"/>
    <w:rsid w:val="00F12A01"/>
    <w:rsid w:val="00F12E4F"/>
    <w:rsid w:val="00F13DA3"/>
    <w:rsid w:val="00F13FA6"/>
    <w:rsid w:val="00F146B5"/>
    <w:rsid w:val="00F14799"/>
    <w:rsid w:val="00F14B57"/>
    <w:rsid w:val="00F154BC"/>
    <w:rsid w:val="00F15602"/>
    <w:rsid w:val="00F160EC"/>
    <w:rsid w:val="00F1663A"/>
    <w:rsid w:val="00F16EAE"/>
    <w:rsid w:val="00F172B8"/>
    <w:rsid w:val="00F17919"/>
    <w:rsid w:val="00F2001D"/>
    <w:rsid w:val="00F20163"/>
    <w:rsid w:val="00F218C2"/>
    <w:rsid w:val="00F21B86"/>
    <w:rsid w:val="00F21C66"/>
    <w:rsid w:val="00F22156"/>
    <w:rsid w:val="00F222D7"/>
    <w:rsid w:val="00F22C0D"/>
    <w:rsid w:val="00F23481"/>
    <w:rsid w:val="00F239FD"/>
    <w:rsid w:val="00F23C8E"/>
    <w:rsid w:val="00F24739"/>
    <w:rsid w:val="00F24744"/>
    <w:rsid w:val="00F24CB0"/>
    <w:rsid w:val="00F25686"/>
    <w:rsid w:val="00F25850"/>
    <w:rsid w:val="00F2596C"/>
    <w:rsid w:val="00F25EDA"/>
    <w:rsid w:val="00F26C84"/>
    <w:rsid w:val="00F272CA"/>
    <w:rsid w:val="00F2764B"/>
    <w:rsid w:val="00F27CB5"/>
    <w:rsid w:val="00F27CC2"/>
    <w:rsid w:val="00F303F2"/>
    <w:rsid w:val="00F30AEA"/>
    <w:rsid w:val="00F30FA5"/>
    <w:rsid w:val="00F31433"/>
    <w:rsid w:val="00F31C10"/>
    <w:rsid w:val="00F32A8F"/>
    <w:rsid w:val="00F33F1A"/>
    <w:rsid w:val="00F34378"/>
    <w:rsid w:val="00F34675"/>
    <w:rsid w:val="00F348EC"/>
    <w:rsid w:val="00F3559F"/>
    <w:rsid w:val="00F35A1D"/>
    <w:rsid w:val="00F360A5"/>
    <w:rsid w:val="00F360FF"/>
    <w:rsid w:val="00F3621A"/>
    <w:rsid w:val="00F36444"/>
    <w:rsid w:val="00F366A3"/>
    <w:rsid w:val="00F36AEE"/>
    <w:rsid w:val="00F36BC1"/>
    <w:rsid w:val="00F40416"/>
    <w:rsid w:val="00F4084B"/>
    <w:rsid w:val="00F40C87"/>
    <w:rsid w:val="00F40D4F"/>
    <w:rsid w:val="00F4121B"/>
    <w:rsid w:val="00F41517"/>
    <w:rsid w:val="00F418A6"/>
    <w:rsid w:val="00F41ED4"/>
    <w:rsid w:val="00F42207"/>
    <w:rsid w:val="00F42A0A"/>
    <w:rsid w:val="00F42D04"/>
    <w:rsid w:val="00F42DB0"/>
    <w:rsid w:val="00F43155"/>
    <w:rsid w:val="00F435E3"/>
    <w:rsid w:val="00F4372B"/>
    <w:rsid w:val="00F43E5A"/>
    <w:rsid w:val="00F44B6C"/>
    <w:rsid w:val="00F44FD6"/>
    <w:rsid w:val="00F461A9"/>
    <w:rsid w:val="00F46523"/>
    <w:rsid w:val="00F46843"/>
    <w:rsid w:val="00F46B5D"/>
    <w:rsid w:val="00F47B47"/>
    <w:rsid w:val="00F5017F"/>
    <w:rsid w:val="00F50730"/>
    <w:rsid w:val="00F50DC4"/>
    <w:rsid w:val="00F51724"/>
    <w:rsid w:val="00F518BD"/>
    <w:rsid w:val="00F52BC8"/>
    <w:rsid w:val="00F5301A"/>
    <w:rsid w:val="00F53205"/>
    <w:rsid w:val="00F5345F"/>
    <w:rsid w:val="00F534E7"/>
    <w:rsid w:val="00F53E19"/>
    <w:rsid w:val="00F54535"/>
    <w:rsid w:val="00F5466C"/>
    <w:rsid w:val="00F54915"/>
    <w:rsid w:val="00F5663D"/>
    <w:rsid w:val="00F569C2"/>
    <w:rsid w:val="00F5794B"/>
    <w:rsid w:val="00F57A5C"/>
    <w:rsid w:val="00F604F7"/>
    <w:rsid w:val="00F6097A"/>
    <w:rsid w:val="00F61AF7"/>
    <w:rsid w:val="00F61E19"/>
    <w:rsid w:val="00F62487"/>
    <w:rsid w:val="00F624E2"/>
    <w:rsid w:val="00F62D8E"/>
    <w:rsid w:val="00F65338"/>
    <w:rsid w:val="00F65622"/>
    <w:rsid w:val="00F65FC9"/>
    <w:rsid w:val="00F661ED"/>
    <w:rsid w:val="00F679BD"/>
    <w:rsid w:val="00F7072F"/>
    <w:rsid w:val="00F709A7"/>
    <w:rsid w:val="00F70D5B"/>
    <w:rsid w:val="00F7179E"/>
    <w:rsid w:val="00F7184F"/>
    <w:rsid w:val="00F71AD8"/>
    <w:rsid w:val="00F73129"/>
    <w:rsid w:val="00F734AC"/>
    <w:rsid w:val="00F734B4"/>
    <w:rsid w:val="00F73505"/>
    <w:rsid w:val="00F73678"/>
    <w:rsid w:val="00F73C38"/>
    <w:rsid w:val="00F746BB"/>
    <w:rsid w:val="00F74A75"/>
    <w:rsid w:val="00F763F5"/>
    <w:rsid w:val="00F77321"/>
    <w:rsid w:val="00F77530"/>
    <w:rsid w:val="00F7792E"/>
    <w:rsid w:val="00F77CC6"/>
    <w:rsid w:val="00F801C4"/>
    <w:rsid w:val="00F80F6C"/>
    <w:rsid w:val="00F811DE"/>
    <w:rsid w:val="00F812A1"/>
    <w:rsid w:val="00F818AA"/>
    <w:rsid w:val="00F83E20"/>
    <w:rsid w:val="00F84C6F"/>
    <w:rsid w:val="00F84D10"/>
    <w:rsid w:val="00F84E00"/>
    <w:rsid w:val="00F853B6"/>
    <w:rsid w:val="00F854A0"/>
    <w:rsid w:val="00F86576"/>
    <w:rsid w:val="00F86D9C"/>
    <w:rsid w:val="00F86E56"/>
    <w:rsid w:val="00F8710C"/>
    <w:rsid w:val="00F8713C"/>
    <w:rsid w:val="00F8716A"/>
    <w:rsid w:val="00F8719F"/>
    <w:rsid w:val="00F873CD"/>
    <w:rsid w:val="00F874FA"/>
    <w:rsid w:val="00F876CB"/>
    <w:rsid w:val="00F900D2"/>
    <w:rsid w:val="00F909DD"/>
    <w:rsid w:val="00F90CD2"/>
    <w:rsid w:val="00F90ECE"/>
    <w:rsid w:val="00F9101B"/>
    <w:rsid w:val="00F93554"/>
    <w:rsid w:val="00F939C3"/>
    <w:rsid w:val="00F93AF2"/>
    <w:rsid w:val="00F94200"/>
    <w:rsid w:val="00F94E9E"/>
    <w:rsid w:val="00F960A2"/>
    <w:rsid w:val="00F97603"/>
    <w:rsid w:val="00F97880"/>
    <w:rsid w:val="00F97F67"/>
    <w:rsid w:val="00FA00AB"/>
    <w:rsid w:val="00FA0190"/>
    <w:rsid w:val="00FA1252"/>
    <w:rsid w:val="00FA16D5"/>
    <w:rsid w:val="00FA1951"/>
    <w:rsid w:val="00FA1E06"/>
    <w:rsid w:val="00FA36FE"/>
    <w:rsid w:val="00FA3C83"/>
    <w:rsid w:val="00FA50AC"/>
    <w:rsid w:val="00FA52D9"/>
    <w:rsid w:val="00FA5501"/>
    <w:rsid w:val="00FA584F"/>
    <w:rsid w:val="00FA5F8B"/>
    <w:rsid w:val="00FA6048"/>
    <w:rsid w:val="00FA619A"/>
    <w:rsid w:val="00FA6A72"/>
    <w:rsid w:val="00FA7AC8"/>
    <w:rsid w:val="00FB01F1"/>
    <w:rsid w:val="00FB04B4"/>
    <w:rsid w:val="00FB0CD8"/>
    <w:rsid w:val="00FB0D7F"/>
    <w:rsid w:val="00FB0E46"/>
    <w:rsid w:val="00FB2637"/>
    <w:rsid w:val="00FB2A66"/>
    <w:rsid w:val="00FB2F17"/>
    <w:rsid w:val="00FB339B"/>
    <w:rsid w:val="00FB4573"/>
    <w:rsid w:val="00FB581E"/>
    <w:rsid w:val="00FB5835"/>
    <w:rsid w:val="00FB6A30"/>
    <w:rsid w:val="00FB719F"/>
    <w:rsid w:val="00FB7BB9"/>
    <w:rsid w:val="00FC1110"/>
    <w:rsid w:val="00FC1377"/>
    <w:rsid w:val="00FC13B0"/>
    <w:rsid w:val="00FC18A6"/>
    <w:rsid w:val="00FC19FE"/>
    <w:rsid w:val="00FC2464"/>
    <w:rsid w:val="00FC24F1"/>
    <w:rsid w:val="00FC280D"/>
    <w:rsid w:val="00FC28B6"/>
    <w:rsid w:val="00FC2B23"/>
    <w:rsid w:val="00FC31AE"/>
    <w:rsid w:val="00FC3880"/>
    <w:rsid w:val="00FC3D2B"/>
    <w:rsid w:val="00FC3FC6"/>
    <w:rsid w:val="00FC4319"/>
    <w:rsid w:val="00FC44C9"/>
    <w:rsid w:val="00FC454E"/>
    <w:rsid w:val="00FC477B"/>
    <w:rsid w:val="00FC4D9D"/>
    <w:rsid w:val="00FC54C9"/>
    <w:rsid w:val="00FC5DE2"/>
    <w:rsid w:val="00FC6166"/>
    <w:rsid w:val="00FC659A"/>
    <w:rsid w:val="00FC6880"/>
    <w:rsid w:val="00FC6AEA"/>
    <w:rsid w:val="00FC6AF7"/>
    <w:rsid w:val="00FC7107"/>
    <w:rsid w:val="00FC7FE2"/>
    <w:rsid w:val="00FD0027"/>
    <w:rsid w:val="00FD0266"/>
    <w:rsid w:val="00FD0E0E"/>
    <w:rsid w:val="00FD12C1"/>
    <w:rsid w:val="00FD1D01"/>
    <w:rsid w:val="00FD2433"/>
    <w:rsid w:val="00FD2E5B"/>
    <w:rsid w:val="00FD3223"/>
    <w:rsid w:val="00FD342F"/>
    <w:rsid w:val="00FD35A8"/>
    <w:rsid w:val="00FD3B30"/>
    <w:rsid w:val="00FD4176"/>
    <w:rsid w:val="00FD48C6"/>
    <w:rsid w:val="00FD4A89"/>
    <w:rsid w:val="00FD55A3"/>
    <w:rsid w:val="00FD7AAC"/>
    <w:rsid w:val="00FE02D3"/>
    <w:rsid w:val="00FE02F6"/>
    <w:rsid w:val="00FE0835"/>
    <w:rsid w:val="00FE0F06"/>
    <w:rsid w:val="00FE111A"/>
    <w:rsid w:val="00FE13B7"/>
    <w:rsid w:val="00FE1833"/>
    <w:rsid w:val="00FE1CEA"/>
    <w:rsid w:val="00FE2371"/>
    <w:rsid w:val="00FE27B4"/>
    <w:rsid w:val="00FE33F2"/>
    <w:rsid w:val="00FE3B4D"/>
    <w:rsid w:val="00FE3DC5"/>
    <w:rsid w:val="00FE4877"/>
    <w:rsid w:val="00FE4BA0"/>
    <w:rsid w:val="00FE4D79"/>
    <w:rsid w:val="00FE4E14"/>
    <w:rsid w:val="00FE55B3"/>
    <w:rsid w:val="00FE576A"/>
    <w:rsid w:val="00FE5C54"/>
    <w:rsid w:val="00FE5DD3"/>
    <w:rsid w:val="00FE61CC"/>
    <w:rsid w:val="00FE6C00"/>
    <w:rsid w:val="00FE7A60"/>
    <w:rsid w:val="00FF0096"/>
    <w:rsid w:val="00FF023D"/>
    <w:rsid w:val="00FF02A0"/>
    <w:rsid w:val="00FF02D2"/>
    <w:rsid w:val="00FF0356"/>
    <w:rsid w:val="00FF0B14"/>
    <w:rsid w:val="00FF0D27"/>
    <w:rsid w:val="00FF0E9F"/>
    <w:rsid w:val="00FF110A"/>
    <w:rsid w:val="00FF148F"/>
    <w:rsid w:val="00FF1893"/>
    <w:rsid w:val="00FF1B9B"/>
    <w:rsid w:val="00FF2200"/>
    <w:rsid w:val="00FF22FC"/>
    <w:rsid w:val="00FF29E5"/>
    <w:rsid w:val="00FF2B9E"/>
    <w:rsid w:val="00FF30DF"/>
    <w:rsid w:val="00FF3603"/>
    <w:rsid w:val="00FF3E9F"/>
    <w:rsid w:val="00FF4504"/>
    <w:rsid w:val="00FF467B"/>
    <w:rsid w:val="00FF475C"/>
    <w:rsid w:val="00FF4A17"/>
    <w:rsid w:val="00FF5587"/>
    <w:rsid w:val="00FF5A88"/>
    <w:rsid w:val="00FF6CC8"/>
    <w:rsid w:val="00FF6F49"/>
    <w:rsid w:val="00FF7055"/>
    <w:rsid w:val="00FF787C"/>
    <w:rsid w:val="010D5792"/>
    <w:rsid w:val="0175413A"/>
    <w:rsid w:val="01F23D45"/>
    <w:rsid w:val="022966FE"/>
    <w:rsid w:val="02472931"/>
    <w:rsid w:val="02AD1A88"/>
    <w:rsid w:val="02E90077"/>
    <w:rsid w:val="02F561BC"/>
    <w:rsid w:val="03B11139"/>
    <w:rsid w:val="03BE4DDA"/>
    <w:rsid w:val="04464AA9"/>
    <w:rsid w:val="04BF30A6"/>
    <w:rsid w:val="04C05E7A"/>
    <w:rsid w:val="04C74770"/>
    <w:rsid w:val="04D06F75"/>
    <w:rsid w:val="04F7410F"/>
    <w:rsid w:val="05136270"/>
    <w:rsid w:val="053F69CD"/>
    <w:rsid w:val="054502A8"/>
    <w:rsid w:val="055572C6"/>
    <w:rsid w:val="055F0975"/>
    <w:rsid w:val="0599158D"/>
    <w:rsid w:val="063C1CC4"/>
    <w:rsid w:val="06494C4C"/>
    <w:rsid w:val="06781A50"/>
    <w:rsid w:val="07975554"/>
    <w:rsid w:val="07B1140D"/>
    <w:rsid w:val="07B53126"/>
    <w:rsid w:val="07B7062C"/>
    <w:rsid w:val="07BC0B8E"/>
    <w:rsid w:val="08446EC4"/>
    <w:rsid w:val="085F6C1D"/>
    <w:rsid w:val="0864660C"/>
    <w:rsid w:val="088A7079"/>
    <w:rsid w:val="08BB687A"/>
    <w:rsid w:val="08BE3E25"/>
    <w:rsid w:val="08F42A39"/>
    <w:rsid w:val="08F43FF8"/>
    <w:rsid w:val="091934BF"/>
    <w:rsid w:val="09214FC6"/>
    <w:rsid w:val="09314259"/>
    <w:rsid w:val="09BF20E9"/>
    <w:rsid w:val="09F27611"/>
    <w:rsid w:val="0A174684"/>
    <w:rsid w:val="0A1C2B05"/>
    <w:rsid w:val="0A225C7A"/>
    <w:rsid w:val="0A303EC3"/>
    <w:rsid w:val="0AC57BE3"/>
    <w:rsid w:val="0AD26B4D"/>
    <w:rsid w:val="0AF25176"/>
    <w:rsid w:val="0B056FC8"/>
    <w:rsid w:val="0B15039E"/>
    <w:rsid w:val="0B150DBA"/>
    <w:rsid w:val="0B2343E8"/>
    <w:rsid w:val="0B38404A"/>
    <w:rsid w:val="0B625136"/>
    <w:rsid w:val="0B717357"/>
    <w:rsid w:val="0BAC7487"/>
    <w:rsid w:val="0BD157FE"/>
    <w:rsid w:val="0BE449F4"/>
    <w:rsid w:val="0C14736E"/>
    <w:rsid w:val="0C3B19E4"/>
    <w:rsid w:val="0C605560"/>
    <w:rsid w:val="0C666AEF"/>
    <w:rsid w:val="0C8A2C23"/>
    <w:rsid w:val="0C902DBA"/>
    <w:rsid w:val="0CA92646"/>
    <w:rsid w:val="0CAB6FC1"/>
    <w:rsid w:val="0CBC42F9"/>
    <w:rsid w:val="0CBD198D"/>
    <w:rsid w:val="0D2327C7"/>
    <w:rsid w:val="0D660454"/>
    <w:rsid w:val="0D9F7809"/>
    <w:rsid w:val="0E0530C9"/>
    <w:rsid w:val="0E0C04DB"/>
    <w:rsid w:val="0E2C16F1"/>
    <w:rsid w:val="0E352554"/>
    <w:rsid w:val="0E67398A"/>
    <w:rsid w:val="0E820826"/>
    <w:rsid w:val="0E9B4C74"/>
    <w:rsid w:val="0ECA3FAE"/>
    <w:rsid w:val="0EDE0CEC"/>
    <w:rsid w:val="0EE820FB"/>
    <w:rsid w:val="0F153424"/>
    <w:rsid w:val="0F3F429D"/>
    <w:rsid w:val="0F531C7A"/>
    <w:rsid w:val="0F724E3C"/>
    <w:rsid w:val="0F7667E1"/>
    <w:rsid w:val="0FE51CD7"/>
    <w:rsid w:val="1006446F"/>
    <w:rsid w:val="1029260B"/>
    <w:rsid w:val="102E4F10"/>
    <w:rsid w:val="10884A3F"/>
    <w:rsid w:val="10B2641F"/>
    <w:rsid w:val="10DF0360"/>
    <w:rsid w:val="111A4F15"/>
    <w:rsid w:val="112D30D5"/>
    <w:rsid w:val="113B5021"/>
    <w:rsid w:val="11A96B4F"/>
    <w:rsid w:val="12095857"/>
    <w:rsid w:val="122C027D"/>
    <w:rsid w:val="12A84AB1"/>
    <w:rsid w:val="12CD11AB"/>
    <w:rsid w:val="12D34008"/>
    <w:rsid w:val="131E6CE5"/>
    <w:rsid w:val="13273CCC"/>
    <w:rsid w:val="13743C7E"/>
    <w:rsid w:val="13915879"/>
    <w:rsid w:val="13B011C1"/>
    <w:rsid w:val="13B6730C"/>
    <w:rsid w:val="13B80076"/>
    <w:rsid w:val="13BD4D6D"/>
    <w:rsid w:val="13CB100B"/>
    <w:rsid w:val="14164AE9"/>
    <w:rsid w:val="14196BF0"/>
    <w:rsid w:val="146F1D7A"/>
    <w:rsid w:val="1486120C"/>
    <w:rsid w:val="14AA5727"/>
    <w:rsid w:val="14C31248"/>
    <w:rsid w:val="14D23F54"/>
    <w:rsid w:val="151031E9"/>
    <w:rsid w:val="15145B9D"/>
    <w:rsid w:val="15821500"/>
    <w:rsid w:val="1585488A"/>
    <w:rsid w:val="15C43439"/>
    <w:rsid w:val="15CE43A5"/>
    <w:rsid w:val="160E4043"/>
    <w:rsid w:val="161C6FBD"/>
    <w:rsid w:val="16581113"/>
    <w:rsid w:val="166659DF"/>
    <w:rsid w:val="16712BA1"/>
    <w:rsid w:val="169615FB"/>
    <w:rsid w:val="16BC43FC"/>
    <w:rsid w:val="16F073D2"/>
    <w:rsid w:val="16F972E0"/>
    <w:rsid w:val="173F2A13"/>
    <w:rsid w:val="174340FA"/>
    <w:rsid w:val="1761046B"/>
    <w:rsid w:val="1762315A"/>
    <w:rsid w:val="17B66677"/>
    <w:rsid w:val="17E7717C"/>
    <w:rsid w:val="18316564"/>
    <w:rsid w:val="183332A0"/>
    <w:rsid w:val="183A5F45"/>
    <w:rsid w:val="185C5AD6"/>
    <w:rsid w:val="188320E8"/>
    <w:rsid w:val="18AA5C6C"/>
    <w:rsid w:val="18C80ABC"/>
    <w:rsid w:val="19492D9B"/>
    <w:rsid w:val="19547518"/>
    <w:rsid w:val="19F15F01"/>
    <w:rsid w:val="1A011B96"/>
    <w:rsid w:val="1AA6291A"/>
    <w:rsid w:val="1AB20C88"/>
    <w:rsid w:val="1B0D22B7"/>
    <w:rsid w:val="1B386357"/>
    <w:rsid w:val="1B447AD8"/>
    <w:rsid w:val="1B601080"/>
    <w:rsid w:val="1B704F5A"/>
    <w:rsid w:val="1BBC6AEF"/>
    <w:rsid w:val="1BC0342B"/>
    <w:rsid w:val="1BCF2EB0"/>
    <w:rsid w:val="1BD779A7"/>
    <w:rsid w:val="1BFB3C89"/>
    <w:rsid w:val="1C415954"/>
    <w:rsid w:val="1C63306D"/>
    <w:rsid w:val="1CB201D8"/>
    <w:rsid w:val="1CDA15AB"/>
    <w:rsid w:val="1CE400D0"/>
    <w:rsid w:val="1D927B8A"/>
    <w:rsid w:val="1D935A7F"/>
    <w:rsid w:val="1DD24E0E"/>
    <w:rsid w:val="1DFD66F6"/>
    <w:rsid w:val="1E0E384D"/>
    <w:rsid w:val="1E2B45A7"/>
    <w:rsid w:val="1E6E0897"/>
    <w:rsid w:val="1E6F299D"/>
    <w:rsid w:val="1EC73C2E"/>
    <w:rsid w:val="1EFA48BB"/>
    <w:rsid w:val="1F146800"/>
    <w:rsid w:val="1FAE475F"/>
    <w:rsid w:val="1FC928E4"/>
    <w:rsid w:val="1FE806CF"/>
    <w:rsid w:val="204B7008"/>
    <w:rsid w:val="204E61BF"/>
    <w:rsid w:val="20B32BDD"/>
    <w:rsid w:val="20C26EEF"/>
    <w:rsid w:val="214C5260"/>
    <w:rsid w:val="214F3CF8"/>
    <w:rsid w:val="217C7CC5"/>
    <w:rsid w:val="217D7535"/>
    <w:rsid w:val="21D85F9F"/>
    <w:rsid w:val="221461BA"/>
    <w:rsid w:val="22307E2A"/>
    <w:rsid w:val="22E7796D"/>
    <w:rsid w:val="22EE1B76"/>
    <w:rsid w:val="235E7D03"/>
    <w:rsid w:val="23B470A1"/>
    <w:rsid w:val="23E3479C"/>
    <w:rsid w:val="23F36FF7"/>
    <w:rsid w:val="24323409"/>
    <w:rsid w:val="2436121A"/>
    <w:rsid w:val="24374EB9"/>
    <w:rsid w:val="24476CE0"/>
    <w:rsid w:val="2453351B"/>
    <w:rsid w:val="245E2CD7"/>
    <w:rsid w:val="25A22A6B"/>
    <w:rsid w:val="268E2266"/>
    <w:rsid w:val="26904567"/>
    <w:rsid w:val="26EF474F"/>
    <w:rsid w:val="26F75030"/>
    <w:rsid w:val="2750641C"/>
    <w:rsid w:val="276E2D1B"/>
    <w:rsid w:val="27D47596"/>
    <w:rsid w:val="27EC3350"/>
    <w:rsid w:val="27FD5441"/>
    <w:rsid w:val="28106F71"/>
    <w:rsid w:val="28150722"/>
    <w:rsid w:val="28270945"/>
    <w:rsid w:val="285A67DC"/>
    <w:rsid w:val="28A634FD"/>
    <w:rsid w:val="28AC55C6"/>
    <w:rsid w:val="28C43B1C"/>
    <w:rsid w:val="28C463F5"/>
    <w:rsid w:val="28EA4947"/>
    <w:rsid w:val="2908513C"/>
    <w:rsid w:val="290B7C29"/>
    <w:rsid w:val="2930048C"/>
    <w:rsid w:val="29734E59"/>
    <w:rsid w:val="29BD4FDE"/>
    <w:rsid w:val="29C11827"/>
    <w:rsid w:val="29EE476C"/>
    <w:rsid w:val="2A090F19"/>
    <w:rsid w:val="2A4645CD"/>
    <w:rsid w:val="2A6F7CEC"/>
    <w:rsid w:val="2A8719D2"/>
    <w:rsid w:val="2AD35776"/>
    <w:rsid w:val="2B04334A"/>
    <w:rsid w:val="2B293A52"/>
    <w:rsid w:val="2B317991"/>
    <w:rsid w:val="2B4F24A0"/>
    <w:rsid w:val="2B515909"/>
    <w:rsid w:val="2BCC17CB"/>
    <w:rsid w:val="2C237394"/>
    <w:rsid w:val="2D146F8E"/>
    <w:rsid w:val="2D5E44D3"/>
    <w:rsid w:val="2D643BBD"/>
    <w:rsid w:val="2D6C304C"/>
    <w:rsid w:val="2D8C0B81"/>
    <w:rsid w:val="2DE4363C"/>
    <w:rsid w:val="2DE85F3E"/>
    <w:rsid w:val="2E0E500A"/>
    <w:rsid w:val="2E6D4FBE"/>
    <w:rsid w:val="2EBD0B2A"/>
    <w:rsid w:val="2EF64AFB"/>
    <w:rsid w:val="2F124C61"/>
    <w:rsid w:val="2F126BFA"/>
    <w:rsid w:val="2F191745"/>
    <w:rsid w:val="2F4E0573"/>
    <w:rsid w:val="2F821415"/>
    <w:rsid w:val="2FC13BB7"/>
    <w:rsid w:val="2FF83617"/>
    <w:rsid w:val="30075885"/>
    <w:rsid w:val="301A7CA0"/>
    <w:rsid w:val="306D4BEB"/>
    <w:rsid w:val="30C34134"/>
    <w:rsid w:val="311C10D7"/>
    <w:rsid w:val="316D2EB7"/>
    <w:rsid w:val="3171044C"/>
    <w:rsid w:val="31AE58EC"/>
    <w:rsid w:val="31C972B1"/>
    <w:rsid w:val="32513EDC"/>
    <w:rsid w:val="327B6D4F"/>
    <w:rsid w:val="32A02418"/>
    <w:rsid w:val="32B25B2C"/>
    <w:rsid w:val="32B81612"/>
    <w:rsid w:val="32CA7C4D"/>
    <w:rsid w:val="32FF5620"/>
    <w:rsid w:val="330B117F"/>
    <w:rsid w:val="3397037B"/>
    <w:rsid w:val="33A8380B"/>
    <w:rsid w:val="33B10C4D"/>
    <w:rsid w:val="33B27235"/>
    <w:rsid w:val="33BF4A33"/>
    <w:rsid w:val="33F02396"/>
    <w:rsid w:val="34267F00"/>
    <w:rsid w:val="34312F30"/>
    <w:rsid w:val="34773E9B"/>
    <w:rsid w:val="34795D5D"/>
    <w:rsid w:val="34A409EA"/>
    <w:rsid w:val="34D114FE"/>
    <w:rsid w:val="34FA5B93"/>
    <w:rsid w:val="350C6DC6"/>
    <w:rsid w:val="351D1650"/>
    <w:rsid w:val="35DD6145"/>
    <w:rsid w:val="36004BF9"/>
    <w:rsid w:val="369052C8"/>
    <w:rsid w:val="36AA4542"/>
    <w:rsid w:val="36B25B82"/>
    <w:rsid w:val="36BD58B2"/>
    <w:rsid w:val="36EE315B"/>
    <w:rsid w:val="370D2FE1"/>
    <w:rsid w:val="3710508A"/>
    <w:rsid w:val="37170F30"/>
    <w:rsid w:val="37501D7A"/>
    <w:rsid w:val="37BB18F6"/>
    <w:rsid w:val="37DB25FD"/>
    <w:rsid w:val="37EA4CD7"/>
    <w:rsid w:val="38145C84"/>
    <w:rsid w:val="385C1855"/>
    <w:rsid w:val="38685D8F"/>
    <w:rsid w:val="389711E1"/>
    <w:rsid w:val="389E342F"/>
    <w:rsid w:val="38D728CB"/>
    <w:rsid w:val="38FA6BB4"/>
    <w:rsid w:val="38FF7C7A"/>
    <w:rsid w:val="39054898"/>
    <w:rsid w:val="392A0E82"/>
    <w:rsid w:val="392B4083"/>
    <w:rsid w:val="39762777"/>
    <w:rsid w:val="3A7E410A"/>
    <w:rsid w:val="3A9D253D"/>
    <w:rsid w:val="3B1B4C20"/>
    <w:rsid w:val="3B80020A"/>
    <w:rsid w:val="3B9C06C1"/>
    <w:rsid w:val="3BB11A75"/>
    <w:rsid w:val="3BB42266"/>
    <w:rsid w:val="3BF13813"/>
    <w:rsid w:val="3C035BF0"/>
    <w:rsid w:val="3C24446C"/>
    <w:rsid w:val="3C28553D"/>
    <w:rsid w:val="3C3A6592"/>
    <w:rsid w:val="3CA12326"/>
    <w:rsid w:val="3D0D649C"/>
    <w:rsid w:val="3D362CBB"/>
    <w:rsid w:val="3D3C60C5"/>
    <w:rsid w:val="3DF0333D"/>
    <w:rsid w:val="3DF2704E"/>
    <w:rsid w:val="3E20597F"/>
    <w:rsid w:val="3E572D08"/>
    <w:rsid w:val="3E917038"/>
    <w:rsid w:val="3EBD717E"/>
    <w:rsid w:val="3EC51B85"/>
    <w:rsid w:val="3EE41D9C"/>
    <w:rsid w:val="3EEE2DF8"/>
    <w:rsid w:val="3F30708E"/>
    <w:rsid w:val="3F3A621F"/>
    <w:rsid w:val="3F821AAD"/>
    <w:rsid w:val="40293B39"/>
    <w:rsid w:val="4032497A"/>
    <w:rsid w:val="40744DB6"/>
    <w:rsid w:val="4077652D"/>
    <w:rsid w:val="40C445B0"/>
    <w:rsid w:val="40DB55CA"/>
    <w:rsid w:val="413D156A"/>
    <w:rsid w:val="41864F84"/>
    <w:rsid w:val="41886BB1"/>
    <w:rsid w:val="41B7206A"/>
    <w:rsid w:val="41BB5AC5"/>
    <w:rsid w:val="421F190C"/>
    <w:rsid w:val="423678D9"/>
    <w:rsid w:val="4269685C"/>
    <w:rsid w:val="427B6EAC"/>
    <w:rsid w:val="429720F1"/>
    <w:rsid w:val="42CC683B"/>
    <w:rsid w:val="42DC79F3"/>
    <w:rsid w:val="42EE36F9"/>
    <w:rsid w:val="43265BB0"/>
    <w:rsid w:val="43432BE5"/>
    <w:rsid w:val="434540EF"/>
    <w:rsid w:val="436151BF"/>
    <w:rsid w:val="43FA6480"/>
    <w:rsid w:val="444D6DC4"/>
    <w:rsid w:val="4458601E"/>
    <w:rsid w:val="446F0474"/>
    <w:rsid w:val="448551C6"/>
    <w:rsid w:val="44A130E5"/>
    <w:rsid w:val="44BD3DB1"/>
    <w:rsid w:val="44BF379D"/>
    <w:rsid w:val="44FC5B23"/>
    <w:rsid w:val="45235E97"/>
    <w:rsid w:val="45277C55"/>
    <w:rsid w:val="453F2812"/>
    <w:rsid w:val="45607971"/>
    <w:rsid w:val="4572694C"/>
    <w:rsid w:val="45F64245"/>
    <w:rsid w:val="45FA7080"/>
    <w:rsid w:val="45FF6626"/>
    <w:rsid w:val="462A29D4"/>
    <w:rsid w:val="46431EDC"/>
    <w:rsid w:val="46697469"/>
    <w:rsid w:val="468B77B0"/>
    <w:rsid w:val="46A62917"/>
    <w:rsid w:val="46B05A1F"/>
    <w:rsid w:val="46B30A16"/>
    <w:rsid w:val="46F46CD2"/>
    <w:rsid w:val="473A544E"/>
    <w:rsid w:val="47A44169"/>
    <w:rsid w:val="47D32231"/>
    <w:rsid w:val="47F367DF"/>
    <w:rsid w:val="481C6658"/>
    <w:rsid w:val="48201648"/>
    <w:rsid w:val="48B167B2"/>
    <w:rsid w:val="48CA691E"/>
    <w:rsid w:val="491318AF"/>
    <w:rsid w:val="4958476A"/>
    <w:rsid w:val="495A2786"/>
    <w:rsid w:val="496B0D1A"/>
    <w:rsid w:val="49C02F57"/>
    <w:rsid w:val="49E151AC"/>
    <w:rsid w:val="49F726BA"/>
    <w:rsid w:val="49FC542B"/>
    <w:rsid w:val="49FE5ADB"/>
    <w:rsid w:val="4A207FA8"/>
    <w:rsid w:val="4A4156B9"/>
    <w:rsid w:val="4A6A453D"/>
    <w:rsid w:val="4A877F3D"/>
    <w:rsid w:val="4A964267"/>
    <w:rsid w:val="4A995CF1"/>
    <w:rsid w:val="4AA56A1B"/>
    <w:rsid w:val="4AD64A5E"/>
    <w:rsid w:val="4AFD4332"/>
    <w:rsid w:val="4B3410A0"/>
    <w:rsid w:val="4B5104EF"/>
    <w:rsid w:val="4B6965E3"/>
    <w:rsid w:val="4B756360"/>
    <w:rsid w:val="4B8E10E1"/>
    <w:rsid w:val="4BBD00D7"/>
    <w:rsid w:val="4BC347F9"/>
    <w:rsid w:val="4BD32840"/>
    <w:rsid w:val="4BF73ABB"/>
    <w:rsid w:val="4C152702"/>
    <w:rsid w:val="4C156D39"/>
    <w:rsid w:val="4C1F0E5E"/>
    <w:rsid w:val="4C203530"/>
    <w:rsid w:val="4C2E3FFB"/>
    <w:rsid w:val="4C5941D4"/>
    <w:rsid w:val="4C63329F"/>
    <w:rsid w:val="4D06420E"/>
    <w:rsid w:val="4D2821A1"/>
    <w:rsid w:val="4D8F5013"/>
    <w:rsid w:val="4D9F7A4B"/>
    <w:rsid w:val="4E4677F9"/>
    <w:rsid w:val="4E73410D"/>
    <w:rsid w:val="4E8237BA"/>
    <w:rsid w:val="4E9133C2"/>
    <w:rsid w:val="4EB4603A"/>
    <w:rsid w:val="4EFB60F2"/>
    <w:rsid w:val="4F2212D8"/>
    <w:rsid w:val="4F4E4F29"/>
    <w:rsid w:val="4F5D6580"/>
    <w:rsid w:val="4F6B1512"/>
    <w:rsid w:val="4F6E2A45"/>
    <w:rsid w:val="4FE61465"/>
    <w:rsid w:val="50325D21"/>
    <w:rsid w:val="50B214FA"/>
    <w:rsid w:val="50ED673A"/>
    <w:rsid w:val="51247909"/>
    <w:rsid w:val="512C0E07"/>
    <w:rsid w:val="51856AE2"/>
    <w:rsid w:val="519A4287"/>
    <w:rsid w:val="51B10C20"/>
    <w:rsid w:val="51B23518"/>
    <w:rsid w:val="51E83400"/>
    <w:rsid w:val="525365EF"/>
    <w:rsid w:val="527A6FAB"/>
    <w:rsid w:val="529201CD"/>
    <w:rsid w:val="52C15D02"/>
    <w:rsid w:val="52D6599B"/>
    <w:rsid w:val="52E20C79"/>
    <w:rsid w:val="52E33AC0"/>
    <w:rsid w:val="52E91785"/>
    <w:rsid w:val="52F76A7C"/>
    <w:rsid w:val="53050A32"/>
    <w:rsid w:val="530D0E18"/>
    <w:rsid w:val="53417B32"/>
    <w:rsid w:val="536E5A80"/>
    <w:rsid w:val="537B7C93"/>
    <w:rsid w:val="53CA553A"/>
    <w:rsid w:val="53EE27D4"/>
    <w:rsid w:val="54105354"/>
    <w:rsid w:val="54430630"/>
    <w:rsid w:val="549B52D9"/>
    <w:rsid w:val="54A42A14"/>
    <w:rsid w:val="54B7033E"/>
    <w:rsid w:val="55246D0D"/>
    <w:rsid w:val="554616B3"/>
    <w:rsid w:val="555070E2"/>
    <w:rsid w:val="55563EB3"/>
    <w:rsid w:val="55807CEC"/>
    <w:rsid w:val="55A158CA"/>
    <w:rsid w:val="55D1076D"/>
    <w:rsid w:val="55F23A11"/>
    <w:rsid w:val="55FC037D"/>
    <w:rsid w:val="56114DE8"/>
    <w:rsid w:val="5658621E"/>
    <w:rsid w:val="567F0EB9"/>
    <w:rsid w:val="56961C67"/>
    <w:rsid w:val="56983EB7"/>
    <w:rsid w:val="57076C37"/>
    <w:rsid w:val="571E6047"/>
    <w:rsid w:val="57407733"/>
    <w:rsid w:val="575B26B9"/>
    <w:rsid w:val="57C14A32"/>
    <w:rsid w:val="57C41CA4"/>
    <w:rsid w:val="57C44B08"/>
    <w:rsid w:val="57C540CB"/>
    <w:rsid w:val="57CF3250"/>
    <w:rsid w:val="57D77378"/>
    <w:rsid w:val="57EB75F1"/>
    <w:rsid w:val="57ED126D"/>
    <w:rsid w:val="57F66214"/>
    <w:rsid w:val="57FD09DF"/>
    <w:rsid w:val="58104EF2"/>
    <w:rsid w:val="581A01B1"/>
    <w:rsid w:val="58B724F5"/>
    <w:rsid w:val="58B73EDF"/>
    <w:rsid w:val="58DE6470"/>
    <w:rsid w:val="59213623"/>
    <w:rsid w:val="592356A3"/>
    <w:rsid w:val="597D22F9"/>
    <w:rsid w:val="599A71A9"/>
    <w:rsid w:val="59B0384A"/>
    <w:rsid w:val="59B30FBB"/>
    <w:rsid w:val="59C8075D"/>
    <w:rsid w:val="5A05584B"/>
    <w:rsid w:val="5A14433F"/>
    <w:rsid w:val="5A546307"/>
    <w:rsid w:val="5A812943"/>
    <w:rsid w:val="5ACA7F6B"/>
    <w:rsid w:val="5B26675E"/>
    <w:rsid w:val="5B5A50C0"/>
    <w:rsid w:val="5C2F08BC"/>
    <w:rsid w:val="5C5C1C9E"/>
    <w:rsid w:val="5C5E00F3"/>
    <w:rsid w:val="5C6F1E10"/>
    <w:rsid w:val="5CFA60F2"/>
    <w:rsid w:val="5D2F7311"/>
    <w:rsid w:val="5D78428A"/>
    <w:rsid w:val="5D843B68"/>
    <w:rsid w:val="5D9C768D"/>
    <w:rsid w:val="5E265C9E"/>
    <w:rsid w:val="5E2A7F3F"/>
    <w:rsid w:val="5E2C5EFD"/>
    <w:rsid w:val="5E38132C"/>
    <w:rsid w:val="5E89042C"/>
    <w:rsid w:val="5E8E627F"/>
    <w:rsid w:val="5EAA4945"/>
    <w:rsid w:val="5ED9360F"/>
    <w:rsid w:val="5EF47802"/>
    <w:rsid w:val="5F0E0F1E"/>
    <w:rsid w:val="5F4C4934"/>
    <w:rsid w:val="5F603E79"/>
    <w:rsid w:val="5F9E46B3"/>
    <w:rsid w:val="5FB23198"/>
    <w:rsid w:val="60300161"/>
    <w:rsid w:val="60377F76"/>
    <w:rsid w:val="60A24FBB"/>
    <w:rsid w:val="60C54BF7"/>
    <w:rsid w:val="60CE66CE"/>
    <w:rsid w:val="60DE7A79"/>
    <w:rsid w:val="60E9182C"/>
    <w:rsid w:val="60FC79C9"/>
    <w:rsid w:val="61320C7C"/>
    <w:rsid w:val="614F35FB"/>
    <w:rsid w:val="615157EB"/>
    <w:rsid w:val="615A5DA0"/>
    <w:rsid w:val="618225BF"/>
    <w:rsid w:val="61AF0ED0"/>
    <w:rsid w:val="61E02939"/>
    <w:rsid w:val="62067940"/>
    <w:rsid w:val="62372395"/>
    <w:rsid w:val="625C66EF"/>
    <w:rsid w:val="62630A6C"/>
    <w:rsid w:val="626B1AB8"/>
    <w:rsid w:val="62714F3F"/>
    <w:rsid w:val="62885C85"/>
    <w:rsid w:val="631953C1"/>
    <w:rsid w:val="631E0968"/>
    <w:rsid w:val="633327F6"/>
    <w:rsid w:val="63853D8B"/>
    <w:rsid w:val="63C82FC8"/>
    <w:rsid w:val="63D611FA"/>
    <w:rsid w:val="63E03861"/>
    <w:rsid w:val="63E95C63"/>
    <w:rsid w:val="63F35EC1"/>
    <w:rsid w:val="642C5A89"/>
    <w:rsid w:val="64552344"/>
    <w:rsid w:val="64577A52"/>
    <w:rsid w:val="64832C93"/>
    <w:rsid w:val="64910A0E"/>
    <w:rsid w:val="64CD03C2"/>
    <w:rsid w:val="64F17AF9"/>
    <w:rsid w:val="64FF649B"/>
    <w:rsid w:val="65332E12"/>
    <w:rsid w:val="65465BEE"/>
    <w:rsid w:val="655315CA"/>
    <w:rsid w:val="65567863"/>
    <w:rsid w:val="656603E9"/>
    <w:rsid w:val="6580162D"/>
    <w:rsid w:val="65A96541"/>
    <w:rsid w:val="65D6783F"/>
    <w:rsid w:val="65DD242B"/>
    <w:rsid w:val="66495594"/>
    <w:rsid w:val="66807B4C"/>
    <w:rsid w:val="66A147F9"/>
    <w:rsid w:val="66F3057E"/>
    <w:rsid w:val="66F571FE"/>
    <w:rsid w:val="67226A1F"/>
    <w:rsid w:val="673708DA"/>
    <w:rsid w:val="6794721B"/>
    <w:rsid w:val="67AB0BF9"/>
    <w:rsid w:val="67BE1C68"/>
    <w:rsid w:val="67D2709E"/>
    <w:rsid w:val="68072DD9"/>
    <w:rsid w:val="680B6ACA"/>
    <w:rsid w:val="682D7585"/>
    <w:rsid w:val="68403003"/>
    <w:rsid w:val="68784AF7"/>
    <w:rsid w:val="687E779D"/>
    <w:rsid w:val="68E951A3"/>
    <w:rsid w:val="68F12AE9"/>
    <w:rsid w:val="68F24489"/>
    <w:rsid w:val="693C31BC"/>
    <w:rsid w:val="69594E74"/>
    <w:rsid w:val="69824E8E"/>
    <w:rsid w:val="69D739F6"/>
    <w:rsid w:val="69DB131F"/>
    <w:rsid w:val="69E564FE"/>
    <w:rsid w:val="6A0F7F4D"/>
    <w:rsid w:val="6AE86A5F"/>
    <w:rsid w:val="6AF356C4"/>
    <w:rsid w:val="6B120133"/>
    <w:rsid w:val="6B6C4426"/>
    <w:rsid w:val="6B9464F2"/>
    <w:rsid w:val="6B964304"/>
    <w:rsid w:val="6BFD029B"/>
    <w:rsid w:val="6C7761FD"/>
    <w:rsid w:val="6C8639E2"/>
    <w:rsid w:val="6C99462E"/>
    <w:rsid w:val="6C9D31EB"/>
    <w:rsid w:val="6CAC72F7"/>
    <w:rsid w:val="6CBF19A5"/>
    <w:rsid w:val="6CE46C32"/>
    <w:rsid w:val="6D001DC1"/>
    <w:rsid w:val="6D1075E6"/>
    <w:rsid w:val="6D4D2D22"/>
    <w:rsid w:val="6D7B7F72"/>
    <w:rsid w:val="6D9810F4"/>
    <w:rsid w:val="6DB17D4F"/>
    <w:rsid w:val="6DB347AA"/>
    <w:rsid w:val="6EA63F16"/>
    <w:rsid w:val="6EAC168D"/>
    <w:rsid w:val="6EB6525B"/>
    <w:rsid w:val="6ED23E59"/>
    <w:rsid w:val="6F3D78FC"/>
    <w:rsid w:val="6FA903EB"/>
    <w:rsid w:val="6FCE61FB"/>
    <w:rsid w:val="70055D70"/>
    <w:rsid w:val="70455722"/>
    <w:rsid w:val="708B2E7A"/>
    <w:rsid w:val="70C31EDB"/>
    <w:rsid w:val="70D939A2"/>
    <w:rsid w:val="70E400FA"/>
    <w:rsid w:val="711A6C1F"/>
    <w:rsid w:val="71573413"/>
    <w:rsid w:val="71A016C0"/>
    <w:rsid w:val="71B579A0"/>
    <w:rsid w:val="71C63C18"/>
    <w:rsid w:val="71D078D0"/>
    <w:rsid w:val="72033E16"/>
    <w:rsid w:val="720E669D"/>
    <w:rsid w:val="721722E5"/>
    <w:rsid w:val="72785601"/>
    <w:rsid w:val="72793441"/>
    <w:rsid w:val="728A5A2B"/>
    <w:rsid w:val="72A57C1E"/>
    <w:rsid w:val="72B86869"/>
    <w:rsid w:val="72BC2352"/>
    <w:rsid w:val="72E15F67"/>
    <w:rsid w:val="735A4A4D"/>
    <w:rsid w:val="73AE399F"/>
    <w:rsid w:val="73C81C8A"/>
    <w:rsid w:val="73D301C7"/>
    <w:rsid w:val="743D3C58"/>
    <w:rsid w:val="74444001"/>
    <w:rsid w:val="7466521A"/>
    <w:rsid w:val="7476022A"/>
    <w:rsid w:val="748A63C3"/>
    <w:rsid w:val="755B4037"/>
    <w:rsid w:val="75BC22EF"/>
    <w:rsid w:val="75C8312A"/>
    <w:rsid w:val="75FD2476"/>
    <w:rsid w:val="76310BBF"/>
    <w:rsid w:val="767D5A0E"/>
    <w:rsid w:val="768B570B"/>
    <w:rsid w:val="769158AA"/>
    <w:rsid w:val="76D34917"/>
    <w:rsid w:val="77061F7E"/>
    <w:rsid w:val="776314C0"/>
    <w:rsid w:val="777B0DEF"/>
    <w:rsid w:val="779D4620"/>
    <w:rsid w:val="77BB75AD"/>
    <w:rsid w:val="77EC5803"/>
    <w:rsid w:val="77F64CB2"/>
    <w:rsid w:val="78546B92"/>
    <w:rsid w:val="78AC7721"/>
    <w:rsid w:val="78BD484E"/>
    <w:rsid w:val="78CA2A0B"/>
    <w:rsid w:val="78CD3B44"/>
    <w:rsid w:val="78DB2DC8"/>
    <w:rsid w:val="790C2C38"/>
    <w:rsid w:val="7981731A"/>
    <w:rsid w:val="79AE385E"/>
    <w:rsid w:val="79EE4229"/>
    <w:rsid w:val="7A26753D"/>
    <w:rsid w:val="7A4E3501"/>
    <w:rsid w:val="7A527DD9"/>
    <w:rsid w:val="7A7D433C"/>
    <w:rsid w:val="7A822D05"/>
    <w:rsid w:val="7A9711E2"/>
    <w:rsid w:val="7AD524B0"/>
    <w:rsid w:val="7ADA0EC1"/>
    <w:rsid w:val="7AEE2754"/>
    <w:rsid w:val="7BDB602E"/>
    <w:rsid w:val="7C32377A"/>
    <w:rsid w:val="7C514589"/>
    <w:rsid w:val="7C854352"/>
    <w:rsid w:val="7C9712F4"/>
    <w:rsid w:val="7CD75AB7"/>
    <w:rsid w:val="7CE62D26"/>
    <w:rsid w:val="7CFB685F"/>
    <w:rsid w:val="7D00310F"/>
    <w:rsid w:val="7D7950BE"/>
    <w:rsid w:val="7D97797F"/>
    <w:rsid w:val="7D9C1BC8"/>
    <w:rsid w:val="7DA168CE"/>
    <w:rsid w:val="7DBC6D5F"/>
    <w:rsid w:val="7DD16CFD"/>
    <w:rsid w:val="7DD26138"/>
    <w:rsid w:val="7DDC0893"/>
    <w:rsid w:val="7DF37E54"/>
    <w:rsid w:val="7DF63D4E"/>
    <w:rsid w:val="7E350094"/>
    <w:rsid w:val="7E7F715F"/>
    <w:rsid w:val="7E843F12"/>
    <w:rsid w:val="7EB465CA"/>
    <w:rsid w:val="7ED23142"/>
    <w:rsid w:val="7EE01724"/>
    <w:rsid w:val="7EF33673"/>
    <w:rsid w:val="7F0166F7"/>
    <w:rsid w:val="7F0C7445"/>
    <w:rsid w:val="7F0D6F25"/>
    <w:rsid w:val="7F3240D1"/>
    <w:rsid w:val="7F744010"/>
    <w:rsid w:val="7F782629"/>
    <w:rsid w:val="7F800FD7"/>
    <w:rsid w:val="7FC6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Times New Roman" w:eastAsia="宋体" w:cs="Times New Roman"/>
      <w:sz w:val="34"/>
      <w:lang w:val="en-US" w:eastAsia="zh-CN" w:bidi="ar-SA"/>
    </w:rPr>
  </w:style>
  <w:style w:type="paragraph" w:styleId="3">
    <w:name w:val="heading 1"/>
    <w:basedOn w:val="1"/>
    <w:next w:val="1"/>
    <w:qFormat/>
    <w:uiPriority w:val="0"/>
    <w:pPr>
      <w:keepNext/>
      <w:outlineLvl w:val="0"/>
    </w:pPr>
    <w:rPr>
      <w:rFonts w:ascii="Times New Roman"/>
      <w:b/>
      <w:bCs/>
      <w:color w:val="000000"/>
      <w:sz w:val="24"/>
    </w:rPr>
  </w:style>
  <w:style w:type="paragraph" w:styleId="2">
    <w:name w:val="heading 2"/>
    <w:basedOn w:val="1"/>
    <w:next w:val="1"/>
    <w:link w:val="59"/>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0"/>
    <w:qFormat/>
    <w:uiPriority w:val="0"/>
    <w:pPr>
      <w:keepNext/>
      <w:keepLines/>
      <w:autoSpaceDE/>
      <w:autoSpaceDN/>
      <w:spacing w:before="260" w:after="260" w:line="416" w:lineRule="atLeast"/>
      <w:jc w:val="both"/>
      <w:outlineLvl w:val="2"/>
    </w:pPr>
    <w:rPr>
      <w:rFonts w:ascii="Times New Roman"/>
      <w:b/>
      <w:sz w:val="32"/>
    </w:rPr>
  </w:style>
  <w:style w:type="paragraph" w:styleId="5">
    <w:name w:val="heading 4"/>
    <w:basedOn w:val="1"/>
    <w:next w:val="6"/>
    <w:qFormat/>
    <w:uiPriority w:val="0"/>
    <w:pPr>
      <w:keepNext/>
      <w:keepLines/>
      <w:autoSpaceDE/>
      <w:autoSpaceDN/>
      <w:adjustRightInd/>
      <w:spacing w:before="280" w:after="290" w:line="376" w:lineRule="auto"/>
      <w:jc w:val="both"/>
      <w:outlineLvl w:val="3"/>
    </w:pPr>
    <w:rPr>
      <w:rFonts w:ascii="Arial" w:hAnsi="Arial" w:eastAsia="黑体"/>
      <w:b/>
      <w:kern w:val="2"/>
      <w:sz w:val="28"/>
    </w:rPr>
  </w:style>
  <w:style w:type="paragraph" w:styleId="8">
    <w:name w:val="heading 5"/>
    <w:basedOn w:val="1"/>
    <w:next w:val="6"/>
    <w:qFormat/>
    <w:uiPriority w:val="0"/>
    <w:pPr>
      <w:keepNext/>
      <w:keepLines/>
      <w:autoSpaceDE/>
      <w:autoSpaceDN/>
      <w:adjustRightInd/>
      <w:spacing w:before="280" w:after="290" w:line="376" w:lineRule="auto"/>
      <w:jc w:val="both"/>
      <w:outlineLvl w:val="4"/>
    </w:pPr>
    <w:rPr>
      <w:rFonts w:ascii="Times New Roman"/>
      <w:b/>
      <w:kern w:val="2"/>
      <w:sz w:val="28"/>
    </w:rPr>
  </w:style>
  <w:style w:type="paragraph" w:styleId="9">
    <w:name w:val="heading 6"/>
    <w:basedOn w:val="1"/>
    <w:next w:val="6"/>
    <w:qFormat/>
    <w:uiPriority w:val="0"/>
    <w:pPr>
      <w:keepNext/>
      <w:keepLines/>
      <w:autoSpaceDE/>
      <w:autoSpaceDN/>
      <w:adjustRightInd/>
      <w:spacing w:before="240" w:after="64" w:line="320" w:lineRule="auto"/>
      <w:jc w:val="both"/>
      <w:outlineLvl w:val="5"/>
    </w:pPr>
    <w:rPr>
      <w:rFonts w:ascii="Arial" w:hAnsi="Arial" w:eastAsia="黑体"/>
      <w:b/>
      <w:kern w:val="2"/>
      <w:sz w:val="24"/>
    </w:rPr>
  </w:style>
  <w:style w:type="paragraph" w:styleId="10">
    <w:name w:val="heading 7"/>
    <w:basedOn w:val="1"/>
    <w:next w:val="6"/>
    <w:qFormat/>
    <w:uiPriority w:val="0"/>
    <w:pPr>
      <w:keepNext/>
      <w:keepLines/>
      <w:autoSpaceDE/>
      <w:autoSpaceDN/>
      <w:adjustRightInd/>
      <w:spacing w:before="240" w:after="64" w:line="320" w:lineRule="auto"/>
      <w:jc w:val="both"/>
      <w:outlineLvl w:val="6"/>
    </w:pPr>
    <w:rPr>
      <w:rFonts w:ascii="Times New Roman"/>
      <w:b/>
      <w:kern w:val="2"/>
      <w:sz w:val="24"/>
    </w:rPr>
  </w:style>
  <w:style w:type="paragraph" w:styleId="11">
    <w:name w:val="heading 8"/>
    <w:basedOn w:val="1"/>
    <w:next w:val="6"/>
    <w:qFormat/>
    <w:uiPriority w:val="0"/>
    <w:pPr>
      <w:keepNext/>
      <w:keepLines/>
      <w:autoSpaceDE/>
      <w:autoSpaceDN/>
      <w:adjustRightInd/>
      <w:spacing w:before="240" w:after="64" w:line="320" w:lineRule="auto"/>
      <w:jc w:val="both"/>
      <w:outlineLvl w:val="7"/>
    </w:pPr>
    <w:rPr>
      <w:rFonts w:ascii="Arial" w:hAnsi="Arial" w:eastAsia="黑体"/>
      <w:kern w:val="2"/>
      <w:sz w:val="24"/>
    </w:rPr>
  </w:style>
  <w:style w:type="paragraph" w:styleId="12">
    <w:name w:val="heading 9"/>
    <w:basedOn w:val="1"/>
    <w:next w:val="6"/>
    <w:qFormat/>
    <w:uiPriority w:val="0"/>
    <w:pPr>
      <w:keepNext/>
      <w:keepLines/>
      <w:autoSpaceDE/>
      <w:autoSpaceDN/>
      <w:adjustRightInd/>
      <w:spacing w:before="240" w:after="64" w:line="320" w:lineRule="auto"/>
      <w:jc w:val="both"/>
      <w:outlineLvl w:val="8"/>
    </w:pPr>
    <w:rPr>
      <w:rFonts w:ascii="Arial" w:hAnsi="Arial" w:eastAsia="黑体"/>
      <w:kern w:val="2"/>
      <w:sz w:val="21"/>
    </w:rPr>
  </w:style>
  <w:style w:type="character" w:default="1" w:styleId="47">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autoSpaceDE/>
      <w:autoSpaceDN/>
      <w:adjustRightInd/>
      <w:ind w:firstLine="420"/>
      <w:jc w:val="both"/>
    </w:pPr>
    <w:rPr>
      <w:rFonts w:ascii="Times New Roman"/>
      <w:kern w:val="2"/>
      <w:sz w:val="21"/>
    </w:rPr>
  </w:style>
  <w:style w:type="paragraph" w:styleId="7">
    <w:name w:val="Body Text Indent"/>
    <w:basedOn w:val="1"/>
    <w:next w:val="6"/>
    <w:link w:val="61"/>
    <w:qFormat/>
    <w:uiPriority w:val="99"/>
    <w:pPr>
      <w:adjustRightInd/>
      <w:ind w:firstLine="900"/>
      <w:jc w:val="both"/>
    </w:pPr>
    <w:rPr>
      <w:rFonts w:ascii="Times New Roman"/>
      <w:kern w:val="2"/>
      <w:sz w:val="28"/>
    </w:rPr>
  </w:style>
  <w:style w:type="paragraph" w:styleId="13">
    <w:name w:val="toc 7"/>
    <w:basedOn w:val="1"/>
    <w:next w:val="1"/>
    <w:qFormat/>
    <w:uiPriority w:val="0"/>
    <w:pPr>
      <w:ind w:left="2040"/>
    </w:pPr>
    <w:rPr>
      <w:rFonts w:ascii="Times New Roman"/>
      <w:sz w:val="18"/>
      <w:szCs w:val="18"/>
    </w:rPr>
  </w:style>
  <w:style w:type="paragraph" w:styleId="14">
    <w:name w:val="List Number"/>
    <w:basedOn w:val="1"/>
    <w:qFormat/>
    <w:uiPriority w:val="0"/>
    <w:pPr>
      <w:widowControl/>
      <w:tabs>
        <w:tab w:val="left" w:pos="454"/>
        <w:tab w:val="left" w:pos="720"/>
        <w:tab w:val="left" w:pos="927"/>
      </w:tabs>
      <w:autoSpaceDE/>
      <w:autoSpaceDN/>
      <w:adjustRightInd/>
      <w:spacing w:afterLines="50"/>
      <w:ind w:left="454" w:hanging="284"/>
    </w:pPr>
    <w:rPr>
      <w:rFonts w:ascii="Times New Roman"/>
      <w:sz w:val="24"/>
    </w:rPr>
  </w:style>
  <w:style w:type="paragraph" w:styleId="15">
    <w:name w:val="caption"/>
    <w:basedOn w:val="1"/>
    <w:next w:val="1"/>
    <w:qFormat/>
    <w:uiPriority w:val="0"/>
    <w:pPr>
      <w:spacing w:before="152" w:after="160"/>
    </w:pPr>
    <w:rPr>
      <w:rFonts w:ascii="Arial" w:hAnsi="Arial" w:eastAsia="黑体"/>
    </w:rPr>
  </w:style>
  <w:style w:type="paragraph" w:styleId="16">
    <w:name w:val="Document Map"/>
    <w:basedOn w:val="1"/>
    <w:qFormat/>
    <w:uiPriority w:val="0"/>
    <w:pPr>
      <w:shd w:val="clear" w:color="auto" w:fill="000080"/>
    </w:pPr>
    <w:rPr>
      <w:rFonts w:ascii="Times New Roman"/>
    </w:rPr>
  </w:style>
  <w:style w:type="paragraph" w:styleId="17">
    <w:name w:val="annotation text"/>
    <w:basedOn w:val="1"/>
    <w:link w:val="62"/>
    <w:qFormat/>
    <w:uiPriority w:val="0"/>
  </w:style>
  <w:style w:type="paragraph" w:styleId="18">
    <w:name w:val="Body Text 3"/>
    <w:basedOn w:val="1"/>
    <w:qFormat/>
    <w:uiPriority w:val="0"/>
    <w:pPr>
      <w:spacing w:line="640" w:lineRule="atLeast"/>
    </w:pPr>
    <w:rPr>
      <w:rFonts w:ascii="Times New Roman"/>
      <w:color w:val="000000"/>
      <w:sz w:val="28"/>
    </w:rPr>
  </w:style>
  <w:style w:type="paragraph" w:styleId="19">
    <w:name w:val="Body Text"/>
    <w:basedOn w:val="1"/>
    <w:next w:val="20"/>
    <w:qFormat/>
    <w:uiPriority w:val="0"/>
    <w:rPr>
      <w:rFonts w:ascii="Times New Roman"/>
      <w:sz w:val="28"/>
    </w:rPr>
  </w:style>
  <w:style w:type="paragraph" w:styleId="20">
    <w:name w:val="Body Text First Indent"/>
    <w:basedOn w:val="19"/>
    <w:next w:val="19"/>
    <w:qFormat/>
    <w:uiPriority w:val="0"/>
    <w:pPr>
      <w:ind w:firstLine="420" w:firstLineChars="100"/>
    </w:pPr>
  </w:style>
  <w:style w:type="paragraph" w:styleId="21">
    <w:name w:val="List 2"/>
    <w:basedOn w:val="1"/>
    <w:qFormat/>
    <w:uiPriority w:val="0"/>
    <w:pPr>
      <w:ind w:left="100" w:leftChars="200" w:hanging="200" w:hangingChars="200"/>
    </w:pPr>
    <w:rPr>
      <w:rFonts w:ascii="Times New Roman"/>
    </w:rPr>
  </w:style>
  <w:style w:type="paragraph" w:styleId="22">
    <w:name w:val="Block Text"/>
    <w:basedOn w:val="1"/>
    <w:qFormat/>
    <w:uiPriority w:val="0"/>
    <w:pPr>
      <w:spacing w:after="120"/>
      <w:ind w:left="1440" w:leftChars="700" w:right="1440" w:rightChars="700"/>
    </w:pPr>
  </w:style>
  <w:style w:type="paragraph" w:styleId="23">
    <w:name w:val="toc 5"/>
    <w:basedOn w:val="1"/>
    <w:next w:val="1"/>
    <w:qFormat/>
    <w:uiPriority w:val="0"/>
    <w:pPr>
      <w:ind w:left="1360"/>
    </w:pPr>
    <w:rPr>
      <w:rFonts w:ascii="Times New Roman"/>
      <w:sz w:val="18"/>
      <w:szCs w:val="18"/>
    </w:rPr>
  </w:style>
  <w:style w:type="paragraph" w:styleId="24">
    <w:name w:val="toc 3"/>
    <w:basedOn w:val="1"/>
    <w:next w:val="1"/>
    <w:qFormat/>
    <w:uiPriority w:val="0"/>
    <w:pPr>
      <w:ind w:left="680"/>
    </w:pPr>
    <w:rPr>
      <w:rFonts w:ascii="Times New Roman"/>
      <w:i/>
      <w:iCs/>
      <w:sz w:val="20"/>
    </w:rPr>
  </w:style>
  <w:style w:type="paragraph" w:styleId="25">
    <w:name w:val="Plain Text"/>
    <w:basedOn w:val="1"/>
    <w:next w:val="1"/>
    <w:qFormat/>
    <w:uiPriority w:val="0"/>
    <w:rPr>
      <w:rFonts w:ascii="Times New Roman" w:hAnsi="Courier New" w:cs="Courier New"/>
      <w:szCs w:val="21"/>
    </w:rPr>
  </w:style>
  <w:style w:type="paragraph" w:styleId="26">
    <w:name w:val="toc 8"/>
    <w:basedOn w:val="1"/>
    <w:next w:val="1"/>
    <w:qFormat/>
    <w:uiPriority w:val="0"/>
    <w:pPr>
      <w:ind w:left="2380"/>
    </w:pPr>
    <w:rPr>
      <w:rFonts w:ascii="Times New Roman"/>
      <w:sz w:val="18"/>
      <w:szCs w:val="18"/>
    </w:rPr>
  </w:style>
  <w:style w:type="paragraph" w:styleId="27">
    <w:name w:val="Date"/>
    <w:basedOn w:val="1"/>
    <w:next w:val="1"/>
    <w:qFormat/>
    <w:uiPriority w:val="0"/>
    <w:pPr>
      <w:jc w:val="both"/>
    </w:pPr>
    <w:rPr>
      <w:rFonts w:ascii="Times New Roman"/>
      <w:sz w:val="28"/>
    </w:rPr>
  </w:style>
  <w:style w:type="paragraph" w:styleId="28">
    <w:name w:val="Body Text Indent 2"/>
    <w:basedOn w:val="1"/>
    <w:qFormat/>
    <w:uiPriority w:val="0"/>
    <w:pPr>
      <w:autoSpaceDE/>
      <w:autoSpaceDN/>
      <w:adjustRightInd/>
      <w:spacing w:line="360" w:lineRule="auto"/>
      <w:ind w:firstLine="720"/>
      <w:jc w:val="both"/>
    </w:pPr>
    <w:rPr>
      <w:rFonts w:ascii="Times New Roman"/>
      <w:kern w:val="2"/>
      <w:sz w:val="28"/>
    </w:rPr>
  </w:style>
  <w:style w:type="paragraph" w:styleId="29">
    <w:name w:val="Balloon Text"/>
    <w:basedOn w:val="1"/>
    <w:qFormat/>
    <w:uiPriority w:val="0"/>
    <w:rPr>
      <w:rFonts w:ascii="Times New Roman"/>
      <w:sz w:val="18"/>
      <w:szCs w:val="18"/>
    </w:rPr>
  </w:style>
  <w:style w:type="paragraph" w:styleId="30">
    <w:name w:val="footer"/>
    <w:basedOn w:val="1"/>
    <w:qFormat/>
    <w:uiPriority w:val="0"/>
    <w:pPr>
      <w:tabs>
        <w:tab w:val="center" w:pos="4140"/>
        <w:tab w:val="right" w:pos="8300"/>
      </w:tabs>
      <w:snapToGrid w:val="0"/>
    </w:pPr>
    <w:rPr>
      <w:rFonts w:ascii="Times New Roman"/>
      <w:sz w:val="18"/>
    </w:rPr>
  </w:style>
  <w:style w:type="paragraph" w:styleId="31">
    <w:name w:val="header"/>
    <w:basedOn w:val="1"/>
    <w:qFormat/>
    <w:uiPriority w:val="0"/>
    <w:pPr>
      <w:pBdr>
        <w:bottom w:val="single" w:color="000000" w:sz="6" w:space="1"/>
      </w:pBdr>
      <w:tabs>
        <w:tab w:val="center" w:pos="4140"/>
        <w:tab w:val="right" w:pos="8300"/>
      </w:tabs>
      <w:snapToGrid w:val="0"/>
      <w:jc w:val="center"/>
    </w:pPr>
    <w:rPr>
      <w:rFonts w:ascii="Times New Roman"/>
      <w:sz w:val="18"/>
    </w:rPr>
  </w:style>
  <w:style w:type="paragraph" w:styleId="32">
    <w:name w:val="toc 1"/>
    <w:basedOn w:val="1"/>
    <w:next w:val="1"/>
    <w:qFormat/>
    <w:uiPriority w:val="0"/>
    <w:pPr>
      <w:spacing w:before="120" w:after="120"/>
    </w:pPr>
    <w:rPr>
      <w:rFonts w:ascii="Times New Roman"/>
      <w:b/>
      <w:bCs/>
      <w:caps/>
      <w:sz w:val="20"/>
    </w:rPr>
  </w:style>
  <w:style w:type="paragraph" w:styleId="33">
    <w:name w:val="toc 4"/>
    <w:basedOn w:val="1"/>
    <w:next w:val="1"/>
    <w:qFormat/>
    <w:uiPriority w:val="0"/>
    <w:pPr>
      <w:ind w:left="1020"/>
    </w:pPr>
    <w:rPr>
      <w:rFonts w:ascii="Times New Roman"/>
      <w:sz w:val="18"/>
      <w:szCs w:val="18"/>
    </w:rPr>
  </w:style>
  <w:style w:type="paragraph" w:styleId="34">
    <w:name w:val="List"/>
    <w:basedOn w:val="1"/>
    <w:qFormat/>
    <w:uiPriority w:val="0"/>
    <w:pPr>
      <w:ind w:left="200" w:hanging="200" w:hangingChars="200"/>
    </w:pPr>
    <w:rPr>
      <w:rFonts w:ascii="Times New Roman"/>
    </w:rPr>
  </w:style>
  <w:style w:type="paragraph" w:styleId="35">
    <w:name w:val="footnote text"/>
    <w:basedOn w:val="1"/>
    <w:qFormat/>
    <w:uiPriority w:val="0"/>
    <w:pPr>
      <w:snapToGrid w:val="0"/>
    </w:pPr>
    <w:rPr>
      <w:rFonts w:ascii="Times New Roman"/>
      <w:sz w:val="18"/>
    </w:rPr>
  </w:style>
  <w:style w:type="paragraph" w:styleId="36">
    <w:name w:val="toc 6"/>
    <w:basedOn w:val="1"/>
    <w:next w:val="1"/>
    <w:qFormat/>
    <w:uiPriority w:val="0"/>
    <w:pPr>
      <w:ind w:left="1700"/>
    </w:pPr>
    <w:rPr>
      <w:rFonts w:ascii="Times New Roman"/>
      <w:sz w:val="18"/>
      <w:szCs w:val="18"/>
    </w:rPr>
  </w:style>
  <w:style w:type="paragraph" w:styleId="37">
    <w:name w:val="Body Text Indent 3"/>
    <w:basedOn w:val="1"/>
    <w:qFormat/>
    <w:uiPriority w:val="0"/>
    <w:pPr>
      <w:autoSpaceDE/>
      <w:autoSpaceDN/>
      <w:adjustRightInd/>
      <w:spacing w:line="360" w:lineRule="auto"/>
      <w:ind w:firstLine="540"/>
      <w:jc w:val="both"/>
    </w:pPr>
    <w:rPr>
      <w:rFonts w:ascii="Times New Roman"/>
      <w:kern w:val="2"/>
      <w:sz w:val="28"/>
    </w:rPr>
  </w:style>
  <w:style w:type="paragraph" w:styleId="38">
    <w:name w:val="toc 2"/>
    <w:basedOn w:val="1"/>
    <w:next w:val="1"/>
    <w:qFormat/>
    <w:uiPriority w:val="0"/>
    <w:pPr>
      <w:tabs>
        <w:tab w:val="right" w:leader="dot" w:pos="9440"/>
      </w:tabs>
      <w:spacing w:line="380" w:lineRule="atLeast"/>
      <w:ind w:right="-133" w:rightChars="-39"/>
      <w:jc w:val="both"/>
    </w:pPr>
    <w:rPr>
      <w:rFonts w:ascii="Times New Roman"/>
      <w:smallCaps/>
      <w:color w:val="000000"/>
      <w:sz w:val="21"/>
      <w:szCs w:val="21"/>
    </w:rPr>
  </w:style>
  <w:style w:type="paragraph" w:styleId="39">
    <w:name w:val="toc 9"/>
    <w:basedOn w:val="1"/>
    <w:next w:val="1"/>
    <w:qFormat/>
    <w:uiPriority w:val="0"/>
    <w:pPr>
      <w:ind w:left="2720"/>
    </w:pPr>
    <w:rPr>
      <w:rFonts w:ascii="Times New Roman"/>
      <w:sz w:val="18"/>
      <w:szCs w:val="18"/>
    </w:rPr>
  </w:style>
  <w:style w:type="paragraph" w:styleId="40">
    <w:name w:val="Body Text 2"/>
    <w:basedOn w:val="1"/>
    <w:qFormat/>
    <w:uiPriority w:val="0"/>
    <w:pPr>
      <w:jc w:val="both"/>
    </w:pPr>
    <w:rPr>
      <w:rFonts w:ascii="Times New Roman"/>
      <w:sz w:val="28"/>
    </w:rPr>
  </w:style>
  <w:style w:type="paragraph" w:styleId="41">
    <w:name w:val="Normal (Web)"/>
    <w:basedOn w:val="1"/>
    <w:next w:val="1"/>
    <w:link w:val="63"/>
    <w:qFormat/>
    <w:uiPriority w:val="99"/>
    <w:pPr>
      <w:widowControl/>
      <w:autoSpaceDE/>
      <w:autoSpaceDN/>
      <w:adjustRightInd/>
      <w:spacing w:before="100" w:beforeAutospacing="1" w:after="100" w:afterAutospacing="1"/>
    </w:pPr>
    <w:rPr>
      <w:rFonts w:ascii="Times New Roman" w:hAnsi="宋体"/>
      <w:sz w:val="24"/>
      <w:szCs w:val="24"/>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7"/>
    <w:next w:val="17"/>
    <w:qFormat/>
    <w:uiPriority w:val="0"/>
    <w:rPr>
      <w:rFonts w:ascii="Times New Roman"/>
      <w:b/>
      <w:bCs/>
    </w:rPr>
  </w:style>
  <w:style w:type="paragraph" w:styleId="44">
    <w:name w:val="Body Text First Indent 2"/>
    <w:basedOn w:val="7"/>
    <w:next w:val="1"/>
    <w:link w:val="64"/>
    <w:qFormat/>
    <w:uiPriority w:val="99"/>
    <w:pPr>
      <w:spacing w:after="120"/>
      <w:ind w:left="420" w:leftChars="200" w:firstLine="420"/>
    </w:pPr>
  </w:style>
  <w:style w:type="table" w:styleId="46">
    <w:name w:val="Table Grid"/>
    <w:basedOn w:val="45"/>
    <w:qFormat/>
    <w:uiPriority w:val="0"/>
    <w:pPr>
      <w:widowControl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rFonts w:ascii="Times New Roman" w:hAnsi="Times New Roman" w:eastAsia="宋体" w:cs="Times New Roman"/>
      <w:b/>
      <w:bCs/>
    </w:rPr>
  </w:style>
  <w:style w:type="character" w:styleId="49">
    <w:name w:val="page number"/>
    <w:qFormat/>
    <w:uiPriority w:val="0"/>
    <w:rPr>
      <w:rFonts w:ascii="Times New Roman" w:hAnsi="Times New Roman" w:eastAsia="宋体" w:cs="Times New Roman"/>
    </w:rPr>
  </w:style>
  <w:style w:type="character" w:styleId="50">
    <w:name w:val="FollowedHyperlink"/>
    <w:unhideWhenUsed/>
    <w:qFormat/>
    <w:uiPriority w:val="99"/>
    <w:rPr>
      <w:rFonts w:ascii="Times New Roman" w:hAnsi="Times New Roman" w:eastAsia="宋体" w:cs="Times New Roman"/>
      <w:color w:val="954F72"/>
      <w:u w:val="single"/>
    </w:rPr>
  </w:style>
  <w:style w:type="character" w:styleId="51">
    <w:name w:val="Emphasis"/>
    <w:basedOn w:val="47"/>
    <w:qFormat/>
    <w:uiPriority w:val="20"/>
    <w:rPr>
      <w:i/>
    </w:rPr>
  </w:style>
  <w:style w:type="character" w:styleId="52">
    <w:name w:val="HTML Definition"/>
    <w:basedOn w:val="47"/>
    <w:unhideWhenUsed/>
    <w:qFormat/>
    <w:uiPriority w:val="99"/>
    <w:rPr>
      <w:i/>
    </w:rPr>
  </w:style>
  <w:style w:type="character" w:styleId="53">
    <w:name w:val="Hyperlink"/>
    <w:qFormat/>
    <w:uiPriority w:val="99"/>
    <w:rPr>
      <w:rFonts w:ascii="Times New Roman" w:hAnsi="Times New Roman" w:eastAsia="宋体" w:cs="Times New Roman"/>
      <w:color w:val="0000FF"/>
      <w:u w:val="single"/>
    </w:rPr>
  </w:style>
  <w:style w:type="character" w:styleId="54">
    <w:name w:val="HTML Code"/>
    <w:basedOn w:val="47"/>
    <w:unhideWhenUsed/>
    <w:qFormat/>
    <w:uiPriority w:val="99"/>
    <w:rPr>
      <w:rFonts w:hint="default" w:ascii="Menlo" w:hAnsi="Menlo" w:eastAsia="Menlo" w:cs="Menlo"/>
      <w:color w:val="CA4440"/>
      <w:sz w:val="21"/>
      <w:szCs w:val="21"/>
      <w:shd w:val="clear" w:fill="F9F2F4"/>
    </w:rPr>
  </w:style>
  <w:style w:type="character" w:styleId="55">
    <w:name w:val="annotation reference"/>
    <w:basedOn w:val="47"/>
    <w:qFormat/>
    <w:uiPriority w:val="0"/>
    <w:rPr>
      <w:rFonts w:ascii="Times New Roman" w:hAnsi="Times New Roman" w:eastAsia="宋体" w:cs="Times New Roman"/>
      <w:sz w:val="21"/>
    </w:rPr>
  </w:style>
  <w:style w:type="character" w:styleId="56">
    <w:name w:val="footnote reference"/>
    <w:qFormat/>
    <w:uiPriority w:val="0"/>
    <w:rPr>
      <w:rFonts w:ascii="Times New Roman" w:hAnsi="Times New Roman" w:eastAsia="宋体" w:cs="Times New Roman"/>
      <w:vertAlign w:val="superscript"/>
    </w:rPr>
  </w:style>
  <w:style w:type="character" w:styleId="57">
    <w:name w:val="HTML Keyboard"/>
    <w:basedOn w:val="47"/>
    <w:unhideWhenUsed/>
    <w:qFormat/>
    <w:uiPriority w:val="99"/>
    <w:rPr>
      <w:rFonts w:ascii="Menlo" w:hAnsi="Menlo" w:eastAsia="Menlo" w:cs="Menlo"/>
      <w:color w:val="FFFFFF"/>
      <w:sz w:val="21"/>
      <w:szCs w:val="21"/>
      <w:shd w:val="clear" w:fill="333333"/>
    </w:rPr>
  </w:style>
  <w:style w:type="character" w:styleId="58">
    <w:name w:val="HTML Sample"/>
    <w:basedOn w:val="47"/>
    <w:unhideWhenUsed/>
    <w:qFormat/>
    <w:uiPriority w:val="99"/>
    <w:rPr>
      <w:rFonts w:hint="default" w:ascii="Menlo" w:hAnsi="Menlo" w:eastAsia="Menlo" w:cs="Menlo"/>
      <w:sz w:val="21"/>
      <w:szCs w:val="21"/>
    </w:rPr>
  </w:style>
  <w:style w:type="character" w:customStyle="1" w:styleId="59">
    <w:name w:val="标题 2 Char"/>
    <w:link w:val="2"/>
    <w:qFormat/>
    <w:uiPriority w:val="0"/>
    <w:rPr>
      <w:rFonts w:ascii="Arial" w:hAnsi="Arial" w:eastAsia="黑体" w:cs="Times New Roman"/>
      <w:b/>
      <w:bCs/>
      <w:sz w:val="32"/>
      <w:szCs w:val="32"/>
    </w:rPr>
  </w:style>
  <w:style w:type="character" w:customStyle="1" w:styleId="60">
    <w:name w:val="标题 3 Char"/>
    <w:link w:val="4"/>
    <w:qFormat/>
    <w:uiPriority w:val="0"/>
    <w:rPr>
      <w:rFonts w:ascii="Times New Roman" w:hAnsi="Times New Roman" w:eastAsia="宋体" w:cs="Times New Roman"/>
      <w:b/>
      <w:sz w:val="32"/>
    </w:rPr>
  </w:style>
  <w:style w:type="character" w:customStyle="1" w:styleId="61">
    <w:name w:val="正文文本缩进 Char"/>
    <w:link w:val="7"/>
    <w:qFormat/>
    <w:uiPriority w:val="99"/>
    <w:rPr>
      <w:kern w:val="2"/>
      <w:sz w:val="28"/>
    </w:rPr>
  </w:style>
  <w:style w:type="character" w:customStyle="1" w:styleId="62">
    <w:name w:val="批注文字 Char"/>
    <w:link w:val="17"/>
    <w:qFormat/>
    <w:uiPriority w:val="0"/>
    <w:rPr>
      <w:rFonts w:ascii="宋体" w:hAnsi="Times New Roman" w:eastAsia="宋体" w:cs="Times New Roman"/>
      <w:sz w:val="34"/>
    </w:rPr>
  </w:style>
  <w:style w:type="character" w:customStyle="1" w:styleId="63">
    <w:name w:val="普通(网站) Char"/>
    <w:link w:val="41"/>
    <w:qFormat/>
    <w:uiPriority w:val="0"/>
    <w:rPr>
      <w:rFonts w:hAnsi="宋体"/>
      <w:sz w:val="24"/>
      <w:szCs w:val="24"/>
    </w:rPr>
  </w:style>
  <w:style w:type="character" w:customStyle="1" w:styleId="64">
    <w:name w:val="正文首行缩进 2 Char"/>
    <w:link w:val="44"/>
    <w:qFormat/>
    <w:uiPriority w:val="99"/>
    <w:rPr>
      <w:kern w:val="2"/>
      <w:sz w:val="28"/>
    </w:rPr>
  </w:style>
  <w:style w:type="paragraph" w:customStyle="1" w:styleId="65">
    <w:name w:val="章正文"/>
    <w:basedOn w:val="1"/>
    <w:qFormat/>
    <w:uiPriority w:val="99"/>
    <w:pPr>
      <w:spacing w:beforeLines="50" w:after="120" w:line="300" w:lineRule="auto"/>
      <w:ind w:firstLine="480"/>
    </w:pPr>
    <w:rPr>
      <w:rFonts w:ascii="Helvetica" w:hAnsi="Helvetica"/>
      <w:sz w:val="24"/>
    </w:rPr>
  </w:style>
  <w:style w:type="character" w:customStyle="1" w:styleId="66">
    <w:name w:val="标题 1 Char"/>
    <w:qFormat/>
    <w:uiPriority w:val="0"/>
    <w:rPr>
      <w:rFonts w:ascii="宋体" w:hAnsi="Times New Roman" w:eastAsia="宋体" w:cs="Times New Roman"/>
      <w:b/>
      <w:color w:val="000000"/>
      <w:sz w:val="24"/>
    </w:rPr>
  </w:style>
  <w:style w:type="character" w:customStyle="1" w:styleId="67">
    <w:name w:val="font51"/>
    <w:qFormat/>
    <w:uiPriority w:val="0"/>
    <w:rPr>
      <w:rFonts w:hint="default" w:ascii="Arial" w:hAnsi="Arial" w:eastAsia="宋体" w:cs="Arial"/>
      <w:color w:val="000000"/>
      <w:sz w:val="20"/>
      <w:szCs w:val="20"/>
      <w:u w:val="none"/>
    </w:rPr>
  </w:style>
  <w:style w:type="character" w:customStyle="1" w:styleId="68">
    <w:name w:val="apple-converted-space"/>
    <w:qFormat/>
    <w:uiPriority w:val="0"/>
    <w:rPr>
      <w:rFonts w:ascii="Times New Roman" w:hAnsi="Times New Roman" w:eastAsia="宋体" w:cs="Times New Roman"/>
    </w:rPr>
  </w:style>
  <w:style w:type="character" w:customStyle="1" w:styleId="69">
    <w:name w:val="font81"/>
    <w:qFormat/>
    <w:uiPriority w:val="0"/>
    <w:rPr>
      <w:rFonts w:ascii="Arial" w:hAnsi="Arial" w:eastAsia="宋体" w:cs="Arial"/>
      <w:color w:val="000000"/>
      <w:sz w:val="20"/>
      <w:szCs w:val="20"/>
      <w:u w:val="none"/>
    </w:rPr>
  </w:style>
  <w:style w:type="character" w:customStyle="1" w:styleId="70">
    <w:name w:val="font21"/>
    <w:qFormat/>
    <w:uiPriority w:val="0"/>
    <w:rPr>
      <w:rFonts w:hint="eastAsia" w:ascii="宋体" w:hAnsi="宋体" w:cs="宋体"/>
      <w:color w:val="000000"/>
      <w:sz w:val="21"/>
      <w:szCs w:val="21"/>
      <w:u w:val="none"/>
    </w:rPr>
  </w:style>
  <w:style w:type="character" w:customStyle="1" w:styleId="71">
    <w:name w:val="正文文本 3 Char"/>
    <w:qFormat/>
    <w:uiPriority w:val="0"/>
    <w:rPr>
      <w:rFonts w:ascii="宋体" w:hAnsi="Times New Roman" w:eastAsia="宋体" w:cs="Times New Roman"/>
      <w:color w:val="000000"/>
      <w:sz w:val="28"/>
    </w:rPr>
  </w:style>
  <w:style w:type="character" w:customStyle="1" w:styleId="72">
    <w:name w:val="Char Char"/>
    <w:qFormat/>
    <w:uiPriority w:val="0"/>
    <w:rPr>
      <w:rFonts w:ascii="宋体" w:hAnsi="宋体" w:eastAsia="宋体" w:cs="Times New Roman"/>
      <w:sz w:val="24"/>
      <w:szCs w:val="24"/>
      <w:lang w:val="en-US" w:eastAsia="zh-CN" w:bidi="ar-SA"/>
    </w:rPr>
  </w:style>
  <w:style w:type="character" w:customStyle="1" w:styleId="73">
    <w:name w:val="NormalCharacter"/>
    <w:semiHidden/>
    <w:qFormat/>
    <w:uiPriority w:val="0"/>
  </w:style>
  <w:style w:type="character" w:customStyle="1" w:styleId="74">
    <w:name w:val="font31"/>
    <w:qFormat/>
    <w:uiPriority w:val="0"/>
    <w:rPr>
      <w:rFonts w:hint="default" w:ascii="Times New Roman" w:hAnsi="Times New Roman" w:eastAsia="宋体" w:cs="Times New Roman"/>
      <w:color w:val="000000"/>
      <w:sz w:val="24"/>
      <w:szCs w:val="24"/>
      <w:u w:val="none"/>
    </w:rPr>
  </w:style>
  <w:style w:type="character" w:customStyle="1" w:styleId="75">
    <w:name w:val="font41"/>
    <w:qFormat/>
    <w:uiPriority w:val="0"/>
    <w:rPr>
      <w:rFonts w:hint="default" w:ascii="Times New Roman" w:hAnsi="Times New Roman" w:eastAsia="宋体" w:cs="Times New Roman"/>
      <w:color w:val="000000"/>
      <w:sz w:val="24"/>
      <w:szCs w:val="24"/>
      <w:u w:val="none"/>
    </w:rPr>
  </w:style>
  <w:style w:type="character" w:customStyle="1" w:styleId="76">
    <w:name w:val="页脚 Char"/>
    <w:qFormat/>
    <w:uiPriority w:val="0"/>
    <w:rPr>
      <w:rFonts w:ascii="宋体" w:hAnsi="Times New Roman" w:eastAsia="宋体" w:cs="Times New Roman"/>
      <w:sz w:val="18"/>
    </w:rPr>
  </w:style>
  <w:style w:type="character" w:customStyle="1" w:styleId="77">
    <w:name w:val="正文文本 Char"/>
    <w:qFormat/>
    <w:uiPriority w:val="0"/>
    <w:rPr>
      <w:rFonts w:ascii="宋体" w:hAnsi="Times New Roman" w:eastAsia="宋体" w:cs="Times New Roman"/>
      <w:sz w:val="28"/>
    </w:rPr>
  </w:style>
  <w:style w:type="character" w:customStyle="1" w:styleId="78">
    <w:name w:val="页眉 Char"/>
    <w:qFormat/>
    <w:uiPriority w:val="0"/>
    <w:rPr>
      <w:rFonts w:ascii="宋体" w:hAnsi="Times New Roman" w:eastAsia="宋体" w:cs="Times New Roman"/>
      <w:sz w:val="18"/>
    </w:rPr>
  </w:style>
  <w:style w:type="character" w:customStyle="1" w:styleId="79">
    <w:name w:val="纯文本 Char"/>
    <w:qFormat/>
    <w:uiPriority w:val="0"/>
    <w:rPr>
      <w:rFonts w:ascii="宋体" w:hAnsi="Courier New" w:eastAsia="宋体" w:cs="Courier New"/>
      <w:sz w:val="34"/>
      <w:szCs w:val="21"/>
      <w:lang w:val="en-US" w:eastAsia="zh-CN" w:bidi="ar-SA"/>
    </w:rPr>
  </w:style>
  <w:style w:type="character" w:customStyle="1" w:styleId="80">
    <w:name w:val="普通文字 Char Char2"/>
    <w:qFormat/>
    <w:uiPriority w:val="0"/>
    <w:rPr>
      <w:rFonts w:ascii="宋体" w:hAnsi="Courier New" w:eastAsia="宋体" w:cs="Courier New"/>
      <w:sz w:val="34"/>
      <w:szCs w:val="21"/>
      <w:lang w:val="en-US" w:eastAsia="zh-CN" w:bidi="ar-SA"/>
    </w:rPr>
  </w:style>
  <w:style w:type="character" w:customStyle="1" w:styleId="81">
    <w:name w:val="font61"/>
    <w:qFormat/>
    <w:uiPriority w:val="0"/>
    <w:rPr>
      <w:rFonts w:hint="eastAsia" w:ascii="宋体" w:hAnsi="宋体" w:eastAsia="宋体" w:cs="宋体"/>
      <w:color w:val="000000"/>
      <w:sz w:val="24"/>
      <w:szCs w:val="24"/>
      <w:u w:val="none"/>
    </w:rPr>
  </w:style>
  <w:style w:type="character" w:customStyle="1" w:styleId="82">
    <w:name w:val="font71"/>
    <w:qFormat/>
    <w:uiPriority w:val="0"/>
    <w:rPr>
      <w:rFonts w:hint="eastAsia" w:ascii="宋体" w:hAnsi="宋体" w:eastAsia="宋体" w:cs="宋体"/>
      <w:color w:val="000000"/>
      <w:sz w:val="24"/>
      <w:szCs w:val="24"/>
      <w:u w:val="none"/>
    </w:rPr>
  </w:style>
  <w:style w:type="character" w:customStyle="1" w:styleId="83">
    <w:name w:val="font11"/>
    <w:qFormat/>
    <w:uiPriority w:val="0"/>
    <w:rPr>
      <w:rFonts w:hint="eastAsia" w:ascii="宋体" w:hAnsi="宋体" w:eastAsia="宋体" w:cs="宋体"/>
      <w:color w:val="000000"/>
      <w:sz w:val="20"/>
      <w:szCs w:val="20"/>
      <w:u w:val="none"/>
    </w:rPr>
  </w:style>
  <w:style w:type="paragraph" w:customStyle="1" w:styleId="84">
    <w:name w:val="列出段落1"/>
    <w:basedOn w:val="1"/>
    <w:qFormat/>
    <w:uiPriority w:val="0"/>
    <w:pPr>
      <w:widowControl/>
      <w:autoSpaceDE/>
      <w:autoSpaceDN/>
      <w:adjustRightInd/>
      <w:ind w:firstLine="420" w:firstLineChars="200"/>
    </w:pPr>
    <w:rPr>
      <w:rFonts w:ascii="Times New Roman" w:hAnsi="宋体" w:cs="宋体"/>
      <w:color w:val="000000"/>
      <w:sz w:val="24"/>
      <w:szCs w:val="24"/>
    </w:rPr>
  </w:style>
  <w:style w:type="paragraph" w:customStyle="1" w:styleId="85">
    <w:name w:val="Char Char Char Char Char Char Char"/>
    <w:basedOn w:val="1"/>
    <w:qFormat/>
    <w:uiPriority w:val="0"/>
    <w:pPr>
      <w:autoSpaceDE/>
      <w:autoSpaceDN/>
      <w:adjustRightInd/>
      <w:jc w:val="both"/>
    </w:pPr>
    <w:rPr>
      <w:rFonts w:ascii="Times New Roman"/>
      <w:kern w:val="2"/>
      <w:sz w:val="21"/>
    </w:rPr>
  </w:style>
  <w:style w:type="paragraph" w:customStyle="1" w:styleId="86">
    <w:name w:val="_Style 11"/>
    <w:basedOn w:val="1"/>
    <w:qFormat/>
    <w:uiPriority w:val="0"/>
    <w:pPr>
      <w:autoSpaceDE/>
      <w:autoSpaceDN/>
      <w:adjustRightInd/>
      <w:ind w:firstLine="200" w:firstLineChars="200"/>
      <w:jc w:val="both"/>
    </w:pPr>
    <w:rPr>
      <w:rFonts w:ascii="Calibri" w:hAnsi="Calibri"/>
      <w:kern w:val="2"/>
      <w:sz w:val="21"/>
      <w:szCs w:val="24"/>
    </w:rPr>
  </w:style>
  <w:style w:type="paragraph" w:customStyle="1" w:styleId="87">
    <w:name w:val="Char Char Char Char Char Char Char Char Char Char"/>
    <w:basedOn w:val="1"/>
    <w:qFormat/>
    <w:uiPriority w:val="0"/>
    <w:pPr>
      <w:autoSpaceDE/>
      <w:autoSpaceDN/>
      <w:adjustRightInd/>
      <w:jc w:val="both"/>
    </w:pPr>
    <w:rPr>
      <w:rFonts w:ascii="Tahoma" w:hAnsi="Tahoma"/>
      <w:kern w:val="2"/>
      <w:sz w:val="24"/>
    </w:rPr>
  </w:style>
  <w:style w:type="paragraph" w:customStyle="1" w:styleId="88">
    <w:name w:val="p0"/>
    <w:basedOn w:val="1"/>
    <w:qFormat/>
    <w:uiPriority w:val="0"/>
    <w:pPr>
      <w:widowControl/>
      <w:autoSpaceDE/>
      <w:autoSpaceDN/>
      <w:adjustRightInd/>
      <w:jc w:val="both"/>
    </w:pPr>
    <w:rPr>
      <w:rFonts w:hint="eastAsia" w:ascii="Courier" w:hAnsi="Courier" w:eastAsia="MingLiU"/>
      <w:sz w:val="21"/>
      <w:lang w:eastAsia="zh-TW"/>
    </w:rPr>
  </w:style>
  <w:style w:type="paragraph" w:customStyle="1" w:styleId="89">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0">
    <w:name w:val="2"/>
    <w:basedOn w:val="1"/>
    <w:next w:val="19"/>
    <w:qFormat/>
    <w:uiPriority w:val="0"/>
    <w:rPr>
      <w:rFonts w:ascii="Times New Roman"/>
      <w:sz w:val="28"/>
    </w:rPr>
  </w:style>
  <w:style w:type="paragraph" w:customStyle="1" w:styleId="91">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2">
    <w:name w:val="样式2"/>
    <w:basedOn w:val="1"/>
    <w:next w:val="1"/>
    <w:qFormat/>
    <w:uiPriority w:val="0"/>
    <w:pPr>
      <w:autoSpaceDE/>
      <w:autoSpaceDN/>
      <w:adjustRightInd/>
      <w:ind w:firstLine="420" w:firstLineChars="200"/>
      <w:jc w:val="both"/>
    </w:pPr>
    <w:rPr>
      <w:rFonts w:ascii="Calibri" w:hAnsi="Calibri"/>
      <w:kern w:val="2"/>
      <w:sz w:val="21"/>
      <w:szCs w:val="22"/>
    </w:rPr>
  </w:style>
  <w:style w:type="paragraph" w:customStyle="1" w:styleId="93">
    <w:name w:val="正文－恩普"/>
    <w:basedOn w:val="6"/>
    <w:qFormat/>
    <w:uiPriority w:val="0"/>
    <w:pPr>
      <w:widowControl/>
      <w:spacing w:line="360" w:lineRule="auto"/>
      <w:ind w:firstLine="480" w:firstLineChars="200"/>
      <w:jc w:val="left"/>
    </w:pPr>
    <w:rPr>
      <w:kern w:val="0"/>
      <w:sz w:val="24"/>
    </w:rPr>
  </w:style>
  <w:style w:type="paragraph" w:customStyle="1" w:styleId="94">
    <w:name w:val="样式K"/>
    <w:basedOn w:val="19"/>
    <w:qFormat/>
    <w:uiPriority w:val="0"/>
    <w:pPr>
      <w:autoSpaceDE/>
      <w:autoSpaceDN/>
      <w:adjustRightInd/>
    </w:pPr>
    <w:rPr>
      <w:rFonts w:ascii="仿宋_GB2312" w:hAnsi="Book Antiqua" w:eastAsia="仿宋_GB2312"/>
      <w:kern w:val="2"/>
      <w:sz w:val="24"/>
      <w:szCs w:val="24"/>
    </w:rPr>
  </w:style>
  <w:style w:type="paragraph" w:customStyle="1" w:styleId="95">
    <w:name w:val="默认段落字体 Para Char Char Char Char Char Char Char"/>
    <w:basedOn w:val="1"/>
    <w:qFormat/>
    <w:uiPriority w:val="0"/>
    <w:pPr>
      <w:autoSpaceDE/>
      <w:autoSpaceDN/>
      <w:adjustRightInd/>
      <w:jc w:val="both"/>
    </w:pPr>
    <w:rPr>
      <w:rFonts w:ascii="Tahoma" w:hAnsi="Tahoma"/>
      <w:kern w:val="2"/>
      <w:sz w:val="24"/>
    </w:rPr>
  </w:style>
  <w:style w:type="paragraph" w:customStyle="1" w:styleId="96">
    <w:name w:val="F-正文"/>
    <w:qFormat/>
    <w:uiPriority w:val="0"/>
    <w:pPr>
      <w:spacing w:line="560" w:lineRule="exact"/>
      <w:jc w:val="both"/>
    </w:pPr>
    <w:rPr>
      <w:rFonts w:ascii="Times" w:hAnsi="Times" w:eastAsia="仿宋" w:cs="Times New Roman"/>
      <w:kern w:val="2"/>
      <w:sz w:val="24"/>
      <w:lang w:val="en-US" w:eastAsia="zh-CN" w:bidi="ar-SA"/>
    </w:rPr>
  </w:style>
  <w:style w:type="paragraph" w:customStyle="1" w:styleId="97">
    <w:name w:val="潘"/>
    <w:basedOn w:val="1"/>
    <w:qFormat/>
    <w:uiPriority w:val="0"/>
    <w:pPr>
      <w:widowControl/>
      <w:autoSpaceDE/>
      <w:autoSpaceDN/>
      <w:adjustRightInd/>
      <w:snapToGrid w:val="0"/>
      <w:spacing w:line="240" w:lineRule="atLeast"/>
      <w:jc w:val="both"/>
    </w:pPr>
    <w:rPr>
      <w:rFonts w:ascii="Arial" w:hAnsi="Arial" w:cs="Arial"/>
      <w:b/>
      <w:bCs/>
      <w:sz w:val="21"/>
      <w:szCs w:val="21"/>
    </w:rPr>
  </w:style>
  <w:style w:type="paragraph" w:customStyle="1" w:styleId="98">
    <w:name w:val="Char"/>
    <w:basedOn w:val="1"/>
    <w:qFormat/>
    <w:uiPriority w:val="0"/>
    <w:pPr>
      <w:autoSpaceDE/>
      <w:autoSpaceDN/>
      <w:adjustRightInd/>
      <w:jc w:val="both"/>
    </w:pPr>
    <w:rPr>
      <w:rFonts w:ascii="Tahoma" w:hAnsi="Tahoma"/>
      <w:kern w:val="2"/>
      <w:sz w:val="24"/>
    </w:rPr>
  </w:style>
  <w:style w:type="paragraph" w:customStyle="1" w:styleId="99">
    <w:name w:val="表内文字"/>
    <w:basedOn w:val="1"/>
    <w:qFormat/>
    <w:uiPriority w:val="0"/>
    <w:pPr>
      <w:tabs>
        <w:tab w:val="left" w:pos="1418"/>
      </w:tabs>
      <w:autoSpaceDE/>
      <w:autoSpaceDN/>
      <w:adjustRightInd/>
      <w:spacing w:line="360" w:lineRule="auto"/>
      <w:jc w:val="center"/>
    </w:pPr>
    <w:rPr>
      <w:rFonts w:ascii="仿宋_GB2312" w:eastAsia="仿宋_GB2312"/>
      <w:spacing w:val="-20"/>
      <w:sz w:val="24"/>
      <w:szCs w:val="24"/>
    </w:rPr>
  </w:style>
  <w:style w:type="paragraph" w:customStyle="1" w:styleId="100">
    <w:name w:val="默认段落字体 Para Char Char Char Char Char Char Char Char Char1 Char Char Char Char"/>
    <w:basedOn w:val="1"/>
    <w:qFormat/>
    <w:uiPriority w:val="0"/>
    <w:pPr>
      <w:autoSpaceDE/>
      <w:autoSpaceDN/>
      <w:adjustRightInd/>
      <w:jc w:val="both"/>
    </w:pPr>
    <w:rPr>
      <w:rFonts w:ascii="Tahoma" w:hAnsi="Tahoma"/>
      <w:kern w:val="2"/>
      <w:sz w:val="24"/>
    </w:rPr>
  </w:style>
  <w:style w:type="paragraph" w:customStyle="1" w:styleId="101">
    <w:name w:val="Char Char Char Char"/>
    <w:basedOn w:val="1"/>
    <w:qFormat/>
    <w:uiPriority w:val="0"/>
    <w:pPr>
      <w:autoSpaceDE/>
      <w:autoSpaceDN/>
      <w:adjustRightInd/>
      <w:jc w:val="both"/>
    </w:pPr>
    <w:rPr>
      <w:rFonts w:ascii="Times New Roman"/>
    </w:rPr>
  </w:style>
  <w:style w:type="paragraph" w:customStyle="1" w:styleId="102">
    <w:name w:val="xl53"/>
    <w:basedOn w:val="1"/>
    <w:next w:val="1"/>
    <w:qFormat/>
    <w:uiPriority w:val="0"/>
    <w:pPr>
      <w:spacing w:before="280" w:after="280" w:line="100" w:lineRule="exact"/>
      <w:jc w:val="center"/>
    </w:pPr>
    <w:rPr>
      <w:b/>
      <w:sz w:val="20"/>
    </w:rPr>
  </w:style>
  <w:style w:type="paragraph" w:customStyle="1" w:styleId="10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4">
    <w:name w:val="列出段落2"/>
    <w:basedOn w:val="1"/>
    <w:qFormat/>
    <w:uiPriority w:val="0"/>
    <w:pPr>
      <w:autoSpaceDE/>
      <w:autoSpaceDN/>
      <w:adjustRightInd/>
      <w:ind w:firstLine="420" w:firstLineChars="200"/>
      <w:jc w:val="both"/>
    </w:pPr>
    <w:rPr>
      <w:rFonts w:ascii="Calibri" w:hAnsi="Calibri" w:eastAsia="PMingLiU"/>
      <w:kern w:val="2"/>
      <w:sz w:val="21"/>
      <w:szCs w:val="22"/>
    </w:rPr>
  </w:style>
  <w:style w:type="paragraph" w:customStyle="1" w:styleId="105">
    <w:name w:val="Char2"/>
    <w:basedOn w:val="16"/>
    <w:next w:val="1"/>
    <w:qFormat/>
    <w:uiPriority w:val="0"/>
    <w:pPr>
      <w:autoSpaceDE/>
      <w:autoSpaceDN/>
      <w:adjustRightInd/>
      <w:jc w:val="both"/>
    </w:pPr>
    <w:rPr>
      <w:kern w:val="2"/>
      <w:sz w:val="21"/>
    </w:rPr>
  </w:style>
  <w:style w:type="paragraph" w:customStyle="1" w:styleId="106">
    <w:name w:val="正文段"/>
    <w:basedOn w:val="1"/>
    <w:qFormat/>
    <w:uiPriority w:val="0"/>
    <w:pPr>
      <w:widowControl/>
      <w:autoSpaceDE/>
      <w:autoSpaceDN/>
      <w:adjustRightInd/>
      <w:snapToGrid w:val="0"/>
      <w:spacing w:afterLines="50"/>
      <w:ind w:firstLine="200" w:firstLineChars="200"/>
      <w:jc w:val="both"/>
    </w:pPr>
    <w:rPr>
      <w:rFonts w:ascii="Times New Roman"/>
      <w:sz w:val="24"/>
    </w:rPr>
  </w:style>
  <w:style w:type="paragraph" w:customStyle="1" w:styleId="107">
    <w:name w:val="无间隔1"/>
    <w:basedOn w:val="1"/>
    <w:qFormat/>
    <w:uiPriority w:val="0"/>
    <w:pPr>
      <w:autoSpaceDE/>
      <w:autoSpaceDN/>
      <w:adjustRightInd/>
      <w:jc w:val="both"/>
    </w:pPr>
    <w:rPr>
      <w:rFonts w:ascii="Calibri" w:hAnsi="Calibri"/>
      <w:kern w:val="2"/>
      <w:sz w:val="22"/>
      <w:szCs w:val="22"/>
      <w:lang w:eastAsia="en-US"/>
    </w:rPr>
  </w:style>
  <w:style w:type="paragraph" w:customStyle="1" w:styleId="108">
    <w:name w:val="xl31"/>
    <w:basedOn w:val="1"/>
    <w:qFormat/>
    <w:uiPriority w:val="0"/>
    <w:pPr>
      <w:widowControl/>
      <w:spacing w:before="100" w:beforeAutospacing="1" w:after="100" w:afterAutospacing="1"/>
      <w:jc w:val="center"/>
    </w:pPr>
    <w:rPr>
      <w:rFonts w:ascii="@仿宋_GB2312" w:hAnsi="@仿宋_GB2312" w:eastAsia="@仿宋_GB2312" w:cs="@仿宋_GB2312"/>
      <w:b/>
      <w:bCs/>
      <w:sz w:val="28"/>
      <w:szCs w:val="28"/>
    </w:rPr>
  </w:style>
  <w:style w:type="paragraph" w:customStyle="1" w:styleId="109">
    <w:name w:val="reader-word-layer"/>
    <w:basedOn w:val="1"/>
    <w:qFormat/>
    <w:uiPriority w:val="0"/>
    <w:pPr>
      <w:widowControl/>
      <w:spacing w:before="100" w:beforeAutospacing="1" w:after="100" w:afterAutospacing="1"/>
    </w:pPr>
    <w:rPr>
      <w:rFonts w:ascii="Times New Roman" w:hAnsi="宋体" w:cs="宋体"/>
      <w:sz w:val="24"/>
      <w:szCs w:val="24"/>
    </w:rPr>
  </w:style>
  <w:style w:type="paragraph" w:customStyle="1" w:styleId="110">
    <w:name w:val="纯文本1"/>
    <w:basedOn w:val="1"/>
    <w:qFormat/>
    <w:uiPriority w:val="0"/>
    <w:pPr>
      <w:autoSpaceDE/>
      <w:autoSpaceDN/>
      <w:adjustRightInd/>
      <w:jc w:val="both"/>
    </w:pPr>
    <w:rPr>
      <w:rFonts w:hAnsi="Courier New"/>
      <w:sz w:val="20"/>
      <w:szCs w:val="21"/>
    </w:rPr>
  </w:style>
  <w:style w:type="paragraph" w:customStyle="1" w:styleId="111">
    <w:name w:val="正文2"/>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12">
    <w:name w:val="正文文本缩进 字符"/>
    <w:semiHidden/>
    <w:qFormat/>
    <w:uiPriority w:val="99"/>
    <w:rPr>
      <w:rFonts w:ascii="宋体" w:hAnsi="Times New Roman" w:eastAsia="宋体" w:cs="Times New Roman"/>
      <w:sz w:val="34"/>
    </w:rPr>
  </w:style>
  <w:style w:type="character" w:customStyle="1" w:styleId="113">
    <w:name w:val="正文首行缩进 2 字符"/>
    <w:semiHidden/>
    <w:qFormat/>
    <w:uiPriority w:val="99"/>
  </w:style>
  <w:style w:type="paragraph" w:customStyle="1" w:styleId="114">
    <w:name w:val="msonormal"/>
    <w:basedOn w:val="1"/>
    <w:qFormat/>
    <w:uiPriority w:val="0"/>
    <w:pPr>
      <w:widowControl/>
      <w:autoSpaceDE/>
      <w:autoSpaceDN/>
      <w:adjustRightInd/>
      <w:spacing w:before="100" w:beforeAutospacing="1" w:after="100" w:afterAutospacing="1"/>
    </w:pPr>
    <w:rPr>
      <w:rFonts w:hAnsi="宋体" w:cs="宋体"/>
      <w:sz w:val="24"/>
      <w:szCs w:val="24"/>
    </w:rPr>
  </w:style>
  <w:style w:type="paragraph" w:customStyle="1" w:styleId="115">
    <w:name w:val="font5"/>
    <w:basedOn w:val="1"/>
    <w:qFormat/>
    <w:uiPriority w:val="0"/>
    <w:pPr>
      <w:widowControl/>
      <w:autoSpaceDE/>
      <w:autoSpaceDN/>
      <w:adjustRightInd/>
      <w:spacing w:before="100" w:beforeAutospacing="1" w:after="100" w:afterAutospacing="1"/>
    </w:pPr>
    <w:rPr>
      <w:rFonts w:hAnsi="宋体" w:cs="宋体"/>
      <w:color w:val="000000"/>
      <w:sz w:val="18"/>
      <w:szCs w:val="18"/>
    </w:rPr>
  </w:style>
  <w:style w:type="paragraph" w:customStyle="1" w:styleId="116">
    <w:name w:val="font6"/>
    <w:basedOn w:val="1"/>
    <w:qFormat/>
    <w:uiPriority w:val="0"/>
    <w:pPr>
      <w:widowControl/>
      <w:autoSpaceDE/>
      <w:autoSpaceDN/>
      <w:adjustRightInd/>
      <w:spacing w:before="100" w:beforeAutospacing="1" w:after="100" w:afterAutospacing="1"/>
    </w:pPr>
    <w:rPr>
      <w:rFonts w:ascii="等线" w:hAnsi="等线" w:eastAsia="等线" w:cs="宋体"/>
      <w:sz w:val="18"/>
      <w:szCs w:val="18"/>
    </w:rPr>
  </w:style>
  <w:style w:type="paragraph" w:customStyle="1" w:styleId="117">
    <w:name w:val="font7"/>
    <w:basedOn w:val="1"/>
    <w:qFormat/>
    <w:uiPriority w:val="0"/>
    <w:pPr>
      <w:widowControl/>
      <w:autoSpaceDE/>
      <w:autoSpaceDN/>
      <w:adjustRightInd/>
      <w:spacing w:before="100" w:beforeAutospacing="1" w:after="100" w:afterAutospacing="1"/>
    </w:pPr>
    <w:rPr>
      <w:rFonts w:ascii="Times New Roman"/>
      <w:color w:val="000000"/>
      <w:sz w:val="18"/>
      <w:szCs w:val="18"/>
    </w:rPr>
  </w:style>
  <w:style w:type="paragraph" w:customStyle="1" w:styleId="118">
    <w:name w:val="font8"/>
    <w:basedOn w:val="1"/>
    <w:qFormat/>
    <w:uiPriority w:val="0"/>
    <w:pPr>
      <w:widowControl/>
      <w:autoSpaceDE/>
      <w:autoSpaceDN/>
      <w:adjustRightInd/>
      <w:spacing w:before="100" w:beforeAutospacing="1" w:after="100" w:afterAutospacing="1"/>
    </w:pPr>
    <w:rPr>
      <w:rFonts w:hAnsi="宋体" w:cs="宋体"/>
      <w:color w:val="000000"/>
      <w:sz w:val="21"/>
      <w:szCs w:val="21"/>
    </w:rPr>
  </w:style>
  <w:style w:type="paragraph" w:customStyle="1" w:styleId="119">
    <w:name w:val="xl6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hAnsi="宋体" w:cs="宋体"/>
      <w:color w:val="000000"/>
      <w:sz w:val="18"/>
      <w:szCs w:val="18"/>
    </w:rPr>
  </w:style>
  <w:style w:type="paragraph" w:customStyle="1" w:styleId="120">
    <w:name w:val="xl6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Times New Roman"/>
      <w:color w:val="000000"/>
      <w:sz w:val="18"/>
      <w:szCs w:val="18"/>
    </w:rPr>
  </w:style>
  <w:style w:type="paragraph" w:customStyle="1" w:styleId="121">
    <w:name w:val="xl6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top"/>
    </w:pPr>
    <w:rPr>
      <w:rFonts w:hAnsi="宋体" w:cs="宋体"/>
      <w:color w:val="000000"/>
      <w:sz w:val="18"/>
      <w:szCs w:val="18"/>
    </w:rPr>
  </w:style>
  <w:style w:type="paragraph" w:customStyle="1" w:styleId="122">
    <w:name w:val="xl6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color w:val="000000"/>
      <w:sz w:val="21"/>
      <w:szCs w:val="21"/>
    </w:rPr>
  </w:style>
  <w:style w:type="paragraph" w:customStyle="1" w:styleId="123">
    <w:name w:val="xl6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hAnsi="宋体" w:cs="宋体"/>
      <w:sz w:val="24"/>
      <w:szCs w:val="24"/>
    </w:rPr>
  </w:style>
  <w:style w:type="paragraph" w:customStyle="1" w:styleId="124">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hAnsi="宋体" w:cs="宋体"/>
      <w:sz w:val="24"/>
      <w:szCs w:val="24"/>
    </w:rPr>
  </w:style>
  <w:style w:type="paragraph" w:customStyle="1" w:styleId="125">
    <w:name w:val="xl69"/>
    <w:basedOn w:val="1"/>
    <w:qFormat/>
    <w:uiPriority w:val="0"/>
    <w:pPr>
      <w:widowControl/>
      <w:autoSpaceDE/>
      <w:autoSpaceDN/>
      <w:adjustRightInd/>
      <w:spacing w:before="100" w:beforeAutospacing="1" w:after="100" w:afterAutospacing="1"/>
    </w:pPr>
    <w:rPr>
      <w:rFonts w:hAnsi="宋体" w:cs="宋体"/>
      <w:sz w:val="24"/>
      <w:szCs w:val="24"/>
    </w:rPr>
  </w:style>
  <w:style w:type="paragraph" w:customStyle="1" w:styleId="126">
    <w:name w:val="xl70"/>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cs="宋体"/>
      <w:color w:val="000000"/>
      <w:sz w:val="18"/>
      <w:szCs w:val="18"/>
    </w:rPr>
  </w:style>
  <w:style w:type="paragraph" w:customStyle="1" w:styleId="127">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color w:val="000000"/>
      <w:sz w:val="18"/>
      <w:szCs w:val="18"/>
    </w:rPr>
  </w:style>
  <w:style w:type="paragraph" w:customStyle="1" w:styleId="128">
    <w:name w:val="xl72"/>
    <w:basedOn w:val="1"/>
    <w:qFormat/>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pPr>
    <w:rPr>
      <w:rFonts w:hAnsi="宋体" w:cs="宋体"/>
      <w:color w:val="000000"/>
      <w:sz w:val="18"/>
      <w:szCs w:val="18"/>
    </w:rPr>
  </w:style>
  <w:style w:type="paragraph" w:customStyle="1" w:styleId="129">
    <w:name w:val="xl73"/>
    <w:basedOn w:val="1"/>
    <w:qFormat/>
    <w:uiPriority w:val="0"/>
    <w:pPr>
      <w:widowControl/>
      <w:pBdr>
        <w:left w:val="single" w:color="auto" w:sz="4" w:space="0"/>
        <w:right w:val="single" w:color="auto" w:sz="4" w:space="0"/>
      </w:pBdr>
      <w:autoSpaceDE/>
      <w:autoSpaceDN/>
      <w:adjustRightInd/>
      <w:spacing w:before="100" w:beforeAutospacing="1" w:after="100" w:afterAutospacing="1"/>
      <w:jc w:val="center"/>
    </w:pPr>
    <w:rPr>
      <w:rFonts w:hAnsi="宋体" w:cs="宋体"/>
      <w:color w:val="000000"/>
      <w:sz w:val="18"/>
      <w:szCs w:val="18"/>
    </w:rPr>
  </w:style>
  <w:style w:type="paragraph" w:customStyle="1" w:styleId="130">
    <w:name w:val="xl74"/>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cs="宋体"/>
      <w:color w:val="000000"/>
      <w:sz w:val="18"/>
      <w:szCs w:val="18"/>
    </w:rPr>
  </w:style>
  <w:style w:type="paragraph" w:customStyle="1" w:styleId="131">
    <w:name w:val="正文文本首行缩进 21"/>
    <w:basedOn w:val="7"/>
    <w:qFormat/>
    <w:uiPriority w:val="99"/>
    <w:pPr>
      <w:tabs>
        <w:tab w:val="left" w:pos="0"/>
        <w:tab w:val="left" w:pos="993"/>
        <w:tab w:val="left" w:pos="1134"/>
      </w:tabs>
      <w:spacing w:line="200" w:lineRule="atLeast"/>
      <w:ind w:firstLine="420"/>
    </w:pPr>
    <w:rPr>
      <w:rFonts w:hAnsi="Courier New"/>
    </w:rPr>
  </w:style>
  <w:style w:type="paragraph" w:customStyle="1" w:styleId="132">
    <w:name w:val="xl3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both"/>
      <w:textAlignment w:val="center"/>
    </w:pPr>
    <w:rPr>
      <w:rFonts w:ascii="Arial Unicode MS" w:hAnsi="Arial Unicode MS" w:eastAsia="Arial Unicode MS"/>
      <w:sz w:val="24"/>
      <w:szCs w:val="24"/>
    </w:rPr>
  </w:style>
  <w:style w:type="character" w:customStyle="1" w:styleId="133">
    <w:name w:val="不明显强调1"/>
    <w:basedOn w:val="47"/>
    <w:qFormat/>
    <w:uiPriority w:val="19"/>
    <w:rPr>
      <w:i/>
      <w:iCs/>
      <w:color w:val="3F3F3F"/>
    </w:rPr>
  </w:style>
  <w:style w:type="paragraph" w:customStyle="1" w:styleId="134">
    <w:name w:val="列出段落3"/>
    <w:basedOn w:val="1"/>
    <w:qFormat/>
    <w:uiPriority w:val="99"/>
    <w:pPr>
      <w:ind w:firstLine="420" w:firstLineChars="200"/>
    </w:pPr>
  </w:style>
  <w:style w:type="character" w:customStyle="1" w:styleId="135">
    <w:name w:val="ui-state-disabled"/>
    <w:basedOn w:val="47"/>
    <w:qFormat/>
    <w:uiPriority w:val="0"/>
  </w:style>
  <w:style w:type="character" w:customStyle="1" w:styleId="136">
    <w:name w:val="ui-icon"/>
    <w:basedOn w:val="47"/>
    <w:qFormat/>
    <w:uiPriority w:val="0"/>
  </w:style>
  <w:style w:type="character" w:customStyle="1" w:styleId="137">
    <w:name w:val="ui-icon1"/>
    <w:basedOn w:val="47"/>
    <w:qFormat/>
    <w:uiPriority w:val="0"/>
  </w:style>
  <w:style w:type="character" w:customStyle="1" w:styleId="138">
    <w:name w:val="label10"/>
    <w:basedOn w:val="47"/>
    <w:qFormat/>
    <w:uiPriority w:val="0"/>
    <w:rPr>
      <w:color w:val="1AB394"/>
      <w:shd w:val="clear" w:fill="FFFFFF"/>
    </w:rPr>
  </w:style>
  <w:style w:type="character" w:customStyle="1" w:styleId="139">
    <w:name w:val="label11"/>
    <w:basedOn w:val="47"/>
    <w:qFormat/>
    <w:uiPriority w:val="0"/>
    <w:rPr>
      <w:color w:val="1CC09F"/>
      <w:shd w:val="clear" w:fill="FFFFFF"/>
    </w:rPr>
  </w:style>
  <w:style w:type="character" w:customStyle="1" w:styleId="140">
    <w:name w:val="label12"/>
    <w:basedOn w:val="47"/>
    <w:qFormat/>
    <w:uiPriority w:val="0"/>
  </w:style>
  <w:style w:type="character" w:customStyle="1" w:styleId="141">
    <w:name w:val="label13"/>
    <w:basedOn w:val="47"/>
    <w:qFormat/>
    <w:uiPriority w:val="0"/>
  </w:style>
  <w:style w:type="character" w:customStyle="1" w:styleId="142">
    <w:name w:val="layui-layer-tabnow"/>
    <w:basedOn w:val="47"/>
    <w:qFormat/>
    <w:uiPriority w:val="0"/>
    <w:rPr>
      <w:bdr w:val="single" w:color="CCCCCC" w:sz="6" w:space="0"/>
      <w:shd w:val="clear" w:fill="FFFFFF"/>
    </w:rPr>
  </w:style>
  <w:style w:type="character" w:customStyle="1" w:styleId="143">
    <w:name w:val="first-child"/>
    <w:basedOn w:val="47"/>
    <w:qFormat/>
    <w:uiPriority w:val="0"/>
  </w:style>
  <w:style w:type="character" w:customStyle="1" w:styleId="144">
    <w:name w:val="ui-icon-asc"/>
    <w:basedOn w:val="47"/>
    <w:qFormat/>
    <w:uiPriority w:val="0"/>
  </w:style>
  <w:style w:type="character" w:customStyle="1" w:styleId="145">
    <w:name w:val="ui-icon-desc"/>
    <w:basedOn w:val="47"/>
    <w:qFormat/>
    <w:uiPriority w:val="0"/>
  </w:style>
  <w:style w:type="character" w:customStyle="1" w:styleId="146">
    <w:name w:val="navy"/>
    <w:basedOn w:val="47"/>
    <w:qFormat/>
    <w:uiPriority w:val="0"/>
    <w:rPr>
      <w:color w:val="1AB394"/>
    </w:rPr>
  </w:style>
  <w:style w:type="character" w:customStyle="1" w:styleId="147">
    <w:name w:val="badge24"/>
    <w:basedOn w:val="47"/>
    <w:qFormat/>
    <w:uiPriority w:val="0"/>
    <w:rPr>
      <w:color w:val="FFFFFF"/>
      <w:shd w:val="clear" w:fill="ED5565"/>
    </w:rPr>
  </w:style>
  <w:style w:type="character" w:customStyle="1" w:styleId="148">
    <w:name w:val="circle"/>
    <w:basedOn w:val="47"/>
    <w:qFormat/>
    <w:uiPriority w:val="0"/>
    <w:rPr>
      <w:color w:val="666666"/>
      <w:sz w:val="36"/>
      <w:szCs w:val="36"/>
      <w:shd w:val="clear" w:fill="E8E8E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41732</Words>
  <Characters>6380</Characters>
  <Lines>53</Lines>
  <Paragraphs>96</Paragraphs>
  <TotalTime>13</TotalTime>
  <ScaleCrop>false</ScaleCrop>
  <LinksUpToDate>false</LinksUpToDate>
  <CharactersWithSpaces>48016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2023-09-13T08:28:00Z</dcterms:created>
  <dc:creator>dell</dc:creator>
  <cp:lastModifiedBy>。</cp:lastModifiedBy>
  <cp:lastPrinted>2023-10-25T07:32:00Z</cp:lastPrinted>
  <dcterms:modified xsi:type="dcterms:W3CDTF">2023-11-08T02:47:33Z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8B7082E7935245A6AFDCA2C51B3FBB4B_13</vt:lpwstr>
  </property>
</Properties>
</file>